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36BEC" w14:textId="581ABBAC" w:rsidR="00BC504C" w:rsidRDefault="00473C85" w:rsidP="00BC504C">
      <w:pPr>
        <w:jc w:val="center"/>
        <w:rPr>
          <w:rFonts w:eastAsia="Times New Roman" w:cstheme="minorHAnsi"/>
          <w:b/>
          <w:bCs/>
        </w:rPr>
      </w:pPr>
      <w:r>
        <w:rPr>
          <w:rFonts w:eastAsia="Times New Roman" w:cstheme="minorHAnsi"/>
          <w:b/>
          <w:bCs/>
        </w:rPr>
        <w:t>The</w:t>
      </w:r>
      <w:r w:rsidR="00CD5A58">
        <w:rPr>
          <w:rFonts w:eastAsia="Times New Roman" w:cstheme="minorHAnsi"/>
          <w:b/>
          <w:bCs/>
        </w:rPr>
        <w:t xml:space="preserve"> Reader’s Turn: Deconstructing the “Penguinification” of the </w:t>
      </w:r>
      <w:r w:rsidR="00CD5A58" w:rsidRPr="008E559B">
        <w:rPr>
          <w:rFonts w:eastAsia="Times New Roman" w:cstheme="minorHAnsi"/>
          <w:b/>
          <w:bCs/>
          <w:i/>
          <w:iCs/>
        </w:rPr>
        <w:t>Girls of Riyadh</w:t>
      </w:r>
      <w:r w:rsidR="00CD5A58" w:rsidRPr="008E559B">
        <w:rPr>
          <w:rFonts w:eastAsia="Times New Roman" w:cstheme="minorHAnsi"/>
          <w:b/>
          <w:bCs/>
        </w:rPr>
        <w:t xml:space="preserve"> </w:t>
      </w:r>
    </w:p>
    <w:p w14:paraId="70CE518A" w14:textId="77777777" w:rsidR="00BC504C" w:rsidRDefault="00BC504C" w:rsidP="00BC504C">
      <w:pPr>
        <w:jc w:val="center"/>
        <w:rPr>
          <w:rFonts w:eastAsia="Times New Roman" w:cstheme="minorHAnsi"/>
          <w:b/>
          <w:bCs/>
        </w:rPr>
      </w:pPr>
    </w:p>
    <w:p w14:paraId="1C923038" w14:textId="2946CA5A" w:rsidR="00BC504C" w:rsidRPr="00BC504C" w:rsidRDefault="00E069A1" w:rsidP="00BC504C">
      <w:pPr>
        <w:pStyle w:val="IntenseQuote"/>
        <w:spacing w:line="240" w:lineRule="auto"/>
      </w:pPr>
      <w:r w:rsidRPr="00BC504C">
        <w:t>Get on a plane to Riyadh, Saudi Arabi</w:t>
      </w:r>
      <w:r w:rsidR="00BC504C" w:rsidRPr="00BC504C">
        <w:t>a</w:t>
      </w:r>
      <w:r w:rsidRPr="00BC504C">
        <w:t>. Rent a house, find a job, settle in. Learn Arabic, make friends, spend years in the country. Still, you will never get as full a glimpse into the lives of young Urban Saudi women as you will get from reading ... Girls of Riyadh</w:t>
      </w:r>
      <w:r w:rsidR="00BC504C">
        <w:t xml:space="preserve"> … </w:t>
      </w:r>
      <w:r w:rsidRPr="00BC504C">
        <w:t>The details of life on the Saudi Peninsula are perfectly evoked</w:t>
      </w:r>
      <w:r w:rsidR="004152B3">
        <w:t>.</w:t>
      </w:r>
      <w:r w:rsidR="00F407CF">
        <w:rPr>
          <w:rStyle w:val="FootnoteReference"/>
        </w:rPr>
        <w:footnoteReference w:id="2"/>
      </w:r>
    </w:p>
    <w:p w14:paraId="73051D98" w14:textId="47ADC628" w:rsidR="00BC504C" w:rsidRPr="00BC504C" w:rsidRDefault="00BC504C" w:rsidP="00BC504C">
      <w:pPr>
        <w:spacing w:line="240" w:lineRule="auto"/>
        <w:ind w:firstLine="0"/>
        <w:jc w:val="right"/>
        <w:rPr>
          <w:rFonts w:eastAsia="Times New Roman" w:cstheme="minorHAnsi"/>
        </w:rPr>
      </w:pPr>
      <w:r>
        <w:rPr>
          <w:rFonts w:eastAsia="Times New Roman" w:cstheme="minorHAnsi"/>
        </w:rPr>
        <w:t xml:space="preserve">Religions writer.com, “Praise for Rajaa Alsanea </w:t>
      </w:r>
      <w:r w:rsidRPr="00BC504C">
        <w:rPr>
          <w:rFonts w:eastAsia="Times New Roman" w:cstheme="minorHAnsi"/>
          <w:i/>
          <w:iCs/>
        </w:rPr>
        <w:t>Girls of Riyadh</w:t>
      </w:r>
      <w:r>
        <w:rPr>
          <w:rFonts w:eastAsia="Times New Roman" w:cstheme="minorHAnsi"/>
        </w:rPr>
        <w:t>,” (</w:t>
      </w:r>
      <w:proofErr w:type="spellStart"/>
      <w:r>
        <w:rPr>
          <w:rFonts w:eastAsia="Times New Roman" w:cstheme="minorHAnsi"/>
        </w:rPr>
        <w:t>i</w:t>
      </w:r>
      <w:proofErr w:type="spellEnd"/>
      <w:r w:rsidR="004152B3">
        <w:rPr>
          <w:rFonts w:eastAsia="Times New Roman" w:cstheme="minorHAnsi"/>
        </w:rPr>
        <w:t>–</w:t>
      </w:r>
      <w:r>
        <w:rPr>
          <w:rFonts w:eastAsia="Times New Roman" w:cstheme="minorHAnsi"/>
        </w:rPr>
        <w:t>iii)</w:t>
      </w:r>
    </w:p>
    <w:p w14:paraId="772407F8" w14:textId="46DB7BE3" w:rsidR="00BC504C" w:rsidRDefault="00BC504C" w:rsidP="00BC504C">
      <w:pPr>
        <w:spacing w:line="240" w:lineRule="auto"/>
        <w:ind w:firstLine="0"/>
        <w:rPr>
          <w:rFonts w:eastAsia="Times New Roman" w:cstheme="minorHAnsi"/>
          <w:b/>
          <w:bCs/>
        </w:rPr>
      </w:pPr>
    </w:p>
    <w:p w14:paraId="6D2C91CC" w14:textId="77777777" w:rsidR="00BC504C" w:rsidRDefault="00BC504C" w:rsidP="00BC504C">
      <w:pPr>
        <w:spacing w:line="240" w:lineRule="auto"/>
        <w:ind w:firstLine="0"/>
        <w:rPr>
          <w:rFonts w:eastAsia="Times New Roman" w:cstheme="minorHAnsi"/>
          <w:b/>
          <w:bCs/>
        </w:rPr>
      </w:pPr>
    </w:p>
    <w:p w14:paraId="4F4AE334" w14:textId="77777777" w:rsidR="00CD5A58" w:rsidRDefault="00CD5A58" w:rsidP="00DE3593">
      <w:pPr>
        <w:pStyle w:val="Heading1"/>
        <w:numPr>
          <w:ilvl w:val="0"/>
          <w:numId w:val="0"/>
        </w:numPr>
      </w:pPr>
      <w:r>
        <w:t>Introduction</w:t>
      </w:r>
    </w:p>
    <w:p w14:paraId="06FB2300" w14:textId="77777777" w:rsidR="00CD5A58" w:rsidRPr="002A6D89" w:rsidRDefault="00CD5A58" w:rsidP="002A6D89">
      <w:pPr>
        <w:pStyle w:val="Heading2"/>
      </w:pPr>
      <w:r>
        <w:t>Girls of Riyadh, Once Again</w:t>
      </w:r>
    </w:p>
    <w:p w14:paraId="558F94E1" w14:textId="052CF885" w:rsidR="00F407CF" w:rsidRDefault="0080392F" w:rsidP="00F407CF">
      <w:pPr>
        <w:rPr>
          <w:rFonts w:cstheme="minorHAnsi"/>
          <w:shd w:val="clear" w:color="auto" w:fill="FFFFFF"/>
        </w:rPr>
      </w:pPr>
      <w:r>
        <w:t>Why—and how—</w:t>
      </w:r>
      <w:r w:rsidR="00F407CF">
        <w:t xml:space="preserve">does a work receive a hospitable reception when </w:t>
      </w:r>
      <w:r>
        <w:t>translated</w:t>
      </w:r>
      <w:r w:rsidR="00F407CF">
        <w:t xml:space="preserve"> in its host context but receive a lackadaisical counterpart in its home context?</w:t>
      </w:r>
      <w:r>
        <w:t xml:space="preserve"> Does an appreciation for a text transmogrify when </w:t>
      </w:r>
      <w:r w:rsidR="008112B0">
        <w:t>translated</w:t>
      </w:r>
      <w:r>
        <w:t xml:space="preserve">? How? </w:t>
      </w:r>
      <w:r w:rsidR="00CD5A58" w:rsidRPr="007E4711">
        <w:t xml:space="preserve">The novel </w:t>
      </w:r>
      <w:r w:rsidR="00CD5A58" w:rsidRPr="007E4711">
        <w:rPr>
          <w:rtl/>
        </w:rPr>
        <w:t>بنات الرياض</w:t>
      </w:r>
      <w:r w:rsidR="00553477">
        <w:t xml:space="preserve"> </w:t>
      </w:r>
      <w:proofErr w:type="spellStart"/>
      <w:r w:rsidR="00553477">
        <w:t>B</w:t>
      </w:r>
      <w:r w:rsidR="00553477" w:rsidRPr="00553477">
        <w:t>ā</w:t>
      </w:r>
      <w:r w:rsidR="00553477">
        <w:t>n</w:t>
      </w:r>
      <w:r w:rsidR="00553477" w:rsidRPr="00553477">
        <w:t>ā</w:t>
      </w:r>
      <w:r w:rsidR="00553477">
        <w:t>t</w:t>
      </w:r>
      <w:r w:rsidR="00553477" w:rsidRPr="00553477">
        <w:t>ū</w:t>
      </w:r>
      <w:proofErr w:type="spellEnd"/>
      <w:r w:rsidR="00553477">
        <w:t xml:space="preserve"> </w:t>
      </w:r>
      <w:proofErr w:type="spellStart"/>
      <w:r w:rsidR="00553477">
        <w:rPr>
          <w:rFonts w:ascii="Times New Roman" w:hAnsi="Times New Roman" w:cs="Times New Roman"/>
        </w:rPr>
        <w:t>ʾ</w:t>
      </w:r>
      <w:r w:rsidR="00553477">
        <w:t>rr</w:t>
      </w:r>
      <w:r w:rsidR="00CC0D01" w:rsidRPr="00CC0D01">
        <w:t>ī</w:t>
      </w:r>
      <w:r w:rsidR="00553477">
        <w:t>y</w:t>
      </w:r>
      <w:r w:rsidR="00553477" w:rsidRPr="00553477">
        <w:t>āḍ</w:t>
      </w:r>
      <w:proofErr w:type="spellEnd"/>
      <w:r w:rsidR="00473C85">
        <w:rPr>
          <w:rStyle w:val="FootnoteReference"/>
        </w:rPr>
        <w:footnoteReference w:id="3"/>
      </w:r>
      <w:r w:rsidR="00CD5A58" w:rsidRPr="007E4711">
        <w:t xml:space="preserve"> (2005) was written by the Saudi novelist Rajaa Alsanea and co-translated by the novelist herself and Mar</w:t>
      </w:r>
      <w:r w:rsidR="00CD5A58">
        <w:t>i</w:t>
      </w:r>
      <w:r w:rsidR="00CD5A58" w:rsidRPr="007E4711">
        <w:t>l</w:t>
      </w:r>
      <w:r w:rsidR="00CD5A58">
        <w:t>y</w:t>
      </w:r>
      <w:r w:rsidR="00CD5A58" w:rsidRPr="007E4711">
        <w:t xml:space="preserve">n Booth as </w:t>
      </w:r>
      <w:r w:rsidR="00CD5A58" w:rsidRPr="007E4711">
        <w:rPr>
          <w:i/>
          <w:iCs/>
        </w:rPr>
        <w:t>Girls of Riyadh</w:t>
      </w:r>
      <w:r w:rsidR="00CD5A58" w:rsidRPr="007E4711">
        <w:t xml:space="preserve"> </w:t>
      </w:r>
      <w:r w:rsidR="00CD5A58">
        <w:t>(</w:t>
      </w:r>
      <w:r w:rsidR="00CD5A58" w:rsidRPr="00473C85">
        <w:rPr>
          <w:i/>
          <w:iCs/>
        </w:rPr>
        <w:t>GOR</w:t>
      </w:r>
      <w:r w:rsidR="00CD5A58">
        <w:t>)</w:t>
      </w:r>
      <w:r w:rsidR="00275588">
        <w:t>,</w:t>
      </w:r>
      <w:r w:rsidR="00275588">
        <w:rPr>
          <w:rStyle w:val="FootnoteReference"/>
        </w:rPr>
        <w:footnoteReference w:id="4"/>
      </w:r>
      <w:r w:rsidR="00CD5A58" w:rsidRPr="007E4711">
        <w:t xml:space="preserve"> which is a close literal translation of the Arabic title.</w:t>
      </w:r>
      <w:r w:rsidR="00CD5A58">
        <w:rPr>
          <w:rFonts w:cstheme="minorHAnsi"/>
          <w:shd w:val="clear" w:color="auto" w:fill="FFFFFF"/>
        </w:rPr>
        <w:t xml:space="preserve"> </w:t>
      </w:r>
      <w:r w:rsidR="00CD5A58" w:rsidRPr="007E4711">
        <w:t xml:space="preserve">The Arabic version was published by the Lebanon-based publisher Saqi Books, </w:t>
      </w:r>
      <w:r w:rsidR="004152B3">
        <w:t>whereas</w:t>
      </w:r>
      <w:r w:rsidR="004152B3" w:rsidRPr="007E4711">
        <w:t xml:space="preserve"> </w:t>
      </w:r>
      <w:r w:rsidR="00CD5A58" w:rsidRPr="007E4711">
        <w:t>the English translation was released by, as Roger Allen sarcastically put it, “(Penguin, no less)</w:t>
      </w:r>
      <w:r w:rsidR="001A7030">
        <w:t>.</w:t>
      </w:r>
      <w:r w:rsidR="00CD5A58" w:rsidRPr="007E4711">
        <w:t>”</w:t>
      </w:r>
      <w:r w:rsidR="00275588">
        <w:rPr>
          <w:rStyle w:val="FootnoteReference"/>
        </w:rPr>
        <w:footnoteReference w:id="5"/>
      </w:r>
      <w:r w:rsidR="00CD5A58">
        <w:rPr>
          <w:i/>
          <w:iCs/>
        </w:rPr>
        <w:t xml:space="preserve"> </w:t>
      </w:r>
      <w:r w:rsidR="00CD5A58">
        <w:t xml:space="preserve">Allen’s qualm about the text is justifiable </w:t>
      </w:r>
      <w:r w:rsidR="00CD5A58">
        <w:lastRenderedPageBreak/>
        <w:t xml:space="preserve">because its production is </w:t>
      </w:r>
      <w:r w:rsidR="00CD5A58" w:rsidRPr="007E4711">
        <w:t>surrounded by a “scandal</w:t>
      </w:r>
      <w:r w:rsidR="00F407CF">
        <w:t>,</w:t>
      </w:r>
      <w:r w:rsidR="00CD5A58">
        <w:t>”</w:t>
      </w:r>
      <w:r w:rsidR="00F407CF" w:rsidRPr="007E4711">
        <w:t xml:space="preserve"> to use Venuti’s</w:t>
      </w:r>
      <w:r w:rsidR="00F407CF">
        <w:rPr>
          <w:rStyle w:val="FootnoteReference"/>
        </w:rPr>
        <w:footnoteReference w:id="6"/>
      </w:r>
      <w:r w:rsidR="00F407CF">
        <w:t xml:space="preserve"> </w:t>
      </w:r>
      <w:r w:rsidR="00F407CF" w:rsidRPr="007E4711">
        <w:t>eponymous term</w:t>
      </w:r>
      <w:r w:rsidR="00F407CF">
        <w:t>.</w:t>
      </w:r>
      <w:r w:rsidR="00473C85">
        <w:t xml:space="preserve"> </w:t>
      </w:r>
      <w:proofErr w:type="spellStart"/>
      <w:r w:rsidR="00CD5A58">
        <w:rPr>
          <w:rFonts w:cstheme="minorHAnsi"/>
          <w:shd w:val="clear" w:color="auto" w:fill="FFFFFF"/>
        </w:rPr>
        <w:t>Imagological</w:t>
      </w:r>
      <w:r w:rsidR="00F407CF">
        <w:rPr>
          <w:rFonts w:cstheme="minorHAnsi"/>
          <w:shd w:val="clear" w:color="auto" w:fill="FFFFFF"/>
        </w:rPr>
        <w:t>ly</w:t>
      </w:r>
      <w:proofErr w:type="spellEnd"/>
      <w:r w:rsidR="00CD5A58">
        <w:rPr>
          <w:rFonts w:cstheme="minorHAnsi"/>
          <w:shd w:val="clear" w:color="auto" w:fill="FFFFFF"/>
        </w:rPr>
        <w:t xml:space="preserve"> and culturally speaking, t</w:t>
      </w:r>
      <w:r w:rsidR="00CD5A58" w:rsidRPr="008E559B">
        <w:rPr>
          <w:rFonts w:cstheme="minorHAnsi"/>
          <w:shd w:val="clear" w:color="auto" w:fill="FFFFFF"/>
        </w:rPr>
        <w:t xml:space="preserve">he published version </w:t>
      </w:r>
      <w:r w:rsidR="00CD5A58">
        <w:rPr>
          <w:rFonts w:cstheme="minorHAnsi"/>
          <w:shd w:val="clear" w:color="auto" w:fill="FFFFFF"/>
        </w:rPr>
        <w:t xml:space="preserve">is a massive departure from </w:t>
      </w:r>
      <w:r w:rsidR="00CD5A58" w:rsidRPr="008E559B">
        <w:rPr>
          <w:rFonts w:cstheme="minorHAnsi"/>
          <w:shd w:val="clear" w:color="auto" w:fill="FFFFFF"/>
        </w:rPr>
        <w:t xml:space="preserve">the original Arabic </w:t>
      </w:r>
      <w:r w:rsidR="00CD5A58">
        <w:rPr>
          <w:rFonts w:cstheme="minorHAnsi"/>
          <w:shd w:val="clear" w:color="auto" w:fill="FFFFFF"/>
        </w:rPr>
        <w:t>and</w:t>
      </w:r>
      <w:r w:rsidR="00CD5A58" w:rsidRPr="008E559B">
        <w:rPr>
          <w:rFonts w:cstheme="minorHAnsi"/>
          <w:shd w:val="clear" w:color="auto" w:fill="FFFFFF"/>
        </w:rPr>
        <w:t xml:space="preserve"> the version </w:t>
      </w:r>
      <w:r w:rsidR="00CD5A58">
        <w:rPr>
          <w:rFonts w:cstheme="minorHAnsi"/>
          <w:shd w:val="clear" w:color="auto" w:fill="FFFFFF"/>
        </w:rPr>
        <w:t>submitted</w:t>
      </w:r>
      <w:r w:rsidR="00CD5A58" w:rsidRPr="008E559B">
        <w:rPr>
          <w:rFonts w:cstheme="minorHAnsi"/>
          <w:shd w:val="clear" w:color="auto" w:fill="FFFFFF"/>
        </w:rPr>
        <w:t xml:space="preserve"> by Booth</w:t>
      </w:r>
      <w:r w:rsidR="00CD5A58">
        <w:rPr>
          <w:rFonts w:cstheme="minorHAnsi"/>
          <w:shd w:val="clear" w:color="auto" w:fill="FFFFFF"/>
        </w:rPr>
        <w:t xml:space="preserve"> as the final draft. It was (re)reconstructed to be </w:t>
      </w:r>
      <w:r w:rsidR="00CD5A58" w:rsidRPr="008E559B">
        <w:rPr>
          <w:rFonts w:cstheme="minorHAnsi"/>
          <w:shd w:val="clear" w:color="auto" w:fill="FFFFFF"/>
        </w:rPr>
        <w:t>in harmony with what Faiq describe</w:t>
      </w:r>
      <w:r w:rsidR="00905A44">
        <w:rPr>
          <w:rFonts w:cstheme="minorHAnsi"/>
          <w:shd w:val="clear" w:color="auto" w:fill="FFFFFF"/>
        </w:rPr>
        <w:t>d</w:t>
      </w:r>
      <w:r w:rsidR="00CD5A58" w:rsidRPr="008E559B">
        <w:rPr>
          <w:rFonts w:cstheme="minorHAnsi"/>
          <w:shd w:val="clear" w:color="auto" w:fill="FFFFFF"/>
        </w:rPr>
        <w:t xml:space="preserve"> as “master discourse”</w:t>
      </w:r>
      <w:r w:rsidR="009F5E47">
        <w:rPr>
          <w:rStyle w:val="FootnoteReference"/>
          <w:rFonts w:cstheme="minorHAnsi"/>
          <w:shd w:val="clear" w:color="auto" w:fill="FFFFFF"/>
        </w:rPr>
        <w:footnoteReference w:id="7"/>
      </w:r>
      <w:r w:rsidR="00CD5A58" w:rsidRPr="008E559B">
        <w:rPr>
          <w:rFonts w:cstheme="minorHAnsi"/>
          <w:shd w:val="clear" w:color="auto" w:fill="FFFFFF"/>
        </w:rPr>
        <w:t>—a phrase he use</w:t>
      </w:r>
      <w:r w:rsidR="00905A44">
        <w:rPr>
          <w:rFonts w:cstheme="minorHAnsi"/>
          <w:shd w:val="clear" w:color="auto" w:fill="FFFFFF"/>
        </w:rPr>
        <w:t>d</w:t>
      </w:r>
      <w:r w:rsidR="00CD5A58" w:rsidRPr="008E559B">
        <w:rPr>
          <w:rFonts w:cstheme="minorHAnsi"/>
          <w:shd w:val="clear" w:color="auto" w:fill="FFFFFF"/>
        </w:rPr>
        <w:t xml:space="preserve"> to describe the fossilized image of the Orient that </w:t>
      </w:r>
      <w:r w:rsidR="00CD5A58">
        <w:rPr>
          <w:rFonts w:cstheme="minorHAnsi"/>
          <w:shd w:val="clear" w:color="auto" w:fill="FFFFFF"/>
        </w:rPr>
        <w:t xml:space="preserve">remains </w:t>
      </w:r>
      <w:r w:rsidR="00CD5A58" w:rsidRPr="008E559B">
        <w:rPr>
          <w:rFonts w:cstheme="minorHAnsi"/>
          <w:shd w:val="clear" w:color="auto" w:fill="FFFFFF"/>
        </w:rPr>
        <w:t>in active circulation in the</w:t>
      </w:r>
      <w:r w:rsidR="00F407CF">
        <w:rPr>
          <w:rFonts w:cstheme="minorHAnsi"/>
          <w:shd w:val="clear" w:color="auto" w:fill="FFFFFF"/>
        </w:rPr>
        <w:t xml:space="preserve"> Anglophone </w:t>
      </w:r>
      <w:r w:rsidR="00CD5A58" w:rsidRPr="008E559B">
        <w:rPr>
          <w:rFonts w:cstheme="minorHAnsi"/>
          <w:shd w:val="clear" w:color="auto" w:fill="FFFFFF"/>
        </w:rPr>
        <w:t>host context</w:t>
      </w:r>
      <w:r w:rsidR="00F407CF">
        <w:rPr>
          <w:rFonts w:cstheme="minorHAnsi"/>
          <w:shd w:val="clear" w:color="auto" w:fill="FFFFFF"/>
        </w:rPr>
        <w:t xml:space="preserve"> </w:t>
      </w:r>
      <w:r w:rsidR="00CD5A58">
        <w:rPr>
          <w:rFonts w:cstheme="minorHAnsi"/>
          <w:shd w:val="clear" w:color="auto" w:fill="FFFFFF"/>
        </w:rPr>
        <w:t>and</w:t>
      </w:r>
      <w:r w:rsidR="00F407CF">
        <w:rPr>
          <w:rFonts w:cstheme="minorHAnsi"/>
          <w:shd w:val="clear" w:color="auto" w:fill="FFFFFF"/>
        </w:rPr>
        <w:t xml:space="preserve"> to designate</w:t>
      </w:r>
      <w:r w:rsidR="00CD5A58">
        <w:rPr>
          <w:rFonts w:cstheme="minorHAnsi"/>
          <w:shd w:val="clear" w:color="auto" w:fill="FFFFFF"/>
        </w:rPr>
        <w:t xml:space="preserve"> </w:t>
      </w:r>
      <w:r w:rsidR="00F407CF">
        <w:rPr>
          <w:rFonts w:cstheme="minorHAnsi"/>
          <w:shd w:val="clear" w:color="auto" w:fill="FFFFFF"/>
        </w:rPr>
        <w:t xml:space="preserve">the </w:t>
      </w:r>
      <w:r w:rsidR="00CD5A58">
        <w:rPr>
          <w:rFonts w:cstheme="minorHAnsi"/>
          <w:shd w:val="clear" w:color="auto" w:fill="FFFFFF"/>
        </w:rPr>
        <w:t>system of representation that sustain</w:t>
      </w:r>
      <w:r w:rsidR="00905A44">
        <w:rPr>
          <w:rFonts w:cstheme="minorHAnsi"/>
          <w:shd w:val="clear" w:color="auto" w:fill="FFFFFF"/>
        </w:rPr>
        <w:t>s</w:t>
      </w:r>
      <w:r w:rsidR="00CD5A58">
        <w:rPr>
          <w:rFonts w:cstheme="minorHAnsi"/>
          <w:shd w:val="clear" w:color="auto" w:fill="FFFFFF"/>
        </w:rPr>
        <w:t xml:space="preserve"> it. Through </w:t>
      </w:r>
      <w:r w:rsidR="00F407CF">
        <w:rPr>
          <w:rFonts w:cstheme="minorHAnsi"/>
          <w:shd w:val="clear" w:color="auto" w:fill="FFFFFF"/>
        </w:rPr>
        <w:t xml:space="preserve">the </w:t>
      </w:r>
      <w:r w:rsidR="00CD5A58">
        <w:rPr>
          <w:rFonts w:cstheme="minorHAnsi"/>
          <w:shd w:val="clear" w:color="auto" w:fill="FFFFFF"/>
        </w:rPr>
        <w:t>employment of various measures, this discourse homogenizes incoming images</w:t>
      </w:r>
      <w:r w:rsidR="00F407CF">
        <w:rPr>
          <w:rFonts w:cstheme="minorHAnsi"/>
          <w:shd w:val="clear" w:color="auto" w:fill="FFFFFF"/>
        </w:rPr>
        <w:t xml:space="preserve"> (via translations from Arabic into English)</w:t>
      </w:r>
      <w:r w:rsidR="00CD5A58">
        <w:rPr>
          <w:rFonts w:cstheme="minorHAnsi"/>
          <w:shd w:val="clear" w:color="auto" w:fill="FFFFFF"/>
        </w:rPr>
        <w:t xml:space="preserve"> by recasting them to be congruous with the preexisting one(s). This article</w:t>
      </w:r>
      <w:r w:rsidR="00F407CF">
        <w:rPr>
          <w:rFonts w:cstheme="minorHAnsi"/>
          <w:shd w:val="clear" w:color="auto" w:fill="FFFFFF"/>
        </w:rPr>
        <w:t>, therefore, instantiates</w:t>
      </w:r>
      <w:r w:rsidR="00CD5A58">
        <w:rPr>
          <w:rFonts w:cstheme="minorHAnsi"/>
          <w:shd w:val="clear" w:color="auto" w:fill="FFFFFF"/>
        </w:rPr>
        <w:t xml:space="preserve"> those tactics by probing </w:t>
      </w:r>
      <w:r w:rsidR="00CD5A58" w:rsidRPr="00473C85">
        <w:rPr>
          <w:rFonts w:cstheme="minorHAnsi"/>
          <w:i/>
          <w:iCs/>
          <w:shd w:val="clear" w:color="auto" w:fill="FFFFFF"/>
        </w:rPr>
        <w:t>GOR</w:t>
      </w:r>
      <w:r w:rsidR="00CD5A58">
        <w:rPr>
          <w:rFonts w:cstheme="minorHAnsi"/>
          <w:shd w:val="clear" w:color="auto" w:fill="FFFFFF"/>
        </w:rPr>
        <w:t xml:space="preserve"> and its politics of production</w:t>
      </w:r>
      <w:r w:rsidR="00905A44">
        <w:rPr>
          <w:rFonts w:cstheme="minorHAnsi"/>
          <w:shd w:val="clear" w:color="auto" w:fill="FFFFFF"/>
        </w:rPr>
        <w:t>.</w:t>
      </w:r>
      <w:r w:rsidR="00F407CF">
        <w:rPr>
          <w:rFonts w:cstheme="minorHAnsi"/>
          <w:shd w:val="clear" w:color="auto" w:fill="FFFFFF"/>
        </w:rPr>
        <w:t xml:space="preserve"> </w:t>
      </w:r>
    </w:p>
    <w:p w14:paraId="6B7A7A0F" w14:textId="6DDE1723" w:rsidR="00CD5A58" w:rsidRPr="00553477" w:rsidRDefault="00F407CF" w:rsidP="00F407CF">
      <w:r>
        <w:rPr>
          <w:rFonts w:cstheme="minorHAnsi"/>
          <w:shd w:val="clear" w:color="auto" w:fill="FFFFFF"/>
        </w:rPr>
        <w:t>A caveat is in order: examining how the translated text deviates from its source is by no means a gesture to adopt</w:t>
      </w:r>
      <w:r w:rsidRPr="00F407CF">
        <w:rPr>
          <w:rFonts w:cstheme="minorHAnsi"/>
          <w:shd w:val="clear" w:color="auto" w:fill="FFFFFF"/>
        </w:rPr>
        <w:t xml:space="preserve"> outdated assumptions about the relationship between the original and the translation</w:t>
      </w:r>
      <w:r>
        <w:rPr>
          <w:rFonts w:cstheme="minorHAnsi"/>
          <w:shd w:val="clear" w:color="auto" w:fill="FFFFFF"/>
        </w:rPr>
        <w:t>, assuming that</w:t>
      </w:r>
      <w:r w:rsidRPr="00F407CF">
        <w:rPr>
          <w:rFonts w:cstheme="minorHAnsi"/>
          <w:shd w:val="clear" w:color="auto" w:fill="FFFFFF"/>
        </w:rPr>
        <w:t xml:space="preserve"> </w:t>
      </w:r>
      <w:r>
        <w:rPr>
          <w:rFonts w:cstheme="minorHAnsi"/>
          <w:shd w:val="clear" w:color="auto" w:fill="FFFFFF"/>
        </w:rPr>
        <w:t>the so-called “</w:t>
      </w:r>
      <w:r w:rsidRPr="00F407CF">
        <w:rPr>
          <w:rFonts w:cstheme="minorHAnsi"/>
          <w:shd w:val="clear" w:color="auto" w:fill="FFFFFF"/>
        </w:rPr>
        <w:t>original</w:t>
      </w:r>
      <w:r>
        <w:rPr>
          <w:rFonts w:cstheme="minorHAnsi"/>
          <w:shd w:val="clear" w:color="auto" w:fill="FFFFFF"/>
        </w:rPr>
        <w:t>”</w:t>
      </w:r>
      <w:r w:rsidRPr="00F407CF">
        <w:rPr>
          <w:rFonts w:cstheme="minorHAnsi"/>
          <w:shd w:val="clear" w:color="auto" w:fill="FFFFFF"/>
        </w:rPr>
        <w:t xml:space="preserve"> is a fixed and stable entity that the translation should faithfully represent</w:t>
      </w:r>
      <w:r>
        <w:rPr>
          <w:rFonts w:cstheme="minorHAnsi"/>
          <w:shd w:val="clear" w:color="auto" w:fill="FFFFFF"/>
        </w:rPr>
        <w:t xml:space="preserve">.  Rather, the aim is to demonstrate how the translated text is shaped to achieve </w:t>
      </w:r>
      <w:r>
        <w:rPr>
          <w:shd w:val="clear" w:color="auto" w:fill="FFFFFF"/>
        </w:rPr>
        <w:t xml:space="preserve">a function that, in the words of Toury, is determined </w:t>
      </w:r>
      <w:r w:rsidRPr="007E4711">
        <w:rPr>
          <w:shd w:val="clear" w:color="auto" w:fill="FFFFFF"/>
        </w:rPr>
        <w:t>“first and foremost by considerations originating in the culture that hosts them</w:t>
      </w:r>
      <w:r>
        <w:rPr>
          <w:shd w:val="clear" w:color="auto" w:fill="FFFFFF"/>
        </w:rPr>
        <w:t>.</w:t>
      </w:r>
      <w:r w:rsidRPr="007E4711">
        <w:rPr>
          <w:shd w:val="clear" w:color="auto" w:fill="FFFFFF"/>
        </w:rPr>
        <w:t>”</w:t>
      </w:r>
      <w:r>
        <w:rPr>
          <w:rStyle w:val="FootnoteReference"/>
          <w:shd w:val="clear" w:color="auto" w:fill="FFFFFF"/>
        </w:rPr>
        <w:footnoteReference w:id="8"/>
      </w:r>
      <w:r>
        <w:rPr>
          <w:shd w:val="clear" w:color="auto" w:fill="FFFFFF"/>
        </w:rPr>
        <w:t xml:space="preserve">  And so, those shifts shall be underscored not necessarily to exemplify deviations from the source text to invoke a discourse of unfaithfulness, but to illuminate uniformities of translated text with pre-existing representations in the host context. From this perspective, comparing the translation with the source text carries little weight. The </w:t>
      </w:r>
      <w:r>
        <w:rPr>
          <w:shd w:val="clear" w:color="auto" w:fill="FFFFFF"/>
        </w:rPr>
        <w:lastRenderedPageBreak/>
        <w:t>Kingdom of Saudi Arabia has seen prodigious changes in recent years, leading the Economist</w:t>
      </w:r>
      <w:r w:rsidR="009C7235">
        <w:rPr>
          <w:shd w:val="clear" w:color="auto" w:fill="FFFFFF"/>
        </w:rPr>
        <w:t xml:space="preserve"> in 2023, to mention but one example,</w:t>
      </w:r>
      <w:r>
        <w:rPr>
          <w:shd w:val="clear" w:color="auto" w:fill="FFFFFF"/>
        </w:rPr>
        <w:t xml:space="preserve"> to recommend five books to read to “make sense of the </w:t>
      </w:r>
      <w:r w:rsidRPr="009460E7">
        <w:t>rapidly changing country</w:t>
      </w:r>
      <w:r>
        <w:t>.”</w:t>
      </w:r>
      <w:r w:rsidR="009C7235">
        <w:t xml:space="preserve"> </w:t>
      </w:r>
      <w:r w:rsidR="009C7235">
        <w:rPr>
          <w:rStyle w:val="FootnoteReference"/>
        </w:rPr>
        <w:footnoteReference w:id="9"/>
      </w:r>
      <w:r>
        <w:t xml:space="preserve"> Some of those books are authored by Kim Ghattas and Robert Tracey and they feature nonfictional historical research and on-the-ground reporting. Problematic though it may be, GOR makes it to the list, invigorating an already-popular text that has been in active circulation since its publication. This unyielding—or rather, snowballing—popularity</w:t>
      </w:r>
      <w:r w:rsidR="009C7235">
        <w:t xml:space="preserve"> of a heavily manipulated text (as shall be shortly demonstrated)</w:t>
      </w:r>
      <w:r>
        <w:t xml:space="preserve"> could be attributed to the virtual absence of translation literacy</w:t>
      </w:r>
      <w:r w:rsidR="009C7235">
        <w:t>—</w:t>
      </w:r>
      <w:r>
        <w:t xml:space="preserve">a </w:t>
      </w:r>
      <w:r w:rsidR="009C7235">
        <w:t xml:space="preserve">notion </w:t>
      </w:r>
      <w:r>
        <w:t>gaining currency in contemporary translation studies)</w:t>
      </w:r>
      <w:r w:rsidR="009C7235">
        <w:t xml:space="preserve"> </w:t>
      </w:r>
      <w:r>
        <w:t xml:space="preserve">beyond the academic sphere. </w:t>
      </w:r>
    </w:p>
    <w:p w14:paraId="54A98117" w14:textId="02C21839" w:rsidR="00CD5A58" w:rsidRDefault="00CD5A58" w:rsidP="00762936">
      <w:pPr>
        <w:rPr>
          <w:rFonts w:eastAsia="Times New Roman" w:cstheme="minorHAnsi"/>
        </w:rPr>
      </w:pPr>
      <w:r>
        <w:rPr>
          <w:rFonts w:cstheme="minorHAnsi"/>
          <w:shd w:val="clear" w:color="auto" w:fill="FFFFFF"/>
        </w:rPr>
        <w:t>I first want to start by justifying the somehow provocative subtitle—</w:t>
      </w:r>
      <w:r w:rsidR="00E930AC" w:rsidRPr="00473C85">
        <w:rPr>
          <w:rFonts w:cstheme="minorHAnsi"/>
          <w:i/>
          <w:iCs/>
          <w:shd w:val="clear" w:color="auto" w:fill="FFFFFF"/>
        </w:rPr>
        <w:t>GOR</w:t>
      </w:r>
      <w:r w:rsidR="00473C85">
        <w:rPr>
          <w:rFonts w:cstheme="minorHAnsi"/>
          <w:shd w:val="clear" w:color="auto" w:fill="FFFFFF"/>
        </w:rPr>
        <w:t xml:space="preserve">, </w:t>
      </w:r>
      <w:r>
        <w:rPr>
          <w:rFonts w:cstheme="minorHAnsi"/>
          <w:shd w:val="clear" w:color="auto" w:fill="FFFFFF"/>
        </w:rPr>
        <w:t xml:space="preserve">once again. First, </w:t>
      </w:r>
      <w:r w:rsidR="00F407CF">
        <w:rPr>
          <w:rFonts w:cstheme="minorHAnsi"/>
          <w:shd w:val="clear" w:color="auto" w:fill="FFFFFF"/>
        </w:rPr>
        <w:t>much has indeed</w:t>
      </w:r>
      <w:r>
        <w:rPr>
          <w:rFonts w:cstheme="minorHAnsi"/>
          <w:shd w:val="clear" w:color="auto" w:fill="FFFFFF"/>
        </w:rPr>
        <w:t xml:space="preserve"> been written this text, so much so that </w:t>
      </w:r>
      <w:r>
        <w:rPr>
          <w:rFonts w:cstheme="minorHAnsi"/>
        </w:rPr>
        <w:t>s</w:t>
      </w:r>
      <w:r w:rsidRPr="008E559B">
        <w:rPr>
          <w:rFonts w:cstheme="minorHAnsi"/>
        </w:rPr>
        <w:t>cholars not associated with the Arabic tradition were compelled to comment on it</w:t>
      </w:r>
      <w:r>
        <w:rPr>
          <w:rFonts w:cstheme="minorHAnsi"/>
        </w:rPr>
        <w:t>.</w:t>
      </w:r>
      <w:r w:rsidR="00E93D8A">
        <w:rPr>
          <w:rStyle w:val="FootnoteReference"/>
          <w:rFonts w:cstheme="minorHAnsi"/>
        </w:rPr>
        <w:footnoteReference w:id="10"/>
      </w:r>
      <w:r>
        <w:rPr>
          <w:rFonts w:cstheme="minorHAnsi"/>
        </w:rPr>
        <w:t xml:space="preserve"> However, </w:t>
      </w:r>
      <w:r w:rsidRPr="00473C85">
        <w:rPr>
          <w:rFonts w:cstheme="minorHAnsi"/>
          <w:i/>
          <w:iCs/>
        </w:rPr>
        <w:t>GOR</w:t>
      </w:r>
      <w:r>
        <w:rPr>
          <w:rFonts w:cstheme="minorHAnsi"/>
        </w:rPr>
        <w:t xml:space="preserve"> in its English translation remains in active circulation, with almost no cognizance of its controversies beyond the academic realm</w:t>
      </w:r>
      <w:r w:rsidR="00F407CF">
        <w:rPr>
          <w:rFonts w:cstheme="minorHAnsi"/>
        </w:rPr>
        <w:t>, as mentioned above</w:t>
      </w:r>
      <w:r>
        <w:rPr>
          <w:rFonts w:cstheme="minorHAnsi"/>
        </w:rPr>
        <w:t xml:space="preserve">. Second, </w:t>
      </w:r>
      <w:r w:rsidRPr="00473C85">
        <w:rPr>
          <w:rFonts w:cstheme="minorHAnsi"/>
          <w:i/>
          <w:iCs/>
        </w:rPr>
        <w:t>GOR</w:t>
      </w:r>
      <w:r>
        <w:rPr>
          <w:rFonts w:cstheme="minorHAnsi"/>
        </w:rPr>
        <w:t xml:space="preserve"> has not yet been investigated from the vantage point of (actual) reception, a lacuna to be addressed in the present project.</w:t>
      </w:r>
      <w:r>
        <w:t xml:space="preserve"> </w:t>
      </w:r>
      <w:r w:rsidRPr="008E559B">
        <w:rPr>
          <w:rFonts w:eastAsia="Times New Roman" w:cstheme="minorHAnsi"/>
        </w:rPr>
        <w:t xml:space="preserve">Comparing and contrasting the Arabic text with its English translation, the investigation considers </w:t>
      </w:r>
      <w:r>
        <w:rPr>
          <w:rFonts w:eastAsia="Times New Roman" w:cstheme="minorHAnsi"/>
        </w:rPr>
        <w:t xml:space="preserve">two main </w:t>
      </w:r>
      <w:r w:rsidRPr="008E559B">
        <w:rPr>
          <w:rFonts w:eastAsia="Times New Roman" w:cstheme="minorHAnsi"/>
        </w:rPr>
        <w:t xml:space="preserve">parameters: packaging (how each </w:t>
      </w:r>
      <w:r>
        <w:rPr>
          <w:rFonts w:eastAsia="Times New Roman" w:cstheme="minorHAnsi"/>
        </w:rPr>
        <w:t xml:space="preserve">version </w:t>
      </w:r>
      <w:r w:rsidRPr="008E559B">
        <w:rPr>
          <w:rFonts w:eastAsia="Times New Roman" w:cstheme="minorHAnsi"/>
        </w:rPr>
        <w:t xml:space="preserve">is packaged and introduced to readers); </w:t>
      </w:r>
      <w:r>
        <w:rPr>
          <w:rFonts w:eastAsia="Times New Roman" w:cstheme="minorHAnsi"/>
        </w:rPr>
        <w:t xml:space="preserve">and </w:t>
      </w:r>
      <w:r w:rsidRPr="008E559B">
        <w:rPr>
          <w:rFonts w:eastAsia="Times New Roman" w:cstheme="minorHAnsi"/>
        </w:rPr>
        <w:t>reception (corpus-based analysis of reader response—in the form of online book reviews—to each text).</w:t>
      </w:r>
      <w:r>
        <w:rPr>
          <w:rFonts w:eastAsia="Times New Roman" w:cstheme="minorHAnsi"/>
        </w:rPr>
        <w:t xml:space="preserve"> By investigating </w:t>
      </w:r>
      <w:r>
        <w:rPr>
          <w:rFonts w:eastAsia="Times New Roman" w:cstheme="minorHAnsi"/>
        </w:rPr>
        <w:lastRenderedPageBreak/>
        <w:t xml:space="preserve">paratextual materials (packaging) and meaning creation (reception), it is hoped that this paper will </w:t>
      </w:r>
      <w:r w:rsidR="00C515B2">
        <w:rPr>
          <w:rFonts w:eastAsia="Times New Roman" w:cstheme="minorHAnsi"/>
        </w:rPr>
        <w:t>illuminate</w:t>
      </w:r>
      <w:r>
        <w:rPr>
          <w:rFonts w:eastAsia="Times New Roman" w:cstheme="minorHAnsi"/>
        </w:rPr>
        <w:t xml:space="preserve"> the </w:t>
      </w:r>
      <w:r w:rsidR="00473C85">
        <w:rPr>
          <w:rFonts w:eastAsia="Times New Roman" w:cstheme="minorHAnsi"/>
        </w:rPr>
        <w:t>nexus</w:t>
      </w:r>
      <w:r>
        <w:rPr>
          <w:rFonts w:eastAsia="Times New Roman" w:cstheme="minorHAnsi"/>
        </w:rPr>
        <w:t xml:space="preserve"> between paratexts and meaning creation. By so doing, a post-structuralist approach is adopted, conceptualizing meaning not as a predetermined knowledge that readers simply recover or discover, but as a </w:t>
      </w:r>
      <w:r w:rsidRPr="00126B08">
        <w:rPr>
          <w:rFonts w:eastAsia="Times New Roman" w:cstheme="minorHAnsi"/>
          <w:i/>
          <w:iCs/>
        </w:rPr>
        <w:t xml:space="preserve">posteriori </w:t>
      </w:r>
      <w:r>
        <w:rPr>
          <w:rFonts w:eastAsia="Times New Roman" w:cstheme="minorHAnsi"/>
        </w:rPr>
        <w:t xml:space="preserve">construct that is affected by variegated factors and the multifarious </w:t>
      </w:r>
      <w:r w:rsidRPr="007E4711">
        <w:t>“agents”</w:t>
      </w:r>
      <w:r w:rsidR="00CC4004">
        <w:rPr>
          <w:rStyle w:val="FootnoteReference"/>
        </w:rPr>
        <w:footnoteReference w:id="11"/>
      </w:r>
      <w:r w:rsidRPr="007E4711">
        <w:t xml:space="preserve"> </w:t>
      </w:r>
      <w:r>
        <w:rPr>
          <w:rFonts w:eastAsia="Times New Roman" w:cstheme="minorHAnsi"/>
        </w:rPr>
        <w:t xml:space="preserve">along the chain of mediation. </w:t>
      </w:r>
    </w:p>
    <w:p w14:paraId="05CA4213" w14:textId="77777777" w:rsidR="00CD5A58" w:rsidRPr="00762936" w:rsidRDefault="00CD5A58" w:rsidP="00315D58">
      <w:pPr>
        <w:pStyle w:val="Heading2"/>
        <w:rPr>
          <w:rFonts w:eastAsiaTheme="minorHAnsi"/>
        </w:rPr>
      </w:pPr>
      <w:r>
        <w:t xml:space="preserve">Arabic Texts Meet the “Explosive” Demand </w:t>
      </w:r>
    </w:p>
    <w:p w14:paraId="3B5589E6" w14:textId="780C7CB0" w:rsidR="00CD5A58" w:rsidRDefault="00CD5A58" w:rsidP="003969CF">
      <w:pPr>
        <w:rPr>
          <w:color w:val="000000"/>
        </w:rPr>
      </w:pPr>
      <w:r>
        <w:rPr>
          <w:rFonts w:cstheme="minorHAnsi"/>
        </w:rPr>
        <w:t xml:space="preserve">There is a well-established consensus among scholars that Arabic literature has become more visible on the global literary scene following two significant events, </w:t>
      </w:r>
      <w:r w:rsidRPr="007E4711">
        <w:t xml:space="preserve">one positive and the other negative: Naguib Mahfouz’s winning of the Nobel Prize </w:t>
      </w:r>
      <w:r>
        <w:t xml:space="preserve">in literature </w:t>
      </w:r>
      <w:r w:rsidRPr="007E4711">
        <w:t>in 1988 and the cataclysmic events of 9/11 in the U</w:t>
      </w:r>
      <w:r w:rsidR="00E930AC">
        <w:t xml:space="preserve">nited </w:t>
      </w:r>
      <w:r w:rsidRPr="007E4711">
        <w:t>S</w:t>
      </w:r>
      <w:r w:rsidR="00E930AC">
        <w:t>tates</w:t>
      </w:r>
      <w:r w:rsidRPr="007E4711">
        <w:t>.</w:t>
      </w:r>
      <w:r w:rsidR="005073F4">
        <w:rPr>
          <w:rStyle w:val="FootnoteReference"/>
        </w:rPr>
        <w:footnoteReference w:id="12"/>
      </w:r>
      <w:r>
        <w:t xml:space="preserve"> Prior to those two events, Arabic literary works had hitherto been going through</w:t>
      </w:r>
      <w:r w:rsidRPr="007E4711">
        <w:t xml:space="preserve"> </w:t>
      </w:r>
      <w:r>
        <w:t xml:space="preserve">a </w:t>
      </w:r>
      <w:r w:rsidRPr="007E4711">
        <w:t xml:space="preserve">period </w:t>
      </w:r>
      <w:r>
        <w:t xml:space="preserve">that Edward </w:t>
      </w:r>
      <w:r w:rsidRPr="007E4711">
        <w:t xml:space="preserve">Said described as one of enforced “embargo” </w:t>
      </w:r>
      <w:sdt>
        <w:sdtPr>
          <w:rPr>
            <w:color w:val="000000"/>
          </w:rPr>
          <w:tag w:val="MENDELEY_CITATION_v3_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"/>
          <w:id w:val="1359008868"/>
          <w:placeholder>
            <w:docPart w:val="D7B598418A69DF419AA18F42C6C8AF78"/>
          </w:placeholder>
        </w:sdtPr>
        <w:sdtContent>
          <w:r w:rsidR="00720E5D" w:rsidRPr="00720E5D">
            <w:rPr>
              <w:color w:val="000000"/>
            </w:rPr>
            <w:t>(1990)</w:t>
          </w:r>
        </w:sdtContent>
      </w:sdt>
      <w:r w:rsidRPr="007E4711">
        <w:t>,</w:t>
      </w:r>
      <w:r w:rsidR="00942E2F">
        <w:rPr>
          <w:rStyle w:val="FootnoteReference"/>
        </w:rPr>
        <w:footnoteReference w:id="13"/>
      </w:r>
      <w:r w:rsidRPr="007E4711">
        <w:t xml:space="preserve"> </w:t>
      </w:r>
      <w:r w:rsidR="00E930AC">
        <w:t>whereas</w:t>
      </w:r>
      <w:r w:rsidR="00E930AC" w:rsidRPr="007E4711">
        <w:t xml:space="preserve"> </w:t>
      </w:r>
      <w:r w:rsidRPr="007E4711">
        <w:t>Hibbard describe</w:t>
      </w:r>
      <w:r w:rsidR="00E930AC">
        <w:t>d</w:t>
      </w:r>
      <w:r w:rsidRPr="007E4711">
        <w:t xml:space="preserve"> it as “ghettoization</w:t>
      </w:r>
      <w:r w:rsidR="006B4C55">
        <w:t>.</w:t>
      </w:r>
      <w:r w:rsidRPr="007E4711">
        <w:t>”</w:t>
      </w:r>
      <w:r w:rsidR="006B4C55">
        <w:rPr>
          <w:rStyle w:val="FootnoteReference"/>
        </w:rPr>
        <w:footnoteReference w:id="14"/>
      </w:r>
      <w:r>
        <w:t xml:space="preserve"> Shortly after the cataclysmic attacks, interest in Arabic literature has, statistically speaking, reached unprecedented levels—and sales of religious books, </w:t>
      </w:r>
      <w:r>
        <w:lastRenderedPageBreak/>
        <w:t>including the Quran, have “ascended towards the heavens</w:t>
      </w:r>
      <w:r w:rsidR="00876712">
        <w:t>.</w:t>
      </w:r>
      <w:r>
        <w:t>”</w:t>
      </w:r>
      <w:r w:rsidR="00876712">
        <w:rPr>
          <w:rStyle w:val="FootnoteReference"/>
        </w:rPr>
        <w:footnoteReference w:id="15"/>
      </w:r>
      <w:r>
        <w:t xml:space="preserve"> However, there </w:t>
      </w:r>
      <w:r w:rsidRPr="007E4711">
        <w:t>is a perspicuous concurrence among many figures within the realm of translated Arabic literature</w:t>
      </w:r>
      <w:r>
        <w:t xml:space="preserve"> that this</w:t>
      </w:r>
      <w:r w:rsidRPr="007E4711">
        <w:t xml:space="preserve"> shift is rather an unfavorable vicissitude</w:t>
      </w:r>
      <w:r>
        <w:t xml:space="preserve">. </w:t>
      </w:r>
      <w:r w:rsidRPr="007E4711">
        <w:t xml:space="preserve">“Unfortunately,” Hoyt </w:t>
      </w:r>
      <w:r w:rsidR="00E930AC">
        <w:rPr>
          <w:color w:val="000000"/>
        </w:rPr>
        <w:t>noted</w:t>
      </w:r>
      <w:r w:rsidRPr="007E4711">
        <w:t>,</w:t>
      </w:r>
      <w:r>
        <w:t xml:space="preserve"> knowing the “enemy” is the primary motivation behind this shift.</w:t>
      </w:r>
      <w:r w:rsidR="00D5577C">
        <w:rPr>
          <w:rStyle w:val="FootnoteReference"/>
        </w:rPr>
        <w:footnoteReference w:id="16"/>
      </w:r>
      <w:r>
        <w:t xml:space="preserve"> With master discourse acting as the furnace in which the image of the Orient</w:t>
      </w:r>
      <w:r w:rsidR="002661D6">
        <w:t>—and Orientals—</w:t>
      </w:r>
      <w:r>
        <w:t>is forged, the role of the blacksmith merits dissection. Parallel to—and coincident with—this surge in interest in translated texts is the whole genre of writing about the abused Muslim woman, which “exploded onto the scenes in the 1990 and took off after 9/11</w:t>
      </w:r>
      <w:r w:rsidR="00A54807">
        <w:t>.</w:t>
      </w:r>
      <w:r>
        <w:t>”</w:t>
      </w:r>
      <w:r w:rsidR="00A54807">
        <w:rPr>
          <w:rStyle w:val="FootnoteReference"/>
        </w:rPr>
        <w:footnoteReference w:id="17"/>
      </w:r>
      <w:r>
        <w:rPr>
          <w:color w:val="000000"/>
        </w:rPr>
        <w:t xml:space="preserve"> </w:t>
      </w:r>
    </w:p>
    <w:p w14:paraId="5B9822D5" w14:textId="2EB75171" w:rsidR="00CD5A58" w:rsidRPr="00BD4D6D" w:rsidRDefault="00CD5A58" w:rsidP="00BD4D6D">
      <w:r>
        <w:t>Ideologically driven representations of the Global South are neither an embryonic phenomenon nor are they confined to the realm of translation. Those representations are longstanding and have a checkered history. For example, on the American children’s TV program “Sesame Street,” children were inculcated that the word “danger” connotes “Arabs” by displaying next to the word a drawing of an Arab with a headdress</w:t>
      </w:r>
      <w:r w:rsidR="00E50FD9">
        <w:t>.</w:t>
      </w:r>
      <w:r w:rsidR="00E50FD9">
        <w:rPr>
          <w:rStyle w:val="FootnoteReference"/>
        </w:rPr>
        <w:footnoteReference w:id="18"/>
      </w:r>
      <w:r>
        <w:t xml:space="preserve"> In the movie </w:t>
      </w:r>
      <w:r w:rsidR="00E930AC">
        <w:t>“</w:t>
      </w:r>
      <w:r>
        <w:t>Inside Man,</w:t>
      </w:r>
      <w:r w:rsidR="00E930AC">
        <w:t>”</w:t>
      </w:r>
      <w:r>
        <w:t xml:space="preserve"> which came out in 2006, there is a scene where a police officer takes fright at the appearance of a bearded man, yelling: “oh shit a fucking Arab … are you bobby-trapped?”</w:t>
      </w:r>
      <w:r>
        <w:rPr>
          <w:rStyle w:val="FootnoteReference"/>
        </w:rPr>
        <w:footnoteReference w:id="19"/>
      </w:r>
      <w:r>
        <w:t xml:space="preserve"> As Translation Studies (TS) is increasingly becoming systems-oriented, it is crucial to situate translation—and its unique capacity to generate </w:t>
      </w:r>
      <w:r>
        <w:lastRenderedPageBreak/>
        <w:t>representations of other cultures</w:t>
      </w:r>
      <w:r w:rsidR="00E50FD9">
        <w:rPr>
          <w:rStyle w:val="FootnoteReference"/>
        </w:rPr>
        <w:footnoteReference w:id="20"/>
      </w:r>
      <w:r>
        <w:t xml:space="preserve">—within the broader network through which (constructed) images of the “other” are disseminated (e.g., Hollywood films, televisions programs, network news, etc.). </w:t>
      </w:r>
      <w:r w:rsidR="00F407CF">
        <w:t xml:space="preserve"> </w:t>
      </w:r>
    </w:p>
    <w:p w14:paraId="767D1CE4" w14:textId="55558E44" w:rsidR="00CD5A58" w:rsidRDefault="00CD5A58" w:rsidP="003969CF">
      <w:r w:rsidRPr="007E4711">
        <w:t>Writings from Saudi Arabia</w:t>
      </w:r>
      <w:r>
        <w:t>—the homeland Alsanea—</w:t>
      </w:r>
      <w:r w:rsidRPr="007E4711">
        <w:t xml:space="preserve">are especially coveted by anglophone publishers: “if there is </w:t>
      </w:r>
      <w:r>
        <w:t xml:space="preserve">a </w:t>
      </w:r>
      <w:r w:rsidRPr="007E4711">
        <w:t xml:space="preserve">single society that contemporary readers in the global North </w:t>
      </w:r>
      <w:r>
        <w:t>see</w:t>
      </w:r>
      <w:r w:rsidRPr="007E4711">
        <w:t xml:space="preserve"> as encapsulating the mystery of the ‘Islamic Orient,’ it is Saudi Arabia</w:t>
      </w:r>
      <w:r w:rsidR="00307FE5">
        <w:t>.</w:t>
      </w:r>
      <w:r w:rsidRPr="007E4711">
        <w:t>”</w:t>
      </w:r>
      <w:r w:rsidR="00307FE5">
        <w:rPr>
          <w:rStyle w:val="FootnoteReference"/>
        </w:rPr>
        <w:footnoteReference w:id="21"/>
      </w:r>
      <w:r>
        <w:t xml:space="preserve"> But translated literature is especially appreciated by readers, who conceive translated writers as </w:t>
      </w:r>
      <w:r w:rsidRPr="007E4711">
        <w:t>“authentic insiders” who can speak about their own culture from a knowing position</w:t>
      </w:r>
      <w:r>
        <w:t>,</w:t>
      </w:r>
      <w:r w:rsidR="00307FE5">
        <w:rPr>
          <w:rStyle w:val="FootnoteReference"/>
        </w:rPr>
        <w:footnoteReference w:id="22"/>
      </w:r>
      <w:r>
        <w:t xml:space="preserve"> which is an appreciation that seems to be fueled by a naïve, yet prevalent and accepted, conceptualization of translation as “a primally mechanical task</w:t>
      </w:r>
      <w:r w:rsidR="00AA035D">
        <w:t>,</w:t>
      </w:r>
      <w:r>
        <w:t>”</w:t>
      </w:r>
      <w:r w:rsidR="00D434E6">
        <w:rPr>
          <w:rStyle w:val="FootnoteReference"/>
        </w:rPr>
        <w:footnoteReference w:id="23"/>
      </w:r>
      <w:r>
        <w:t xml:space="preserve"> “a simple linguistic matching game,”</w:t>
      </w:r>
      <w:r w:rsidR="00AA035D">
        <w:rPr>
          <w:rStyle w:val="FootnoteReference"/>
        </w:rPr>
        <w:footnoteReference w:id="24"/>
      </w:r>
      <w:r>
        <w:rPr>
          <w:color w:val="000000"/>
        </w:rPr>
        <w:t xml:space="preserve"> </w:t>
      </w:r>
      <w:r>
        <w:t xml:space="preserve">or as </w:t>
      </w:r>
      <w:r w:rsidR="00E930AC">
        <w:t xml:space="preserve">a </w:t>
      </w:r>
      <w:r>
        <w:t xml:space="preserve">straightforward process involving “robotic pairings” </w:t>
      </w:r>
      <w:r w:rsidR="00423494">
        <w:t>between</w:t>
      </w:r>
      <w:r>
        <w:t xml:space="preserve"> </w:t>
      </w:r>
      <w:r w:rsidR="00473C85">
        <w:t>source and target text</w:t>
      </w:r>
      <w:r>
        <w:t xml:space="preserve"> segments.</w:t>
      </w:r>
      <w:r w:rsidR="00636311">
        <w:rPr>
          <w:rStyle w:val="FootnoteReference"/>
        </w:rPr>
        <w:footnoteReference w:id="25"/>
      </w:r>
      <w:r>
        <w:t xml:space="preserve"> </w:t>
      </w:r>
      <w:r w:rsidR="00E930AC">
        <w:t xml:space="preserve">David Crystal stated, </w:t>
      </w:r>
      <w:r>
        <w:t>“It is sometimes said there is no task more complex than translation</w:t>
      </w:r>
      <w:r w:rsidR="00960CD5">
        <w:t>.</w:t>
      </w:r>
      <w:r>
        <w:t>”</w:t>
      </w:r>
      <w:r w:rsidR="00960CD5">
        <w:rPr>
          <w:rStyle w:val="FootnoteReference"/>
        </w:rPr>
        <w:footnoteReference w:id="26"/>
      </w:r>
      <w:r>
        <w:t xml:space="preserve"> “When all the variables involved are taken into account,” </w:t>
      </w:r>
      <w:r w:rsidR="00960CD5">
        <w:t xml:space="preserve">Crystal </w:t>
      </w:r>
      <w:r>
        <w:t>continue</w:t>
      </w:r>
      <w:r w:rsidR="00E930AC">
        <w:t>d</w:t>
      </w:r>
      <w:r>
        <w:t xml:space="preserve">, this “claim can be readily believed.” Because it serves the </w:t>
      </w:r>
      <w:r>
        <w:lastRenderedPageBreak/>
        <w:t>purpose of conducting</w:t>
      </w:r>
      <w:r w:rsidRPr="007E4711">
        <w:t xml:space="preserve"> an in-depth analysis of </w:t>
      </w:r>
      <w:r>
        <w:t xml:space="preserve">a certain </w:t>
      </w:r>
      <w:r w:rsidRPr="007E4711">
        <w:t>phenomenon,</w:t>
      </w:r>
      <w:r>
        <w:t xml:space="preserve"> a case study approach</w:t>
      </w:r>
      <w:r w:rsidR="00960CD5">
        <w:rPr>
          <w:rStyle w:val="FootnoteReference"/>
        </w:rPr>
        <w:footnoteReference w:id="27"/>
      </w:r>
      <w:r>
        <w:t xml:space="preserve"> is adopted</w:t>
      </w:r>
      <w:r w:rsidRPr="007E4711">
        <w:t xml:space="preserve"> </w:t>
      </w:r>
      <w:r>
        <w:t xml:space="preserve">in this paper to encompass sundry variables pertaining to </w:t>
      </w:r>
      <w:r w:rsidRPr="00473C85">
        <w:rPr>
          <w:i/>
          <w:iCs/>
        </w:rPr>
        <w:t>GOR</w:t>
      </w:r>
      <w:r>
        <w:t xml:space="preserve"> to throw illuminating light on the complexities of translation.</w:t>
      </w:r>
    </w:p>
    <w:p w14:paraId="38CA5D07" w14:textId="77777777" w:rsidR="00CD5A58" w:rsidRDefault="00CD5A58" w:rsidP="002E0D5C">
      <w:pPr>
        <w:pStyle w:val="Heading2"/>
      </w:pPr>
      <w:r w:rsidRPr="008D3DD6">
        <w:t>Why reception?</w:t>
      </w:r>
      <w:r>
        <w:t xml:space="preserve"> </w:t>
      </w:r>
      <w:r w:rsidRPr="008D3DD6">
        <w:t>Why reader</w:t>
      </w:r>
      <w:r>
        <w:t>s</w:t>
      </w:r>
      <w:r w:rsidRPr="008D3DD6">
        <w:t>?</w:t>
      </w:r>
      <w:r>
        <w:t xml:space="preserve"> Why Paratexts?</w:t>
      </w:r>
    </w:p>
    <w:p w14:paraId="465F954F" w14:textId="21088F3F" w:rsidR="00CD5A58" w:rsidRDefault="00CD5A58" w:rsidP="00560B53">
      <w:r w:rsidRPr="00560B53">
        <w:t>In her excellent survey of the field of reception,</w:t>
      </w:r>
      <w:r w:rsidR="00473C85">
        <w:t xml:space="preserve"> Ika</w:t>
      </w:r>
      <w:r w:rsidRPr="00560B53">
        <w:t xml:space="preserve"> Willis label</w:t>
      </w:r>
      <w:r w:rsidR="00BD37A8">
        <w:t>ed</w:t>
      </w:r>
      <w:r w:rsidRPr="00560B53">
        <w:t xml:space="preserve"> the period between 1960 and 1990 as the “birth of readers</w:t>
      </w:r>
      <w:r w:rsidR="00BD37A8">
        <w:t>.</w:t>
      </w:r>
      <w:r w:rsidR="00BC52B4">
        <w:t>”</w:t>
      </w:r>
      <w:r w:rsidR="00BC52B4">
        <w:rPr>
          <w:rStyle w:val="FootnoteReference"/>
        </w:rPr>
        <w:footnoteReference w:id="28"/>
      </w:r>
      <w:r>
        <w:t xml:space="preserve"> This phase</w:t>
      </w:r>
      <w:r w:rsidRPr="00560B53">
        <w:t xml:space="preserve"> </w:t>
      </w:r>
      <w:r>
        <w:t xml:space="preserve">marks a fundamental shift in the conceptualization of meaning </w:t>
      </w:r>
      <w:r w:rsidRPr="00560B53">
        <w:t xml:space="preserve">(if there is such a thing) and </w:t>
      </w:r>
      <w:r>
        <w:t xml:space="preserve">the understanding of </w:t>
      </w:r>
      <w:r w:rsidRPr="00560B53">
        <w:t>receptio</w:t>
      </w:r>
      <w:r>
        <w:t>n. M</w:t>
      </w:r>
      <w:r w:rsidRPr="00560B53">
        <w:t xml:space="preserve">eaning </w:t>
      </w:r>
      <w:r>
        <w:t>ceased to be conceptualized</w:t>
      </w:r>
      <w:r w:rsidRPr="00560B53">
        <w:t xml:space="preserve"> as a fixed entity</w:t>
      </w:r>
      <w:r>
        <w:t>—what Venuti refer</w:t>
      </w:r>
      <w:r w:rsidR="00BD37A8">
        <w:t>red</w:t>
      </w:r>
      <w:r>
        <w:t xml:space="preserve"> to as “invariance”</w:t>
      </w:r>
      <w:r w:rsidR="00BC52B4">
        <w:rPr>
          <w:rStyle w:val="FootnoteReference"/>
        </w:rPr>
        <w:footnoteReference w:id="29"/>
      </w:r>
      <w:r>
        <w:t xml:space="preserve">—planted </w:t>
      </w:r>
      <w:r w:rsidRPr="00560B53">
        <w:t xml:space="preserve">in the text and can simply be picked out by readers, but as a far more complex phenomenon affected by </w:t>
      </w:r>
      <w:r>
        <w:t>a myriad of</w:t>
      </w:r>
      <w:r w:rsidRPr="00560B53">
        <w:t xml:space="preserve"> factors.</w:t>
      </w:r>
      <w:r>
        <w:t xml:space="preserve"> R</w:t>
      </w:r>
      <w:r w:rsidRPr="007E4711">
        <w:t xml:space="preserve">eaders, </w:t>
      </w:r>
      <w:r>
        <w:t xml:space="preserve">to cadge </w:t>
      </w:r>
      <w:r w:rsidRPr="007E4711">
        <w:t>Barthes’ famous declaration of the “death of the author</w:t>
      </w:r>
      <w:r w:rsidR="009F6DAE">
        <w:t>,</w:t>
      </w:r>
      <w:r w:rsidRPr="007E4711">
        <w:t>”</w:t>
      </w:r>
      <w:r w:rsidR="009F6DAE">
        <w:rPr>
          <w:rStyle w:val="FootnoteReference"/>
          <w:color w:val="000000"/>
        </w:rPr>
        <w:footnoteReference w:id="30"/>
      </w:r>
      <w:r>
        <w:rPr>
          <w:color w:val="000000"/>
        </w:rPr>
        <w:t xml:space="preserve"> </w:t>
      </w:r>
      <w:r>
        <w:t xml:space="preserve">are the living </w:t>
      </w:r>
      <w:r w:rsidRPr="007E4711">
        <w:t>“authors” of the texts they read because they decide what these texts “mean” for them by shaping their interpretation in their own unique ways.</w:t>
      </w:r>
      <w:r>
        <w:t xml:space="preserve"> </w:t>
      </w:r>
      <w:r w:rsidRPr="007E4711">
        <w:t>“</w:t>
      </w:r>
      <w:r w:rsidRPr="007E4711">
        <w:rPr>
          <w:i/>
          <w:iCs/>
        </w:rPr>
        <w:t>The reader</w:t>
      </w:r>
      <w:r w:rsidRPr="00473C85">
        <w:t>,”</w:t>
      </w:r>
      <w:r w:rsidRPr="009F6DAE">
        <w:t xml:space="preserve"> </w:t>
      </w:r>
      <w:r w:rsidRPr="007E4711">
        <w:t xml:space="preserve">Stuart Hall </w:t>
      </w:r>
      <w:r w:rsidR="00AE0E85">
        <w:t>wrote</w:t>
      </w:r>
      <w:r w:rsidRPr="007E4711">
        <w:t xml:space="preserve">, “is as important as </w:t>
      </w:r>
      <w:r w:rsidRPr="007E4711">
        <w:rPr>
          <w:i/>
          <w:iCs/>
        </w:rPr>
        <w:t>the writer</w:t>
      </w:r>
      <w:r w:rsidRPr="007E4711">
        <w:t xml:space="preserve"> in the production of meaning [original emphasis]</w:t>
      </w:r>
      <w:r w:rsidR="009F6DAE">
        <w:t>.</w:t>
      </w:r>
      <w:r w:rsidRPr="007E4711">
        <w:t>”</w:t>
      </w:r>
      <w:r w:rsidR="009F6DAE">
        <w:rPr>
          <w:rStyle w:val="FootnoteReference"/>
        </w:rPr>
        <w:footnoteReference w:id="31"/>
      </w:r>
      <w:r>
        <w:t xml:space="preserve"> </w:t>
      </w:r>
      <w:r w:rsidRPr="007E4711">
        <w:t>To recast that relationship metaphorically, it is through the reader’s encounter with text that it comes into existence, for no text has “music without the reader’s voice</w:t>
      </w:r>
      <w:r w:rsidR="009F6DAE">
        <w:t>.</w:t>
      </w:r>
      <w:r w:rsidRPr="007E4711">
        <w:t>”</w:t>
      </w:r>
      <w:r w:rsidR="009F6DAE">
        <w:rPr>
          <w:rStyle w:val="FootnoteReference"/>
        </w:rPr>
        <w:footnoteReference w:id="32"/>
      </w:r>
      <w:r>
        <w:t xml:space="preserve"> </w:t>
      </w:r>
      <w:r w:rsidRPr="007E4711">
        <w:t>“According to postmodern thought,” Van Wyke note</w:t>
      </w:r>
      <w:r w:rsidR="00AE0E85">
        <w:t>d</w:t>
      </w:r>
      <w:r w:rsidRPr="007E4711">
        <w:t xml:space="preserve">, “meaning does not reside inside texts and is not uncovered or extracted </w:t>
      </w:r>
      <w:r w:rsidRPr="007E4711">
        <w:lastRenderedPageBreak/>
        <w:t>but is attributed to them via the act of interpretation</w:t>
      </w:r>
      <w:r w:rsidR="009F6DAE">
        <w:t>.</w:t>
      </w:r>
      <w:r w:rsidRPr="007E4711">
        <w:t>”</w:t>
      </w:r>
      <w:r w:rsidR="009F6DAE">
        <w:rPr>
          <w:rStyle w:val="FootnoteReference"/>
        </w:rPr>
        <w:footnoteReference w:id="33"/>
      </w:r>
      <w:r>
        <w:t xml:space="preserve"> An argument for reader integration into reception studies is advanced below. </w:t>
      </w:r>
    </w:p>
    <w:p w14:paraId="5BEFC147" w14:textId="173F7D10" w:rsidR="00CD5A58" w:rsidRDefault="00CD5A58" w:rsidP="00460DDD">
      <w:r w:rsidRPr="007E4711">
        <w:t xml:space="preserve">The reception of translated texts, and in particular reader response, has become a </w:t>
      </w:r>
      <w:r>
        <w:t>prominent</w:t>
      </w:r>
      <w:r w:rsidRPr="007E4711">
        <w:t xml:space="preserve"> area of research within </w:t>
      </w:r>
      <w:r w:rsidR="00473C85">
        <w:t>contemporary</w:t>
      </w:r>
      <w:r w:rsidRPr="007E4711">
        <w:t xml:space="preserve"> </w:t>
      </w:r>
      <w:r w:rsidR="00AE0E85">
        <w:t>TS</w:t>
      </w:r>
      <w:r w:rsidRPr="007E4711">
        <w:t xml:space="preserve">, as put forward by Angelelli and Baer in their edited volume </w:t>
      </w:r>
      <w:r w:rsidRPr="007E4711">
        <w:rPr>
          <w:i/>
          <w:iCs/>
        </w:rPr>
        <w:t>Researching Translation and Interpreting</w:t>
      </w:r>
      <w:r w:rsidRPr="007E4711">
        <w:t>.</w:t>
      </w:r>
      <w:r w:rsidR="00111E22">
        <w:rPr>
          <w:rStyle w:val="FootnoteReference"/>
        </w:rPr>
        <w:footnoteReference w:id="34"/>
      </w:r>
      <w:r>
        <w:t xml:space="preserve"> </w:t>
      </w:r>
      <w:r w:rsidRPr="007E4711">
        <w:t>Despite that, end-readers lack proper integration into studies of the reception of translated literature.</w:t>
      </w:r>
      <w:r>
        <w:t xml:space="preserve"> </w:t>
      </w:r>
      <w:r w:rsidRPr="007E4711">
        <w:t>In the chapter on reception studies and reader response in the abovementioned volume, after a relatively comprehensive survey of the literature regarding reception studies in relation to translation, the contributor note</w:t>
      </w:r>
      <w:r w:rsidR="00AE0E85">
        <w:t>d</w:t>
      </w:r>
      <w:r w:rsidRPr="007E4711">
        <w:t xml:space="preserve"> that the reception of translation has never been ignored, but the reader, he concluded, “has been relegated to a secondary, if not marginal, position</w:t>
      </w:r>
      <w:r w:rsidR="001B3834">
        <w:t>.</w:t>
      </w:r>
      <w:r w:rsidRPr="007E4711">
        <w:t>’’</w:t>
      </w:r>
      <w:r w:rsidR="001B3834">
        <w:rPr>
          <w:rStyle w:val="FootnoteReference"/>
        </w:rPr>
        <w:footnoteReference w:id="35"/>
      </w:r>
      <w:r>
        <w:t xml:space="preserve"> Several scholars </w:t>
      </w:r>
      <w:r w:rsidR="00DF18C0">
        <w:t xml:space="preserve">have </w:t>
      </w:r>
      <w:r>
        <w:t>spotlight</w:t>
      </w:r>
      <w:r w:rsidR="00DF18C0">
        <w:t>ed</w:t>
      </w:r>
      <w:r>
        <w:t xml:space="preserve"> this gap more widely</w:t>
      </w:r>
      <w:r w:rsidRPr="007E4711">
        <w:t>.</w:t>
      </w:r>
      <w:r w:rsidR="005C2F1A">
        <w:rPr>
          <w:rStyle w:val="FootnoteReference"/>
        </w:rPr>
        <w:footnoteReference w:id="36"/>
      </w:r>
      <w:r>
        <w:t xml:space="preserve"> More recently, Anthony Pym has remarked that knowledge about a text and its translation exists, but knowledge about the “actual reception” by “flesh and blood readers” remains to be so, marking this gap as one that should be a focal point of scholarly attention.</w:t>
      </w:r>
      <w:r w:rsidR="00F75352">
        <w:rPr>
          <w:rStyle w:val="FootnoteReference"/>
        </w:rPr>
        <w:footnoteReference w:id="37"/>
      </w:r>
      <w:r>
        <w:t xml:space="preserve"> But </w:t>
      </w:r>
      <w:proofErr w:type="spellStart"/>
      <w:r w:rsidRPr="007E4711">
        <w:t>Bertens</w:t>
      </w:r>
      <w:proofErr w:type="spellEnd"/>
      <w:r w:rsidRPr="007E4711">
        <w:t xml:space="preserve"> argue</w:t>
      </w:r>
      <w:r w:rsidR="000E433D">
        <w:t>d</w:t>
      </w:r>
      <w:r>
        <w:t xml:space="preserve"> that </w:t>
      </w:r>
      <w:r w:rsidRPr="007E4711">
        <w:t>the dearth of reader integration into reception studies</w:t>
      </w:r>
      <w:r>
        <w:t xml:space="preserve">—to place the </w:t>
      </w:r>
      <w:r>
        <w:lastRenderedPageBreak/>
        <w:t>lacuna in a larger context—</w:t>
      </w:r>
      <w:r w:rsidRPr="007E4711">
        <w:t>is an omnipresent concern that relates to all readers of literature</w:t>
      </w:r>
      <w:r>
        <w:t>,</w:t>
      </w:r>
      <w:r w:rsidRPr="007E4711">
        <w:t xml:space="preserve"> as they have suffered from “decades of neglect</w:t>
      </w:r>
      <w:r w:rsidR="00650E1E">
        <w:t>.</w:t>
      </w:r>
      <w:r w:rsidRPr="007E4711">
        <w:t>”</w:t>
      </w:r>
      <w:r w:rsidR="00650E1E">
        <w:rPr>
          <w:rStyle w:val="FootnoteReference"/>
        </w:rPr>
        <w:footnoteReference w:id="38"/>
      </w:r>
      <w:r>
        <w:t xml:space="preserve"> A</w:t>
      </w:r>
      <w:r w:rsidRPr="007E4711">
        <w:t xml:space="preserve">ccordingly, immediate full integration of end-readers is especially overdue </w:t>
      </w:r>
      <w:r>
        <w:t xml:space="preserve">within </w:t>
      </w:r>
      <w:r w:rsidRPr="007E4711">
        <w:t>TS, which is the primary impetus behind</w:t>
      </w:r>
      <w:r>
        <w:t xml:space="preserve"> undertaking the present </w:t>
      </w:r>
      <w:r w:rsidRPr="007E4711">
        <w:t>project.</w:t>
      </w:r>
      <w:r>
        <w:t xml:space="preserve"> By focusing on translation, this paper can be viewed as a contribution to—or an extension of—Joseph Conte’s excellent monograph</w:t>
      </w:r>
      <w:r w:rsidR="00AB601D">
        <w:rPr>
          <w:rStyle w:val="FootnoteReference"/>
        </w:rPr>
        <w:footnoteReference w:id="39"/>
      </w:r>
      <w:r>
        <w:t xml:space="preserve"> on the novel after 9/11, which does not employ translation as a critical lens</w:t>
      </w:r>
      <w:r>
        <w:rPr>
          <w:rFonts w:hint="cs"/>
        </w:rPr>
        <w:t xml:space="preserve"> </w:t>
      </w:r>
      <w:r>
        <w:t>or offer an overt discussion thereof, despite the critical role it played—and continues to play</w:t>
      </w:r>
      <w:r w:rsidR="000E433D">
        <w:t>—</w:t>
      </w:r>
      <w:r>
        <w:t xml:space="preserve">in the aftermath of the tragic events. </w:t>
      </w:r>
    </w:p>
    <w:p w14:paraId="17D6A8DF" w14:textId="4AFD974D" w:rsidR="00CD5A58" w:rsidRDefault="00CD5A58" w:rsidP="004C4CBB">
      <w:r w:rsidRPr="007E4711">
        <w:t xml:space="preserve">Paratexts are inextricably linked to </w:t>
      </w:r>
      <w:r>
        <w:t>meaning creation</w:t>
      </w:r>
      <w:r w:rsidRPr="007E4711">
        <w:t>—a link that led the cultural theorist</w:t>
      </w:r>
      <w:r>
        <w:t xml:space="preserve"> </w:t>
      </w:r>
      <w:r w:rsidRPr="004C4CBB">
        <w:t>Gérard Genette</w:t>
      </w:r>
      <w:r w:rsidRPr="007E4711">
        <w:t xml:space="preserve"> to describe them as “thresholds of interpretation</w:t>
      </w:r>
      <w:r w:rsidR="008B27DA">
        <w:t>.</w:t>
      </w:r>
      <w:r w:rsidRPr="007E4711">
        <w:t>’’</w:t>
      </w:r>
      <w:r w:rsidR="008B27DA">
        <w:rPr>
          <w:rStyle w:val="FootnoteReference"/>
        </w:rPr>
        <w:footnoteReference w:id="40"/>
      </w:r>
      <w:r>
        <w:t xml:space="preserve"> </w:t>
      </w:r>
      <w:r w:rsidRPr="007E4711">
        <w:t xml:space="preserve">Genette </w:t>
      </w:r>
      <w:r>
        <w:t>maintain</w:t>
      </w:r>
      <w:r w:rsidR="000E433D">
        <w:t>ed</w:t>
      </w:r>
      <w:r>
        <w:t xml:space="preserve"> that paratextual materials </w:t>
      </w:r>
      <w:r w:rsidRPr="007E4711">
        <w:t>fulfill two functions</w:t>
      </w:r>
      <w:r>
        <w:t xml:space="preserve">: </w:t>
      </w:r>
      <w:r w:rsidR="000E433D">
        <w:t>(a</w:t>
      </w:r>
      <w:r>
        <w:t xml:space="preserve">) </w:t>
      </w:r>
      <w:r w:rsidRPr="007E4711">
        <w:t>holding the reader’s interest and</w:t>
      </w:r>
      <w:r>
        <w:t xml:space="preserve"> </w:t>
      </w:r>
      <w:r w:rsidR="000E433D">
        <w:t>(b</w:t>
      </w:r>
      <w:r>
        <w:t xml:space="preserve">) </w:t>
      </w:r>
      <w:r w:rsidRPr="007E4711">
        <w:t>delineating “why and how” the text should be read</w:t>
      </w:r>
      <w:r w:rsidR="00D24047">
        <w:t>.</w:t>
      </w:r>
      <w:r w:rsidR="00D24047">
        <w:rPr>
          <w:rStyle w:val="FootnoteReference"/>
        </w:rPr>
        <w:footnoteReference w:id="41"/>
      </w:r>
      <w:r w:rsidRPr="007E4711">
        <w:t xml:space="preserve"> </w:t>
      </w:r>
      <w:r>
        <w:t>Correspondingly</w:t>
      </w:r>
      <w:r w:rsidRPr="007E4711">
        <w:t xml:space="preserve">, </w:t>
      </w:r>
      <w:r>
        <w:t xml:space="preserve">Richard </w:t>
      </w:r>
      <w:r w:rsidRPr="007E4711">
        <w:t xml:space="preserve">Watts </w:t>
      </w:r>
      <w:r>
        <w:t>aver</w:t>
      </w:r>
      <w:r w:rsidR="000E433D">
        <w:t>red</w:t>
      </w:r>
      <w:r w:rsidRPr="007E4711">
        <w:t xml:space="preserve"> that a text cannot be divorced from its frame because it is subject to shifting interpretations</w:t>
      </w:r>
      <w:r>
        <w:t xml:space="preserve"> in </w:t>
      </w:r>
      <w:r w:rsidR="00F407CF">
        <w:t>response</w:t>
      </w:r>
      <w:r>
        <w:t xml:space="preserve"> </w:t>
      </w:r>
      <w:r w:rsidR="00F407CF">
        <w:t xml:space="preserve">to </w:t>
      </w:r>
      <w:r w:rsidRPr="007E4711">
        <w:t>the paratexts by which it is surrounded.</w:t>
      </w:r>
      <w:r w:rsidR="00A741BE">
        <w:rPr>
          <w:rStyle w:val="FootnoteReference"/>
        </w:rPr>
        <w:footnoteReference w:id="42"/>
      </w:r>
      <w:r>
        <w:t xml:space="preserve"> </w:t>
      </w:r>
      <w:r w:rsidRPr="007E4711">
        <w:t xml:space="preserve">He further </w:t>
      </w:r>
      <w:r>
        <w:t>posit</w:t>
      </w:r>
      <w:r w:rsidR="00170AE9">
        <w:t>ed</w:t>
      </w:r>
      <w:r w:rsidRPr="007E4711">
        <w:t xml:space="preserve"> that paratexts direct the text toward a particular readership and that they exist to “capture readers and influence the work’s reception</w:t>
      </w:r>
      <w:r w:rsidR="001A6EB6">
        <w:t>.</w:t>
      </w:r>
      <w:r w:rsidRPr="007E4711">
        <w:t>”</w:t>
      </w:r>
      <w:r w:rsidR="001A6EB6">
        <w:rPr>
          <w:rStyle w:val="FootnoteReference"/>
        </w:rPr>
        <w:footnoteReference w:id="43"/>
      </w:r>
      <w:r w:rsidRPr="007E4711">
        <w:t xml:space="preserve"> </w:t>
      </w:r>
      <w:r w:rsidRPr="004646D3">
        <w:t>Wolfgang</w:t>
      </w:r>
      <w:r>
        <w:t xml:space="preserve"> </w:t>
      </w:r>
      <w:r w:rsidRPr="007E4711">
        <w:t>Iser</w:t>
      </w:r>
      <w:r>
        <w:t>’s metaphor</w:t>
      </w:r>
      <w:r w:rsidRPr="007E4711">
        <w:t xml:space="preserve"> </w:t>
      </w:r>
      <w:r>
        <w:t xml:space="preserve">can </w:t>
      </w:r>
      <w:r w:rsidRPr="007E4711">
        <w:t xml:space="preserve">help us </w:t>
      </w:r>
      <w:r>
        <w:t xml:space="preserve">fathom how interpretation is shaped and how </w:t>
      </w:r>
      <w:r w:rsidRPr="007E4711">
        <w:t xml:space="preserve">amorphous </w:t>
      </w:r>
      <w:r>
        <w:t xml:space="preserve">its </w:t>
      </w:r>
      <w:r w:rsidRPr="007E4711">
        <w:t xml:space="preserve">contours </w:t>
      </w:r>
      <w:r>
        <w:t>can be</w:t>
      </w:r>
      <w:r w:rsidRPr="007E4711">
        <w:t xml:space="preserve">: </w:t>
      </w:r>
      <w:r w:rsidRPr="007E4711">
        <w:lastRenderedPageBreak/>
        <w:t xml:space="preserve">“Two people gazing at the night sky may both be looking at the same collection of stars, but one will see the image of a plough, and </w:t>
      </w:r>
      <w:r>
        <w:t xml:space="preserve">the </w:t>
      </w:r>
      <w:r w:rsidRPr="007E4711">
        <w:t>other will make out a dipper</w:t>
      </w:r>
      <w:r w:rsidR="001A6EB6">
        <w:t>.</w:t>
      </w:r>
      <w:r w:rsidRPr="007E4711">
        <w:t>”</w:t>
      </w:r>
      <w:r w:rsidR="001A6EB6">
        <w:rPr>
          <w:rStyle w:val="FootnoteReference"/>
        </w:rPr>
        <w:footnoteReference w:id="44"/>
      </w:r>
      <w:r>
        <w:t xml:space="preserve"> </w:t>
      </w:r>
      <w:r w:rsidRPr="007E4711">
        <w:t>The “stars,” Iser</w:t>
      </w:r>
      <w:r w:rsidR="00170AE9">
        <w:t xml:space="preserve"> wrote</w:t>
      </w:r>
      <w:r w:rsidRPr="007E4711">
        <w:t>, are fixed, but the lines by which they are joined to shape up are “variable.” To expand on Iser’s metaphor, if the stars were the text and the interpretation</w:t>
      </w:r>
      <w:r>
        <w:rPr>
          <w:rStyle w:val="FootnoteReference"/>
        </w:rPr>
        <w:footnoteReference w:id="45"/>
      </w:r>
      <w:r w:rsidRPr="007E4711">
        <w:t xml:space="preserve"> is the final shape that emerges after connecting the dots, the packaging that surrounds the text</w:t>
      </w:r>
      <w:r>
        <w:t>—to unravel its reverberation on the sensorium—</w:t>
      </w:r>
      <w:r w:rsidRPr="007E4711">
        <w:t>can be conceived of as the “hints” to connect the dots and create meaning</w:t>
      </w:r>
      <w:r>
        <w:rPr>
          <w:rStyle w:val="FootnoteReference"/>
        </w:rPr>
        <w:footnoteReference w:id="46"/>
      </w:r>
      <w:r>
        <w:t xml:space="preserve">. </w:t>
      </w:r>
      <w:r w:rsidRPr="007E4711">
        <w:t xml:space="preserve">The paratextual element is </w:t>
      </w:r>
      <w:r>
        <w:t>indispensable</w:t>
      </w:r>
      <w:r w:rsidRPr="007E4711">
        <w:t xml:space="preserve"> </w:t>
      </w:r>
      <w:r>
        <w:t>for the publisher because it enables</w:t>
      </w:r>
      <w:r w:rsidRPr="007E4711">
        <w:t xml:space="preserve"> direct communication </w:t>
      </w:r>
      <w:r>
        <w:t>with</w:t>
      </w:r>
      <w:r w:rsidRPr="007E4711">
        <w:t xml:space="preserve"> </w:t>
      </w:r>
      <w:r>
        <w:t>readers</w:t>
      </w:r>
      <w:r w:rsidRPr="007E4711">
        <w:t>.</w:t>
      </w:r>
      <w:r w:rsidR="00197476">
        <w:rPr>
          <w:rStyle w:val="FootnoteReference"/>
        </w:rPr>
        <w:footnoteReference w:id="47"/>
      </w:r>
      <w:r>
        <w:t xml:space="preserve"> </w:t>
      </w:r>
      <w:r w:rsidRPr="007E4711">
        <w:t>“Very often with foreign authors</w:t>
      </w:r>
      <w:r>
        <w:t xml:space="preserve">,” Pierre Bourdieu </w:t>
      </w:r>
      <w:r w:rsidR="006B5AD1">
        <w:t xml:space="preserve">wrote </w:t>
      </w:r>
      <w:r>
        <w:t>to spotlight the capacity of paratexts to cue readers,</w:t>
      </w:r>
      <w:r w:rsidRPr="007E4711">
        <w:t xml:space="preserve"> </w:t>
      </w:r>
      <w:r>
        <w:t>“</w:t>
      </w:r>
      <w:r w:rsidRPr="007E4711">
        <w:t xml:space="preserve">it is not </w:t>
      </w:r>
      <w:r w:rsidRPr="007E4711">
        <w:rPr>
          <w:i/>
          <w:iCs/>
        </w:rPr>
        <w:t>what they say</w:t>
      </w:r>
      <w:r w:rsidRPr="007E4711">
        <w:t xml:space="preserve"> that matters, so much as what they can be </w:t>
      </w:r>
      <w:r w:rsidRPr="007E4711">
        <w:rPr>
          <w:i/>
          <w:iCs/>
        </w:rPr>
        <w:t>made to say</w:t>
      </w:r>
      <w:r w:rsidRPr="007E4711">
        <w:t xml:space="preserve"> [emphasis added]</w:t>
      </w:r>
      <w:r w:rsidR="000E10DC">
        <w:t>.</w:t>
      </w:r>
      <w:r w:rsidRPr="007E4711">
        <w:t>”</w:t>
      </w:r>
      <w:r w:rsidR="000E10DC">
        <w:rPr>
          <w:rStyle w:val="FootnoteReference"/>
        </w:rPr>
        <w:footnoteReference w:id="48"/>
      </w:r>
      <w:r w:rsidRPr="007E4711">
        <w:t xml:space="preserve"> </w:t>
      </w:r>
      <w:r>
        <w:t xml:space="preserve">On this score, the packaging of </w:t>
      </w:r>
      <w:r w:rsidRPr="00473C85">
        <w:rPr>
          <w:i/>
          <w:iCs/>
        </w:rPr>
        <w:t>GOR</w:t>
      </w:r>
      <w:r>
        <w:t xml:space="preserve"> will be scrutinized to take stock of its impact (or lack thereof) on reception. And so, a post-structuralist stance on meaning is adopted, that it is construed during the act reading, and this credo entails approaching meaning creation empirically to gain insights into its formation</w:t>
      </w:r>
      <w:r w:rsidR="006B5AD1">
        <w:t xml:space="preserve"> </w:t>
      </w:r>
      <w:r>
        <w:t xml:space="preserve">and metamorphoses. </w:t>
      </w:r>
      <w:r w:rsidRPr="007E4711">
        <w:lastRenderedPageBreak/>
        <w:t>“</w:t>
      </w:r>
      <w:r>
        <w:t>T</w:t>
      </w:r>
      <w:r w:rsidRPr="007E4711">
        <w:t xml:space="preserve">ranslation is not a neutral practice,” </w:t>
      </w:r>
      <w:r>
        <w:t xml:space="preserve">Watts </w:t>
      </w:r>
      <w:r w:rsidR="006B5AD1">
        <w:t>wrote</w:t>
      </w:r>
      <w:r>
        <w:t xml:space="preserve">, nor is the </w:t>
      </w:r>
      <w:r w:rsidRPr="007E4711">
        <w:t xml:space="preserve">inclusion of paratexts into/around texts </w:t>
      </w:r>
      <w:r>
        <w:t xml:space="preserve">serendipitous or </w:t>
      </w:r>
      <w:r w:rsidRPr="007E4711">
        <w:t>innocent</w:t>
      </w:r>
      <w:proofErr w:type="gramStart"/>
      <w:r w:rsidRPr="007E4711">
        <w:t>—“</w:t>
      </w:r>
      <w:proofErr w:type="gramEnd"/>
      <w:r w:rsidRPr="007E4711">
        <w:t>every choice is motivated</w:t>
      </w:r>
      <w:r>
        <w:t>.”</w:t>
      </w:r>
      <w:r w:rsidR="00264C54">
        <w:rPr>
          <w:rStyle w:val="FootnoteReference"/>
        </w:rPr>
        <w:footnoteReference w:id="49"/>
      </w:r>
    </w:p>
    <w:p w14:paraId="211931F4" w14:textId="353E879C" w:rsidR="00CD5A58" w:rsidRPr="00315D58" w:rsidRDefault="00A95A38" w:rsidP="00315D58">
      <w:pPr>
        <w:pStyle w:val="Heading2"/>
      </w:pPr>
      <w:r>
        <w:t>GOR</w:t>
      </w:r>
      <w:r w:rsidR="00CD5A58">
        <w:t xml:space="preserve"> </w:t>
      </w:r>
      <w:r w:rsidR="00CD5A58" w:rsidRPr="00E462C1">
        <w:rPr>
          <w:i w:val="0"/>
          <w:iCs/>
        </w:rPr>
        <w:t>“</w:t>
      </w:r>
      <w:r w:rsidR="00CD5A58">
        <w:rPr>
          <w:i w:val="0"/>
          <w:iCs/>
        </w:rPr>
        <w:t>T</w:t>
      </w:r>
      <w:r w:rsidR="00CD5A58" w:rsidRPr="00E462C1">
        <w:rPr>
          <w:i w:val="0"/>
          <w:iCs/>
        </w:rPr>
        <w:t xml:space="preserve">oeing the </w:t>
      </w:r>
      <w:r w:rsidR="00CD5A58">
        <w:rPr>
          <w:i w:val="0"/>
          <w:iCs/>
        </w:rPr>
        <w:t>L</w:t>
      </w:r>
      <w:r w:rsidR="00CD5A58" w:rsidRPr="00E462C1">
        <w:rPr>
          <w:i w:val="0"/>
          <w:iCs/>
        </w:rPr>
        <w:t>ine”</w:t>
      </w:r>
    </w:p>
    <w:p w14:paraId="5E9E274B" w14:textId="7BA87731" w:rsidR="00CD5A58" w:rsidRPr="007E4711" w:rsidRDefault="00CD5A58" w:rsidP="001458F6">
      <w:r w:rsidRPr="00473C85">
        <w:rPr>
          <w:i/>
          <w:iCs/>
        </w:rPr>
        <w:t>GOR</w:t>
      </w:r>
      <w:r w:rsidRPr="007E4711">
        <w:t xml:space="preserve"> chronicles the lives of four female characters—Lamees, </w:t>
      </w:r>
      <w:proofErr w:type="spellStart"/>
      <w:r w:rsidRPr="007E4711">
        <w:t>Gamrah</w:t>
      </w:r>
      <w:proofErr w:type="spellEnd"/>
      <w:r w:rsidRPr="007E4711">
        <w:t>, Sadeem, and Michelle.</w:t>
      </w:r>
      <w:r>
        <w:t xml:space="preserve"> </w:t>
      </w:r>
      <w:r w:rsidRPr="007E4711">
        <w:t>The narrative has a unique format.</w:t>
      </w:r>
      <w:r>
        <w:t xml:space="preserve"> </w:t>
      </w:r>
      <w:r w:rsidRPr="007E4711">
        <w:t xml:space="preserve">The stories are told in the form of emails sent to all subscribers to the list </w:t>
      </w:r>
      <w:r>
        <w:t>weekly</w:t>
      </w:r>
      <w:r w:rsidRPr="007E4711">
        <w:t>, thus replacing the conventional, numerically sequential chapter format.</w:t>
      </w:r>
      <w:r>
        <w:t xml:space="preserve"> </w:t>
      </w:r>
      <w:r w:rsidRPr="007E4711">
        <w:t>In these emails, the anonymous sender narrates a new, much anticipated—as assumed by the sender—chronicle about the four protagonists.</w:t>
      </w:r>
      <w:r>
        <w:t xml:space="preserve"> </w:t>
      </w:r>
      <w:r w:rsidRPr="007E4711">
        <w:t xml:space="preserve">It is worth mentioning that these emails were </w:t>
      </w:r>
      <w:r>
        <w:t>initially</w:t>
      </w:r>
      <w:r w:rsidRPr="007E4711">
        <w:t xml:space="preserve"> sent to subscribers via email before they were compiled and then published as a novel.</w:t>
      </w:r>
      <w:r>
        <w:t xml:space="preserve"> </w:t>
      </w:r>
      <w:r w:rsidRPr="007E4711">
        <w:t xml:space="preserve">Some </w:t>
      </w:r>
      <w:r>
        <w:t>readers—whose responses constitute the empirical data collected for analysis—</w:t>
      </w:r>
      <w:r w:rsidRPr="007E4711">
        <w:t>report that they were among the subscribers, therefore avid readers of these weekly emails (GORAR35; GORAR53).</w:t>
      </w:r>
      <w:r>
        <w:rPr>
          <w:rStyle w:val="FootnoteReference"/>
        </w:rPr>
        <w:footnoteReference w:id="50"/>
      </w:r>
      <w:r w:rsidRPr="007E4711">
        <w:t xml:space="preserve"> When it first appeared, it was immediately banned.</w:t>
      </w:r>
      <w:r w:rsidR="009B3364">
        <w:rPr>
          <w:rStyle w:val="FootnoteReference"/>
        </w:rPr>
        <w:footnoteReference w:id="51"/>
      </w:r>
      <w:r w:rsidRPr="007E4711">
        <w:t xml:space="preserve"> </w:t>
      </w:r>
    </w:p>
    <w:p w14:paraId="74565749" w14:textId="4E3FB765" w:rsidR="00CD5A58" w:rsidRPr="007E4711" w:rsidRDefault="00CD5A58" w:rsidP="001458F6">
      <w:r w:rsidRPr="007E4711">
        <w:t xml:space="preserve">Being a novel from Saudi Arabia by a female author wildly popular in the Arab world, </w:t>
      </w:r>
      <w:r w:rsidRPr="00473C85">
        <w:rPr>
          <w:i/>
          <w:iCs/>
        </w:rPr>
        <w:t>GOR</w:t>
      </w:r>
      <w:r w:rsidRPr="00E619DD">
        <w:t xml:space="preserve"> </w:t>
      </w:r>
      <w:r w:rsidRPr="007E4711">
        <w:t>challenges many Western assumptions about how and what Arabs read and write.</w:t>
      </w:r>
      <w:r>
        <w:t xml:space="preserve"> As a result,</w:t>
      </w:r>
      <w:r w:rsidRPr="007E4711">
        <w:t xml:space="preserve"> </w:t>
      </w:r>
      <w:r>
        <w:t xml:space="preserve">Marylin </w:t>
      </w:r>
      <w:r w:rsidRPr="007E4711">
        <w:t>Booth</w:t>
      </w:r>
      <w:r>
        <w:t>—the first translator whose rendition was deprecated and eventually heavily manipulated—</w:t>
      </w:r>
      <w:r w:rsidRPr="007E4711">
        <w:t>describe</w:t>
      </w:r>
      <w:r w:rsidR="003672AA">
        <w:t>d</w:t>
      </w:r>
      <w:r w:rsidRPr="007E4711">
        <w:t xml:space="preserve"> it as a ‘‘foreignizing’’ text.</w:t>
      </w:r>
      <w:r>
        <w:t xml:space="preserve"> </w:t>
      </w:r>
      <w:r w:rsidRPr="007E4711">
        <w:t xml:space="preserve">Yet it is also ‘‘domesticated’’ by a prior Orientalist framework that constructs </w:t>
      </w:r>
      <w:r w:rsidR="001024C4">
        <w:t xml:space="preserve">the </w:t>
      </w:r>
      <w:r w:rsidRPr="007E4711">
        <w:t xml:space="preserve">Arab female </w:t>
      </w:r>
      <w:r w:rsidRPr="007E4711">
        <w:lastRenderedPageBreak/>
        <w:t>existence as shuttered, narrow</w:t>
      </w:r>
      <w:r w:rsidR="001024C4">
        <w:t>,</w:t>
      </w:r>
      <w:r w:rsidRPr="007E4711">
        <w:t xml:space="preserve"> and silent.</w:t>
      </w:r>
      <w:r w:rsidR="003672AA">
        <w:rPr>
          <w:rStyle w:val="FootnoteReference"/>
        </w:rPr>
        <w:footnoteReference w:id="52"/>
      </w:r>
      <w:r>
        <w:t xml:space="preserve"> </w:t>
      </w:r>
      <w:r w:rsidRPr="007E4711">
        <w:t>Seeing it as a text that could challenge preconceptions about the Arab woman, Booth,</w:t>
      </w:r>
      <w:r w:rsidR="00473C85">
        <w:rPr>
          <w:rStyle w:val="FootnoteReference"/>
        </w:rPr>
        <w:footnoteReference w:id="53"/>
      </w:r>
      <w:r w:rsidRPr="007E4711">
        <w:t xml:space="preserve"> citing Venuti</w:t>
      </w:r>
      <w:r>
        <w:t xml:space="preserve"> (2004) and Spivak (1993),</w:t>
      </w:r>
      <w:r w:rsidRPr="007E4711">
        <w:t xml:space="preserve"> adopted deeply informed and consistent “foreignizing”</w:t>
      </w:r>
      <w:r>
        <w:t xml:space="preserve"> and “literalist surrender,” respectively, </w:t>
      </w:r>
      <w:r w:rsidRPr="007E4711">
        <w:t>strategies.</w:t>
      </w:r>
      <w:r>
        <w:t xml:space="preserve"> She</w:t>
      </w:r>
      <w:r w:rsidRPr="007E4711">
        <w:t xml:space="preserve"> was determined not to “succumb to a homogenizing language that erases or diminishes the differences within the original text” but rather to force “the reader (rather than the text) to accommodate to ‘the other</w:t>
      </w:r>
      <w:r w:rsidR="00994EFB">
        <w:t>.</w:t>
      </w:r>
      <w:r w:rsidRPr="007E4711">
        <w:t>’”</w:t>
      </w:r>
      <w:r w:rsidR="00994EFB">
        <w:rPr>
          <w:rStyle w:val="FootnoteReference"/>
        </w:rPr>
        <w:footnoteReference w:id="54"/>
      </w:r>
      <w:r w:rsidRPr="007E4711">
        <w:t xml:space="preserve"> This translation decision entails, as she continue</w:t>
      </w:r>
      <w:r w:rsidR="00351714">
        <w:t>d</w:t>
      </w:r>
      <w:r w:rsidRPr="007E4711">
        <w:t xml:space="preserve"> to elaborate,</w:t>
      </w:r>
      <w:r>
        <w:t xml:space="preserve"> </w:t>
      </w:r>
      <w:r w:rsidRPr="007E4711">
        <w:t>“exposing</w:t>
      </w:r>
      <w:r>
        <w:t xml:space="preserve"> [anglophone]</w:t>
      </w:r>
      <w:r w:rsidRPr="007E4711">
        <w:t xml:space="preserve"> readers to local pop cultures and idioms, language mixing, politics of literary writing, puns and saucy asides.” Booth </w:t>
      </w:r>
      <w:r w:rsidR="00351714">
        <w:t>further</w:t>
      </w:r>
      <w:r w:rsidRPr="007E4711">
        <w:t xml:space="preserve"> elaborate</w:t>
      </w:r>
      <w:r w:rsidR="00351714">
        <w:t>d</w:t>
      </w:r>
      <w:r w:rsidRPr="007E4711">
        <w:t xml:space="preserve"> </w:t>
      </w:r>
      <w:r w:rsidR="00351714">
        <w:t>on</w:t>
      </w:r>
      <w:r w:rsidR="00351714" w:rsidRPr="007E4711">
        <w:t xml:space="preserve"> </w:t>
      </w:r>
      <w:r w:rsidRPr="007E4711">
        <w:t>her “project,” to use Berman’s</w:t>
      </w:r>
      <w:r w:rsidR="00830570">
        <w:rPr>
          <w:rStyle w:val="FootnoteReference"/>
        </w:rPr>
        <w:footnoteReference w:id="55"/>
      </w:r>
      <w:r w:rsidRPr="007E4711">
        <w:t xml:space="preserve"> term</w:t>
      </w:r>
      <w:r w:rsidR="00351714">
        <w:t>:</w:t>
      </w:r>
      <w:r w:rsidRPr="007E4711">
        <w:t xml:space="preserve"> “It means expecting the reader to be respectful enough of the text—and interested enough—to seek out cultural knowledge on her own</w:t>
      </w:r>
      <w:r w:rsidR="00A621C0">
        <w:t>.</w:t>
      </w:r>
      <w:r w:rsidRPr="007E4711">
        <w:t>”</w:t>
      </w:r>
      <w:r w:rsidR="00A621C0">
        <w:rPr>
          <w:rStyle w:val="FootnoteReference"/>
        </w:rPr>
        <w:footnoteReference w:id="56"/>
      </w:r>
      <w:r w:rsidRPr="007E4711">
        <w:t xml:space="preserve"> </w:t>
      </w:r>
      <w:r w:rsidRPr="007E4711">
        <w:rPr>
          <w:color w:val="000000" w:themeColor="text1"/>
        </w:rPr>
        <w:t xml:space="preserve">Having translated the text </w:t>
      </w:r>
      <w:r>
        <w:rPr>
          <w:color w:val="000000" w:themeColor="text1"/>
        </w:rPr>
        <w:t>per</w:t>
      </w:r>
      <w:r w:rsidRPr="007E4711">
        <w:rPr>
          <w:color w:val="000000" w:themeColor="text1"/>
        </w:rPr>
        <w:t xml:space="preserve"> her clearly articulated objectives,</w:t>
      </w:r>
      <w:r>
        <w:rPr>
          <w:color w:val="000000" w:themeColor="text1"/>
        </w:rPr>
        <w:t xml:space="preserve"> Booth </w:t>
      </w:r>
      <w:r w:rsidR="00351714">
        <w:rPr>
          <w:color w:val="000000" w:themeColor="text1"/>
        </w:rPr>
        <w:t xml:space="preserve">said </w:t>
      </w:r>
      <w:r w:rsidRPr="007E4711">
        <w:rPr>
          <w:color w:val="000000" w:themeColor="text1"/>
        </w:rPr>
        <w:t>the translation was not well-received by the publisher, nor by the novelist:</w:t>
      </w:r>
    </w:p>
    <w:p w14:paraId="2F5F9311" w14:textId="36ECEB37" w:rsidR="00CD5A58" w:rsidRPr="007E4711" w:rsidRDefault="00CD5A58" w:rsidP="001458F6">
      <w:pPr>
        <w:ind w:left="720" w:firstLine="0"/>
        <w:rPr>
          <w:color w:val="000000" w:themeColor="text1"/>
        </w:rPr>
      </w:pPr>
      <w:r w:rsidRPr="00BC504C">
        <w:rPr>
          <w:rStyle w:val="IntenseQuoteChar"/>
        </w:rPr>
        <w:t xml:space="preserve">Through the publisher’s editorial staff, the author objected and requested that she be permitted to revise my translation without consulting me. The publisher concurred. Informed that the translation was unacceptable, I was never told the specifics of the author’s and/or publisher’s dissatisfaction, despite repeated requests for that information on the basis that I had a right to know the grounds on which my professional expertise was questioned and ultimately ignored. In the </w:t>
      </w:r>
      <w:r w:rsidRPr="00BC504C">
        <w:rPr>
          <w:rStyle w:val="IntenseQuoteChar"/>
        </w:rPr>
        <w:lastRenderedPageBreak/>
        <w:t>end, I was given only the opportunity to read the final text and decide whether I wanted my name to appear on the title page.</w:t>
      </w:r>
      <w:r w:rsidR="00A621C0">
        <w:rPr>
          <w:rStyle w:val="FootnoteReference"/>
          <w:color w:val="000000" w:themeColor="text1"/>
        </w:rPr>
        <w:footnoteReference w:id="57"/>
      </w:r>
      <w:r>
        <w:rPr>
          <w:color w:val="000000" w:themeColor="text1"/>
        </w:rPr>
        <w:t xml:space="preserve"> </w:t>
      </w:r>
    </w:p>
    <w:p w14:paraId="0099BD49" w14:textId="28A509E5" w:rsidR="00CD5A58" w:rsidRDefault="00CD5A58" w:rsidP="001458F6">
      <w:pPr>
        <w:ind w:firstLine="0"/>
      </w:pPr>
      <w:r w:rsidRPr="007E4711">
        <w:t xml:space="preserve">Booth then </w:t>
      </w:r>
      <w:r w:rsidR="00351714">
        <w:t>went</w:t>
      </w:r>
      <w:r w:rsidR="00351714" w:rsidRPr="007E4711">
        <w:t xml:space="preserve"> </w:t>
      </w:r>
      <w:r w:rsidRPr="007E4711">
        <w:t>on to offer many examples accompanied by detailed explanations of how the publisher</w:t>
      </w:r>
      <w:r>
        <w:t>, and</w:t>
      </w:r>
      <w:r w:rsidRPr="007E4711">
        <w:t xml:space="preserve"> the novelist/co-translator</w:t>
      </w:r>
      <w:r>
        <w:t>,</w:t>
      </w:r>
      <w:r w:rsidRPr="007E4711">
        <w:t xml:space="preserve"> made remarkably consistent changes to the text Booth had submitted as the final version.</w:t>
      </w:r>
      <w:r>
        <w:t xml:space="preserve"> E</w:t>
      </w:r>
      <w:r w:rsidRPr="007E4711">
        <w:t xml:space="preserve">xamples </w:t>
      </w:r>
      <w:r>
        <w:t>are</w:t>
      </w:r>
      <w:r w:rsidRPr="007E4711">
        <w:t xml:space="preserve"> provide</w:t>
      </w:r>
      <w:r>
        <w:t>d below to give</w:t>
      </w:r>
      <w:r w:rsidRPr="007E4711">
        <w:t xml:space="preserve"> an overview of those editorial interventions to </w:t>
      </w:r>
      <w:r>
        <w:t xml:space="preserve">explicate </w:t>
      </w:r>
      <w:r w:rsidRPr="007E4711">
        <w:t xml:space="preserve">how </w:t>
      </w:r>
      <w:r>
        <w:t xml:space="preserve">hugely </w:t>
      </w:r>
      <w:r w:rsidRPr="007E4711">
        <w:t xml:space="preserve">the published version departs from </w:t>
      </w:r>
      <w:r>
        <w:t xml:space="preserve">both </w:t>
      </w:r>
      <w:r w:rsidRPr="007E4711">
        <w:t>Booth’s manuscript</w:t>
      </w:r>
      <w:r>
        <w:t xml:space="preserve"> </w:t>
      </w:r>
      <w:r w:rsidRPr="007E4711">
        <w:t>Arabic source.</w:t>
      </w:r>
      <w:r w:rsidRPr="007E4711">
        <w:rPr>
          <w:rStyle w:val="FootnoteReference"/>
        </w:rPr>
        <w:footnoteReference w:id="58"/>
      </w:r>
      <w:r>
        <w:t xml:space="preserve"> Because</w:t>
      </w:r>
      <w:r w:rsidRPr="007E4711">
        <w:t xml:space="preserve"> Booth’s ownership of her translation was terminated, she had to ask Penguin for permission</w:t>
      </w:r>
      <w:r w:rsidR="001C549E">
        <w:rPr>
          <w:rStyle w:val="FootnoteReference"/>
        </w:rPr>
        <w:footnoteReference w:id="59"/>
      </w:r>
      <w:r w:rsidRPr="007E4711">
        <w:t xml:space="preserve"> to cite in her articles examples from the version she submitted. </w:t>
      </w:r>
    </w:p>
    <w:p w14:paraId="24FF3F49" w14:textId="3B6F89F0" w:rsidR="00CD5A58" w:rsidRDefault="00CD5A58" w:rsidP="00882C3F">
      <w:r>
        <w:t>Having</w:t>
      </w:r>
      <w:r w:rsidRPr="007E4711">
        <w:t xml:space="preserve"> worked in cahoots </w:t>
      </w:r>
      <w:r>
        <w:t xml:space="preserve">with Alsanea </w:t>
      </w:r>
      <w:r w:rsidRPr="007E4711">
        <w:t xml:space="preserve">to </w:t>
      </w:r>
      <w:r>
        <w:t>“</w:t>
      </w:r>
      <w:r w:rsidRPr="007E4711">
        <w:t>manipulate</w:t>
      </w:r>
      <w:r>
        <w:t>”</w:t>
      </w:r>
      <w:r>
        <w:rPr>
          <w:rStyle w:val="FootnoteReference"/>
        </w:rPr>
        <w:footnoteReference w:id="60"/>
      </w:r>
      <w:r w:rsidRPr="007E4711">
        <w:t xml:space="preserve"> the text submitted</w:t>
      </w:r>
      <w:r>
        <w:t xml:space="preserve"> by Booth, Penguin </w:t>
      </w:r>
      <w:r w:rsidRPr="007E4711">
        <w:t>added</w:t>
      </w:r>
      <w:r>
        <w:t xml:space="preserve"> Booth’s name</w:t>
      </w:r>
      <w:r w:rsidRPr="007E4711">
        <w:t xml:space="preserve"> not as the translator, but as the co-translator (along with Alsanea, the novelist).</w:t>
      </w:r>
      <w:r>
        <w:t xml:space="preserve"> </w:t>
      </w:r>
      <w:r w:rsidRPr="007E4711">
        <w:t>The more serious ethical problem here, I believe, is not manipulating Booth’s translation against her will and without her knowledge, but the fact that the publisher assigned her name to decisions she had not made in the</w:t>
      </w:r>
      <w:r>
        <w:t xml:space="preserve"> published</w:t>
      </w:r>
      <w:r w:rsidRPr="007E4711">
        <w:t xml:space="preserve"> translation.</w:t>
      </w:r>
      <w:r>
        <w:t xml:space="preserve"> </w:t>
      </w:r>
      <w:r w:rsidRPr="007E4711">
        <w:t>This treatment of the translator (and her translation) cast a bitter shadow over the relationship between Penguin and Booth, setting off a chain reaction</w:t>
      </w:r>
      <w:r>
        <w:t>,</w:t>
      </w:r>
      <w:r w:rsidRPr="007E4711">
        <w:t xml:space="preserve"> as the latter began publishing a series of articles about the affair.</w:t>
      </w:r>
      <w:r w:rsidR="00B248E2">
        <w:rPr>
          <w:rStyle w:val="FootnoteReference"/>
        </w:rPr>
        <w:footnoteReference w:id="61"/>
      </w:r>
      <w:r>
        <w:t xml:space="preserve"> </w:t>
      </w:r>
      <w:r w:rsidRPr="007E4711">
        <w:t xml:space="preserve">In them, she criticizes various </w:t>
      </w:r>
      <w:r w:rsidRPr="007E4711">
        <w:lastRenderedPageBreak/>
        <w:t>aspects of the intervention and lashes out at the publisher and novelist</w:t>
      </w:r>
      <w:r>
        <w:t>,</w:t>
      </w:r>
      <w:r w:rsidRPr="007E4711">
        <w:t xml:space="preserve"> to whom Booth refers as </w:t>
      </w:r>
      <w:r>
        <w:t>“</w:t>
      </w:r>
      <w:r w:rsidRPr="007E4711">
        <w:t>editor</w:t>
      </w:r>
      <w:r>
        <w:t xml:space="preserve"> (</w:t>
      </w:r>
      <w:r w:rsidRPr="007E4711">
        <w:t>of my text)</w:t>
      </w:r>
      <w:r w:rsidR="00A34CC4">
        <w:t>.</w:t>
      </w:r>
      <w:r>
        <w:t>”</w:t>
      </w:r>
      <w:r w:rsidR="00176740">
        <w:rPr>
          <w:rStyle w:val="FootnoteReference"/>
          <w:color w:val="000000"/>
        </w:rPr>
        <w:footnoteReference w:id="62"/>
      </w:r>
      <w:r>
        <w:rPr>
          <w:color w:val="000000"/>
        </w:rPr>
        <w:t xml:space="preserve"> Below I discuss some of the shifts that transpired in the translated text.</w:t>
      </w:r>
    </w:p>
    <w:p w14:paraId="6F2B9BF9" w14:textId="14C0C6AB" w:rsidR="00CD5A58" w:rsidRPr="007E4711" w:rsidRDefault="00CD5A58" w:rsidP="001458F6">
      <w:r w:rsidRPr="007E4711">
        <w:t>One of the key features in the Arabic text is the politics of language, which attests to the heterogeneity of the modes of communication within the text, such as the “Arabization” of English.</w:t>
      </w:r>
      <w:r>
        <w:t xml:space="preserve"> </w:t>
      </w:r>
      <w:r w:rsidRPr="007E4711">
        <w:t xml:space="preserve">Booth </w:t>
      </w:r>
      <w:r>
        <w:t>aver</w:t>
      </w:r>
      <w:r w:rsidR="0091039B">
        <w:t>red</w:t>
      </w:r>
      <w:r w:rsidRPr="007E4711">
        <w:t xml:space="preserve"> that this feature would enrich the Saudi women’s portraits, showing them to be “conversant across cultures</w:t>
      </w:r>
      <w:r w:rsidR="00A34CC4">
        <w:t>.</w:t>
      </w:r>
      <w:r w:rsidRPr="007E4711">
        <w:t>”</w:t>
      </w:r>
      <w:r w:rsidR="00A34CC4">
        <w:rPr>
          <w:rStyle w:val="FootnoteReference"/>
        </w:rPr>
        <w:footnoteReference w:id="63"/>
      </w:r>
      <w:r w:rsidRPr="007E4711">
        <w:t xml:space="preserve"> In other words, it would represent them as cosmopolitans; the Saudi girls (of this particular socio-economic background) are well-traveled and open to the world and are not “shut away linguistically, just as they are not uniformly shut away in their social lives</w:t>
      </w:r>
      <w:r w:rsidR="00A34CC4">
        <w:t>.</w:t>
      </w:r>
      <w:r w:rsidRPr="007E4711">
        <w:t>”</w:t>
      </w:r>
      <w:r w:rsidR="00A34CC4">
        <w:rPr>
          <w:rStyle w:val="FootnoteReference"/>
        </w:rPr>
        <w:footnoteReference w:id="64"/>
      </w:r>
      <w:r w:rsidRPr="007E4711">
        <w:t xml:space="preserve"> To render this linguistic feature, Booth resorted to italicizing the novel’s “Arabenglish” expressions throughout the translation, spelling them phonetically according to the Arabic script.</w:t>
      </w:r>
      <w:r>
        <w:t xml:space="preserve"> </w:t>
      </w:r>
      <w:r w:rsidRPr="007E4711">
        <w:t>“If Western readers could become aware of the permeation of English in this particular Arabic,” Booth</w:t>
      </w:r>
      <w:r w:rsidR="0091039B">
        <w:t xml:space="preserve"> argued</w:t>
      </w:r>
      <w:r w:rsidRPr="007E4711">
        <w:t>, “it might break down or complicate stereotypes, suggesting that a prevailing North American public discourse of binary opposition between ‘Arab’ and ‘American’ or ‘West’ and ‘Islam’ was oblivious to ways in which everyday practices of cultural belonging are deeply, mutually shaped by encounter rather than difference</w:t>
      </w:r>
      <w:r w:rsidR="00D53F56">
        <w:t>.</w:t>
      </w:r>
      <w:r w:rsidRPr="007E4711">
        <w:t>”</w:t>
      </w:r>
      <w:r w:rsidR="00D53F56">
        <w:rPr>
          <w:rStyle w:val="FootnoteReference"/>
        </w:rPr>
        <w:footnoteReference w:id="65"/>
      </w:r>
      <w:r w:rsidRPr="007E4711">
        <w:t xml:space="preserve"> However, this feature disappeared in the published version, as Booth explain</w:t>
      </w:r>
      <w:r w:rsidR="0091039B">
        <w:t>ed</w:t>
      </w:r>
      <w:r>
        <w:t>.</w:t>
      </w:r>
    </w:p>
    <w:p w14:paraId="770B9D99" w14:textId="2ED72792" w:rsidR="00CD5A58" w:rsidRPr="007E4711" w:rsidRDefault="00CD5A58" w:rsidP="00CB27A1">
      <w:r w:rsidRPr="007E4711">
        <w:lastRenderedPageBreak/>
        <w:t>Another key shift is the wholesale removal of Saudi cultural references that abound in the Arabic text.</w:t>
      </w:r>
      <w:r>
        <w:t xml:space="preserve"> </w:t>
      </w:r>
      <w:r w:rsidRPr="007E4711">
        <w:t>These cultural elements were, of course, retained in the version submitted by Booth, in close alignment with her project.</w:t>
      </w:r>
      <w:r>
        <w:t xml:space="preserve"> </w:t>
      </w:r>
      <w:r w:rsidRPr="007E4711">
        <w:t xml:space="preserve">In the published version, cultural references—such as proper names of Arab singers known region-wide, poets and other cultural figures, in addition to place names and local customs—are consistently omitted, </w:t>
      </w:r>
      <w:r w:rsidR="00D96737">
        <w:t>whereas</w:t>
      </w:r>
      <w:r w:rsidR="00D96737" w:rsidRPr="007E4711">
        <w:t xml:space="preserve"> </w:t>
      </w:r>
      <w:r w:rsidRPr="007E4711">
        <w:t>proper names of, for example, European designers are kept.</w:t>
      </w:r>
      <w:r w:rsidR="00823145">
        <w:rPr>
          <w:rStyle w:val="FootnoteReference"/>
        </w:rPr>
        <w:footnoteReference w:id="66"/>
      </w:r>
      <w:r>
        <w:t xml:space="preserve"> </w:t>
      </w:r>
      <w:r w:rsidRPr="007E4711">
        <w:t>Such a shift is likely to give anglophone readers the impression that Arabic culture is bereft of any cultural significance, on the one hand, while suggesting the cultural superiority of European culture</w:t>
      </w:r>
      <w:r>
        <w:t xml:space="preserve">, on the other. </w:t>
      </w:r>
      <w:r w:rsidRPr="007E4711">
        <w:t>This shift seems commonplace</w:t>
      </w:r>
      <w:r>
        <w:t xml:space="preserve">; </w:t>
      </w:r>
      <w:r w:rsidRPr="007E4711">
        <w:t xml:space="preserve">Huda </w:t>
      </w:r>
      <w:proofErr w:type="spellStart"/>
      <w:r w:rsidRPr="007E4711">
        <w:t>Sha’arawi’s</w:t>
      </w:r>
      <w:proofErr w:type="spellEnd"/>
      <w:r>
        <w:t xml:space="preserve"> translated</w:t>
      </w:r>
      <w:r w:rsidRPr="007E4711">
        <w:t xml:space="preserve"> memoir h</w:t>
      </w:r>
      <w:r>
        <w:t>as</w:t>
      </w:r>
      <w:r w:rsidRPr="007E4711">
        <w:t xml:space="preserve"> undergone analogous</w:t>
      </w:r>
      <w:r>
        <w:t xml:space="preserve"> treatment</w:t>
      </w:r>
      <w:r w:rsidRPr="007E4711">
        <w:t>.</w:t>
      </w:r>
      <w:r w:rsidR="00657777">
        <w:rPr>
          <w:rStyle w:val="FootnoteReference"/>
        </w:rPr>
        <w:footnoteReference w:id="67"/>
      </w:r>
      <w:r>
        <w:t xml:space="preserve"> </w:t>
      </w:r>
      <w:r w:rsidRPr="007E4711">
        <w:t xml:space="preserve">In </w:t>
      </w:r>
      <w:r>
        <w:t xml:space="preserve">the </w:t>
      </w:r>
      <w:r w:rsidRPr="007E4711">
        <w:t xml:space="preserve">light of </w:t>
      </w:r>
      <w:r>
        <w:t>examples</w:t>
      </w:r>
      <w:r w:rsidRPr="007E4711">
        <w:t>, it is perhaps fitting to recall Sumner’s notion of ethnocentrism and how it influences the process of identity construction: debasing the other operates in tandem with boosting oneself.</w:t>
      </w:r>
      <w:r w:rsidR="0018272A">
        <w:rPr>
          <w:rStyle w:val="FootnoteReference"/>
        </w:rPr>
        <w:footnoteReference w:id="68"/>
      </w:r>
      <w:r>
        <w:t xml:space="preserve"> </w:t>
      </w:r>
      <w:r w:rsidRPr="007E4711">
        <w:t xml:space="preserve">Elsewhere Booth </w:t>
      </w:r>
      <w:r w:rsidR="00D96737">
        <w:t>wrote</w:t>
      </w:r>
      <w:r>
        <w:t>,</w:t>
      </w:r>
      <w:r w:rsidRPr="007E4711">
        <w:t xml:space="preserve"> “Penguin’s decision to give full control of the translation to Alsanea after I had submitted my very different translation yielded, in my opinion, a text stripped of its political valence, muted in its gender politics, and denied its quite distinct voice</w:t>
      </w:r>
      <w:r w:rsidR="0018272A">
        <w:t>.</w:t>
      </w:r>
      <w:r w:rsidRPr="007E4711">
        <w:t>”</w:t>
      </w:r>
      <w:r w:rsidR="0018272A">
        <w:rPr>
          <w:rStyle w:val="FootnoteReference"/>
        </w:rPr>
        <w:footnoteReference w:id="69"/>
      </w:r>
      <w:r>
        <w:t xml:space="preserve"> </w:t>
      </w:r>
      <w:r w:rsidRPr="007E4711">
        <w:t xml:space="preserve">Although the above examples of the textual interventions I cited </w:t>
      </w:r>
      <w:r w:rsidRPr="007E4711">
        <w:lastRenderedPageBreak/>
        <w:t>from Booth’s articles may seem relatively exhaustive, they constitute only a fraction of the examples she provide</w:t>
      </w:r>
      <w:r w:rsidR="00D96737">
        <w:t>d</w:t>
      </w:r>
      <w:r w:rsidRPr="007E4711">
        <w:t xml:space="preserve">, taken from only the first </w:t>
      </w:r>
      <w:r w:rsidR="00D96737">
        <w:t>c</w:t>
      </w:r>
      <w:r w:rsidRPr="007E4711">
        <w:t>hapter of the published text.</w:t>
      </w:r>
      <w:r w:rsidR="0018272A">
        <w:rPr>
          <w:rStyle w:val="FootnoteReference"/>
        </w:rPr>
        <w:footnoteReference w:id="70"/>
      </w:r>
      <w:r w:rsidRPr="007E4711">
        <w:t xml:space="preserve"> </w:t>
      </w:r>
    </w:p>
    <w:p w14:paraId="13A9DBAA" w14:textId="0D66BEEE" w:rsidR="00CD5A58" w:rsidRPr="00677E5C" w:rsidRDefault="00CD5A58" w:rsidP="00677E5C">
      <w:r w:rsidRPr="007E4711">
        <w:t xml:space="preserve">Booth, however, </w:t>
      </w:r>
      <w:r>
        <w:t>is</w:t>
      </w:r>
      <w:r w:rsidRPr="007E4711">
        <w:t xml:space="preserve"> no</w:t>
      </w:r>
      <w:r>
        <w:t>t alone in expostulating with those interventions</w:t>
      </w:r>
      <w:r w:rsidRPr="007E4711">
        <w:t>.</w:t>
      </w:r>
      <w:r>
        <w:t xml:space="preserve"> </w:t>
      </w:r>
      <w:r w:rsidRPr="007E4711">
        <w:rPr>
          <w:color w:val="000000" w:themeColor="text1"/>
        </w:rPr>
        <w:t xml:space="preserve">Faiq grew suspicious of the English translation of </w:t>
      </w:r>
      <w:r w:rsidRPr="000E5714">
        <w:rPr>
          <w:i/>
          <w:iCs/>
          <w:color w:val="000000" w:themeColor="text1"/>
        </w:rPr>
        <w:t>GOR</w:t>
      </w:r>
      <w:r w:rsidRPr="007E4711">
        <w:rPr>
          <w:color w:val="000000" w:themeColor="text1"/>
        </w:rPr>
        <w:t xml:space="preserve"> when he noticed a certain addition in the translation</w:t>
      </w:r>
      <w:r>
        <w:rPr>
          <w:color w:val="000000" w:themeColor="text1"/>
        </w:rPr>
        <w:t>.</w:t>
      </w:r>
      <w:r w:rsidR="00C604F5">
        <w:rPr>
          <w:rStyle w:val="FootnoteReference"/>
          <w:color w:val="000000" w:themeColor="text1"/>
        </w:rPr>
        <w:footnoteReference w:id="71"/>
      </w:r>
      <w:r>
        <w:rPr>
          <w:color w:val="000000" w:themeColor="text1"/>
        </w:rPr>
        <w:t xml:space="preserve"> </w:t>
      </w:r>
      <w:r w:rsidRPr="007E4711">
        <w:rPr>
          <w:color w:val="000000" w:themeColor="text1"/>
        </w:rPr>
        <w:t>Faiq question</w:t>
      </w:r>
      <w:r w:rsidR="00D96737">
        <w:rPr>
          <w:color w:val="000000" w:themeColor="text1"/>
        </w:rPr>
        <w:t>ed</w:t>
      </w:r>
      <w:r w:rsidRPr="007E4711">
        <w:rPr>
          <w:color w:val="000000" w:themeColor="text1"/>
        </w:rPr>
        <w:t xml:space="preserve"> the addition of “</w:t>
      </w:r>
      <w:r w:rsidRPr="007E4711">
        <w:rPr>
          <w:i/>
          <w:iCs/>
          <w:color w:val="000000" w:themeColor="text1"/>
        </w:rPr>
        <w:t>abaya</w:t>
      </w:r>
      <w:r w:rsidRPr="007E4711">
        <w:rPr>
          <w:color w:val="000000" w:themeColor="text1"/>
        </w:rPr>
        <w:t xml:space="preserve">-clad,” stating that the only logical explanation for this shift is to “consolidate the view of how these ‘little Arab girls dress!’” And </w:t>
      </w:r>
      <w:r w:rsidR="00D96737">
        <w:rPr>
          <w:color w:val="000000" w:themeColor="text1"/>
        </w:rPr>
        <w:t>although</w:t>
      </w:r>
      <w:r w:rsidR="00D96737" w:rsidRPr="007E4711">
        <w:rPr>
          <w:color w:val="000000" w:themeColor="text1"/>
        </w:rPr>
        <w:t xml:space="preserve"> </w:t>
      </w:r>
      <w:r w:rsidRPr="007E4711">
        <w:rPr>
          <w:color w:val="000000" w:themeColor="text1"/>
        </w:rPr>
        <w:t>the Arabic segment contains no mention of how the characters dressed, the translation does.</w:t>
      </w:r>
      <w:r>
        <w:rPr>
          <w:color w:val="000000" w:themeColor="text1"/>
        </w:rPr>
        <w:t xml:space="preserve"> </w:t>
      </w:r>
      <w:r w:rsidRPr="007E4711">
        <w:rPr>
          <w:color w:val="000000" w:themeColor="text1"/>
        </w:rPr>
        <w:t xml:space="preserve">Faiq’s misgiving about this shift and the </w:t>
      </w:r>
      <w:r>
        <w:rPr>
          <w:color w:val="000000" w:themeColor="text1"/>
        </w:rPr>
        <w:t>explanation</w:t>
      </w:r>
      <w:r w:rsidRPr="007E4711">
        <w:rPr>
          <w:color w:val="000000" w:themeColor="text1"/>
        </w:rPr>
        <w:t xml:space="preserve"> he provide</w:t>
      </w:r>
      <w:r w:rsidR="009A1445">
        <w:rPr>
          <w:color w:val="000000" w:themeColor="text1"/>
        </w:rPr>
        <w:t>d</w:t>
      </w:r>
      <w:r w:rsidRPr="007E4711">
        <w:rPr>
          <w:color w:val="000000" w:themeColor="text1"/>
        </w:rPr>
        <w:t xml:space="preserve"> for it </w:t>
      </w:r>
      <w:r>
        <w:rPr>
          <w:color w:val="000000" w:themeColor="text1"/>
        </w:rPr>
        <w:t>seems</w:t>
      </w:r>
      <w:r w:rsidRPr="007E4711">
        <w:rPr>
          <w:color w:val="000000" w:themeColor="text1"/>
        </w:rPr>
        <w:t xml:space="preserve"> reasonable</w:t>
      </w:r>
      <w:r>
        <w:rPr>
          <w:color w:val="000000" w:themeColor="text1"/>
        </w:rPr>
        <w:t>,</w:t>
      </w:r>
      <w:r w:rsidRPr="007E4711">
        <w:rPr>
          <w:color w:val="000000" w:themeColor="text1"/>
        </w:rPr>
        <w:t xml:space="preserve"> as they dovetail with the consistent shifts observed by Booth—and the packaging of a large swath of Arabic literary works in English translation</w:t>
      </w:r>
      <w:r>
        <w:rPr>
          <w:color w:val="000000" w:themeColor="text1"/>
        </w:rPr>
        <w:t>.</w:t>
      </w:r>
      <w:r w:rsidRPr="007E4711">
        <w:t xml:space="preserve">“[if the] Arab woman [is] </w:t>
      </w:r>
      <w:r w:rsidRPr="007E4711">
        <w:rPr>
          <w:i/>
          <w:iCs/>
        </w:rPr>
        <w:t>not wrapped in ten layers of fabric</w:t>
      </w:r>
      <w:r w:rsidRPr="007E4711">
        <w:t xml:space="preserve"> [emphasis added], forced to marry her cross-eyed cousin, and pushed to the back seat of a car, then, ‘the reviewer says, ‘What an unrealistic depiction of Arab women!’,” state</w:t>
      </w:r>
      <w:r w:rsidR="009A1445">
        <w:t>d</w:t>
      </w:r>
      <w:r w:rsidRPr="007E4711">
        <w:t xml:space="preserve"> </w:t>
      </w:r>
      <w:r>
        <w:t xml:space="preserve">Adam </w:t>
      </w:r>
      <w:r w:rsidRPr="007E4711">
        <w:t>Talib.</w:t>
      </w:r>
      <w:r w:rsidR="009814E3">
        <w:rPr>
          <w:rStyle w:val="FootnoteReference"/>
        </w:rPr>
        <w:footnoteReference w:id="72"/>
      </w:r>
      <w:r>
        <w:t xml:space="preserve"> </w:t>
      </w:r>
      <w:r w:rsidRPr="007E4711">
        <w:t xml:space="preserve">Talib’s note, albeit made not with reference to </w:t>
      </w:r>
      <w:r w:rsidRPr="000E5714">
        <w:rPr>
          <w:i/>
          <w:iCs/>
        </w:rPr>
        <w:t>GOR</w:t>
      </w:r>
      <w:r w:rsidRPr="007E4711">
        <w:t>, is still relevant: reviewers at Penguin seem to have found the absence of a veil</w:t>
      </w:r>
      <w:r>
        <w:t>, and its concomitant image of woman,</w:t>
      </w:r>
      <w:r w:rsidRPr="007E4711">
        <w:t xml:space="preserve"> “peculiar,” flagging it as an aberration</w:t>
      </w:r>
      <w:r>
        <w:t>,</w:t>
      </w:r>
      <w:r w:rsidRPr="007E4711">
        <w:t xml:space="preserve"> and therefore made that addition to align the representation of the </w:t>
      </w:r>
      <w:r>
        <w:t>“</w:t>
      </w:r>
      <w:r w:rsidRPr="007E4711">
        <w:t>other</w:t>
      </w:r>
      <w:r>
        <w:t>”</w:t>
      </w:r>
      <w:r w:rsidRPr="007E4711">
        <w:t xml:space="preserve"> with the way it has always been represented</w:t>
      </w:r>
      <w:r w:rsidR="00EB44B0">
        <w:t>.</w:t>
      </w:r>
      <w:r w:rsidR="00EB44B0">
        <w:rPr>
          <w:rStyle w:val="FootnoteReference"/>
        </w:rPr>
        <w:footnoteReference w:id="73"/>
      </w:r>
      <w:r>
        <w:t xml:space="preserve"> </w:t>
      </w:r>
      <w:r w:rsidRPr="007E4711">
        <w:t xml:space="preserve">“Many of our limited notions about Arab </w:t>
      </w:r>
      <w:r w:rsidRPr="007E4711">
        <w:lastRenderedPageBreak/>
        <w:t>wom</w:t>
      </w:r>
      <w:r>
        <w:t>e</w:t>
      </w:r>
      <w:r w:rsidRPr="007E4711">
        <w:t xml:space="preserve">n,” Hartman </w:t>
      </w:r>
      <w:r w:rsidR="009A1445">
        <w:t>wrote</w:t>
      </w:r>
      <w:r w:rsidRPr="007E4711">
        <w:t>, in harmony with Said and Talib, are propagated by “a sameness of representation</w:t>
      </w:r>
      <w:r w:rsidR="00EB44B0">
        <w:t>.</w:t>
      </w:r>
      <w:r w:rsidRPr="007E4711">
        <w:t>”</w:t>
      </w:r>
      <w:r w:rsidR="00EB44B0">
        <w:rPr>
          <w:rStyle w:val="FootnoteReference"/>
        </w:rPr>
        <w:footnoteReference w:id="74"/>
      </w:r>
      <w:r>
        <w:t xml:space="preserve"> </w:t>
      </w:r>
    </w:p>
    <w:p w14:paraId="765CBD94" w14:textId="39B77AF1" w:rsidR="00CD5A58" w:rsidRDefault="00CD5A58" w:rsidP="003E3F9B">
      <w:pPr>
        <w:pStyle w:val="Heading1"/>
        <w:numPr>
          <w:ilvl w:val="0"/>
          <w:numId w:val="0"/>
        </w:numPr>
      </w:pPr>
      <w:r>
        <w:t>Collecting and Analyzing the Data</w:t>
      </w:r>
    </w:p>
    <w:p w14:paraId="5EE1D924" w14:textId="5A69E9F8" w:rsidR="00CD5A58" w:rsidRDefault="00CD5A58" w:rsidP="00CB337E">
      <w:r w:rsidRPr="007E4711">
        <w:t xml:space="preserve">All data </w:t>
      </w:r>
      <w:r>
        <w:t>were</w:t>
      </w:r>
      <w:r w:rsidRPr="007E4711">
        <w:t xml:space="preserve"> collected </w:t>
      </w:r>
      <w:r>
        <w:t>over</w:t>
      </w:r>
      <w:r w:rsidRPr="007E4711">
        <w:t xml:space="preserve"> </w:t>
      </w:r>
      <w:r>
        <w:t>a period of four</w:t>
      </w:r>
      <w:r w:rsidRPr="007E4711">
        <w:t xml:space="preserve"> months, </w:t>
      </w:r>
      <w:r w:rsidR="00C468CF">
        <w:t xml:space="preserve">between </w:t>
      </w:r>
      <w:r w:rsidRPr="007E4711">
        <w:t>September</w:t>
      </w:r>
      <w:r w:rsidR="00071F60">
        <w:t xml:space="preserve"> 2019</w:t>
      </w:r>
      <w:r w:rsidRPr="007E4711">
        <w:t>–</w:t>
      </w:r>
      <w:r w:rsidR="00071F60">
        <w:t>January</w:t>
      </w:r>
      <w:r w:rsidRPr="007E4711">
        <w:t xml:space="preserve"> 20</w:t>
      </w:r>
      <w:r w:rsidR="00071F60">
        <w:t>20</w:t>
      </w:r>
      <w:r>
        <w:t xml:space="preserve">. The total number of the Arabic reviews culled from </w:t>
      </w:r>
      <w:r w:rsidRPr="00087E85">
        <w:rPr>
          <w:i/>
          <w:iCs/>
        </w:rPr>
        <w:t>Goodreads.com</w:t>
      </w:r>
      <w:r>
        <w:t xml:space="preserve"> is 172, amounting to 12</w:t>
      </w:r>
      <w:r w:rsidR="00C468CF">
        <w:t>,</w:t>
      </w:r>
      <w:r>
        <w:t xml:space="preserve">333 words; </w:t>
      </w:r>
      <w:r w:rsidR="00C468CF">
        <w:t xml:space="preserve">whereas </w:t>
      </w:r>
      <w:r>
        <w:t>that of the English, culled from the U</w:t>
      </w:r>
      <w:r w:rsidR="00C468CF">
        <w:t>.</w:t>
      </w:r>
      <w:r>
        <w:t>S</w:t>
      </w:r>
      <w:r w:rsidR="00C468CF">
        <w:t>.</w:t>
      </w:r>
      <w:r>
        <w:t xml:space="preserve"> </w:t>
      </w:r>
      <w:r w:rsidRPr="00087E85">
        <w:rPr>
          <w:i/>
          <w:iCs/>
        </w:rPr>
        <w:t>Amazon.com</w:t>
      </w:r>
      <w:r w:rsidRPr="00087E85">
        <w:t>,</w:t>
      </w:r>
      <w:r>
        <w:t xml:space="preserve"> is 86, amounting to 13</w:t>
      </w:r>
      <w:r w:rsidR="00C468CF">
        <w:t>,</w:t>
      </w:r>
      <w:r>
        <w:t>036</w:t>
      </w:r>
      <w:r w:rsidR="00C468CF">
        <w:t xml:space="preserve"> words</w:t>
      </w:r>
      <w:r>
        <w:t xml:space="preserve">. </w:t>
      </w:r>
      <w:r w:rsidRPr="007E4711">
        <w:t>Before</w:t>
      </w:r>
      <w:r>
        <w:t xml:space="preserve"> I</w:t>
      </w:r>
      <w:r w:rsidRPr="007E4711">
        <w:t xml:space="preserve"> delineat</w:t>
      </w:r>
      <w:r>
        <w:t xml:space="preserve">e </w:t>
      </w:r>
      <w:r w:rsidRPr="007E4711">
        <w:t xml:space="preserve">how the data </w:t>
      </w:r>
      <w:r w:rsidR="00C468CF">
        <w:t>were</w:t>
      </w:r>
      <w:r w:rsidR="00C468CF" w:rsidRPr="007E4711">
        <w:t xml:space="preserve"> </w:t>
      </w:r>
      <w:r w:rsidRPr="007E4711">
        <w:t>collected, it is crucial to establish criteria for what constitutes a review to be included in the corpus for analysis.</w:t>
      </w:r>
      <w:r>
        <w:t xml:space="preserve"> T</w:t>
      </w:r>
      <w:r w:rsidRPr="007E4711">
        <w:t xml:space="preserve">his project </w:t>
      </w:r>
      <w:r>
        <w:t>investigates</w:t>
      </w:r>
      <w:r w:rsidRPr="007E4711">
        <w:t xml:space="preserve"> the anglophone, particularly </w:t>
      </w:r>
      <w:r>
        <w:t xml:space="preserve">the </w:t>
      </w:r>
      <w:r w:rsidRPr="007E4711">
        <w:t>U</w:t>
      </w:r>
      <w:r w:rsidR="00C468CF">
        <w:t>.</w:t>
      </w:r>
      <w:r w:rsidRPr="007E4711">
        <w:t>S</w:t>
      </w:r>
      <w:r w:rsidR="00C468CF">
        <w:t>.</w:t>
      </w:r>
      <w:r w:rsidRPr="007E4711">
        <w:t>, and Arabopho</w:t>
      </w:r>
      <w:r>
        <w:t>n</w:t>
      </w:r>
      <w:r w:rsidRPr="007E4711">
        <w:t xml:space="preserve">e reception </w:t>
      </w:r>
      <w:r>
        <w:t>of the text</w:t>
      </w:r>
      <w:r w:rsidRPr="007E4711">
        <w:t>.</w:t>
      </w:r>
      <w:r>
        <w:t xml:space="preserve"> Therefore,</w:t>
      </w:r>
      <w:r w:rsidRPr="007E4711">
        <w:t xml:space="preserve"> a working definition</w:t>
      </w:r>
      <w:r>
        <w:t xml:space="preserve"> (operationalization)</w:t>
      </w:r>
      <w:r w:rsidRPr="007E4711">
        <w:t xml:space="preserve"> </w:t>
      </w:r>
      <w:r>
        <w:t>of what</w:t>
      </w:r>
      <w:r w:rsidRPr="007E4711">
        <w:t xml:space="preserve"> </w:t>
      </w:r>
      <w:r>
        <w:t xml:space="preserve">constitutes a </w:t>
      </w:r>
      <w:r w:rsidRPr="007E4711">
        <w:t xml:space="preserve">review is </w:t>
      </w:r>
      <w:r>
        <w:t>in order</w:t>
      </w:r>
      <w:r w:rsidRPr="007E4711">
        <w:t>.</w:t>
      </w:r>
      <w:r>
        <w:t xml:space="preserve"> </w:t>
      </w:r>
      <w:r w:rsidRPr="007E4711">
        <w:t xml:space="preserve">For the present </w:t>
      </w:r>
      <w:r>
        <w:t>paper</w:t>
      </w:r>
      <w:r w:rsidRPr="007E4711">
        <w:t>, a review is a report written by the reader in which there is clear articulation of</w:t>
      </w:r>
      <w:r>
        <w:t xml:space="preserve"> </w:t>
      </w:r>
      <w:r w:rsidR="00C468CF">
        <w:t xml:space="preserve">an </w:t>
      </w:r>
      <w:r>
        <w:t xml:space="preserve">interpretation or </w:t>
      </w:r>
      <w:r w:rsidRPr="007E4711">
        <w:t>position toward the text</w:t>
      </w:r>
      <w:r>
        <w:t>. Hence,</w:t>
      </w:r>
      <w:r w:rsidRPr="007E4711">
        <w:t xml:space="preserve"> a purposive sampling strategy,</w:t>
      </w:r>
      <w:r w:rsidR="00BE5C12">
        <w:rPr>
          <w:rStyle w:val="FootnoteReference"/>
        </w:rPr>
        <w:footnoteReference w:id="75"/>
      </w:r>
      <w:r>
        <w:t xml:space="preserve"> the</w:t>
      </w:r>
      <w:r w:rsidRPr="007E4711">
        <w:t xml:space="preserve"> pre-defined criteria, was adopted for data collection</w:t>
      </w:r>
      <w:r>
        <w:t xml:space="preserve">, and this necessitated </w:t>
      </w:r>
      <w:r w:rsidR="000A6DAE">
        <w:t xml:space="preserve">the </w:t>
      </w:r>
      <w:r>
        <w:t>perusal of all the reader responses to ensure their compliance. E</w:t>
      </w:r>
      <w:r w:rsidRPr="007E4711">
        <w:t xml:space="preserve">xcluding irrelevant reviews (those failing to match my working, guiding definition) </w:t>
      </w:r>
      <w:r w:rsidR="000A6DAE">
        <w:t>was</w:t>
      </w:r>
      <w:r w:rsidR="000A6DAE" w:rsidRPr="007E4711">
        <w:t xml:space="preserve"> </w:t>
      </w:r>
      <w:r w:rsidRPr="007E4711">
        <w:t>of paramount importance</w:t>
      </w:r>
      <w:r>
        <w:t>,</w:t>
      </w:r>
      <w:r w:rsidRPr="007E4711">
        <w:t xml:space="preserve"> as failing to do so </w:t>
      </w:r>
      <w:r>
        <w:t xml:space="preserve">would </w:t>
      </w:r>
      <w:r w:rsidR="000A6DAE">
        <w:t xml:space="preserve">have </w:t>
      </w:r>
      <w:r w:rsidRPr="007E4711">
        <w:t xml:space="preserve">led to the inclusion of </w:t>
      </w:r>
      <w:r>
        <w:t xml:space="preserve">unrelated data that would </w:t>
      </w:r>
      <w:r w:rsidR="000A6DAE">
        <w:t xml:space="preserve">have </w:t>
      </w:r>
      <w:r>
        <w:t>jeopardize</w:t>
      </w:r>
      <w:r w:rsidR="000A6DAE">
        <w:t>d</w:t>
      </w:r>
      <w:r>
        <w:t xml:space="preserve"> the contingent findings</w:t>
      </w:r>
      <w:r w:rsidRPr="007E4711">
        <w:t>.</w:t>
      </w:r>
      <w:r>
        <w:t xml:space="preserve"> The reasons for excluding some reviews vary, and below some examples are proffered.</w:t>
      </w:r>
    </w:p>
    <w:p w14:paraId="19541605" w14:textId="77777777" w:rsidR="00CD5A58" w:rsidRDefault="00CD5A58" w:rsidP="00DA199D">
      <w:r>
        <w:lastRenderedPageBreak/>
        <w:t>Some</w:t>
      </w:r>
      <w:r w:rsidRPr="00E062EA">
        <w:t xml:space="preserve"> </w:t>
      </w:r>
      <w:r w:rsidRPr="007E4711">
        <w:t xml:space="preserve">reviews </w:t>
      </w:r>
      <w:r>
        <w:t>offer</w:t>
      </w:r>
      <w:r w:rsidRPr="007E4711">
        <w:t xml:space="preserve"> information </w:t>
      </w:r>
      <w:r>
        <w:t xml:space="preserve">only </w:t>
      </w:r>
      <w:r w:rsidRPr="007E4711">
        <w:t>about how the reviewer knew about the work</w:t>
      </w:r>
      <w:r>
        <w:t xml:space="preserve"> or </w:t>
      </w:r>
      <w:r w:rsidRPr="007E4711">
        <w:t xml:space="preserve">obtained a copy </w:t>
      </w:r>
      <w:r>
        <w:t>thereof</w:t>
      </w:r>
      <w:r w:rsidRPr="007E4711">
        <w:t xml:space="preserve"> (e.g., I received this for my birthday),</w:t>
      </w:r>
      <w:r>
        <w:t xml:space="preserve"> abstaining from articulating a position </w:t>
      </w:r>
      <w:r w:rsidRPr="007E4711">
        <w:t>following reading</w:t>
      </w:r>
      <w:r>
        <w:t xml:space="preserve">. Another </w:t>
      </w:r>
      <w:r w:rsidRPr="007E4711">
        <w:t xml:space="preserve">review </w:t>
      </w:r>
      <w:r>
        <w:t xml:space="preserve">dealt </w:t>
      </w:r>
      <w:r w:rsidRPr="007E4711">
        <w:t xml:space="preserve">with an irrelevant version of the text </w:t>
      </w:r>
      <w:r>
        <w:t xml:space="preserve">(i.e., </w:t>
      </w:r>
      <w:r w:rsidRPr="007E4711">
        <w:t>the German translation</w:t>
      </w:r>
      <w:r>
        <w:t xml:space="preserve">), </w:t>
      </w:r>
      <w:r w:rsidRPr="007E4711">
        <w:t xml:space="preserve">which </w:t>
      </w:r>
      <w:r>
        <w:t>has</w:t>
      </w:r>
      <w:r w:rsidRPr="007E4711">
        <w:t xml:space="preserve"> been </w:t>
      </w:r>
      <w:r>
        <w:t>excluded</w:t>
      </w:r>
      <w:r w:rsidRPr="007E4711">
        <w:t xml:space="preserve"> as </w:t>
      </w:r>
      <w:r>
        <w:t>it</w:t>
      </w:r>
      <w:r w:rsidRPr="007E4711">
        <w:t xml:space="preserve"> lie</w:t>
      </w:r>
      <w:r>
        <w:t>s</w:t>
      </w:r>
      <w:r w:rsidRPr="007E4711">
        <w:t xml:space="preserve"> outside the scope of the </w:t>
      </w:r>
      <w:r>
        <w:t>current</w:t>
      </w:r>
      <w:r w:rsidRPr="007E4711">
        <w:t xml:space="preserve"> project</w:t>
      </w:r>
      <w:r>
        <w:t>. R</w:t>
      </w:r>
      <w:r w:rsidRPr="007E4711">
        <w:t>eviews about the seller through which the reader has purchased the text</w:t>
      </w:r>
      <w:r>
        <w:t xml:space="preserve"> have also been sifted out.</w:t>
      </w:r>
      <w:r w:rsidRPr="007E4711">
        <w:rPr>
          <w:rStyle w:val="FootnoteReference"/>
        </w:rPr>
        <w:footnoteReference w:id="76"/>
      </w:r>
      <w:r>
        <w:t xml:space="preserve"> Some anglophone r</w:t>
      </w:r>
      <w:r w:rsidRPr="007E4711">
        <w:t>eviews</w:t>
      </w:r>
      <w:r>
        <w:t xml:space="preserve"> were </w:t>
      </w:r>
      <w:r w:rsidRPr="007E4711">
        <w:t>written by readers</w:t>
      </w:r>
      <w:r>
        <w:t xml:space="preserve"> currently </w:t>
      </w:r>
      <w:r w:rsidRPr="007E4711">
        <w:t xml:space="preserve">living in an Arab country </w:t>
      </w:r>
      <w:r>
        <w:t xml:space="preserve">(as they state) </w:t>
      </w:r>
      <w:r w:rsidRPr="007E4711">
        <w:t xml:space="preserve">and then </w:t>
      </w:r>
      <w:r>
        <w:t>veered</w:t>
      </w:r>
      <w:r w:rsidRPr="007E4711">
        <w:t xml:space="preserve"> off to </w:t>
      </w:r>
      <w:r>
        <w:t>narrate</w:t>
      </w:r>
      <w:r w:rsidRPr="007E4711">
        <w:t xml:space="preserve"> experiences and personal encounters with the locals</w:t>
      </w:r>
      <w:r>
        <w:t>, not the “meaning” constructed from reading the text in question. Data analysis is explained next.</w:t>
      </w:r>
    </w:p>
    <w:p w14:paraId="49DD6C6C" w14:textId="177699D9" w:rsidR="00CD5A58" w:rsidRPr="007E4711" w:rsidRDefault="00CD5A58" w:rsidP="00E502CC">
      <w:r w:rsidRPr="007E4711">
        <w:t xml:space="preserve">First, two subsequent procedures </w:t>
      </w:r>
      <w:r>
        <w:t xml:space="preserve">were </w:t>
      </w:r>
      <w:r w:rsidRPr="007E4711">
        <w:t>conducted: a quantitative analysis (quantification of the most frequent twenty</w:t>
      </w:r>
      <w:r>
        <w:t xml:space="preserve"> keywords in context</w:t>
      </w:r>
      <w:r w:rsidRPr="007E4711">
        <w:t xml:space="preserve"> </w:t>
      </w:r>
      <w:r>
        <w:t>(</w:t>
      </w:r>
      <w:r w:rsidRPr="007E4711">
        <w:t>KWIC</w:t>
      </w:r>
      <w:r>
        <w:t xml:space="preserve">s) </w:t>
      </w:r>
      <w:r w:rsidRPr="007E4711">
        <w:t>appearing in the reviews) and a qualitative counterpart (analysis of the KWICs</w:t>
      </w:r>
      <w:r>
        <w:t xml:space="preserve"> in their respective contexts</w:t>
      </w:r>
      <w:r w:rsidRPr="007E4711">
        <w:t>).</w:t>
      </w:r>
      <w:r>
        <w:t xml:space="preserve"> </w:t>
      </w:r>
      <w:r w:rsidRPr="007E4711">
        <w:t xml:space="preserve">So, I </w:t>
      </w:r>
      <w:r w:rsidR="00A22EB8">
        <w:t>did</w:t>
      </w:r>
      <w:r w:rsidR="00A22EB8" w:rsidRPr="007E4711">
        <w:t xml:space="preserve"> </w:t>
      </w:r>
      <w:r w:rsidRPr="007E4711">
        <w:t xml:space="preserve">not subjectively decide what KWICs to analyze; they </w:t>
      </w:r>
      <w:r w:rsidR="00A22EB8">
        <w:t>were</w:t>
      </w:r>
      <w:r w:rsidRPr="007E4711">
        <w:t xml:space="preserve"> objectively selected as dictated by the statistical data (frequency lists) that emerge</w:t>
      </w:r>
      <w:r w:rsidR="00A22EB8">
        <w:t>d</w:t>
      </w:r>
      <w:r w:rsidRPr="007E4711">
        <w:t xml:space="preserve"> </w:t>
      </w:r>
      <w:r>
        <w:t>after uploading</w:t>
      </w:r>
      <w:r w:rsidRPr="007E4711">
        <w:t xml:space="preserve"> the corpora</w:t>
      </w:r>
      <w:r>
        <w:t xml:space="preserve"> to</w:t>
      </w:r>
      <w:r w:rsidRPr="007E4711">
        <w:t xml:space="preserve"> the tool.</w:t>
      </w:r>
      <w:r>
        <w:t xml:space="preserve"> </w:t>
      </w:r>
      <w:r w:rsidRPr="007E4711">
        <w:t xml:space="preserve">The exact steps, adapted from John Sinclair’s </w:t>
      </w:r>
      <w:r w:rsidRPr="007E4711">
        <w:rPr>
          <w:i/>
          <w:iCs/>
        </w:rPr>
        <w:t>Reading Concordances: An Introduction</w:t>
      </w:r>
      <w:r w:rsidRPr="007E4711">
        <w:t>,</w:t>
      </w:r>
      <w:r w:rsidR="009938C5">
        <w:rPr>
          <w:rStyle w:val="FootnoteReference"/>
        </w:rPr>
        <w:footnoteReference w:id="77"/>
      </w:r>
      <w:r w:rsidRPr="007E4711">
        <w:t xml:space="preserve"> followed for analysis are as follows:</w:t>
      </w:r>
    </w:p>
    <w:p w14:paraId="4E954453" w14:textId="77777777" w:rsidR="00CD5A58" w:rsidRPr="007E4711" w:rsidRDefault="00CD5A58" w:rsidP="00E502CC">
      <w:pPr>
        <w:pStyle w:val="ListParagraph"/>
        <w:numPr>
          <w:ilvl w:val="0"/>
          <w:numId w:val="12"/>
        </w:numPr>
        <w:ind w:left="1080"/>
      </w:pPr>
      <w:proofErr w:type="gramStart"/>
      <w:r w:rsidRPr="007E4711">
        <w:t>initiate;</w:t>
      </w:r>
      <w:proofErr w:type="gramEnd"/>
      <w:r w:rsidRPr="007E4711">
        <w:t xml:space="preserve"> looking at the segments in which the keywords occur to spot any recurring themes;</w:t>
      </w:r>
    </w:p>
    <w:p w14:paraId="4F6AFCDE" w14:textId="77777777" w:rsidR="00CD5A58" w:rsidRPr="007E4711" w:rsidRDefault="00CD5A58" w:rsidP="00E502CC">
      <w:pPr>
        <w:pStyle w:val="ListParagraph"/>
        <w:numPr>
          <w:ilvl w:val="0"/>
          <w:numId w:val="11"/>
        </w:numPr>
        <w:ind w:left="1080"/>
      </w:pPr>
      <w:r w:rsidRPr="007E4711">
        <w:t xml:space="preserve">interpret; looking at the repeated themes and patterns to try to form a </w:t>
      </w:r>
      <w:proofErr w:type="gramStart"/>
      <w:r w:rsidRPr="007E4711">
        <w:t>hypothesis;</w:t>
      </w:r>
      <w:proofErr w:type="gramEnd"/>
    </w:p>
    <w:p w14:paraId="5673ACE2" w14:textId="77777777" w:rsidR="00CD5A58" w:rsidRPr="007E4711" w:rsidRDefault="00CD5A58" w:rsidP="00E502CC">
      <w:pPr>
        <w:pStyle w:val="ListParagraph"/>
        <w:numPr>
          <w:ilvl w:val="0"/>
          <w:numId w:val="11"/>
        </w:numPr>
        <w:ind w:left="1080"/>
      </w:pPr>
      <w:r w:rsidRPr="007E4711">
        <w:lastRenderedPageBreak/>
        <w:t xml:space="preserve">consolidate; assuming the previous steps have been a success (a hypothesis has been </w:t>
      </w:r>
      <w:r>
        <w:t>developed</w:t>
      </w:r>
      <w:r w:rsidRPr="007E4711">
        <w:t xml:space="preserve"> following the observation of an emerging pattern), look for further evidence, with openness to noting new </w:t>
      </w:r>
      <w:proofErr w:type="gramStart"/>
      <w:r w:rsidRPr="007E4711">
        <w:t>patterns;</w:t>
      </w:r>
      <w:proofErr w:type="gramEnd"/>
    </w:p>
    <w:p w14:paraId="2EBC4AF2" w14:textId="77777777" w:rsidR="00CD5A58" w:rsidRPr="007E4711" w:rsidRDefault="00CD5A58" w:rsidP="00E502CC">
      <w:pPr>
        <w:pStyle w:val="ListParagraph"/>
        <w:numPr>
          <w:ilvl w:val="0"/>
          <w:numId w:val="11"/>
        </w:numPr>
        <w:ind w:left="1080"/>
      </w:pPr>
      <w:proofErr w:type="gramStart"/>
      <w:r w:rsidRPr="007E4711">
        <w:t>report;</w:t>
      </w:r>
      <w:proofErr w:type="gramEnd"/>
      <w:r w:rsidRPr="007E4711">
        <w:t xml:space="preserve"> assigning a label (</w:t>
      </w:r>
      <w:r>
        <w:t>or “</w:t>
      </w:r>
      <w:r w:rsidRPr="007E4711">
        <w:t>code</w:t>
      </w:r>
      <w:r>
        <w:t>,” to maintain consistency with the terminology of the tool used for the analysis</w:t>
      </w:r>
      <w:r w:rsidRPr="007E4711">
        <w:t>) to the emerging patterns and a number that indicates how many times each pattern occurred;</w:t>
      </w:r>
    </w:p>
    <w:p w14:paraId="0893EE86" w14:textId="77777777" w:rsidR="00CD5A58" w:rsidRPr="007E4711" w:rsidRDefault="00CD5A58" w:rsidP="00E502CC">
      <w:pPr>
        <w:pStyle w:val="ListParagraph"/>
        <w:numPr>
          <w:ilvl w:val="0"/>
          <w:numId w:val="11"/>
        </w:numPr>
        <w:ind w:left="1080"/>
      </w:pPr>
      <w:r w:rsidRPr="007E4711">
        <w:t xml:space="preserve">recycle; following the same steps, looking at the next most repeated </w:t>
      </w:r>
      <w:proofErr w:type="gramStart"/>
      <w:r w:rsidRPr="007E4711">
        <w:t>pattern;</w:t>
      </w:r>
      <w:proofErr w:type="gramEnd"/>
    </w:p>
    <w:p w14:paraId="2E323E88" w14:textId="77777777" w:rsidR="00CD5A58" w:rsidRPr="007E4711" w:rsidRDefault="00CD5A58" w:rsidP="00E502CC">
      <w:pPr>
        <w:pStyle w:val="ListParagraph"/>
        <w:numPr>
          <w:ilvl w:val="0"/>
          <w:numId w:val="11"/>
        </w:numPr>
        <w:ind w:left="1080"/>
      </w:pPr>
      <w:proofErr w:type="gramStart"/>
      <w:r w:rsidRPr="007E4711">
        <w:t>result;</w:t>
      </w:r>
      <w:proofErr w:type="gramEnd"/>
      <w:r w:rsidRPr="007E4711">
        <w:t xml:space="preserve"> reporting all emerging patterns assigned to the given keyword, along with the number of occurrences of each theme</w:t>
      </w:r>
      <w:r>
        <w:t>;</w:t>
      </w:r>
    </w:p>
    <w:p w14:paraId="5895B58E" w14:textId="77777777" w:rsidR="00CD5A58" w:rsidRPr="007E4711" w:rsidRDefault="00CD5A58" w:rsidP="00E502CC">
      <w:pPr>
        <w:pStyle w:val="ListParagraph"/>
        <w:numPr>
          <w:ilvl w:val="0"/>
          <w:numId w:val="11"/>
        </w:numPr>
        <w:ind w:left="1080"/>
      </w:pPr>
      <w:r w:rsidRPr="007E4711">
        <w:t>repeat; moving on to the next keyword and reapplying the steps above</w:t>
      </w:r>
      <w:r>
        <w:t>.</w:t>
      </w:r>
    </w:p>
    <w:p w14:paraId="0262F3BD" w14:textId="761FB893" w:rsidR="00CD5A58" w:rsidRPr="00E062EA" w:rsidRDefault="00EC71F0" w:rsidP="00E502CC">
      <w:pPr>
        <w:ind w:firstLine="0"/>
      </w:pPr>
      <w:r>
        <w:t xml:space="preserve">I used </w:t>
      </w:r>
      <w:r w:rsidR="00CD5A58" w:rsidRPr="007E4711">
        <w:rPr>
          <w:i/>
          <w:iCs/>
        </w:rPr>
        <w:t>ATLAS.ti</w:t>
      </w:r>
      <w:r w:rsidR="00CD5A58" w:rsidRPr="007E4711">
        <w:t xml:space="preserve"> software </w:t>
      </w:r>
      <w:r w:rsidR="00A22EB8">
        <w:t>to analyze the data</w:t>
      </w:r>
      <w:r w:rsidR="00CD5A58">
        <w:t>. Th</w:t>
      </w:r>
      <w:r w:rsidR="00A22EB8">
        <w:t>is</w:t>
      </w:r>
      <w:r w:rsidR="00CD5A58">
        <w:t xml:space="preserve"> analysis procedure involves a great deal of decision-making, but I abstain from expounding the decisions for reasons of space; however, footnotes </w:t>
      </w:r>
      <w:r w:rsidR="00A22EB8">
        <w:t>are</w:t>
      </w:r>
      <w:r w:rsidR="00CD5A58">
        <w:t xml:space="preserve"> provided in the discussion section for occasional clarifications. </w:t>
      </w:r>
    </w:p>
    <w:p w14:paraId="292D4366" w14:textId="77777777" w:rsidR="00CD5A58" w:rsidRPr="007E4711" w:rsidRDefault="00CD5A58" w:rsidP="002E0D5C">
      <w:pPr>
        <w:pStyle w:val="Heading2"/>
      </w:pPr>
      <w:bookmarkStart w:id="0" w:name="_Toc58663227"/>
      <w:r w:rsidRPr="007E4711">
        <w:t>Packaging</w:t>
      </w:r>
      <w:bookmarkEnd w:id="0"/>
    </w:p>
    <w:p w14:paraId="487F5A34" w14:textId="77777777" w:rsidR="00CD5A58" w:rsidRDefault="00CD5A58" w:rsidP="002E0D5C">
      <w:pPr>
        <w:pStyle w:val="Heading3"/>
      </w:pPr>
      <w:bookmarkStart w:id="1" w:name="_Toc58663228"/>
      <w:r w:rsidRPr="007E4711">
        <w:t xml:space="preserve">Visual </w:t>
      </w:r>
      <w:r>
        <w:t>P</w:t>
      </w:r>
      <w:r w:rsidRPr="007E4711">
        <w:t>aratexts</w:t>
      </w:r>
      <w:bookmarkEnd w:id="1"/>
    </w:p>
    <w:p w14:paraId="58B44592" w14:textId="4ACA6BE7" w:rsidR="00CD5A58" w:rsidRPr="000F5677" w:rsidRDefault="00CD5A58" w:rsidP="000F5677">
      <w:r w:rsidRPr="007E4711">
        <w:t xml:space="preserve">A cursory glance at the figure </w:t>
      </w:r>
      <w:r>
        <w:t>below</w:t>
      </w:r>
      <w:r w:rsidRPr="007E4711">
        <w:t xml:space="preserve"> reveals how different the images of the two texts are.</w:t>
      </w:r>
      <w:r>
        <w:t xml:space="preserve"> </w:t>
      </w:r>
      <w:r w:rsidRPr="007E4711">
        <w:t xml:space="preserve">The Arabic displays some cartoonish/caricature images of male and female Saudis, next to which appears a computer mouse cursor, hinting at the </w:t>
      </w:r>
      <w:r w:rsidR="00EC71F0">
        <w:t xml:space="preserve">text’s </w:t>
      </w:r>
      <w:r w:rsidRPr="007E4711">
        <w:t>genre and format.</w:t>
      </w:r>
      <w:r>
        <w:t xml:space="preserve"> </w:t>
      </w:r>
      <w:r w:rsidRPr="007E4711">
        <w:t>The novelist</w:t>
      </w:r>
      <w:r w:rsidR="00EC71F0">
        <w:t>’s name</w:t>
      </w:r>
      <w:r w:rsidRPr="007E4711">
        <w:t xml:space="preserve"> appears at the top, the </w:t>
      </w:r>
      <w:proofErr w:type="gramStart"/>
      <w:r w:rsidRPr="007E4711">
        <w:t>publisher’s</w:t>
      </w:r>
      <w:proofErr w:type="gramEnd"/>
      <w:r w:rsidRPr="007E4711">
        <w:t xml:space="preserve"> at the bottom, with minimal cover design and a total absence of promotional blurbs.</w:t>
      </w:r>
      <w:r>
        <w:t xml:space="preserve"> </w:t>
      </w:r>
      <w:r w:rsidRPr="007E4711">
        <w:t xml:space="preserve">Moving to the back cover, </w:t>
      </w:r>
      <w:r>
        <w:t>one observes a continuation of the</w:t>
      </w:r>
      <w:r w:rsidRPr="007E4711">
        <w:t xml:space="preserve"> design pattern, with a lengthy blurb occupying the entire page, written by Ghazi Algosaibi, a </w:t>
      </w:r>
      <w:r>
        <w:t xml:space="preserve">Saudi Diplomat and renowned man of letters. </w:t>
      </w:r>
      <w:r w:rsidRPr="007E4711">
        <w:t xml:space="preserve">As for the English front cover, it features a palm tree, together with a mosque and </w:t>
      </w:r>
      <w:r w:rsidRPr="007E4711">
        <w:lastRenderedPageBreak/>
        <w:t>minaret.</w:t>
      </w:r>
      <w:r>
        <w:t xml:space="preserve"> </w:t>
      </w:r>
      <w:r w:rsidRPr="007E4711">
        <w:t>The cover</w:t>
      </w:r>
      <w:r w:rsidR="00EC71F0">
        <w:t>’s color</w:t>
      </w:r>
      <w:r w:rsidRPr="007E4711">
        <w:t xml:space="preserve"> is a vibrant red, with a cell phone screen displaying a heart to indicate the romantic theme within the text, all within a nocturnal setting, as evidenced by the crescent </w:t>
      </w:r>
      <w:r w:rsidR="00EC71F0">
        <w:t xml:space="preserve">moon </w:t>
      </w:r>
      <w:r w:rsidRPr="007E4711">
        <w:t>and stars.</w:t>
      </w:r>
      <w:r>
        <w:t xml:space="preserve"> </w:t>
      </w:r>
      <w:r w:rsidRPr="007E4711">
        <w:t>The contours of the front cover are enveloped by a frame of Middle Eastern (exotic) embellishments.</w:t>
      </w:r>
      <w:r>
        <w:t xml:space="preserve"> </w:t>
      </w:r>
      <w:r w:rsidRPr="007E4711">
        <w:t xml:space="preserve">The </w:t>
      </w:r>
      <w:r>
        <w:t>cover</w:t>
      </w:r>
      <w:r w:rsidR="00AD12DC">
        <w:t>’</w:t>
      </w:r>
      <w:r>
        <w:t>s imagery</w:t>
      </w:r>
      <w:r w:rsidRPr="007E4711">
        <w:t xml:space="preserve"> seems to set the scene for a romantic reading experience, perhaps an intertextual reference to </w:t>
      </w:r>
      <w:r w:rsidRPr="007E4711">
        <w:rPr>
          <w:i/>
          <w:iCs/>
        </w:rPr>
        <w:t>The Nights</w:t>
      </w:r>
      <w:r w:rsidRPr="007E4711">
        <w:t>.</w:t>
      </w:r>
      <w:r>
        <w:t xml:space="preserve"> </w:t>
      </w:r>
      <w:r w:rsidR="00AD12DC">
        <w:t>To sum up, the</w:t>
      </w:r>
      <w:r>
        <w:t xml:space="preserve"> Arabic text’s paratextual materials </w:t>
      </w:r>
      <w:r w:rsidR="00AD12DC">
        <w:t>tend to be</w:t>
      </w:r>
      <w:r>
        <w:t xml:space="preserve"> more in sync with </w:t>
      </w:r>
      <w:r w:rsidR="00AD12DC">
        <w:t>its narrative</w:t>
      </w:r>
      <w:r>
        <w:t>; however, the English counterpart is more in harmony with the master discourse</w:t>
      </w:r>
      <w:r w:rsidR="00AD12DC">
        <w:t xml:space="preserve"> and its idiosyncrasies that run</w:t>
      </w:r>
      <w:r>
        <w:t xml:space="preserve"> rampant in the host context.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760"/>
      </w:tblGrid>
      <w:tr w:rsidR="00CD5A58" w:rsidRPr="007E4711" w14:paraId="425246D2" w14:textId="77777777" w:rsidTr="007078F1">
        <w:trPr>
          <w:trHeight w:hRule="exact" w:val="5760"/>
          <w:jc w:val="center"/>
        </w:trPr>
        <w:tc>
          <w:tcPr>
            <w:tcW w:w="4590" w:type="dxa"/>
          </w:tcPr>
          <w:p w14:paraId="16DDD339" w14:textId="77777777" w:rsidR="00CD5A58" w:rsidRPr="007E4711" w:rsidRDefault="00CD5A58" w:rsidP="007078F1">
            <w:pPr>
              <w:ind w:firstLine="0"/>
              <w:jc w:val="center"/>
            </w:pPr>
            <w:r w:rsidRPr="007E4711">
              <w:rPr>
                <w:noProof/>
              </w:rPr>
              <w:drawing>
                <wp:inline distT="0" distB="0" distL="0" distR="0" wp14:anchorId="7BE994F5" wp14:editId="4B0467CD">
                  <wp:extent cx="2816860" cy="348175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R_Front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6860" cy="3481753"/>
                          </a:xfrm>
                          <a:prstGeom prst="rect">
                            <a:avLst/>
                          </a:prstGeom>
                        </pic:spPr>
                      </pic:pic>
                    </a:graphicData>
                  </a:graphic>
                </wp:inline>
              </w:drawing>
            </w:r>
          </w:p>
        </w:tc>
        <w:tc>
          <w:tcPr>
            <w:tcW w:w="4760" w:type="dxa"/>
          </w:tcPr>
          <w:p w14:paraId="56FCFBBC" w14:textId="77777777" w:rsidR="00CD5A58" w:rsidRPr="007E4711" w:rsidRDefault="00CD5A58" w:rsidP="007078F1">
            <w:pPr>
              <w:ind w:firstLine="0"/>
              <w:jc w:val="center"/>
            </w:pPr>
            <w:r w:rsidRPr="007E4711">
              <w:rPr>
                <w:noProof/>
              </w:rPr>
              <w:drawing>
                <wp:inline distT="0" distB="0" distL="0" distR="0" wp14:anchorId="030EF36D" wp14:editId="6F9D48CE">
                  <wp:extent cx="2792095" cy="3481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R_BackCovE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2095" cy="3481705"/>
                          </a:xfrm>
                          <a:prstGeom prst="rect">
                            <a:avLst/>
                          </a:prstGeom>
                        </pic:spPr>
                      </pic:pic>
                    </a:graphicData>
                  </a:graphic>
                </wp:inline>
              </w:drawing>
            </w:r>
          </w:p>
        </w:tc>
      </w:tr>
      <w:tr w:rsidR="00CD5A58" w:rsidRPr="007E4711" w14:paraId="557E8D23" w14:textId="77777777" w:rsidTr="007078F1">
        <w:trPr>
          <w:trHeight w:hRule="exact" w:val="5221"/>
          <w:jc w:val="center"/>
        </w:trPr>
        <w:tc>
          <w:tcPr>
            <w:tcW w:w="4590" w:type="dxa"/>
          </w:tcPr>
          <w:p w14:paraId="6973B2DD" w14:textId="77777777" w:rsidR="00CD5A58" w:rsidRPr="007E4711" w:rsidRDefault="00CD5A58" w:rsidP="007078F1">
            <w:pPr>
              <w:ind w:firstLine="0"/>
              <w:jc w:val="center"/>
            </w:pPr>
            <w:r w:rsidRPr="007E4711">
              <w:rPr>
                <w:noProof/>
              </w:rPr>
              <w:lastRenderedPageBreak/>
              <w:drawing>
                <wp:inline distT="0" distB="0" distL="0" distR="0" wp14:anchorId="7FFEE71E" wp14:editId="70F56A66">
                  <wp:extent cx="2816225" cy="32004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R_FronCovArab.jpg"/>
                          <pic:cNvPicPr/>
                        </pic:nvPicPr>
                        <pic:blipFill>
                          <a:blip r:embed="rId10">
                            <a:extLst>
                              <a:ext uri="{28A0092B-C50C-407E-A947-70E740481C1C}">
                                <a14:useLocalDpi xmlns:a14="http://schemas.microsoft.com/office/drawing/2010/main" val="0"/>
                              </a:ext>
                            </a:extLst>
                          </a:blip>
                          <a:stretch>
                            <a:fillRect/>
                          </a:stretch>
                        </pic:blipFill>
                        <pic:spPr>
                          <a:xfrm>
                            <a:off x="0" y="0"/>
                            <a:ext cx="2857922" cy="3247785"/>
                          </a:xfrm>
                          <a:prstGeom prst="rect">
                            <a:avLst/>
                          </a:prstGeom>
                        </pic:spPr>
                      </pic:pic>
                    </a:graphicData>
                  </a:graphic>
                </wp:inline>
              </w:drawing>
            </w:r>
          </w:p>
        </w:tc>
        <w:tc>
          <w:tcPr>
            <w:tcW w:w="4760" w:type="dxa"/>
          </w:tcPr>
          <w:p w14:paraId="16A1BA8E" w14:textId="77777777" w:rsidR="00CD5A58" w:rsidRPr="007E4711" w:rsidRDefault="00CD5A58" w:rsidP="007078F1">
            <w:pPr>
              <w:keepNext/>
              <w:ind w:firstLine="0"/>
              <w:jc w:val="center"/>
            </w:pPr>
            <w:r w:rsidRPr="007E4711">
              <w:rPr>
                <w:noProof/>
              </w:rPr>
              <w:drawing>
                <wp:inline distT="0" distB="0" distL="0" distR="0" wp14:anchorId="11FFB8AE" wp14:editId="1A5C94CC">
                  <wp:extent cx="2846103"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R_BackCovArab.jpg"/>
                          <pic:cNvPicPr/>
                        </pic:nvPicPr>
                        <pic:blipFill>
                          <a:blip r:embed="rId11">
                            <a:extLst>
                              <a:ext uri="{28A0092B-C50C-407E-A947-70E740481C1C}">
                                <a14:useLocalDpi xmlns:a14="http://schemas.microsoft.com/office/drawing/2010/main" val="0"/>
                              </a:ext>
                            </a:extLst>
                          </a:blip>
                          <a:stretch>
                            <a:fillRect/>
                          </a:stretch>
                        </pic:blipFill>
                        <pic:spPr>
                          <a:xfrm>
                            <a:off x="0" y="0"/>
                            <a:ext cx="2846103" cy="3200400"/>
                          </a:xfrm>
                          <a:prstGeom prst="rect">
                            <a:avLst/>
                          </a:prstGeom>
                        </pic:spPr>
                      </pic:pic>
                    </a:graphicData>
                  </a:graphic>
                </wp:inline>
              </w:drawing>
            </w:r>
          </w:p>
        </w:tc>
      </w:tr>
    </w:tbl>
    <w:p w14:paraId="72F9505A" w14:textId="77777777" w:rsidR="00CD5A58" w:rsidRPr="007E4711" w:rsidRDefault="00CD5A58" w:rsidP="00B300DD">
      <w:pPr>
        <w:pStyle w:val="Caption"/>
        <w:rPr>
          <w:b/>
          <w:iCs/>
        </w:rPr>
      </w:pPr>
      <w:bookmarkStart w:id="2" w:name="_Ref33330921"/>
      <w:bookmarkStart w:id="3" w:name="_Toc58663306"/>
      <w:r w:rsidRPr="007E4711">
        <w:t xml:space="preserve">Figure </w:t>
      </w:r>
      <w:r>
        <w:fldChar w:fldCharType="begin"/>
      </w:r>
      <w:r>
        <w:instrText xml:space="preserve"> SEQ Figure \* ARABIC </w:instrText>
      </w:r>
      <w:r>
        <w:fldChar w:fldCharType="separate"/>
      </w:r>
      <w:r>
        <w:rPr>
          <w:b/>
          <w:iCs/>
          <w:noProof/>
        </w:rPr>
        <w:t>1</w:t>
      </w:r>
      <w:r>
        <w:rPr>
          <w:b/>
          <w:iCs/>
          <w:noProof/>
        </w:rPr>
        <w:fldChar w:fldCharType="end"/>
      </w:r>
      <w:bookmarkEnd w:id="2"/>
      <w:r w:rsidRPr="007E4711">
        <w:t xml:space="preserve"> Front and Back Covers of English and Arabic GOR</w:t>
      </w:r>
      <w:bookmarkEnd w:id="3"/>
    </w:p>
    <w:p w14:paraId="618C8853" w14:textId="77777777" w:rsidR="00CD5A58" w:rsidRPr="007E4711" w:rsidRDefault="00CD5A58" w:rsidP="002E0D5C">
      <w:pPr>
        <w:pStyle w:val="Heading3"/>
      </w:pPr>
      <w:bookmarkStart w:id="4" w:name="_Toc58663229"/>
      <w:r w:rsidRPr="007E4711">
        <w:t xml:space="preserve">Textual </w:t>
      </w:r>
      <w:r>
        <w:t>P</w:t>
      </w:r>
      <w:r w:rsidRPr="007E4711">
        <w:t>aratexts</w:t>
      </w:r>
      <w:bookmarkEnd w:id="4"/>
    </w:p>
    <w:p w14:paraId="6756CD43" w14:textId="0E9DBF10" w:rsidR="00CD5A58" w:rsidRPr="007E4711" w:rsidRDefault="00CD5A58" w:rsidP="001458F6">
      <w:pPr>
        <w:rPr>
          <w:rtl/>
        </w:rPr>
      </w:pPr>
      <w:r w:rsidRPr="007E4711">
        <w:t xml:space="preserve">In this lengthy blurb, </w:t>
      </w:r>
      <w:proofErr w:type="spellStart"/>
      <w:r w:rsidRPr="007E4711">
        <w:t>Alghosaibi</w:t>
      </w:r>
      <w:proofErr w:type="spellEnd"/>
      <w:r w:rsidRPr="007E4711">
        <w:t xml:space="preserve"> speaks highly of Alsanea, with words of encouragement for her to continue along a literary path, </w:t>
      </w:r>
      <w:r w:rsidRPr="000E5714">
        <w:rPr>
          <w:i/>
          <w:iCs/>
        </w:rPr>
        <w:t>GOR</w:t>
      </w:r>
      <w:r w:rsidRPr="007E4711">
        <w:t xml:space="preserve"> being the first</w:t>
      </w:r>
      <w:r>
        <w:t xml:space="preserve"> literary</w:t>
      </w:r>
      <w:r w:rsidRPr="007E4711">
        <w:t xml:space="preserve"> attempt</w:t>
      </w:r>
      <w:r>
        <w:t xml:space="preserve">. </w:t>
      </w:r>
      <w:r w:rsidR="00196916">
        <w:t>Although</w:t>
      </w:r>
      <w:r w:rsidR="00196916" w:rsidRPr="007E4711">
        <w:t xml:space="preserve"> </w:t>
      </w:r>
      <w:r w:rsidRPr="007E4711">
        <w:t>the blurb is self-explanatory, it is still worth analyzing its representational component.</w:t>
      </w:r>
      <w:r>
        <w:t xml:space="preserve"> </w:t>
      </w:r>
      <w:proofErr w:type="spellStart"/>
      <w:r w:rsidRPr="007E4711">
        <w:t>Alghosaibi</w:t>
      </w:r>
      <w:proofErr w:type="spellEnd"/>
      <w:r w:rsidRPr="007E4711">
        <w:t xml:space="preserve"> state</w:t>
      </w:r>
      <w:r w:rsidR="00196916">
        <w:t>d</w:t>
      </w:r>
      <w:r w:rsidRPr="007E4711">
        <w:t xml:space="preserve"> that this novel lets the reader in on the mysterious world of a </w:t>
      </w:r>
      <w:r>
        <w:t>specific</w:t>
      </w:r>
      <w:r w:rsidRPr="007E4711">
        <w:t xml:space="preserve"> group of girls in Riyadh: “those belonging to the </w:t>
      </w:r>
      <w:r w:rsidRPr="007E4711">
        <w:rPr>
          <w:i/>
          <w:iCs/>
        </w:rPr>
        <w:t xml:space="preserve">velvet </w:t>
      </w:r>
      <w:r w:rsidRPr="007E4711">
        <w:t>[wealthy]</w:t>
      </w:r>
      <w:r w:rsidRPr="007E4711">
        <w:rPr>
          <w:i/>
          <w:iCs/>
        </w:rPr>
        <w:t xml:space="preserve"> class</w:t>
      </w:r>
      <w:r w:rsidRPr="007E4711">
        <w:t>.” So</w:t>
      </w:r>
      <w:r w:rsidR="00196916">
        <w:t>,</w:t>
      </w:r>
      <w:r w:rsidRPr="007E4711">
        <w:t xml:space="preserve"> the text is hailed, </w:t>
      </w:r>
      <w:r w:rsidRPr="007E4711">
        <w:rPr>
          <w:i/>
          <w:iCs/>
        </w:rPr>
        <w:t>inter alia</w:t>
      </w:r>
      <w:r w:rsidRPr="007E4711">
        <w:t>, as a partial representation of Saudi girls: those belonging to the upper class.</w:t>
      </w:r>
      <w:r>
        <w:t xml:space="preserve"> </w:t>
      </w:r>
      <w:r w:rsidRPr="007E4711">
        <w:t xml:space="preserve">The blurb, in its initial part, touches on the </w:t>
      </w:r>
      <w:r w:rsidR="00196916">
        <w:t xml:space="preserve">text’s </w:t>
      </w:r>
      <w:r w:rsidRPr="007E4711">
        <w:t>aesthetic aspects</w:t>
      </w:r>
      <w:r>
        <w:t>,</w:t>
      </w:r>
      <w:r w:rsidRPr="007E4711">
        <w:t xml:space="preserve"> as the narrative</w:t>
      </w:r>
      <w:r w:rsidR="00196916">
        <w:t>’s format</w:t>
      </w:r>
      <w:r w:rsidRPr="007E4711">
        <w:t xml:space="preserve"> is described and the suspenseful endings of those emails are foregrounded, giving the blurb a function </w:t>
      </w:r>
      <w:r>
        <w:t>akin to</w:t>
      </w:r>
      <w:r w:rsidRPr="007E4711">
        <w:t xml:space="preserve"> that of a teaser.</w:t>
      </w:r>
      <w:r>
        <w:t xml:space="preserve"> </w:t>
      </w:r>
      <w:r w:rsidRPr="007E4711">
        <w:t>I now proceed to the English text</w:t>
      </w:r>
      <w:r>
        <w:t>,</w:t>
      </w:r>
      <w:r w:rsidRPr="007E4711">
        <w:t xml:space="preserve"> where critical gestures are more numerous and striking. </w:t>
      </w:r>
    </w:p>
    <w:p w14:paraId="080D7FE0" w14:textId="0CCD290F" w:rsidR="00CD5A58" w:rsidRPr="007E4711" w:rsidRDefault="00CD5A58" w:rsidP="001458F6">
      <w:r w:rsidRPr="007E4711">
        <w:t xml:space="preserve">Although the Arabic version features </w:t>
      </w:r>
      <w:r>
        <w:t xml:space="preserve">a sole </w:t>
      </w:r>
      <w:r w:rsidRPr="007E4711">
        <w:t>blurb</w:t>
      </w:r>
      <w:r>
        <w:t xml:space="preserve">, </w:t>
      </w:r>
      <w:r w:rsidRPr="007E4711">
        <w:t>the translated version offers its readers twenty-seven: one on the front cover, three on the back</w:t>
      </w:r>
      <w:r>
        <w:t>,</w:t>
      </w:r>
      <w:r w:rsidRPr="007E4711">
        <w:t xml:space="preserve"> and twenty-three inside </w:t>
      </w:r>
      <w:r w:rsidRPr="007E4711">
        <w:lastRenderedPageBreak/>
        <w:t>the book.</w:t>
      </w:r>
      <w:r w:rsidR="001B77B7">
        <w:rPr>
          <w:rStyle w:val="FootnoteReference"/>
        </w:rPr>
        <w:footnoteReference w:id="78"/>
      </w:r>
      <w:r>
        <w:t xml:space="preserve"> Numerous to be displayed or discussed individually</w:t>
      </w:r>
      <w:r w:rsidRPr="007E4711">
        <w:t xml:space="preserve">, </w:t>
      </w:r>
      <w:r>
        <w:t>below I</w:t>
      </w:r>
      <w:r w:rsidRPr="007E4711">
        <w:t xml:space="preserve"> quantify </w:t>
      </w:r>
      <w:r>
        <w:t>the blurbs</w:t>
      </w:r>
      <w:r w:rsidRPr="007E4711">
        <w:t xml:space="preserve"> </w:t>
      </w:r>
      <w:r>
        <w:t>and then offer</w:t>
      </w:r>
      <w:r w:rsidRPr="007E4711">
        <w:t xml:space="preserve"> </w:t>
      </w:r>
      <w:r>
        <w:t xml:space="preserve">a </w:t>
      </w:r>
      <w:r w:rsidRPr="007E4711">
        <w:t xml:space="preserve">representative example for </w:t>
      </w:r>
      <w:r>
        <w:t>their discerned categories</w:t>
      </w:r>
      <w:r w:rsidRPr="007E4711">
        <w:t>.</w:t>
      </w:r>
      <w:r>
        <w:t xml:space="preserve"> </w:t>
      </w:r>
      <w:r w:rsidRPr="007E4711">
        <w:t>The three categories are: ethnography (15), praise (11), and intertextuality (1).</w:t>
      </w:r>
      <w:r>
        <w:t xml:space="preserve"> </w:t>
      </w:r>
      <w:r w:rsidRPr="007E4711">
        <w:t>Below are the three examples, one for each, respectively:</w:t>
      </w:r>
    </w:p>
    <w:p w14:paraId="08EF6382" w14:textId="77777777" w:rsidR="00CD5A58" w:rsidRPr="007E4711" w:rsidRDefault="00CD5A58" w:rsidP="00473C85">
      <w:pPr>
        <w:ind w:firstLine="0"/>
        <w:jc w:val="center"/>
      </w:pPr>
      <w:r w:rsidRPr="007E4711">
        <w:t>“This is a distinctive and rare peek into a rarely revealed culture” (II)</w:t>
      </w:r>
    </w:p>
    <w:p w14:paraId="62C92F5E" w14:textId="77777777" w:rsidR="00CD5A58" w:rsidRPr="007E4711" w:rsidRDefault="00CD5A58" w:rsidP="001458F6">
      <w:pPr>
        <w:jc w:val="center"/>
        <w:rPr>
          <w:i/>
          <w:iCs/>
        </w:rPr>
      </w:pPr>
      <w:r w:rsidRPr="007E4711">
        <w:rPr>
          <w:i/>
          <w:iCs/>
        </w:rPr>
        <w:t>The Morning News</w:t>
      </w:r>
    </w:p>
    <w:p w14:paraId="5B2B0B61" w14:textId="77777777" w:rsidR="00CD5A58" w:rsidRPr="007E4711" w:rsidRDefault="00CD5A58" w:rsidP="00473C85">
      <w:pPr>
        <w:ind w:firstLine="0"/>
        <w:jc w:val="center"/>
      </w:pPr>
      <w:r w:rsidRPr="007E4711">
        <w:t>“Be warned: this book will rearrange your priorities for the rest of the day so you can finish it” (I)</w:t>
      </w:r>
    </w:p>
    <w:p w14:paraId="1D60671A" w14:textId="77777777" w:rsidR="00CD5A58" w:rsidRPr="007E4711" w:rsidRDefault="00CD5A58" w:rsidP="001458F6">
      <w:pPr>
        <w:jc w:val="center"/>
        <w:rPr>
          <w:i/>
          <w:iCs/>
        </w:rPr>
      </w:pPr>
      <w:r w:rsidRPr="007E4711">
        <w:rPr>
          <w:i/>
          <w:iCs/>
        </w:rPr>
        <w:t>Pensacola Independent News</w:t>
      </w:r>
    </w:p>
    <w:p w14:paraId="16600247" w14:textId="77777777" w:rsidR="00CD5A58" w:rsidRPr="007E4711" w:rsidRDefault="00CD5A58" w:rsidP="00473C85">
      <w:pPr>
        <w:ind w:firstLine="0"/>
        <w:jc w:val="center"/>
      </w:pPr>
      <w:r w:rsidRPr="007E4711">
        <w:t xml:space="preserve">“Imagine </w:t>
      </w:r>
      <w:r w:rsidRPr="0091121C">
        <w:rPr>
          <w:i/>
          <w:iCs/>
        </w:rPr>
        <w:t>Sex and the City</w:t>
      </w:r>
      <w:r w:rsidRPr="007E4711">
        <w:t>, if the city in question were Riyadh</w:t>
      </w:r>
      <w:r w:rsidRPr="007E4711">
        <w:rPr>
          <w:i/>
          <w:iCs/>
        </w:rPr>
        <w:t xml:space="preserve">” </w:t>
      </w:r>
      <w:r w:rsidRPr="007E4711">
        <w:t>(back cover)</w:t>
      </w:r>
    </w:p>
    <w:p w14:paraId="7C44093F" w14:textId="77777777" w:rsidR="00CD5A58" w:rsidRPr="007E4711" w:rsidRDefault="00CD5A58" w:rsidP="001458F6">
      <w:pPr>
        <w:ind w:firstLine="0"/>
        <w:jc w:val="center"/>
        <w:rPr>
          <w:i/>
          <w:iCs/>
        </w:rPr>
      </w:pPr>
      <w:r w:rsidRPr="007E4711">
        <w:rPr>
          <w:i/>
          <w:iCs/>
        </w:rPr>
        <w:t>Time</w:t>
      </w:r>
    </w:p>
    <w:p w14:paraId="5923C393" w14:textId="3CC69F87" w:rsidR="00CD5A58" w:rsidRDefault="00CD5A58" w:rsidP="00AD12DC">
      <w:pPr>
        <w:ind w:firstLine="0"/>
      </w:pPr>
      <w:r w:rsidRPr="007E4711">
        <w:t xml:space="preserve">What is conspicuous here is the total absence of paratextual elements from the source text, now replaced </w:t>
      </w:r>
      <w:r>
        <w:t>with new ones</w:t>
      </w:r>
      <w:r w:rsidRPr="007E4711">
        <w:t xml:space="preserve"> that bear no resemblance to what surrounded the Arabic version.</w:t>
      </w:r>
      <w:r>
        <w:t xml:space="preserve"> One can observe three packaging trends by scrutinizing the textual materials surrounding the English translation. First, there is ample attestation of what Dima Ayoub refer</w:t>
      </w:r>
      <w:r w:rsidR="00CD0990">
        <w:t>red</w:t>
      </w:r>
      <w:r>
        <w:t xml:space="preserve"> to as “ethnographicization of Arabic fiction”,</w:t>
      </w:r>
      <w:r w:rsidR="00CD6ECD">
        <w:rPr>
          <w:rStyle w:val="FootnoteReference"/>
        </w:rPr>
        <w:footnoteReference w:id="79"/>
      </w:r>
      <w:r>
        <w:t xml:space="preserve"> a phenomenon that bleeds into the second trend—essentialization. By framing the text </w:t>
      </w:r>
      <w:r w:rsidR="00E069A1">
        <w:t>as the absolute guide to</w:t>
      </w:r>
      <w:r>
        <w:t xml:space="preserve"> Saudi </w:t>
      </w:r>
      <w:r w:rsidRPr="009016A5">
        <w:rPr>
          <w:i/>
          <w:iCs/>
        </w:rPr>
        <w:t>culture</w:t>
      </w:r>
      <w:r w:rsidRPr="009016A5">
        <w:t xml:space="preserve">, </w:t>
      </w:r>
      <w:r>
        <w:t>the image projected by the text becomes</w:t>
      </w:r>
      <w:r w:rsidRPr="000062AA">
        <w:rPr>
          <w:i/>
          <w:iCs/>
        </w:rPr>
        <w:t xml:space="preserve"> essentially</w:t>
      </w:r>
      <w:r>
        <w:t xml:space="preserve"> true of those belonging to it. Coupling essentialization with ethnographicization effectuates</w:t>
      </w:r>
      <w:r w:rsidRPr="00E04902">
        <w:t xml:space="preserve"> </w:t>
      </w:r>
      <w:r>
        <w:t>m</w:t>
      </w:r>
      <w:r w:rsidRPr="00E04902">
        <w:t>etonymization</w:t>
      </w:r>
      <w:r>
        <w:t xml:space="preserve">—a </w:t>
      </w:r>
      <w:r>
        <w:lastRenderedPageBreak/>
        <w:t xml:space="preserve">notion Maria </w:t>
      </w:r>
      <w:r w:rsidRPr="007E4711">
        <w:t>Tymoczko</w:t>
      </w:r>
      <w:r w:rsidR="00473C85">
        <w:rPr>
          <w:rStyle w:val="FootnoteReference"/>
        </w:rPr>
        <w:footnoteReference w:id="80"/>
      </w:r>
      <w:r>
        <w:t xml:space="preserve"> has deployed within TS—whereby a part represents the whole; in other words, one text </w:t>
      </w:r>
      <w:r w:rsidR="00E069A1">
        <w:t>(</w:t>
      </w:r>
      <w:r w:rsidR="00E069A1" w:rsidRPr="00473C85">
        <w:rPr>
          <w:i/>
          <w:iCs/>
        </w:rPr>
        <w:t>GOR</w:t>
      </w:r>
      <w:r w:rsidR="00E069A1">
        <w:t xml:space="preserve">) </w:t>
      </w:r>
      <w:r>
        <w:t>becomes representative of the whole culture</w:t>
      </w:r>
      <w:r w:rsidR="00AD12DC">
        <w:t>, which is what the text, through its paratexts, purports to achieve</w:t>
      </w:r>
      <w:r>
        <w:t>.</w:t>
      </w:r>
      <w:r w:rsidR="00AD12DC">
        <w:t xml:space="preserve"> This tripartite amalgam—ethnographicization, metonymization, and essentialization—culminates in textualizing the other, a process of representation predicated on written materials.</w:t>
      </w:r>
      <w:r w:rsidR="00AD12DC">
        <w:rPr>
          <w:rStyle w:val="FootnoteReference"/>
        </w:rPr>
        <w:footnoteReference w:id="81"/>
      </w:r>
      <w:r w:rsidR="00AD12DC">
        <w:t xml:space="preserve"> </w:t>
      </w:r>
      <w:r w:rsidRPr="0091121C">
        <w:t xml:space="preserve">Furthermore, </w:t>
      </w:r>
      <w:r w:rsidR="007433F2">
        <w:t>although</w:t>
      </w:r>
      <w:r w:rsidR="007433F2" w:rsidRPr="0091121C">
        <w:t xml:space="preserve"> </w:t>
      </w:r>
      <w:r w:rsidRPr="0091121C">
        <w:t>the novelist did not have a paratextual presence in the Arabic version, she comes to have a highly visible and imposing one in the translation.</w:t>
      </w:r>
    </w:p>
    <w:p w14:paraId="4C12CAD3" w14:textId="5FD48B82" w:rsidR="00CD5A58" w:rsidRPr="007E4711" w:rsidRDefault="00CD5A58" w:rsidP="001458F6">
      <w:r w:rsidRPr="007E4711">
        <w:t>Alsanea initiate</w:t>
      </w:r>
      <w:r w:rsidR="007433F2">
        <w:t>d</w:t>
      </w:r>
      <w:r w:rsidRPr="007E4711">
        <w:t xml:space="preserve"> her note by stating: “It never occurred to me, when I wrote my novel (Banat Al-Riyadh), that I would be releasing it in any language other than Arabic.</w:t>
      </w:r>
      <w:r>
        <w:t xml:space="preserve"> </w:t>
      </w:r>
      <w:r w:rsidRPr="007E4711">
        <w:t xml:space="preserve">I did not think the Western world would </w:t>
      </w:r>
      <w:proofErr w:type="gramStart"/>
      <w:r w:rsidRPr="007E4711">
        <w:t>actually be</w:t>
      </w:r>
      <w:proofErr w:type="gramEnd"/>
      <w:r w:rsidRPr="007E4711">
        <w:t xml:space="preserve"> interested”</w:t>
      </w:r>
      <w:r w:rsidR="00473C85">
        <w:rPr>
          <w:rStyle w:val="FootnoteReference"/>
        </w:rPr>
        <w:footnoteReference w:id="82"/>
      </w:r>
      <w:r w:rsidRPr="007E4711">
        <w:t>.</w:t>
      </w:r>
      <w:r>
        <w:t xml:space="preserve"> </w:t>
      </w:r>
      <w:r w:rsidRPr="007E4711">
        <w:t>She then proceed</w:t>
      </w:r>
      <w:r w:rsidR="007433F2">
        <w:t>ed</w:t>
      </w:r>
      <w:r w:rsidRPr="007E4711">
        <w:t xml:space="preserve"> to precisely articulate the image the West has about Saudi Arabia and its people.</w:t>
      </w:r>
      <w:r>
        <w:t xml:space="preserve"> </w:t>
      </w:r>
      <w:r w:rsidRPr="007E4711">
        <w:t>This image, as she argue</w:t>
      </w:r>
      <w:r w:rsidR="007433F2">
        <w:t>d</w:t>
      </w:r>
      <w:r w:rsidRPr="007E4711">
        <w:t xml:space="preserve">, was the driving force behind making her text available to the English reader: “It seemed to me, and to many other Saudis, that the Western world still perceives us either romantically, as the land of the Arabian Nights and the land where the bearded sheikhs sit in their tents surrounded by their beautiful harem women, or politically, as the land that gave birth to Bin Laden and other terrorists, the land where women are dressed in black from head to toe and where every house has its own oil well in the backyard!” </w:t>
      </w:r>
      <w:r>
        <w:t>After enunciating</w:t>
      </w:r>
      <w:r w:rsidRPr="007E4711">
        <w:t xml:space="preserve"> the reductive image, she then </w:t>
      </w:r>
      <w:r>
        <w:t>divulge</w:t>
      </w:r>
      <w:r w:rsidR="007433F2">
        <w:t>d</w:t>
      </w:r>
      <w:r w:rsidRPr="007E4711">
        <w:t xml:space="preserve"> her intention: “Therefore, I knew it would be very hard, maybe impossible, to change this cliché.” By so stating, her project is laid bare: she is dismayed by that unflattering, </w:t>
      </w:r>
      <w:r w:rsidRPr="007E4711">
        <w:rPr>
          <w:i/>
          <w:iCs/>
        </w:rPr>
        <w:t>clichéd</w:t>
      </w:r>
      <w:r w:rsidRPr="007E4711">
        <w:t xml:space="preserve"> image, hence her </w:t>
      </w:r>
      <w:r w:rsidRPr="007E4711">
        <w:lastRenderedPageBreak/>
        <w:t>determination to deconstruct it.</w:t>
      </w:r>
      <w:r>
        <w:t xml:space="preserve"> </w:t>
      </w:r>
      <w:r w:rsidRPr="007E4711">
        <w:t>“Furthermore</w:t>
      </w:r>
      <w:r>
        <w:t>,” she continue</w:t>
      </w:r>
      <w:r w:rsidR="007433F2">
        <w:t>d</w:t>
      </w:r>
      <w:r>
        <w:t>, “</w:t>
      </w:r>
      <w:r w:rsidRPr="007E4711">
        <w:t>coming from a family that values other cultures and nations, and being the proud Saudi I am, I felt it was my duty to reveal another side of Saudi life to the Western world.” By aiming to “reveal another side,”</w:t>
      </w:r>
      <w:r>
        <w:t xml:space="preserve"> </w:t>
      </w:r>
      <w:r w:rsidRPr="007E4711">
        <w:t xml:space="preserve">Alsanea’s note </w:t>
      </w:r>
      <w:r>
        <w:t>shouts all familiar keywords of ethnographicization</w:t>
      </w:r>
      <w:r w:rsidRPr="007E4711">
        <w:t>, concerned exclusively with the prevailing</w:t>
      </w:r>
      <w:r>
        <w:t xml:space="preserve"> (master)</w:t>
      </w:r>
      <w:r w:rsidRPr="007E4711">
        <w:t xml:space="preserve"> discourse in the target context and displaying unequivocal keenness to problematize it.</w:t>
      </w:r>
      <w:r>
        <w:t xml:space="preserve"> Below is an empirically grounded analysis of reception.</w:t>
      </w:r>
    </w:p>
    <w:p w14:paraId="07FBD420" w14:textId="77777777" w:rsidR="00CD5A58" w:rsidRPr="007E4711" w:rsidRDefault="00CD5A58" w:rsidP="002E0D5C">
      <w:pPr>
        <w:pStyle w:val="Heading2"/>
        <w:rPr>
          <w:rtl/>
        </w:rPr>
      </w:pPr>
      <w:bookmarkStart w:id="5" w:name="_Toc58663230"/>
      <w:r w:rsidRPr="007E4711">
        <w:t>Reception</w:t>
      </w:r>
      <w:bookmarkEnd w:id="5"/>
      <w:r>
        <w:t xml:space="preserve"> </w:t>
      </w:r>
    </w:p>
    <w:p w14:paraId="63059070" w14:textId="77777777" w:rsidR="00CD5A58" w:rsidRPr="007E4711" w:rsidRDefault="00CD5A58" w:rsidP="002E0D5C">
      <w:pPr>
        <w:pStyle w:val="Heading3"/>
      </w:pPr>
      <w:bookmarkStart w:id="6" w:name="_Toc58663232"/>
      <w:r w:rsidRPr="007E4711">
        <w:t xml:space="preserve">English </w:t>
      </w:r>
      <w:r>
        <w:t>T</w:t>
      </w:r>
      <w:r w:rsidRPr="007E4711">
        <w:t>ext</w:t>
      </w:r>
      <w:bookmarkEnd w:id="6"/>
    </w:p>
    <w:p w14:paraId="6782F718" w14:textId="7E265281" w:rsidR="00CD5A58" w:rsidRPr="007E4711" w:rsidRDefault="00CD5A58" w:rsidP="00BC1CD6">
      <w:r>
        <w:t>What is striking in the English corpus is the rise of the lemma “woman,” with 151 occurrences—"</w:t>
      </w:r>
      <w:r w:rsidRPr="003969CF">
        <w:t>women</w:t>
      </w:r>
      <w:r>
        <w:t>”</w:t>
      </w:r>
      <w:r w:rsidRPr="003969CF">
        <w:t xml:space="preserve"> (107)</w:t>
      </w:r>
      <w:r>
        <w:t>,</w:t>
      </w:r>
      <w:r w:rsidRPr="003969CF">
        <w:t xml:space="preserve"> </w:t>
      </w:r>
      <w:r>
        <w:t>“</w:t>
      </w:r>
      <w:r w:rsidRPr="003969CF">
        <w:t>girls</w:t>
      </w:r>
      <w:r>
        <w:t>”</w:t>
      </w:r>
      <w:r w:rsidRPr="003969CF">
        <w:t xml:space="preserve"> (24)</w:t>
      </w:r>
      <w:r>
        <w:t>, “</w:t>
      </w:r>
      <w:r w:rsidRPr="003969CF">
        <w:t>females</w:t>
      </w:r>
      <w:r>
        <w:t>”</w:t>
      </w:r>
      <w:r w:rsidRPr="003969CF">
        <w:t xml:space="preserve"> (24)</w:t>
      </w:r>
      <w:r>
        <w:t>,</w:t>
      </w:r>
      <w:r w:rsidRPr="003969CF">
        <w:t xml:space="preserve"> </w:t>
      </w:r>
      <w:r w:rsidR="007433F2">
        <w:t xml:space="preserve">and </w:t>
      </w:r>
      <w:r>
        <w:t>“</w:t>
      </w:r>
      <w:r w:rsidRPr="003969CF">
        <w:t>woman</w:t>
      </w:r>
      <w:r>
        <w:t>”</w:t>
      </w:r>
      <w:r w:rsidRPr="003969CF">
        <w:t xml:space="preserve"> (18)</w:t>
      </w:r>
      <w:r>
        <w:t xml:space="preserve">. The second most frequent word is “book” (115 occurrences), followed by some other words that seem </w:t>
      </w:r>
      <w:r w:rsidR="007433F2">
        <w:t xml:space="preserve">to </w:t>
      </w:r>
      <w:r>
        <w:t xml:space="preserve">hint at the </w:t>
      </w:r>
      <w:r w:rsidR="007433F2">
        <w:t xml:space="preserve">text’s </w:t>
      </w:r>
      <w:r>
        <w:t>ethnographic features</w:t>
      </w:r>
      <w:r w:rsidR="00E81C32">
        <w:t xml:space="preserve">: </w:t>
      </w:r>
      <w:r w:rsidR="007433F2">
        <w:t>“</w:t>
      </w:r>
      <w:r>
        <w:t>life</w:t>
      </w:r>
      <w:r w:rsidR="007433F2">
        <w:t>”</w:t>
      </w:r>
      <w:r>
        <w:t xml:space="preserve"> (56 occurrences</w:t>
      </w:r>
      <w:r w:rsidR="007433F2">
        <w:t>)</w:t>
      </w:r>
      <w:r>
        <w:t xml:space="preserve">, “culture” (43), </w:t>
      </w:r>
      <w:r w:rsidR="007433F2">
        <w:t xml:space="preserve">and </w:t>
      </w:r>
      <w:r>
        <w:t>“society” (37).</w:t>
      </w:r>
      <w:r w:rsidRPr="007E4711">
        <w:t xml:space="preserve"> Below is the table of all codes/labels, along with their degree of iteration as indicated by the number of the coded segments in the readers’ posted responses, with </w:t>
      </w:r>
      <w:r>
        <w:t>a</w:t>
      </w:r>
      <w:r w:rsidRPr="007E4711">
        <w:t xml:space="preserve"> representative example for each category</w:t>
      </w:r>
      <w:r>
        <w:t xml:space="preserve">. </w:t>
      </w:r>
      <w:r w:rsidRPr="007E4711">
        <w:t xml:space="preserve">To facilitate reading the examples below, I resorted to bolding the KWICs and underlining the proposition that indicates </w:t>
      </w:r>
      <w:r>
        <w:t xml:space="preserve">a </w:t>
      </w:r>
      <w:r w:rsidRPr="007E4711">
        <w:t xml:space="preserve">reaction to </w:t>
      </w:r>
      <w:r>
        <w:t>each</w:t>
      </w:r>
      <w:r w:rsidRPr="007E4711">
        <w:t xml:space="preserve"> KWIC, upon </w:t>
      </w:r>
      <w:r>
        <w:t>which label assignment</w:t>
      </w:r>
      <w:proofErr w:type="gramStart"/>
      <w:r>
        <w:t>—“</w:t>
      </w:r>
      <w:proofErr w:type="gramEnd"/>
      <w:r>
        <w:t>coding,” to use the terminology of ATLAS.ti—is based.</w:t>
      </w:r>
    </w:p>
    <w:p w14:paraId="264E4ED4" w14:textId="77777777" w:rsidR="00CD5A58" w:rsidRPr="007E4711" w:rsidRDefault="00CD5A58" w:rsidP="00B300DD">
      <w:pPr>
        <w:pStyle w:val="Caption"/>
      </w:pPr>
      <w:bookmarkStart w:id="7" w:name="_Toc58663290"/>
      <w:r w:rsidRPr="007E4711">
        <w:t xml:space="preserve">Table </w:t>
      </w:r>
      <w:r>
        <w:fldChar w:fldCharType="begin"/>
      </w:r>
      <w:r>
        <w:instrText xml:space="preserve"> SEQ Table \* ARABIC </w:instrText>
      </w:r>
      <w:r>
        <w:fldChar w:fldCharType="separate"/>
      </w:r>
      <w:r w:rsidRPr="007E4711">
        <w:rPr>
          <w:noProof/>
        </w:rPr>
        <w:t>20</w:t>
      </w:r>
      <w:r>
        <w:rPr>
          <w:noProof/>
        </w:rPr>
        <w:fldChar w:fldCharType="end"/>
      </w:r>
      <w:r w:rsidRPr="007E4711">
        <w:t xml:space="preserve"> English Reception of</w:t>
      </w:r>
      <w:r w:rsidRPr="007E4711">
        <w:rPr>
          <w:noProof/>
        </w:rPr>
        <w:t xml:space="preserve"> </w:t>
      </w:r>
      <w:r w:rsidRPr="000E5714">
        <w:rPr>
          <w:noProof/>
        </w:rPr>
        <w:t>GOR</w:t>
      </w:r>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0"/>
        <w:gridCol w:w="6920"/>
      </w:tblGrid>
      <w:tr w:rsidR="00CD5A58" w:rsidRPr="007E4711" w14:paraId="2283F16C" w14:textId="77777777" w:rsidTr="009C75B1">
        <w:tc>
          <w:tcPr>
            <w:tcW w:w="2430" w:type="dxa"/>
            <w:shd w:val="clear" w:color="auto" w:fill="auto"/>
          </w:tcPr>
          <w:p w14:paraId="2532DF34" w14:textId="77777777" w:rsidR="00CD5A58" w:rsidRPr="007E4711" w:rsidRDefault="00CD5A58" w:rsidP="007078F1">
            <w:pPr>
              <w:ind w:firstLine="0"/>
              <w:jc w:val="center"/>
              <w:rPr>
                <w:b/>
                <w:bCs/>
                <w:sz w:val="24"/>
                <w:szCs w:val="24"/>
              </w:rPr>
            </w:pPr>
            <w:r w:rsidRPr="007E4711">
              <w:rPr>
                <w:b/>
                <w:bCs/>
                <w:sz w:val="24"/>
                <w:szCs w:val="24"/>
              </w:rPr>
              <w:t>Code</w:t>
            </w:r>
          </w:p>
        </w:tc>
        <w:tc>
          <w:tcPr>
            <w:tcW w:w="6920" w:type="dxa"/>
            <w:shd w:val="clear" w:color="auto" w:fill="auto"/>
          </w:tcPr>
          <w:p w14:paraId="2BA98C9B" w14:textId="77777777" w:rsidR="00CD5A58" w:rsidRPr="007E4711" w:rsidRDefault="00CD5A58" w:rsidP="007078F1">
            <w:pPr>
              <w:ind w:firstLine="0"/>
              <w:jc w:val="center"/>
              <w:rPr>
                <w:rFonts w:cs="Helvetica Neue"/>
                <w:b/>
                <w:bCs/>
                <w:color w:val="000000"/>
                <w:sz w:val="24"/>
                <w:szCs w:val="24"/>
              </w:rPr>
            </w:pPr>
            <w:r w:rsidRPr="007E4711">
              <w:rPr>
                <w:rFonts w:cs="Helvetica Neue"/>
                <w:b/>
                <w:bCs/>
                <w:color w:val="000000"/>
                <w:sz w:val="24"/>
                <w:szCs w:val="24"/>
              </w:rPr>
              <w:t>example</w:t>
            </w:r>
          </w:p>
        </w:tc>
      </w:tr>
      <w:tr w:rsidR="00CD5A58" w:rsidRPr="007E4711" w14:paraId="05C1EFCB" w14:textId="77777777" w:rsidTr="009C75B1">
        <w:trPr>
          <w:trHeight w:val="1552"/>
        </w:trPr>
        <w:tc>
          <w:tcPr>
            <w:tcW w:w="2430" w:type="dxa"/>
            <w:shd w:val="clear" w:color="auto" w:fill="auto"/>
          </w:tcPr>
          <w:p w14:paraId="3AD19147" w14:textId="77777777" w:rsidR="00CD5A58" w:rsidRPr="007E4711" w:rsidRDefault="00CD5A58" w:rsidP="007078F1">
            <w:pPr>
              <w:ind w:firstLine="0"/>
              <w:jc w:val="center"/>
              <w:rPr>
                <w:sz w:val="24"/>
                <w:szCs w:val="24"/>
              </w:rPr>
            </w:pPr>
            <w:r w:rsidRPr="007E4711">
              <w:rPr>
                <w:b/>
                <w:bCs/>
                <w:sz w:val="24"/>
                <w:szCs w:val="24"/>
              </w:rPr>
              <w:lastRenderedPageBreak/>
              <w:t>ethnography (61)</w:t>
            </w:r>
          </w:p>
        </w:tc>
        <w:tc>
          <w:tcPr>
            <w:tcW w:w="6920" w:type="dxa"/>
            <w:shd w:val="clear" w:color="auto" w:fill="auto"/>
          </w:tcPr>
          <w:p w14:paraId="14BF30DB" w14:textId="77777777" w:rsidR="00CD5A58" w:rsidRPr="007E4711" w:rsidRDefault="00CD5A58" w:rsidP="007078F1">
            <w:pPr>
              <w:ind w:firstLine="0"/>
              <w:rPr>
                <w:sz w:val="24"/>
                <w:szCs w:val="24"/>
              </w:rPr>
            </w:pPr>
            <w:r w:rsidRPr="007E4711">
              <w:rPr>
                <w:rFonts w:cs="Helvetica Neue"/>
                <w:color w:val="000000"/>
                <w:sz w:val="24"/>
                <w:szCs w:val="24"/>
              </w:rPr>
              <w:t xml:space="preserve">It is an </w:t>
            </w:r>
            <w:r w:rsidRPr="007E4711">
              <w:rPr>
                <w:rFonts w:cs="Helvetica Neue"/>
                <w:color w:val="000000"/>
                <w:sz w:val="24"/>
                <w:szCs w:val="24"/>
                <w:u w:val="single"/>
              </w:rPr>
              <w:t>eye-opening</w:t>
            </w:r>
            <w:r w:rsidRPr="007E4711">
              <w:rPr>
                <w:rFonts w:cs="Helvetica Neue"/>
                <w:color w:val="000000"/>
                <w:sz w:val="24"/>
                <w:szCs w:val="24"/>
              </w:rPr>
              <w:t xml:space="preserve"> </w:t>
            </w:r>
            <w:r w:rsidRPr="007E4711">
              <w:rPr>
                <w:rFonts w:cs="Helvetica Neue"/>
                <w:b/>
                <w:bCs/>
                <w:color w:val="000000"/>
                <w:sz w:val="24"/>
                <w:szCs w:val="24"/>
              </w:rPr>
              <w:t xml:space="preserve">book </w:t>
            </w:r>
            <w:r w:rsidRPr="007E4711">
              <w:rPr>
                <w:rFonts w:cs="Helvetica Neue"/>
                <w:color w:val="000000"/>
                <w:sz w:val="24"/>
                <w:szCs w:val="24"/>
                <w:u w:val="single"/>
              </w:rPr>
              <w:t xml:space="preserve">to a westerner like me who previously knew nothing of customs and </w:t>
            </w:r>
            <w:r w:rsidRPr="003969CF">
              <w:rPr>
                <w:rFonts w:cs="Helvetica Neue"/>
                <w:b/>
                <w:bCs/>
                <w:color w:val="000000"/>
                <w:sz w:val="24"/>
                <w:szCs w:val="24"/>
                <w:u w:val="single"/>
              </w:rPr>
              <w:t>culture</w:t>
            </w:r>
            <w:r w:rsidRPr="007E4711">
              <w:rPr>
                <w:rFonts w:cs="Helvetica Neue"/>
                <w:color w:val="000000"/>
                <w:sz w:val="24"/>
                <w:szCs w:val="24"/>
                <w:u w:val="single"/>
              </w:rPr>
              <w:t xml:space="preserve"> in Saudi Arabia</w:t>
            </w:r>
            <w:r w:rsidRPr="007E4711">
              <w:rPr>
                <w:rFonts w:cs="Helvetica Neue"/>
                <w:color w:val="000000"/>
                <w:sz w:val="24"/>
                <w:szCs w:val="24"/>
              </w:rPr>
              <w:t>.</w:t>
            </w:r>
            <w:r>
              <w:rPr>
                <w:rFonts w:eastAsia="Times New Roman" w:cs="Arial"/>
                <w:color w:val="111111"/>
                <w:sz w:val="24"/>
                <w:szCs w:val="24"/>
                <w:shd w:val="clear" w:color="auto" w:fill="FFFFFF"/>
              </w:rPr>
              <w:t xml:space="preserve"> </w:t>
            </w:r>
            <w:r w:rsidRPr="007E4711">
              <w:rPr>
                <w:rFonts w:cs="Helvetica Neue"/>
                <w:color w:val="000000"/>
                <w:sz w:val="24"/>
                <w:szCs w:val="24"/>
              </w:rPr>
              <w:t>I loved it.</w:t>
            </w:r>
          </w:p>
        </w:tc>
      </w:tr>
      <w:tr w:rsidR="00CD5A58" w:rsidRPr="007E4711" w14:paraId="75F31EA7" w14:textId="77777777" w:rsidTr="009C75B1">
        <w:tc>
          <w:tcPr>
            <w:tcW w:w="2430" w:type="dxa"/>
            <w:shd w:val="clear" w:color="auto" w:fill="auto"/>
          </w:tcPr>
          <w:p w14:paraId="7C18F4FE" w14:textId="77777777" w:rsidR="00CD5A58" w:rsidRPr="007E4711" w:rsidRDefault="00CD5A58" w:rsidP="007078F1">
            <w:pPr>
              <w:ind w:firstLine="0"/>
              <w:jc w:val="center"/>
              <w:rPr>
                <w:sz w:val="24"/>
                <w:szCs w:val="24"/>
              </w:rPr>
            </w:pPr>
            <w:r w:rsidRPr="007E4711">
              <w:rPr>
                <w:b/>
                <w:bCs/>
                <w:sz w:val="24"/>
                <w:szCs w:val="24"/>
              </w:rPr>
              <w:t>woman image (negative) (34)</w:t>
            </w:r>
          </w:p>
        </w:tc>
        <w:tc>
          <w:tcPr>
            <w:tcW w:w="6920" w:type="dxa"/>
            <w:shd w:val="clear" w:color="auto" w:fill="auto"/>
          </w:tcPr>
          <w:p w14:paraId="647BA198" w14:textId="77777777" w:rsidR="00CD5A58" w:rsidRPr="007E4711" w:rsidRDefault="00CD5A58" w:rsidP="00E062EA">
            <w:pPr>
              <w:ind w:firstLine="0"/>
              <w:rPr>
                <w:sz w:val="24"/>
                <w:szCs w:val="24"/>
              </w:rPr>
            </w:pPr>
            <w:r w:rsidRPr="007E4711">
              <w:rPr>
                <w:rFonts w:cs="Helvetica Neue"/>
                <w:color w:val="000000"/>
                <w:sz w:val="24"/>
                <w:szCs w:val="24"/>
              </w:rPr>
              <w:t xml:space="preserve">It gives a fascinating yet </w:t>
            </w:r>
            <w:r w:rsidRPr="007E4711">
              <w:rPr>
                <w:rFonts w:cs="Helvetica Neue"/>
                <w:color w:val="000000"/>
                <w:sz w:val="24"/>
                <w:szCs w:val="24"/>
                <w:u w:val="single"/>
              </w:rPr>
              <w:t>troubling</w:t>
            </w:r>
            <w:r w:rsidRPr="007E4711">
              <w:rPr>
                <w:rFonts w:cs="Helvetica Neue"/>
                <w:color w:val="000000"/>
                <w:sz w:val="24"/>
                <w:szCs w:val="24"/>
              </w:rPr>
              <w:t xml:space="preserve"> inside view of the lives of young </w:t>
            </w:r>
            <w:r w:rsidRPr="007E4711">
              <w:rPr>
                <w:rFonts w:cs="Helvetica Neue"/>
                <w:b/>
                <w:bCs/>
                <w:color w:val="000000"/>
                <w:sz w:val="24"/>
                <w:szCs w:val="24"/>
              </w:rPr>
              <w:t>women</w:t>
            </w:r>
            <w:r w:rsidRPr="007E4711">
              <w:rPr>
                <w:rFonts w:cs="Helvetica Neue"/>
                <w:color w:val="000000"/>
                <w:sz w:val="24"/>
                <w:szCs w:val="24"/>
              </w:rPr>
              <w:t xml:space="preserve"> in the </w:t>
            </w:r>
            <w:r w:rsidRPr="007E4711">
              <w:rPr>
                <w:rFonts w:cs="Helvetica Neue"/>
                <w:color w:val="000000"/>
                <w:sz w:val="24"/>
                <w:szCs w:val="24"/>
                <w:u w:val="single"/>
              </w:rPr>
              <w:t>incredibly oppressive, misogynistic society</w:t>
            </w:r>
            <w:r w:rsidRPr="007E4711">
              <w:rPr>
                <w:rFonts w:cs="Helvetica Neue"/>
                <w:color w:val="000000"/>
                <w:sz w:val="24"/>
                <w:szCs w:val="24"/>
              </w:rPr>
              <w:t xml:space="preserve"> of Saudi Arabia.</w:t>
            </w:r>
            <w:r>
              <w:rPr>
                <w:rFonts w:cs="Helvetica Neue"/>
                <w:color w:val="000000"/>
                <w:sz w:val="24"/>
                <w:szCs w:val="24"/>
              </w:rPr>
              <w:t xml:space="preserve"> </w:t>
            </w:r>
            <w:r w:rsidRPr="007E4711">
              <w:rPr>
                <w:rFonts w:cs="Helvetica Neue"/>
                <w:color w:val="000000"/>
                <w:sz w:val="24"/>
                <w:szCs w:val="24"/>
              </w:rPr>
              <w:t xml:space="preserve">But these young </w:t>
            </w:r>
            <w:r w:rsidRPr="007E4711">
              <w:rPr>
                <w:rFonts w:cs="Helvetica Neue"/>
                <w:color w:val="000000"/>
                <w:sz w:val="24"/>
                <w:szCs w:val="24"/>
                <w:u w:val="single"/>
              </w:rPr>
              <w:t>women find ways of living their lives within the restrictive rules</w:t>
            </w:r>
            <w:r w:rsidRPr="007E4711">
              <w:rPr>
                <w:rFonts w:cs="Helvetica Neue"/>
                <w:color w:val="000000"/>
                <w:sz w:val="24"/>
                <w:szCs w:val="24"/>
              </w:rPr>
              <w:t xml:space="preserve">, or ofttimes </w:t>
            </w:r>
            <w:proofErr w:type="gramStart"/>
            <w:r w:rsidRPr="007E4711">
              <w:rPr>
                <w:rFonts w:cs="Helvetica Neue"/>
                <w:color w:val="000000"/>
                <w:sz w:val="24"/>
                <w:szCs w:val="24"/>
              </w:rPr>
              <w:t>in spite of</w:t>
            </w:r>
            <w:proofErr w:type="gramEnd"/>
            <w:r w:rsidRPr="007E4711">
              <w:rPr>
                <w:rFonts w:cs="Helvetica Neue"/>
                <w:color w:val="000000"/>
                <w:sz w:val="24"/>
                <w:szCs w:val="24"/>
              </w:rPr>
              <w:t xml:space="preserve"> them.</w:t>
            </w:r>
            <w:r>
              <w:rPr>
                <w:rFonts w:cs="Helvetica Neue"/>
                <w:color w:val="000000"/>
                <w:sz w:val="24"/>
                <w:szCs w:val="24"/>
              </w:rPr>
              <w:t xml:space="preserve"> </w:t>
            </w:r>
            <w:r w:rsidRPr="007E4711">
              <w:rPr>
                <w:rFonts w:cs="Helvetica Neue"/>
                <w:color w:val="000000"/>
                <w:sz w:val="24"/>
                <w:szCs w:val="24"/>
              </w:rPr>
              <w:t>This is a real eye-opener for anyone living in the luxury of a free society</w:t>
            </w:r>
            <w:r w:rsidRPr="007E4711">
              <w:rPr>
                <w:rStyle w:val="FootnoteReference"/>
              </w:rPr>
              <w:footnoteReference w:id="83"/>
            </w:r>
          </w:p>
        </w:tc>
      </w:tr>
      <w:tr w:rsidR="00CD5A58" w:rsidRPr="007E4711" w14:paraId="282DCB42" w14:textId="77777777" w:rsidTr="009C75B1">
        <w:trPr>
          <w:trHeight w:val="3251"/>
        </w:trPr>
        <w:tc>
          <w:tcPr>
            <w:tcW w:w="2430" w:type="dxa"/>
            <w:shd w:val="clear" w:color="auto" w:fill="auto"/>
          </w:tcPr>
          <w:p w14:paraId="0AEBF617" w14:textId="77777777" w:rsidR="00CD5A58" w:rsidRPr="007E4711" w:rsidRDefault="00CD5A58" w:rsidP="007078F1">
            <w:pPr>
              <w:ind w:firstLine="0"/>
              <w:jc w:val="center"/>
              <w:rPr>
                <w:b/>
                <w:bCs/>
                <w:sz w:val="24"/>
                <w:szCs w:val="24"/>
              </w:rPr>
            </w:pPr>
            <w:r w:rsidRPr="007E4711">
              <w:rPr>
                <w:b/>
                <w:bCs/>
                <w:sz w:val="24"/>
                <w:szCs w:val="24"/>
              </w:rPr>
              <w:t>woman image (neutral) (16)</w:t>
            </w:r>
          </w:p>
        </w:tc>
        <w:tc>
          <w:tcPr>
            <w:tcW w:w="6920" w:type="dxa"/>
            <w:shd w:val="clear" w:color="auto" w:fill="auto"/>
          </w:tcPr>
          <w:p w14:paraId="194C88EE" w14:textId="77777777" w:rsidR="00CD5A58" w:rsidRPr="007E4711" w:rsidRDefault="00CD5A58" w:rsidP="007078F1">
            <w:pPr>
              <w:ind w:firstLine="0"/>
              <w:rPr>
                <w:rFonts w:cs="Helvetica Neue"/>
                <w:color w:val="000000"/>
                <w:sz w:val="24"/>
                <w:szCs w:val="24"/>
              </w:rPr>
            </w:pPr>
            <w:r w:rsidRPr="007E4711">
              <w:rPr>
                <w:rFonts w:cs="Helvetica Neue"/>
                <w:color w:val="000000"/>
                <w:sz w:val="24"/>
                <w:szCs w:val="24"/>
              </w:rPr>
              <w:t>What an incredible glimpse into a whole different ethnic lifestyle!</w:t>
            </w:r>
            <w:r>
              <w:rPr>
                <w:rFonts w:cs="Helvetica Neue"/>
                <w:color w:val="000000"/>
                <w:sz w:val="24"/>
                <w:szCs w:val="24"/>
              </w:rPr>
              <w:t xml:space="preserve"> </w:t>
            </w:r>
            <w:r w:rsidRPr="007E4711">
              <w:rPr>
                <w:rFonts w:cs="Helvetica Neue"/>
                <w:color w:val="000000"/>
                <w:sz w:val="24"/>
                <w:szCs w:val="24"/>
              </w:rPr>
              <w:t xml:space="preserve">I loved this book, incredible writing, storytelling, whatever, it was incredible.... I wish the best of everything for Rajaa </w:t>
            </w:r>
            <w:proofErr w:type="spellStart"/>
            <w:r w:rsidRPr="007E4711">
              <w:rPr>
                <w:rFonts w:cs="Helvetica Neue"/>
                <w:color w:val="000000"/>
                <w:sz w:val="24"/>
                <w:szCs w:val="24"/>
              </w:rPr>
              <w:t>Alsnea</w:t>
            </w:r>
            <w:proofErr w:type="spellEnd"/>
            <w:r w:rsidRPr="007E4711">
              <w:rPr>
                <w:rFonts w:cs="Helvetica Neue"/>
                <w:color w:val="000000"/>
                <w:sz w:val="24"/>
                <w:szCs w:val="24"/>
              </w:rPr>
              <w:t xml:space="preserve">....this is a </w:t>
            </w:r>
            <w:r w:rsidRPr="007E4711">
              <w:rPr>
                <w:rFonts w:cs="Helvetica Neue"/>
                <w:color w:val="000000"/>
                <w:sz w:val="24"/>
                <w:szCs w:val="24"/>
                <w:u w:val="single"/>
              </w:rPr>
              <w:t xml:space="preserve">wonderful introduction for Western </w:t>
            </w:r>
            <w:r w:rsidRPr="007E4711">
              <w:rPr>
                <w:rFonts w:cs="Helvetica Neue"/>
                <w:b/>
                <w:bCs/>
                <w:color w:val="000000"/>
                <w:sz w:val="24"/>
                <w:szCs w:val="24"/>
                <w:u w:val="single"/>
              </w:rPr>
              <w:t>women/girls</w:t>
            </w:r>
            <w:r w:rsidRPr="007E4711">
              <w:rPr>
                <w:rFonts w:cs="Helvetica Neue"/>
                <w:color w:val="000000"/>
                <w:sz w:val="24"/>
                <w:szCs w:val="24"/>
                <w:u w:val="single"/>
              </w:rPr>
              <w:t xml:space="preserve"> into the lives of </w:t>
            </w:r>
            <w:r w:rsidRPr="007E4711">
              <w:rPr>
                <w:rFonts w:cs="Helvetica Neue"/>
                <w:b/>
                <w:bCs/>
                <w:color w:val="000000"/>
                <w:sz w:val="24"/>
                <w:szCs w:val="24"/>
                <w:u w:val="single"/>
              </w:rPr>
              <w:t>women/girls</w:t>
            </w:r>
            <w:r w:rsidRPr="007E4711">
              <w:rPr>
                <w:rFonts w:cs="Helvetica Neue"/>
                <w:color w:val="000000"/>
                <w:sz w:val="24"/>
                <w:szCs w:val="24"/>
              </w:rPr>
              <w:t xml:space="preserve"> in the Eastern part of our world</w:t>
            </w:r>
          </w:p>
        </w:tc>
      </w:tr>
      <w:tr w:rsidR="00CD5A58" w:rsidRPr="007E4711" w14:paraId="30AFD7AF" w14:textId="77777777" w:rsidTr="009C75B1">
        <w:trPr>
          <w:trHeight w:val="1413"/>
        </w:trPr>
        <w:tc>
          <w:tcPr>
            <w:tcW w:w="2430" w:type="dxa"/>
            <w:shd w:val="clear" w:color="auto" w:fill="auto"/>
          </w:tcPr>
          <w:p w14:paraId="7FDB70AC" w14:textId="77777777" w:rsidR="00CD5A58" w:rsidRPr="007E4711" w:rsidRDefault="00CD5A58" w:rsidP="007078F1">
            <w:pPr>
              <w:ind w:firstLine="0"/>
              <w:jc w:val="center"/>
              <w:rPr>
                <w:sz w:val="24"/>
                <w:szCs w:val="24"/>
              </w:rPr>
            </w:pPr>
            <w:r w:rsidRPr="007E4711">
              <w:rPr>
                <w:b/>
                <w:bCs/>
                <w:sz w:val="24"/>
                <w:szCs w:val="24"/>
              </w:rPr>
              <w:t>woman image (positive) (2)</w:t>
            </w:r>
          </w:p>
        </w:tc>
        <w:tc>
          <w:tcPr>
            <w:tcW w:w="6920" w:type="dxa"/>
            <w:shd w:val="clear" w:color="auto" w:fill="auto"/>
          </w:tcPr>
          <w:p w14:paraId="207E848D" w14:textId="77777777" w:rsidR="00CD5A58" w:rsidRPr="007E4711" w:rsidRDefault="00CD5A58" w:rsidP="007078F1">
            <w:pPr>
              <w:ind w:firstLine="0"/>
              <w:rPr>
                <w:sz w:val="24"/>
                <w:szCs w:val="24"/>
              </w:rPr>
            </w:pPr>
            <w:r w:rsidRPr="007E4711">
              <w:rPr>
                <w:rFonts w:cs="Helvetica Neue"/>
                <w:color w:val="000000"/>
                <w:sz w:val="24"/>
                <w:szCs w:val="24"/>
              </w:rPr>
              <w:t xml:space="preserve">Thank you, Rajaa, for your ability to </w:t>
            </w:r>
            <w:r w:rsidRPr="007E4711">
              <w:rPr>
                <w:rFonts w:cs="Helvetica Neue"/>
                <w:color w:val="000000"/>
                <w:sz w:val="24"/>
                <w:szCs w:val="24"/>
                <w:u w:val="single"/>
              </w:rPr>
              <w:t xml:space="preserve">transform </w:t>
            </w:r>
            <w:r w:rsidRPr="007E4711">
              <w:rPr>
                <w:rFonts w:cs="Helvetica Neue"/>
                <w:b/>
                <w:bCs/>
                <w:color w:val="000000"/>
                <w:sz w:val="24"/>
                <w:szCs w:val="24"/>
              </w:rPr>
              <w:t>women</w:t>
            </w:r>
            <w:r w:rsidRPr="007E4711">
              <w:rPr>
                <w:rFonts w:cs="Helvetica Neue"/>
                <w:color w:val="000000"/>
                <w:sz w:val="24"/>
                <w:szCs w:val="24"/>
              </w:rPr>
              <w:t xml:space="preserve"> whom we often perceive as </w:t>
            </w:r>
            <w:r w:rsidRPr="007E4711">
              <w:rPr>
                <w:rFonts w:cs="Helvetica Neue"/>
                <w:color w:val="000000"/>
                <w:sz w:val="24"/>
                <w:szCs w:val="24"/>
                <w:u w:val="single"/>
              </w:rPr>
              <w:t xml:space="preserve">merely burka-bound beings into real human, feeling </w:t>
            </w:r>
            <w:r w:rsidRPr="00EF0422">
              <w:rPr>
                <w:rFonts w:cs="Helvetica Neue"/>
                <w:b/>
                <w:bCs/>
                <w:color w:val="000000"/>
                <w:sz w:val="24"/>
                <w:szCs w:val="24"/>
                <w:u w:val="single"/>
              </w:rPr>
              <w:t>women</w:t>
            </w:r>
            <w:r w:rsidRPr="007E4711">
              <w:rPr>
                <w:rFonts w:cs="Helvetica Neue"/>
                <w:color w:val="000000"/>
                <w:sz w:val="24"/>
                <w:szCs w:val="24"/>
              </w:rPr>
              <w:t>!</w:t>
            </w:r>
          </w:p>
        </w:tc>
      </w:tr>
      <w:tr w:rsidR="00CD5A58" w:rsidRPr="007E4711" w14:paraId="018FA7A7" w14:textId="77777777" w:rsidTr="009C75B1">
        <w:tc>
          <w:tcPr>
            <w:tcW w:w="2430" w:type="dxa"/>
            <w:shd w:val="clear" w:color="auto" w:fill="auto"/>
          </w:tcPr>
          <w:p w14:paraId="64F232D5" w14:textId="77777777" w:rsidR="00CD5A58" w:rsidRPr="007E4711" w:rsidRDefault="00CD5A58" w:rsidP="007078F1">
            <w:pPr>
              <w:ind w:firstLine="0"/>
              <w:jc w:val="center"/>
              <w:rPr>
                <w:sz w:val="24"/>
                <w:szCs w:val="24"/>
              </w:rPr>
            </w:pPr>
            <w:r w:rsidRPr="007E4711">
              <w:rPr>
                <w:b/>
                <w:bCs/>
                <w:sz w:val="24"/>
                <w:szCs w:val="24"/>
              </w:rPr>
              <w:t>aesthetic (18)</w:t>
            </w:r>
          </w:p>
        </w:tc>
        <w:tc>
          <w:tcPr>
            <w:tcW w:w="6920" w:type="dxa"/>
            <w:shd w:val="clear" w:color="auto" w:fill="auto"/>
          </w:tcPr>
          <w:p w14:paraId="3A95028D" w14:textId="77777777" w:rsidR="00CD5A58" w:rsidRPr="007E4711" w:rsidRDefault="00CD5A58" w:rsidP="007078F1">
            <w:pPr>
              <w:ind w:firstLine="0"/>
              <w:rPr>
                <w:sz w:val="24"/>
                <w:szCs w:val="24"/>
              </w:rPr>
            </w:pPr>
            <w:r w:rsidRPr="007E4711">
              <w:rPr>
                <w:rFonts w:cs="Helvetica Neue"/>
                <w:color w:val="000000"/>
                <w:sz w:val="24"/>
                <w:szCs w:val="24"/>
                <w:u w:val="single"/>
              </w:rPr>
              <w:t>Over time, the constant intrusion of the author (i.e. the anonymous email writer) wears thin.</w:t>
            </w:r>
            <w:r>
              <w:rPr>
                <w:rFonts w:cs="Helvetica Neue"/>
                <w:color w:val="000000"/>
                <w:sz w:val="24"/>
                <w:szCs w:val="24"/>
              </w:rPr>
              <w:t xml:space="preserve"> </w:t>
            </w:r>
            <w:r w:rsidRPr="007E4711">
              <w:rPr>
                <w:rFonts w:cs="Helvetica Neue"/>
                <w:color w:val="000000"/>
                <w:sz w:val="24"/>
                <w:szCs w:val="24"/>
                <w:u w:val="single"/>
              </w:rPr>
              <w:t xml:space="preserve">Perhaps this is because in </w:t>
            </w:r>
            <w:r w:rsidRPr="007E4711">
              <w:rPr>
                <w:rFonts w:cs="Helvetica Neue"/>
                <w:color w:val="000000"/>
                <w:sz w:val="24"/>
                <w:szCs w:val="24"/>
                <w:u w:val="single"/>
              </w:rPr>
              <w:lastRenderedPageBreak/>
              <w:t xml:space="preserve">the last half of the </w:t>
            </w:r>
            <w:r w:rsidRPr="007E4711">
              <w:rPr>
                <w:rFonts w:cs="Helvetica Neue"/>
                <w:b/>
                <w:bCs/>
                <w:color w:val="000000"/>
                <w:sz w:val="24"/>
                <w:szCs w:val="24"/>
                <w:u w:val="single"/>
              </w:rPr>
              <w:t>novel</w:t>
            </w:r>
            <w:r w:rsidRPr="007E4711">
              <w:rPr>
                <w:rFonts w:cs="Helvetica Neue"/>
                <w:color w:val="000000"/>
                <w:sz w:val="24"/>
                <w:szCs w:val="24"/>
                <w:u w:val="single"/>
              </w:rPr>
              <w:t xml:space="preserve">, she just taunts the reader with the fact that she is unknown to </w:t>
            </w:r>
            <w:proofErr w:type="gramStart"/>
            <w:r w:rsidRPr="007E4711">
              <w:rPr>
                <w:rFonts w:cs="Helvetica Neue"/>
                <w:color w:val="000000"/>
                <w:sz w:val="24"/>
                <w:szCs w:val="24"/>
                <w:u w:val="single"/>
              </w:rPr>
              <w:t>them</w:t>
            </w:r>
            <w:r w:rsidRPr="007E4711">
              <w:rPr>
                <w:rFonts w:cs="Helvetica Neue"/>
                <w:color w:val="000000"/>
                <w:sz w:val="24"/>
                <w:szCs w:val="24"/>
              </w:rPr>
              <w:t>, and</w:t>
            </w:r>
            <w:proofErr w:type="gramEnd"/>
            <w:r w:rsidRPr="007E4711">
              <w:rPr>
                <w:rFonts w:cs="Helvetica Neue"/>
                <w:color w:val="000000"/>
                <w:sz w:val="24"/>
                <w:szCs w:val="24"/>
              </w:rPr>
              <w:t xml:space="preserve"> will keep her identity a secret.</w:t>
            </w:r>
            <w:r>
              <w:rPr>
                <w:rFonts w:cs="Helvetica Neue"/>
                <w:color w:val="000000"/>
                <w:sz w:val="24"/>
                <w:szCs w:val="24"/>
              </w:rPr>
              <w:t xml:space="preserve"> </w:t>
            </w:r>
            <w:r w:rsidRPr="007E4711">
              <w:rPr>
                <w:rFonts w:cs="Helvetica Neue"/>
                <w:color w:val="000000"/>
                <w:sz w:val="24"/>
                <w:szCs w:val="24"/>
                <w:u w:val="single"/>
              </w:rPr>
              <w:t>This refrain is repeated</w:t>
            </w:r>
            <w:r w:rsidRPr="007E4711">
              <w:rPr>
                <w:rFonts w:cs="Helvetica Neue"/>
                <w:color w:val="000000"/>
                <w:sz w:val="24"/>
                <w:szCs w:val="24"/>
              </w:rPr>
              <w:t xml:space="preserve"> at the start of each chapter in the second half of the </w:t>
            </w:r>
            <w:r w:rsidRPr="007E4711">
              <w:rPr>
                <w:rFonts w:cs="Helvetica Neue"/>
                <w:b/>
                <w:bCs/>
                <w:color w:val="000000"/>
                <w:sz w:val="24"/>
                <w:szCs w:val="24"/>
              </w:rPr>
              <w:t>novel</w:t>
            </w:r>
            <w:r w:rsidRPr="007E4711">
              <w:rPr>
                <w:rFonts w:cs="Helvetica Neue"/>
                <w:color w:val="000000"/>
                <w:sz w:val="24"/>
                <w:szCs w:val="24"/>
              </w:rPr>
              <w:t xml:space="preserve">, and </w:t>
            </w:r>
            <w:r w:rsidRPr="007E4711">
              <w:rPr>
                <w:rFonts w:cs="Helvetica Neue"/>
                <w:color w:val="000000"/>
                <w:sz w:val="24"/>
                <w:szCs w:val="24"/>
                <w:u w:val="single"/>
              </w:rPr>
              <w:t>quickly becomes repetitive.</w:t>
            </w:r>
          </w:p>
        </w:tc>
      </w:tr>
      <w:tr w:rsidR="00CD5A58" w:rsidRPr="007E4711" w14:paraId="51443C28" w14:textId="77777777" w:rsidTr="009C75B1">
        <w:tc>
          <w:tcPr>
            <w:tcW w:w="2430" w:type="dxa"/>
            <w:shd w:val="clear" w:color="auto" w:fill="auto"/>
          </w:tcPr>
          <w:p w14:paraId="7F1F6FA1" w14:textId="77777777" w:rsidR="00CD5A58" w:rsidRPr="007E4711" w:rsidRDefault="00CD5A58" w:rsidP="007078F1">
            <w:pPr>
              <w:ind w:firstLine="0"/>
              <w:jc w:val="center"/>
              <w:rPr>
                <w:sz w:val="24"/>
                <w:szCs w:val="24"/>
              </w:rPr>
            </w:pPr>
            <w:r w:rsidRPr="007E4711">
              <w:rPr>
                <w:b/>
                <w:bCs/>
                <w:sz w:val="24"/>
                <w:szCs w:val="24"/>
              </w:rPr>
              <w:lastRenderedPageBreak/>
              <w:t>universal (15)</w:t>
            </w:r>
          </w:p>
        </w:tc>
        <w:tc>
          <w:tcPr>
            <w:tcW w:w="6920" w:type="dxa"/>
            <w:shd w:val="clear" w:color="auto" w:fill="auto"/>
          </w:tcPr>
          <w:p w14:paraId="740A7C02" w14:textId="77777777" w:rsidR="00CD5A58" w:rsidRPr="007E4711" w:rsidRDefault="00CD5A58" w:rsidP="007078F1">
            <w:pPr>
              <w:ind w:firstLine="0"/>
              <w:rPr>
                <w:sz w:val="24"/>
                <w:szCs w:val="24"/>
              </w:rPr>
            </w:pPr>
            <w:r w:rsidRPr="007E4711">
              <w:rPr>
                <w:rFonts w:cs="Helvetica Neue"/>
                <w:color w:val="000000"/>
                <w:sz w:val="24"/>
                <w:szCs w:val="24"/>
                <w:u w:val="single"/>
              </w:rPr>
              <w:t xml:space="preserve">The fact that this book is titled "Girls of Riyadh" is a bit misleading, as I think it really can represent a group of </w:t>
            </w:r>
            <w:r w:rsidRPr="00EF0422">
              <w:rPr>
                <w:rFonts w:cs="Helvetica Neue"/>
                <w:b/>
                <w:bCs/>
                <w:color w:val="000000"/>
                <w:sz w:val="24"/>
                <w:szCs w:val="24"/>
                <w:u w:val="single"/>
              </w:rPr>
              <w:t xml:space="preserve">girls </w:t>
            </w:r>
            <w:r w:rsidRPr="007E4711">
              <w:rPr>
                <w:rFonts w:cs="Helvetica Neue"/>
                <w:color w:val="000000"/>
                <w:sz w:val="24"/>
                <w:szCs w:val="24"/>
                <w:u w:val="single"/>
              </w:rPr>
              <w:t>anywhere,</w:t>
            </w:r>
            <w:r w:rsidRPr="007E4711">
              <w:rPr>
                <w:rFonts w:cs="Helvetica Neue"/>
                <w:color w:val="000000"/>
                <w:sz w:val="24"/>
                <w:szCs w:val="24"/>
              </w:rPr>
              <w:t xml:space="preserve"> as the heroines face heartbreak and tough decisions </w:t>
            </w:r>
            <w:r w:rsidRPr="007E4711">
              <w:rPr>
                <w:rFonts w:cs="Helvetica Neue"/>
                <w:color w:val="000000"/>
                <w:sz w:val="24"/>
                <w:szCs w:val="24"/>
                <w:u w:val="single"/>
              </w:rPr>
              <w:t>like anyone from any country.</w:t>
            </w:r>
          </w:p>
        </w:tc>
      </w:tr>
      <w:tr w:rsidR="00CD5A58" w:rsidRPr="007E4711" w14:paraId="41F50447" w14:textId="77777777" w:rsidTr="009C75B1">
        <w:tc>
          <w:tcPr>
            <w:tcW w:w="2430" w:type="dxa"/>
            <w:shd w:val="clear" w:color="auto" w:fill="auto"/>
          </w:tcPr>
          <w:p w14:paraId="41C4A5DE" w14:textId="77777777" w:rsidR="00CD5A58" w:rsidRPr="007E4711" w:rsidRDefault="00CD5A58" w:rsidP="007078F1">
            <w:pPr>
              <w:ind w:firstLine="0"/>
              <w:jc w:val="center"/>
              <w:rPr>
                <w:sz w:val="24"/>
                <w:szCs w:val="24"/>
              </w:rPr>
            </w:pPr>
            <w:r w:rsidRPr="007E4711">
              <w:rPr>
                <w:b/>
                <w:bCs/>
                <w:sz w:val="24"/>
                <w:szCs w:val="24"/>
              </w:rPr>
              <w:t>clichéd image (9)</w:t>
            </w:r>
          </w:p>
        </w:tc>
        <w:tc>
          <w:tcPr>
            <w:tcW w:w="6920" w:type="dxa"/>
            <w:shd w:val="clear" w:color="auto" w:fill="auto"/>
          </w:tcPr>
          <w:p w14:paraId="301C1F99" w14:textId="77777777" w:rsidR="00CD5A58" w:rsidRPr="007E4711" w:rsidRDefault="00CD5A58" w:rsidP="007078F1">
            <w:pPr>
              <w:ind w:firstLine="0"/>
              <w:rPr>
                <w:sz w:val="24"/>
                <w:szCs w:val="24"/>
              </w:rPr>
            </w:pPr>
            <w:r w:rsidRPr="007E4711">
              <w:rPr>
                <w:rFonts w:cs="Helvetica Neue"/>
                <w:color w:val="000000"/>
                <w:sz w:val="24"/>
                <w:szCs w:val="24"/>
              </w:rPr>
              <w:t xml:space="preserve">I </w:t>
            </w:r>
            <w:r w:rsidRPr="007E4711">
              <w:rPr>
                <w:rFonts w:cs="Helvetica Neue"/>
                <w:color w:val="000000"/>
                <w:sz w:val="24"/>
                <w:szCs w:val="24"/>
                <w:u w:val="single"/>
              </w:rPr>
              <w:t>was surprised by the amount of cliches used</w:t>
            </w:r>
            <w:r w:rsidRPr="007E4711">
              <w:rPr>
                <w:rFonts w:cs="Helvetica Neue"/>
                <w:color w:val="000000"/>
                <w:sz w:val="24"/>
                <w:szCs w:val="24"/>
              </w:rPr>
              <w:t xml:space="preserve"> in the </w:t>
            </w:r>
            <w:r w:rsidRPr="007E4711">
              <w:rPr>
                <w:rFonts w:cs="Helvetica Neue"/>
                <w:b/>
                <w:bCs/>
                <w:color w:val="000000"/>
                <w:sz w:val="24"/>
                <w:szCs w:val="24"/>
              </w:rPr>
              <w:t>book,</w:t>
            </w:r>
            <w:r w:rsidRPr="007E4711">
              <w:rPr>
                <w:rFonts w:cs="Helvetica Neue"/>
                <w:color w:val="000000"/>
                <w:sz w:val="24"/>
                <w:szCs w:val="24"/>
              </w:rPr>
              <w:t xml:space="preserve"> hence, the </w:t>
            </w:r>
            <w:proofErr w:type="gramStart"/>
            <w:r w:rsidRPr="007E4711">
              <w:rPr>
                <w:rFonts w:cs="Helvetica Neue"/>
                <w:color w:val="000000"/>
                <w:sz w:val="24"/>
                <w:szCs w:val="24"/>
              </w:rPr>
              <w:t>four star</w:t>
            </w:r>
            <w:proofErr w:type="gramEnd"/>
            <w:r w:rsidRPr="007E4711">
              <w:rPr>
                <w:rFonts w:cs="Helvetica Neue"/>
                <w:color w:val="000000"/>
                <w:sz w:val="24"/>
                <w:szCs w:val="24"/>
              </w:rPr>
              <w:t xml:space="preserve"> rating.</w:t>
            </w:r>
            <w:r>
              <w:rPr>
                <w:rFonts w:cs="Helvetica Neue"/>
                <w:color w:val="000000"/>
                <w:sz w:val="24"/>
                <w:szCs w:val="24"/>
              </w:rPr>
              <w:t xml:space="preserve"> </w:t>
            </w:r>
            <w:r w:rsidRPr="007E4711">
              <w:rPr>
                <w:rFonts w:cs="Helvetica Neue"/>
                <w:color w:val="000000"/>
                <w:sz w:val="24"/>
                <w:szCs w:val="24"/>
              </w:rPr>
              <w:t xml:space="preserve">I don't think this took away from the content of the stories, </w:t>
            </w:r>
            <w:r w:rsidRPr="007E4711">
              <w:rPr>
                <w:rFonts w:cs="Helvetica Neue"/>
                <w:color w:val="000000"/>
                <w:sz w:val="24"/>
                <w:szCs w:val="24"/>
                <w:u w:val="single"/>
              </w:rPr>
              <w:t>but the cliches were distracting at some serious points</w:t>
            </w:r>
          </w:p>
        </w:tc>
      </w:tr>
      <w:tr w:rsidR="00CD5A58" w:rsidRPr="007E4711" w14:paraId="28AD1F29" w14:textId="77777777" w:rsidTr="009C75B1">
        <w:tc>
          <w:tcPr>
            <w:tcW w:w="2430" w:type="dxa"/>
            <w:shd w:val="clear" w:color="auto" w:fill="auto"/>
          </w:tcPr>
          <w:p w14:paraId="6FB1ED82" w14:textId="77777777" w:rsidR="00CD5A58" w:rsidRPr="007E4711" w:rsidRDefault="00CD5A58" w:rsidP="007078F1">
            <w:pPr>
              <w:ind w:firstLine="0"/>
              <w:jc w:val="center"/>
              <w:rPr>
                <w:sz w:val="24"/>
                <w:szCs w:val="24"/>
              </w:rPr>
            </w:pPr>
            <w:r w:rsidRPr="007E4711">
              <w:rPr>
                <w:b/>
                <w:bCs/>
                <w:sz w:val="24"/>
                <w:szCs w:val="24"/>
              </w:rPr>
              <w:t>superiority (5)</w:t>
            </w:r>
          </w:p>
        </w:tc>
        <w:tc>
          <w:tcPr>
            <w:tcW w:w="6920" w:type="dxa"/>
            <w:shd w:val="clear" w:color="auto" w:fill="auto"/>
          </w:tcPr>
          <w:p w14:paraId="17F18CA4" w14:textId="77777777" w:rsidR="00CD5A58" w:rsidRPr="007E4711" w:rsidRDefault="00CD5A58" w:rsidP="007078F1">
            <w:pPr>
              <w:ind w:firstLine="0"/>
              <w:rPr>
                <w:sz w:val="24"/>
                <w:szCs w:val="24"/>
              </w:rPr>
            </w:pPr>
            <w:r w:rsidRPr="007E4711">
              <w:rPr>
                <w:rFonts w:cs="Helvetica Neue"/>
                <w:color w:val="000000"/>
                <w:sz w:val="24"/>
                <w:szCs w:val="24"/>
              </w:rPr>
              <w:t xml:space="preserve">A good insight into the Saudi </w:t>
            </w:r>
            <w:r w:rsidRPr="007E4711">
              <w:rPr>
                <w:rFonts w:cs="Helvetica Neue"/>
                <w:b/>
                <w:bCs/>
                <w:color w:val="000000"/>
                <w:sz w:val="24"/>
                <w:szCs w:val="24"/>
              </w:rPr>
              <w:t xml:space="preserve">culture </w:t>
            </w:r>
            <w:r w:rsidRPr="007E4711">
              <w:rPr>
                <w:rFonts w:cs="Helvetica Neue"/>
                <w:color w:val="000000"/>
                <w:sz w:val="24"/>
                <w:szCs w:val="24"/>
              </w:rPr>
              <w:t xml:space="preserve">and it will make you </w:t>
            </w:r>
            <w:r w:rsidRPr="007E4711">
              <w:rPr>
                <w:rFonts w:cs="Helvetica Neue"/>
                <w:color w:val="000000"/>
                <w:sz w:val="24"/>
                <w:szCs w:val="24"/>
                <w:u w:val="single"/>
              </w:rPr>
              <w:t>feel lucky you're an American.</w:t>
            </w:r>
            <w:r w:rsidRPr="007E4711">
              <w:rPr>
                <w:rFonts w:cs="Helvetica Neue"/>
                <w:color w:val="000000"/>
                <w:sz w:val="24"/>
                <w:szCs w:val="24"/>
              </w:rPr>
              <w:t xml:space="preserve"> </w:t>
            </w:r>
          </w:p>
        </w:tc>
      </w:tr>
      <w:tr w:rsidR="00CD5A58" w:rsidRPr="007E4711" w14:paraId="45FB9054" w14:textId="77777777" w:rsidTr="009C75B1">
        <w:tc>
          <w:tcPr>
            <w:tcW w:w="2430" w:type="dxa"/>
            <w:shd w:val="clear" w:color="auto" w:fill="auto"/>
          </w:tcPr>
          <w:p w14:paraId="1491287C" w14:textId="77777777" w:rsidR="00CD5A58" w:rsidRPr="007E4711" w:rsidRDefault="00CD5A58" w:rsidP="007078F1">
            <w:pPr>
              <w:ind w:firstLine="0"/>
              <w:jc w:val="center"/>
              <w:rPr>
                <w:sz w:val="24"/>
                <w:szCs w:val="24"/>
              </w:rPr>
            </w:pPr>
            <w:r w:rsidRPr="007E4711">
              <w:rPr>
                <w:b/>
                <w:bCs/>
                <w:sz w:val="24"/>
                <w:szCs w:val="24"/>
              </w:rPr>
              <w:t>compassion (5)</w:t>
            </w:r>
          </w:p>
        </w:tc>
        <w:tc>
          <w:tcPr>
            <w:tcW w:w="6920" w:type="dxa"/>
            <w:shd w:val="clear" w:color="auto" w:fill="auto"/>
          </w:tcPr>
          <w:p w14:paraId="1FCAE68E" w14:textId="77777777" w:rsidR="00CD5A58" w:rsidRPr="007E4711" w:rsidRDefault="00CD5A58" w:rsidP="007078F1">
            <w:pPr>
              <w:ind w:firstLine="0"/>
              <w:rPr>
                <w:sz w:val="24"/>
                <w:szCs w:val="24"/>
              </w:rPr>
            </w:pPr>
            <w:r w:rsidRPr="007E4711">
              <w:rPr>
                <w:rFonts w:cs="Helvetica Neue"/>
                <w:color w:val="000000"/>
                <w:sz w:val="24"/>
                <w:szCs w:val="24"/>
              </w:rPr>
              <w:t xml:space="preserve">Hard to believe that this kind of </w:t>
            </w:r>
            <w:r w:rsidRPr="007E4711">
              <w:rPr>
                <w:rFonts w:cs="Helvetica Neue"/>
                <w:b/>
                <w:bCs/>
                <w:color w:val="000000"/>
                <w:sz w:val="24"/>
                <w:szCs w:val="24"/>
              </w:rPr>
              <w:t xml:space="preserve">life </w:t>
            </w:r>
            <w:r w:rsidRPr="007E4711">
              <w:rPr>
                <w:rFonts w:cs="Helvetica Neue"/>
                <w:color w:val="000000"/>
                <w:sz w:val="24"/>
                <w:szCs w:val="24"/>
              </w:rPr>
              <w:t>exists in the twentieth first century.</w:t>
            </w:r>
            <w:r>
              <w:rPr>
                <w:rFonts w:cs="Helvetica Neue"/>
                <w:color w:val="000000"/>
                <w:sz w:val="24"/>
                <w:szCs w:val="24"/>
              </w:rPr>
              <w:t xml:space="preserve"> </w:t>
            </w:r>
            <w:r w:rsidRPr="007E4711">
              <w:rPr>
                <w:rFonts w:cs="Helvetica Neue"/>
                <w:color w:val="000000"/>
                <w:sz w:val="24"/>
                <w:szCs w:val="24"/>
                <w:u w:val="single"/>
              </w:rPr>
              <w:t xml:space="preserve">I just hope that changes will happen in my </w:t>
            </w:r>
            <w:proofErr w:type="gramStart"/>
            <w:r w:rsidRPr="00E062EA">
              <w:rPr>
                <w:rFonts w:cs="Helvetica Neue"/>
                <w:b/>
                <w:bCs/>
                <w:color w:val="000000"/>
                <w:sz w:val="24"/>
                <w:szCs w:val="24"/>
                <w:u w:val="single"/>
              </w:rPr>
              <w:t xml:space="preserve">life </w:t>
            </w:r>
            <w:r w:rsidRPr="007E4711">
              <w:rPr>
                <w:rFonts w:cs="Helvetica Neue"/>
                <w:color w:val="000000"/>
                <w:sz w:val="24"/>
                <w:szCs w:val="24"/>
                <w:u w:val="single"/>
              </w:rPr>
              <w:t>time</w:t>
            </w:r>
            <w:proofErr w:type="gramEnd"/>
            <w:r w:rsidRPr="007E4711">
              <w:rPr>
                <w:rFonts w:cs="Helvetica Neue"/>
                <w:color w:val="000000"/>
                <w:sz w:val="24"/>
                <w:szCs w:val="24"/>
                <w:u w:val="single"/>
              </w:rPr>
              <w:t>!</w:t>
            </w:r>
          </w:p>
        </w:tc>
      </w:tr>
      <w:tr w:rsidR="00CD5A58" w:rsidRPr="007E4711" w14:paraId="2F45CC95" w14:textId="77777777" w:rsidTr="009C75B1">
        <w:tc>
          <w:tcPr>
            <w:tcW w:w="2430" w:type="dxa"/>
            <w:shd w:val="clear" w:color="auto" w:fill="auto"/>
          </w:tcPr>
          <w:p w14:paraId="5EDCCFF0" w14:textId="77777777" w:rsidR="00CD5A58" w:rsidRPr="007E4711" w:rsidRDefault="00CD5A58" w:rsidP="007078F1">
            <w:pPr>
              <w:ind w:firstLine="0"/>
              <w:jc w:val="center"/>
              <w:rPr>
                <w:b/>
                <w:bCs/>
                <w:sz w:val="24"/>
                <w:szCs w:val="24"/>
              </w:rPr>
            </w:pPr>
            <w:r w:rsidRPr="007E4711">
              <w:rPr>
                <w:b/>
                <w:bCs/>
                <w:sz w:val="24"/>
                <w:szCs w:val="24"/>
              </w:rPr>
              <w:t>resistant (2)</w:t>
            </w:r>
          </w:p>
        </w:tc>
        <w:tc>
          <w:tcPr>
            <w:tcW w:w="6920" w:type="dxa"/>
            <w:shd w:val="clear" w:color="auto" w:fill="auto"/>
          </w:tcPr>
          <w:p w14:paraId="582219D4" w14:textId="77777777" w:rsidR="00CD5A58" w:rsidRPr="007E4711" w:rsidRDefault="00CD5A58" w:rsidP="007078F1">
            <w:pPr>
              <w:ind w:firstLine="0"/>
              <w:rPr>
                <w:b/>
                <w:bCs/>
                <w:sz w:val="24"/>
                <w:szCs w:val="24"/>
              </w:rPr>
            </w:pPr>
            <w:r w:rsidRPr="007E4711">
              <w:rPr>
                <w:rFonts w:cs="Helvetica Neue"/>
                <w:color w:val="000000"/>
                <w:sz w:val="24"/>
                <w:szCs w:val="24"/>
              </w:rPr>
              <w:t xml:space="preserve">As at least one reviewer has noted here, </w:t>
            </w:r>
            <w:r w:rsidRPr="007E4711">
              <w:rPr>
                <w:rFonts w:cs="Helvetica Neue"/>
                <w:color w:val="000000"/>
                <w:sz w:val="24"/>
                <w:szCs w:val="24"/>
                <w:u w:val="single"/>
              </w:rPr>
              <w:t>sexism and chauvinism exist in and out of marriage everywhere in the world</w:t>
            </w:r>
            <w:r w:rsidRPr="007E4711">
              <w:rPr>
                <w:rFonts w:cs="Helvetica Neue"/>
                <w:color w:val="000000"/>
                <w:sz w:val="24"/>
                <w:szCs w:val="24"/>
              </w:rPr>
              <w:t xml:space="preserve"> - in some places it is simply more extreme.</w:t>
            </w:r>
            <w:r>
              <w:rPr>
                <w:rFonts w:cs="Helvetica Neue"/>
                <w:color w:val="000000"/>
                <w:sz w:val="24"/>
                <w:szCs w:val="24"/>
              </w:rPr>
              <w:t xml:space="preserve"> </w:t>
            </w:r>
            <w:r w:rsidRPr="007E4711">
              <w:rPr>
                <w:rFonts w:cs="Helvetica Neue"/>
                <w:color w:val="000000"/>
                <w:sz w:val="24"/>
                <w:szCs w:val="24"/>
                <w:u w:val="single"/>
              </w:rPr>
              <w:t xml:space="preserve">I'm sure there are some Saudi </w:t>
            </w:r>
            <w:r w:rsidRPr="007E4711">
              <w:rPr>
                <w:rFonts w:cs="Helvetica Neue"/>
                <w:b/>
                <w:bCs/>
                <w:color w:val="000000"/>
                <w:sz w:val="24"/>
                <w:szCs w:val="24"/>
                <w:u w:val="single"/>
              </w:rPr>
              <w:t>men</w:t>
            </w:r>
            <w:r w:rsidRPr="007E4711">
              <w:rPr>
                <w:rFonts w:cs="Helvetica Neue"/>
                <w:color w:val="000000"/>
                <w:sz w:val="24"/>
                <w:szCs w:val="24"/>
                <w:u w:val="single"/>
              </w:rPr>
              <w:t xml:space="preserve"> who do not "change" and become tyrannical or scornful toward their wives after marriage</w:t>
            </w:r>
            <w:r w:rsidRPr="007E4711">
              <w:rPr>
                <w:rFonts w:cs="Helvetica Neue"/>
                <w:color w:val="000000"/>
                <w:sz w:val="24"/>
                <w:szCs w:val="24"/>
              </w:rPr>
              <w:t xml:space="preserve">, just as there are some loving, </w:t>
            </w:r>
            <w:r w:rsidRPr="007E4711">
              <w:rPr>
                <w:rFonts w:cs="Helvetica Neue"/>
                <w:color w:val="000000"/>
                <w:sz w:val="24"/>
                <w:szCs w:val="24"/>
              </w:rPr>
              <w:lastRenderedPageBreak/>
              <w:t>understanding men in western culture who honor the women they love.</w:t>
            </w:r>
            <w:r w:rsidRPr="007E4711">
              <w:rPr>
                <w:rStyle w:val="FootnoteReference"/>
              </w:rPr>
              <w:footnoteReference w:id="84"/>
            </w:r>
          </w:p>
        </w:tc>
      </w:tr>
    </w:tbl>
    <w:p w14:paraId="23C63F8E" w14:textId="77777777" w:rsidR="00CD5A58" w:rsidRPr="007E4711" w:rsidRDefault="00CD5A58" w:rsidP="001458F6">
      <w:pPr>
        <w:ind w:firstLine="0"/>
      </w:pPr>
    </w:p>
    <w:p w14:paraId="0780F2BF" w14:textId="77777777" w:rsidR="00CD5A58" w:rsidRPr="007E4711" w:rsidRDefault="00CD5A58" w:rsidP="001458F6">
      <w:pPr>
        <w:ind w:firstLine="0"/>
      </w:pPr>
      <w:r w:rsidRPr="007E4711">
        <w:t>Having identified the emerging patterns and provide</w:t>
      </w:r>
      <w:r>
        <w:t>d</w:t>
      </w:r>
      <w:r w:rsidRPr="007E4711">
        <w:t xml:space="preserve"> clarifying representative examples for each category, below </w:t>
      </w:r>
      <w:r>
        <w:t>I offer</w:t>
      </w:r>
      <w:r w:rsidRPr="007E4711">
        <w:t xml:space="preserve"> a summary of all the labels, followed by my typical discussion section</w:t>
      </w:r>
      <w:r>
        <w:t>,</w:t>
      </w:r>
      <w:r w:rsidRPr="007E4711">
        <w:t xml:space="preserve"> which includes some concluding remarks.</w:t>
      </w:r>
    </w:p>
    <w:p w14:paraId="78ED39CA" w14:textId="77777777" w:rsidR="00CD5A58" w:rsidRPr="007E4711" w:rsidRDefault="00CD5A58" w:rsidP="00B300DD">
      <w:pPr>
        <w:pStyle w:val="Caption"/>
      </w:pPr>
      <w:bookmarkStart w:id="8" w:name="_Toc58663291"/>
      <w:r w:rsidRPr="007E4711">
        <w:t xml:space="preserve">Table </w:t>
      </w:r>
      <w:r>
        <w:fldChar w:fldCharType="begin"/>
      </w:r>
      <w:r>
        <w:instrText xml:space="preserve"> SEQ Table \* ARABIC </w:instrText>
      </w:r>
      <w:r>
        <w:fldChar w:fldCharType="separate"/>
      </w:r>
      <w:r w:rsidRPr="007E4711">
        <w:rPr>
          <w:noProof/>
        </w:rPr>
        <w:t>21</w:t>
      </w:r>
      <w:r>
        <w:rPr>
          <w:noProof/>
        </w:rPr>
        <w:fldChar w:fldCharType="end"/>
      </w:r>
      <w:r w:rsidRPr="007E4711">
        <w:t xml:space="preserve"> English Reception Summary of </w:t>
      </w:r>
      <w:r w:rsidRPr="000E5714">
        <w:t>GOR</w:t>
      </w:r>
      <w:bookmarkEnd w:id="8"/>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5"/>
        <w:gridCol w:w="3182"/>
        <w:gridCol w:w="2843"/>
      </w:tblGrid>
      <w:tr w:rsidR="00CD5A58" w:rsidRPr="007E4711" w14:paraId="6E23D5E2" w14:textId="77777777" w:rsidTr="009C75B1">
        <w:tc>
          <w:tcPr>
            <w:tcW w:w="3325" w:type="dxa"/>
            <w:shd w:val="clear" w:color="auto" w:fill="auto"/>
          </w:tcPr>
          <w:p w14:paraId="3FCEE142" w14:textId="77777777" w:rsidR="00CD5A58" w:rsidRPr="007E4711" w:rsidRDefault="00CD5A58" w:rsidP="007078F1">
            <w:pPr>
              <w:ind w:firstLine="0"/>
              <w:jc w:val="center"/>
              <w:rPr>
                <w:b/>
                <w:bCs/>
                <w:sz w:val="24"/>
                <w:szCs w:val="24"/>
              </w:rPr>
            </w:pPr>
            <w:r w:rsidRPr="007E4711">
              <w:rPr>
                <w:b/>
                <w:bCs/>
                <w:sz w:val="24"/>
                <w:szCs w:val="24"/>
              </w:rPr>
              <w:t>Code</w:t>
            </w:r>
          </w:p>
        </w:tc>
        <w:tc>
          <w:tcPr>
            <w:tcW w:w="3182" w:type="dxa"/>
            <w:shd w:val="clear" w:color="auto" w:fill="auto"/>
          </w:tcPr>
          <w:p w14:paraId="7EA489F3" w14:textId="77777777" w:rsidR="00CD5A58" w:rsidRPr="007E4711" w:rsidRDefault="00CD5A58" w:rsidP="007078F1">
            <w:pPr>
              <w:ind w:firstLine="0"/>
              <w:jc w:val="center"/>
              <w:rPr>
                <w:b/>
                <w:bCs/>
                <w:sz w:val="24"/>
                <w:szCs w:val="24"/>
              </w:rPr>
            </w:pPr>
            <w:r w:rsidRPr="007E4711">
              <w:rPr>
                <w:b/>
                <w:bCs/>
                <w:sz w:val="24"/>
                <w:szCs w:val="24"/>
              </w:rPr>
              <w:t>Number of Occurrences</w:t>
            </w:r>
          </w:p>
        </w:tc>
        <w:tc>
          <w:tcPr>
            <w:tcW w:w="2843" w:type="dxa"/>
            <w:shd w:val="clear" w:color="auto" w:fill="auto"/>
          </w:tcPr>
          <w:p w14:paraId="094D1B7A" w14:textId="77777777" w:rsidR="00CD5A58" w:rsidRPr="007E4711" w:rsidRDefault="00CD5A58" w:rsidP="007078F1">
            <w:pPr>
              <w:ind w:firstLine="0"/>
              <w:jc w:val="center"/>
              <w:rPr>
                <w:b/>
                <w:bCs/>
                <w:sz w:val="24"/>
                <w:szCs w:val="24"/>
              </w:rPr>
            </w:pPr>
            <w:r w:rsidRPr="007E4711">
              <w:rPr>
                <w:b/>
                <w:bCs/>
                <w:sz w:val="24"/>
                <w:szCs w:val="24"/>
              </w:rPr>
              <w:t>Percentage</w:t>
            </w:r>
          </w:p>
        </w:tc>
      </w:tr>
      <w:tr w:rsidR="00CD5A58" w:rsidRPr="007E4711" w14:paraId="03312983" w14:textId="77777777" w:rsidTr="009C75B1">
        <w:tc>
          <w:tcPr>
            <w:tcW w:w="3325" w:type="dxa"/>
            <w:shd w:val="clear" w:color="auto" w:fill="auto"/>
          </w:tcPr>
          <w:p w14:paraId="6FD132A3" w14:textId="77777777" w:rsidR="00CD5A58" w:rsidRPr="007E4711" w:rsidRDefault="00CD5A58" w:rsidP="007078F1">
            <w:pPr>
              <w:ind w:firstLine="0"/>
              <w:jc w:val="center"/>
              <w:rPr>
                <w:b/>
                <w:bCs/>
                <w:sz w:val="24"/>
                <w:szCs w:val="24"/>
              </w:rPr>
            </w:pPr>
            <w:r w:rsidRPr="007E4711">
              <w:rPr>
                <w:b/>
                <w:bCs/>
                <w:sz w:val="24"/>
                <w:szCs w:val="24"/>
              </w:rPr>
              <w:t>ethnography</w:t>
            </w:r>
          </w:p>
        </w:tc>
        <w:tc>
          <w:tcPr>
            <w:tcW w:w="3182" w:type="dxa"/>
            <w:shd w:val="clear" w:color="auto" w:fill="auto"/>
          </w:tcPr>
          <w:p w14:paraId="47909B03" w14:textId="77777777" w:rsidR="00CD5A58" w:rsidRPr="007E4711" w:rsidRDefault="00CD5A58" w:rsidP="007078F1">
            <w:pPr>
              <w:ind w:firstLine="0"/>
              <w:jc w:val="center"/>
              <w:rPr>
                <w:b/>
                <w:bCs/>
                <w:sz w:val="24"/>
                <w:szCs w:val="24"/>
              </w:rPr>
            </w:pPr>
            <w:r w:rsidRPr="007E4711">
              <w:rPr>
                <w:b/>
                <w:bCs/>
                <w:sz w:val="24"/>
                <w:szCs w:val="24"/>
              </w:rPr>
              <w:t>61</w:t>
            </w:r>
          </w:p>
        </w:tc>
        <w:tc>
          <w:tcPr>
            <w:tcW w:w="2843" w:type="dxa"/>
            <w:shd w:val="clear" w:color="auto" w:fill="auto"/>
          </w:tcPr>
          <w:p w14:paraId="1197AF6A" w14:textId="77777777" w:rsidR="00CD5A58" w:rsidRPr="007E4711" w:rsidRDefault="00CD5A58" w:rsidP="007078F1">
            <w:pPr>
              <w:ind w:firstLine="0"/>
              <w:jc w:val="center"/>
              <w:rPr>
                <w:b/>
                <w:bCs/>
                <w:sz w:val="24"/>
                <w:szCs w:val="24"/>
              </w:rPr>
            </w:pPr>
            <w:r w:rsidRPr="007E4711">
              <w:rPr>
                <w:b/>
                <w:bCs/>
                <w:sz w:val="24"/>
                <w:szCs w:val="24"/>
              </w:rPr>
              <w:t>35%</w:t>
            </w:r>
          </w:p>
        </w:tc>
      </w:tr>
      <w:tr w:rsidR="00CD5A58" w:rsidRPr="007E4711" w14:paraId="724C844F" w14:textId="77777777" w:rsidTr="009C75B1">
        <w:tc>
          <w:tcPr>
            <w:tcW w:w="3325" w:type="dxa"/>
            <w:shd w:val="clear" w:color="auto" w:fill="auto"/>
          </w:tcPr>
          <w:p w14:paraId="10123C51" w14:textId="77777777" w:rsidR="00CD5A58" w:rsidRPr="007E4711" w:rsidRDefault="00CD5A58" w:rsidP="007078F1">
            <w:pPr>
              <w:ind w:firstLine="0"/>
              <w:jc w:val="center"/>
              <w:rPr>
                <w:b/>
                <w:bCs/>
                <w:sz w:val="24"/>
                <w:szCs w:val="24"/>
              </w:rPr>
            </w:pPr>
            <w:r w:rsidRPr="007E4711">
              <w:rPr>
                <w:b/>
                <w:bCs/>
                <w:sz w:val="24"/>
                <w:szCs w:val="24"/>
              </w:rPr>
              <w:t xml:space="preserve">woman image </w:t>
            </w:r>
          </w:p>
        </w:tc>
        <w:tc>
          <w:tcPr>
            <w:tcW w:w="3182" w:type="dxa"/>
            <w:shd w:val="clear" w:color="auto" w:fill="auto"/>
          </w:tcPr>
          <w:p w14:paraId="26A0ABF9" w14:textId="77777777" w:rsidR="00CD5A58" w:rsidRPr="007E4711" w:rsidRDefault="00CD5A58" w:rsidP="007078F1">
            <w:pPr>
              <w:ind w:firstLine="0"/>
              <w:jc w:val="center"/>
              <w:rPr>
                <w:b/>
                <w:bCs/>
                <w:sz w:val="24"/>
                <w:szCs w:val="24"/>
              </w:rPr>
            </w:pPr>
            <w:r w:rsidRPr="007E4711">
              <w:rPr>
                <w:b/>
                <w:bCs/>
                <w:sz w:val="24"/>
                <w:szCs w:val="24"/>
              </w:rPr>
              <w:t>56</w:t>
            </w:r>
          </w:p>
        </w:tc>
        <w:tc>
          <w:tcPr>
            <w:tcW w:w="2843" w:type="dxa"/>
            <w:shd w:val="clear" w:color="auto" w:fill="auto"/>
          </w:tcPr>
          <w:p w14:paraId="7CF230F1" w14:textId="77777777" w:rsidR="00CD5A58" w:rsidRPr="007E4711" w:rsidRDefault="00CD5A58" w:rsidP="007078F1">
            <w:pPr>
              <w:ind w:firstLine="0"/>
              <w:jc w:val="center"/>
              <w:rPr>
                <w:b/>
                <w:bCs/>
                <w:sz w:val="24"/>
                <w:szCs w:val="24"/>
              </w:rPr>
            </w:pPr>
            <w:r w:rsidRPr="007E4711">
              <w:rPr>
                <w:b/>
                <w:bCs/>
                <w:sz w:val="24"/>
                <w:szCs w:val="24"/>
              </w:rPr>
              <w:t>33%</w:t>
            </w:r>
          </w:p>
        </w:tc>
      </w:tr>
      <w:tr w:rsidR="00CD5A58" w:rsidRPr="007E4711" w14:paraId="1CE849BD" w14:textId="77777777" w:rsidTr="009C75B1">
        <w:tc>
          <w:tcPr>
            <w:tcW w:w="3325" w:type="dxa"/>
            <w:shd w:val="clear" w:color="auto" w:fill="auto"/>
          </w:tcPr>
          <w:p w14:paraId="7C7CC727" w14:textId="77777777" w:rsidR="00CD5A58" w:rsidRPr="007E4711" w:rsidRDefault="00CD5A58" w:rsidP="007078F1">
            <w:pPr>
              <w:ind w:firstLine="0"/>
              <w:jc w:val="center"/>
              <w:rPr>
                <w:b/>
                <w:bCs/>
                <w:sz w:val="24"/>
                <w:szCs w:val="24"/>
              </w:rPr>
            </w:pPr>
            <w:r w:rsidRPr="007E4711">
              <w:rPr>
                <w:b/>
                <w:bCs/>
                <w:sz w:val="24"/>
                <w:szCs w:val="24"/>
              </w:rPr>
              <w:t>aesthetic</w:t>
            </w:r>
          </w:p>
        </w:tc>
        <w:tc>
          <w:tcPr>
            <w:tcW w:w="3182" w:type="dxa"/>
            <w:shd w:val="clear" w:color="auto" w:fill="auto"/>
          </w:tcPr>
          <w:p w14:paraId="59F11821" w14:textId="77777777" w:rsidR="00CD5A58" w:rsidRPr="007E4711" w:rsidRDefault="00CD5A58" w:rsidP="007078F1">
            <w:pPr>
              <w:ind w:firstLine="0"/>
              <w:jc w:val="center"/>
              <w:rPr>
                <w:b/>
                <w:bCs/>
                <w:sz w:val="24"/>
                <w:szCs w:val="24"/>
              </w:rPr>
            </w:pPr>
            <w:r w:rsidRPr="007E4711">
              <w:rPr>
                <w:b/>
                <w:bCs/>
                <w:sz w:val="24"/>
                <w:szCs w:val="24"/>
              </w:rPr>
              <w:t>18</w:t>
            </w:r>
          </w:p>
        </w:tc>
        <w:tc>
          <w:tcPr>
            <w:tcW w:w="2843" w:type="dxa"/>
            <w:shd w:val="clear" w:color="auto" w:fill="auto"/>
          </w:tcPr>
          <w:p w14:paraId="113798A9" w14:textId="77777777" w:rsidR="00CD5A58" w:rsidRPr="007E4711" w:rsidRDefault="00CD5A58" w:rsidP="007078F1">
            <w:pPr>
              <w:ind w:firstLine="0"/>
              <w:jc w:val="center"/>
              <w:rPr>
                <w:b/>
                <w:bCs/>
                <w:sz w:val="24"/>
                <w:szCs w:val="24"/>
              </w:rPr>
            </w:pPr>
            <w:r w:rsidRPr="007E4711">
              <w:rPr>
                <w:b/>
                <w:bCs/>
                <w:sz w:val="24"/>
                <w:szCs w:val="24"/>
              </w:rPr>
              <w:t>10%</w:t>
            </w:r>
          </w:p>
        </w:tc>
      </w:tr>
      <w:tr w:rsidR="00CD5A58" w:rsidRPr="007E4711" w14:paraId="1FB55843" w14:textId="77777777" w:rsidTr="009C75B1">
        <w:tc>
          <w:tcPr>
            <w:tcW w:w="3325" w:type="dxa"/>
            <w:shd w:val="clear" w:color="auto" w:fill="auto"/>
          </w:tcPr>
          <w:p w14:paraId="16618FEF" w14:textId="77777777" w:rsidR="00CD5A58" w:rsidRPr="007E4711" w:rsidRDefault="00CD5A58" w:rsidP="007078F1">
            <w:pPr>
              <w:ind w:firstLine="0"/>
              <w:jc w:val="center"/>
              <w:rPr>
                <w:b/>
                <w:bCs/>
                <w:sz w:val="24"/>
                <w:szCs w:val="24"/>
              </w:rPr>
            </w:pPr>
            <w:r w:rsidRPr="007E4711">
              <w:rPr>
                <w:b/>
                <w:bCs/>
                <w:sz w:val="24"/>
                <w:szCs w:val="24"/>
              </w:rPr>
              <w:t>universal</w:t>
            </w:r>
          </w:p>
        </w:tc>
        <w:tc>
          <w:tcPr>
            <w:tcW w:w="3182" w:type="dxa"/>
            <w:shd w:val="clear" w:color="auto" w:fill="auto"/>
          </w:tcPr>
          <w:p w14:paraId="37DB871C" w14:textId="77777777" w:rsidR="00CD5A58" w:rsidRPr="007E4711" w:rsidRDefault="00CD5A58" w:rsidP="007078F1">
            <w:pPr>
              <w:ind w:firstLine="0"/>
              <w:jc w:val="center"/>
              <w:rPr>
                <w:b/>
                <w:bCs/>
                <w:sz w:val="24"/>
                <w:szCs w:val="24"/>
              </w:rPr>
            </w:pPr>
            <w:r w:rsidRPr="007E4711">
              <w:rPr>
                <w:b/>
                <w:bCs/>
                <w:sz w:val="24"/>
                <w:szCs w:val="24"/>
              </w:rPr>
              <w:t>16</w:t>
            </w:r>
          </w:p>
        </w:tc>
        <w:tc>
          <w:tcPr>
            <w:tcW w:w="2843" w:type="dxa"/>
            <w:shd w:val="clear" w:color="auto" w:fill="auto"/>
          </w:tcPr>
          <w:p w14:paraId="7BDB1B5A" w14:textId="77777777" w:rsidR="00CD5A58" w:rsidRPr="007E4711" w:rsidRDefault="00CD5A58" w:rsidP="007078F1">
            <w:pPr>
              <w:ind w:firstLine="0"/>
              <w:jc w:val="center"/>
              <w:rPr>
                <w:b/>
                <w:bCs/>
                <w:sz w:val="24"/>
                <w:szCs w:val="24"/>
              </w:rPr>
            </w:pPr>
            <w:r w:rsidRPr="007E4711">
              <w:rPr>
                <w:b/>
                <w:bCs/>
                <w:sz w:val="24"/>
                <w:szCs w:val="24"/>
              </w:rPr>
              <w:t>9%</w:t>
            </w:r>
          </w:p>
        </w:tc>
      </w:tr>
      <w:tr w:rsidR="00CD5A58" w:rsidRPr="007E4711" w14:paraId="3A4B9F5B" w14:textId="77777777" w:rsidTr="009C75B1">
        <w:tc>
          <w:tcPr>
            <w:tcW w:w="3325" w:type="dxa"/>
            <w:shd w:val="clear" w:color="auto" w:fill="auto"/>
          </w:tcPr>
          <w:p w14:paraId="0B07D2E4" w14:textId="77777777" w:rsidR="00CD5A58" w:rsidRPr="007E4711" w:rsidRDefault="00CD5A58" w:rsidP="007078F1">
            <w:pPr>
              <w:ind w:firstLine="0"/>
              <w:jc w:val="center"/>
              <w:rPr>
                <w:b/>
                <w:bCs/>
                <w:sz w:val="24"/>
                <w:szCs w:val="24"/>
              </w:rPr>
            </w:pPr>
            <w:r w:rsidRPr="007E4711">
              <w:rPr>
                <w:b/>
                <w:bCs/>
                <w:sz w:val="24"/>
                <w:szCs w:val="24"/>
              </w:rPr>
              <w:t>clichéd image</w:t>
            </w:r>
          </w:p>
        </w:tc>
        <w:tc>
          <w:tcPr>
            <w:tcW w:w="3182" w:type="dxa"/>
            <w:shd w:val="clear" w:color="auto" w:fill="auto"/>
          </w:tcPr>
          <w:p w14:paraId="4632326B" w14:textId="77777777" w:rsidR="00CD5A58" w:rsidRPr="007E4711" w:rsidRDefault="00CD5A58" w:rsidP="007078F1">
            <w:pPr>
              <w:ind w:firstLine="0"/>
              <w:jc w:val="center"/>
              <w:rPr>
                <w:b/>
                <w:bCs/>
                <w:sz w:val="24"/>
                <w:szCs w:val="24"/>
              </w:rPr>
            </w:pPr>
            <w:r w:rsidRPr="007E4711">
              <w:rPr>
                <w:b/>
                <w:bCs/>
                <w:sz w:val="24"/>
                <w:szCs w:val="24"/>
              </w:rPr>
              <w:t>9</w:t>
            </w:r>
          </w:p>
        </w:tc>
        <w:tc>
          <w:tcPr>
            <w:tcW w:w="2843" w:type="dxa"/>
            <w:shd w:val="clear" w:color="auto" w:fill="auto"/>
          </w:tcPr>
          <w:p w14:paraId="0EC5188D" w14:textId="77777777" w:rsidR="00CD5A58" w:rsidRPr="007E4711" w:rsidRDefault="00CD5A58" w:rsidP="007078F1">
            <w:pPr>
              <w:ind w:firstLine="0"/>
              <w:jc w:val="center"/>
              <w:rPr>
                <w:b/>
                <w:bCs/>
                <w:sz w:val="24"/>
                <w:szCs w:val="24"/>
              </w:rPr>
            </w:pPr>
            <w:r w:rsidRPr="007E4711">
              <w:rPr>
                <w:b/>
                <w:bCs/>
                <w:sz w:val="24"/>
                <w:szCs w:val="24"/>
              </w:rPr>
              <w:t>5%</w:t>
            </w:r>
          </w:p>
        </w:tc>
      </w:tr>
      <w:tr w:rsidR="00CD5A58" w:rsidRPr="007E4711" w14:paraId="47EFC3B8" w14:textId="77777777" w:rsidTr="009C75B1">
        <w:tc>
          <w:tcPr>
            <w:tcW w:w="3325" w:type="dxa"/>
            <w:shd w:val="clear" w:color="auto" w:fill="auto"/>
          </w:tcPr>
          <w:p w14:paraId="022D4080" w14:textId="77777777" w:rsidR="00CD5A58" w:rsidRPr="007E4711" w:rsidRDefault="00CD5A58" w:rsidP="007078F1">
            <w:pPr>
              <w:ind w:firstLine="0"/>
              <w:jc w:val="center"/>
              <w:rPr>
                <w:b/>
                <w:bCs/>
                <w:sz w:val="24"/>
                <w:szCs w:val="24"/>
              </w:rPr>
            </w:pPr>
            <w:r w:rsidRPr="007E4711">
              <w:rPr>
                <w:b/>
                <w:bCs/>
                <w:sz w:val="24"/>
                <w:szCs w:val="24"/>
              </w:rPr>
              <w:t>superiority</w:t>
            </w:r>
          </w:p>
        </w:tc>
        <w:tc>
          <w:tcPr>
            <w:tcW w:w="3182" w:type="dxa"/>
            <w:shd w:val="clear" w:color="auto" w:fill="auto"/>
          </w:tcPr>
          <w:p w14:paraId="1D102B32" w14:textId="77777777" w:rsidR="00CD5A58" w:rsidRPr="007E4711" w:rsidRDefault="00CD5A58" w:rsidP="007078F1">
            <w:pPr>
              <w:ind w:firstLine="0"/>
              <w:jc w:val="center"/>
              <w:rPr>
                <w:b/>
                <w:bCs/>
                <w:sz w:val="24"/>
                <w:szCs w:val="24"/>
              </w:rPr>
            </w:pPr>
            <w:r w:rsidRPr="007E4711">
              <w:rPr>
                <w:b/>
                <w:bCs/>
                <w:sz w:val="24"/>
                <w:szCs w:val="24"/>
              </w:rPr>
              <w:t>5</w:t>
            </w:r>
          </w:p>
        </w:tc>
        <w:tc>
          <w:tcPr>
            <w:tcW w:w="2843" w:type="dxa"/>
            <w:shd w:val="clear" w:color="auto" w:fill="auto"/>
          </w:tcPr>
          <w:p w14:paraId="1055D597" w14:textId="77777777" w:rsidR="00CD5A58" w:rsidRPr="007E4711" w:rsidRDefault="00CD5A58" w:rsidP="007078F1">
            <w:pPr>
              <w:ind w:firstLine="0"/>
              <w:jc w:val="center"/>
              <w:rPr>
                <w:b/>
                <w:bCs/>
                <w:sz w:val="24"/>
                <w:szCs w:val="24"/>
              </w:rPr>
            </w:pPr>
            <w:r w:rsidRPr="007E4711">
              <w:rPr>
                <w:b/>
                <w:bCs/>
                <w:sz w:val="24"/>
                <w:szCs w:val="24"/>
              </w:rPr>
              <w:t>3%</w:t>
            </w:r>
          </w:p>
        </w:tc>
      </w:tr>
      <w:tr w:rsidR="00CD5A58" w:rsidRPr="007E4711" w14:paraId="12BE12F1" w14:textId="77777777" w:rsidTr="009C75B1">
        <w:tc>
          <w:tcPr>
            <w:tcW w:w="3325" w:type="dxa"/>
            <w:shd w:val="clear" w:color="auto" w:fill="auto"/>
          </w:tcPr>
          <w:p w14:paraId="543436B8" w14:textId="77777777" w:rsidR="00CD5A58" w:rsidRPr="007E4711" w:rsidRDefault="00CD5A58" w:rsidP="007078F1">
            <w:pPr>
              <w:ind w:firstLine="0"/>
              <w:jc w:val="center"/>
              <w:rPr>
                <w:b/>
                <w:bCs/>
                <w:sz w:val="24"/>
                <w:szCs w:val="24"/>
              </w:rPr>
            </w:pPr>
            <w:r w:rsidRPr="007E4711">
              <w:rPr>
                <w:b/>
                <w:bCs/>
                <w:sz w:val="24"/>
                <w:szCs w:val="24"/>
              </w:rPr>
              <w:t>compassion</w:t>
            </w:r>
          </w:p>
        </w:tc>
        <w:tc>
          <w:tcPr>
            <w:tcW w:w="3182" w:type="dxa"/>
            <w:shd w:val="clear" w:color="auto" w:fill="auto"/>
          </w:tcPr>
          <w:p w14:paraId="7224189E" w14:textId="77777777" w:rsidR="00CD5A58" w:rsidRPr="007E4711" w:rsidRDefault="00CD5A58" w:rsidP="007078F1">
            <w:pPr>
              <w:ind w:firstLine="0"/>
              <w:jc w:val="center"/>
              <w:rPr>
                <w:b/>
                <w:bCs/>
                <w:sz w:val="24"/>
                <w:szCs w:val="24"/>
              </w:rPr>
            </w:pPr>
            <w:r w:rsidRPr="007E4711">
              <w:rPr>
                <w:b/>
                <w:bCs/>
                <w:sz w:val="24"/>
                <w:szCs w:val="24"/>
              </w:rPr>
              <w:t>5</w:t>
            </w:r>
          </w:p>
        </w:tc>
        <w:tc>
          <w:tcPr>
            <w:tcW w:w="2843" w:type="dxa"/>
            <w:shd w:val="clear" w:color="auto" w:fill="auto"/>
          </w:tcPr>
          <w:p w14:paraId="6DD15530" w14:textId="77777777" w:rsidR="00CD5A58" w:rsidRPr="007E4711" w:rsidRDefault="00CD5A58" w:rsidP="007078F1">
            <w:pPr>
              <w:ind w:firstLine="0"/>
              <w:jc w:val="center"/>
              <w:rPr>
                <w:b/>
                <w:bCs/>
                <w:sz w:val="24"/>
                <w:szCs w:val="24"/>
              </w:rPr>
            </w:pPr>
            <w:r w:rsidRPr="007E4711">
              <w:rPr>
                <w:b/>
                <w:bCs/>
                <w:sz w:val="24"/>
                <w:szCs w:val="24"/>
              </w:rPr>
              <w:t>3%</w:t>
            </w:r>
          </w:p>
        </w:tc>
      </w:tr>
      <w:tr w:rsidR="00CD5A58" w:rsidRPr="007E4711" w14:paraId="0B513045" w14:textId="77777777" w:rsidTr="009C75B1">
        <w:tc>
          <w:tcPr>
            <w:tcW w:w="3325" w:type="dxa"/>
            <w:shd w:val="clear" w:color="auto" w:fill="auto"/>
          </w:tcPr>
          <w:p w14:paraId="20E96ECF" w14:textId="77777777" w:rsidR="00CD5A58" w:rsidRPr="007E4711" w:rsidRDefault="00CD5A58" w:rsidP="007078F1">
            <w:pPr>
              <w:ind w:firstLine="0"/>
              <w:jc w:val="center"/>
              <w:rPr>
                <w:b/>
                <w:bCs/>
                <w:sz w:val="24"/>
                <w:szCs w:val="24"/>
              </w:rPr>
            </w:pPr>
            <w:r w:rsidRPr="007E4711">
              <w:rPr>
                <w:b/>
                <w:bCs/>
                <w:sz w:val="24"/>
                <w:szCs w:val="24"/>
              </w:rPr>
              <w:t>resistant</w:t>
            </w:r>
          </w:p>
        </w:tc>
        <w:tc>
          <w:tcPr>
            <w:tcW w:w="3182" w:type="dxa"/>
            <w:shd w:val="clear" w:color="auto" w:fill="auto"/>
          </w:tcPr>
          <w:p w14:paraId="364CCB13" w14:textId="77777777" w:rsidR="00CD5A58" w:rsidRPr="007E4711" w:rsidRDefault="00CD5A58" w:rsidP="007078F1">
            <w:pPr>
              <w:ind w:firstLine="0"/>
              <w:jc w:val="center"/>
              <w:rPr>
                <w:b/>
                <w:bCs/>
                <w:sz w:val="24"/>
                <w:szCs w:val="24"/>
              </w:rPr>
            </w:pPr>
            <w:r w:rsidRPr="007E4711">
              <w:rPr>
                <w:b/>
                <w:bCs/>
                <w:sz w:val="24"/>
                <w:szCs w:val="24"/>
              </w:rPr>
              <w:t>2</w:t>
            </w:r>
          </w:p>
        </w:tc>
        <w:tc>
          <w:tcPr>
            <w:tcW w:w="2843" w:type="dxa"/>
            <w:shd w:val="clear" w:color="auto" w:fill="auto"/>
          </w:tcPr>
          <w:p w14:paraId="3B176381" w14:textId="77777777" w:rsidR="00CD5A58" w:rsidRPr="007E4711" w:rsidRDefault="00CD5A58" w:rsidP="007078F1">
            <w:pPr>
              <w:ind w:firstLine="0"/>
              <w:jc w:val="center"/>
              <w:rPr>
                <w:b/>
                <w:bCs/>
                <w:sz w:val="24"/>
                <w:szCs w:val="24"/>
              </w:rPr>
            </w:pPr>
            <w:r w:rsidRPr="007E4711">
              <w:rPr>
                <w:b/>
                <w:bCs/>
                <w:sz w:val="24"/>
                <w:szCs w:val="24"/>
              </w:rPr>
              <w:t>1%</w:t>
            </w:r>
          </w:p>
        </w:tc>
      </w:tr>
    </w:tbl>
    <w:p w14:paraId="44B589D4" w14:textId="77777777" w:rsidR="00CD5A58" w:rsidRPr="007E4711" w:rsidRDefault="00CD5A58" w:rsidP="001458F6">
      <w:pPr>
        <w:ind w:firstLine="0"/>
      </w:pPr>
    </w:p>
    <w:p w14:paraId="03755DCA" w14:textId="37050107" w:rsidR="00CD5A58" w:rsidRPr="007E4711" w:rsidRDefault="00CD5A58" w:rsidP="001458F6">
      <w:pPr>
        <w:rPr>
          <w:color w:val="000000" w:themeColor="text1"/>
        </w:rPr>
      </w:pPr>
      <w:r w:rsidRPr="007E4711">
        <w:rPr>
          <w:color w:val="000000" w:themeColor="text1"/>
        </w:rPr>
        <w:t xml:space="preserve">The tables above demonstrate that </w:t>
      </w:r>
      <w:r w:rsidRPr="000E5714">
        <w:rPr>
          <w:i/>
          <w:iCs/>
          <w:color w:val="000000" w:themeColor="text1"/>
        </w:rPr>
        <w:t>GOR</w:t>
      </w:r>
      <w:r w:rsidRPr="007E4711">
        <w:rPr>
          <w:color w:val="000000" w:themeColor="text1"/>
        </w:rPr>
        <w:t xml:space="preserve"> was received as a sociological depiction o</w:t>
      </w:r>
      <w:r>
        <w:rPr>
          <w:color w:val="000000" w:themeColor="text1"/>
        </w:rPr>
        <w:t>f</w:t>
      </w:r>
      <w:r w:rsidRPr="007E4711">
        <w:rPr>
          <w:color w:val="000000" w:themeColor="text1"/>
        </w:rPr>
        <w:t xml:space="preserve"> Saudi women, men, life/living, culture</w:t>
      </w:r>
      <w:r w:rsidR="00576B87">
        <w:rPr>
          <w:color w:val="000000" w:themeColor="text1"/>
        </w:rPr>
        <w:t>,</w:t>
      </w:r>
      <w:r w:rsidRPr="007E4711">
        <w:rPr>
          <w:rStyle w:val="FootnoteReference"/>
        </w:rPr>
        <w:footnoteReference w:id="85"/>
      </w:r>
      <w:r>
        <w:rPr>
          <w:color w:val="000000" w:themeColor="text1"/>
        </w:rPr>
        <w:t xml:space="preserve"> </w:t>
      </w:r>
      <w:r w:rsidRPr="007E4711">
        <w:rPr>
          <w:color w:val="000000" w:themeColor="text1"/>
        </w:rPr>
        <w:t>and society (these are the KWICs individually analyzed, in addition to “book” and “novel”).</w:t>
      </w:r>
      <w:r>
        <w:rPr>
          <w:color w:val="000000" w:themeColor="text1"/>
        </w:rPr>
        <w:t xml:space="preserve"> </w:t>
      </w:r>
      <w:r w:rsidRPr="007E4711">
        <w:rPr>
          <w:color w:val="000000" w:themeColor="text1"/>
        </w:rPr>
        <w:t>The lemma “woman” is the word with the highest frequency,</w:t>
      </w:r>
      <w:r>
        <w:rPr>
          <w:color w:val="000000" w:themeColor="text1"/>
        </w:rPr>
        <w:t xml:space="preserve"> which suggests that the text was </w:t>
      </w:r>
      <w:r w:rsidRPr="007E4711">
        <w:rPr>
          <w:color w:val="000000" w:themeColor="text1"/>
        </w:rPr>
        <w:t xml:space="preserve">read as a kind of documentary portrayal of </w:t>
      </w:r>
      <w:r>
        <w:rPr>
          <w:color w:val="000000" w:themeColor="text1"/>
        </w:rPr>
        <w:t xml:space="preserve">the </w:t>
      </w:r>
      <w:r w:rsidRPr="007E4711">
        <w:rPr>
          <w:color w:val="000000" w:themeColor="text1"/>
        </w:rPr>
        <w:t>Saudi woman, her life</w:t>
      </w:r>
      <w:r w:rsidR="00576B87">
        <w:rPr>
          <w:color w:val="000000" w:themeColor="text1"/>
        </w:rPr>
        <w:t>,</w:t>
      </w:r>
      <w:r w:rsidRPr="007E4711">
        <w:rPr>
          <w:color w:val="000000" w:themeColor="text1"/>
        </w:rPr>
        <w:t xml:space="preserve"> and her treatment in/by society.</w:t>
      </w:r>
      <w:r>
        <w:rPr>
          <w:color w:val="000000" w:themeColor="text1"/>
        </w:rPr>
        <w:t xml:space="preserve"> </w:t>
      </w:r>
      <w:r w:rsidRPr="007E4711">
        <w:rPr>
          <w:color w:val="000000" w:themeColor="text1"/>
        </w:rPr>
        <w:t>I have decided to split the three codes associated with “woman” from the more general one (“ethnography”) because “woman” is the most frequent word and therefore necessitates greater attention.</w:t>
      </w:r>
      <w:r>
        <w:rPr>
          <w:color w:val="000000" w:themeColor="text1"/>
        </w:rPr>
        <w:t xml:space="preserve"> </w:t>
      </w:r>
      <w:r w:rsidRPr="007E4711">
        <w:rPr>
          <w:color w:val="000000" w:themeColor="text1"/>
        </w:rPr>
        <w:t xml:space="preserve">Furthermore, this separation will help us measure the success/failure of Alsanea’s project </w:t>
      </w:r>
      <w:r w:rsidR="00576B87">
        <w:rPr>
          <w:color w:val="000000" w:themeColor="text1"/>
        </w:rPr>
        <w:t>because</w:t>
      </w:r>
      <w:r w:rsidR="00576B87" w:rsidRPr="007E4711">
        <w:rPr>
          <w:color w:val="000000" w:themeColor="text1"/>
        </w:rPr>
        <w:t xml:space="preserve"> </w:t>
      </w:r>
      <w:r w:rsidRPr="007E4711">
        <w:rPr>
          <w:color w:val="000000" w:themeColor="text1"/>
        </w:rPr>
        <w:t>the image of Saudi wom</w:t>
      </w:r>
      <w:r>
        <w:rPr>
          <w:color w:val="000000" w:themeColor="text1"/>
        </w:rPr>
        <w:t>e</w:t>
      </w:r>
      <w:r w:rsidRPr="007E4711">
        <w:rPr>
          <w:color w:val="000000" w:themeColor="text1"/>
        </w:rPr>
        <w:t xml:space="preserve">n was </w:t>
      </w:r>
      <w:r>
        <w:rPr>
          <w:color w:val="000000" w:themeColor="text1"/>
        </w:rPr>
        <w:t>her preeminent concern</w:t>
      </w:r>
      <w:r w:rsidRPr="007E4711">
        <w:rPr>
          <w:color w:val="000000" w:themeColor="text1"/>
        </w:rPr>
        <w:t>.</w:t>
      </w:r>
      <w:r>
        <w:rPr>
          <w:color w:val="000000" w:themeColor="text1"/>
        </w:rPr>
        <w:t xml:space="preserve"> </w:t>
      </w:r>
      <w:r w:rsidRPr="007E4711">
        <w:rPr>
          <w:color w:val="000000" w:themeColor="text1"/>
        </w:rPr>
        <w:t>So, the woman image is basically part of the code “ethnography,” but I separated it for the two reasons I just mentioned.</w:t>
      </w:r>
    </w:p>
    <w:p w14:paraId="489BC4B5" w14:textId="20BDB1E2" w:rsidR="00CD5A58" w:rsidRPr="007E4711" w:rsidRDefault="00CD5A58" w:rsidP="001458F6">
      <w:pPr>
        <w:rPr>
          <w:color w:val="000000" w:themeColor="text1"/>
        </w:rPr>
      </w:pPr>
      <w:r>
        <w:rPr>
          <w:color w:val="000000" w:themeColor="text1"/>
        </w:rPr>
        <w:t>Readers discuss the image of the Saudi woman</w:t>
      </w:r>
      <w:r w:rsidRPr="007E4711">
        <w:rPr>
          <w:color w:val="000000" w:themeColor="text1"/>
        </w:rPr>
        <w:t xml:space="preserve"> in three distinct, yet correlated, ways: negative (34), neutral (16), and positive (2).</w:t>
      </w:r>
      <w:r>
        <w:rPr>
          <w:color w:val="000000" w:themeColor="text1"/>
        </w:rPr>
        <w:t xml:space="preserve"> </w:t>
      </w:r>
      <w:r w:rsidRPr="007E4711">
        <w:rPr>
          <w:color w:val="000000" w:themeColor="text1"/>
        </w:rPr>
        <w:t xml:space="preserve">By “neutral” I </w:t>
      </w:r>
      <w:r>
        <w:rPr>
          <w:color w:val="000000" w:themeColor="text1"/>
        </w:rPr>
        <w:t>mean</w:t>
      </w:r>
      <w:r w:rsidRPr="007E4711">
        <w:rPr>
          <w:color w:val="000000" w:themeColor="text1"/>
        </w:rPr>
        <w:t xml:space="preserve"> that the reader merely mentions that </w:t>
      </w:r>
      <w:r w:rsidR="00576B87">
        <w:rPr>
          <w:color w:val="000000" w:themeColor="text1"/>
        </w:rPr>
        <w:t>they</w:t>
      </w:r>
      <w:r w:rsidRPr="007E4711">
        <w:rPr>
          <w:color w:val="000000" w:themeColor="text1"/>
        </w:rPr>
        <w:t xml:space="preserve"> learned about </w:t>
      </w:r>
      <w:r>
        <w:rPr>
          <w:color w:val="000000" w:themeColor="text1"/>
        </w:rPr>
        <w:t xml:space="preserve">the </w:t>
      </w:r>
      <w:r w:rsidRPr="007E4711">
        <w:rPr>
          <w:color w:val="000000" w:themeColor="text1"/>
        </w:rPr>
        <w:t>Saudi woman, revealing insufficient clues for us to discern whether the image is positive or negative, as the semantic prosody is rather ambiguous.</w:t>
      </w:r>
      <w:r>
        <w:rPr>
          <w:color w:val="000000" w:themeColor="text1"/>
        </w:rPr>
        <w:t xml:space="preserve"> Looking</w:t>
      </w:r>
      <w:r w:rsidRPr="007E4711">
        <w:rPr>
          <w:color w:val="000000" w:themeColor="text1"/>
        </w:rPr>
        <w:t xml:space="preserve"> at the representative examples of “negative,” one finds substantial evidence that Alsanea has failed to disrupt the </w:t>
      </w:r>
      <w:r>
        <w:rPr>
          <w:color w:val="000000" w:themeColor="text1"/>
        </w:rPr>
        <w:t>preexisting</w:t>
      </w:r>
      <w:r w:rsidRPr="007E4711">
        <w:rPr>
          <w:color w:val="000000" w:themeColor="text1"/>
        </w:rPr>
        <w:t xml:space="preserve"> image of the Saudi woman she found so disturbing.</w:t>
      </w:r>
      <w:r>
        <w:rPr>
          <w:color w:val="000000" w:themeColor="text1"/>
        </w:rPr>
        <w:t xml:space="preserve"> </w:t>
      </w:r>
      <w:r w:rsidRPr="007E4711">
        <w:rPr>
          <w:color w:val="000000" w:themeColor="text1"/>
        </w:rPr>
        <w:t>Out of all the segments considered for analysis in association with the KWIC “woman,” merely two readers, in two coded segments, express a positive image, providing us with two concrete pieces of evidence</w:t>
      </w:r>
      <w:r>
        <w:rPr>
          <w:color w:val="000000" w:themeColor="text1"/>
        </w:rPr>
        <w:t xml:space="preserve">—or, </w:t>
      </w:r>
      <w:r w:rsidR="00E069A1">
        <w:rPr>
          <w:color w:val="000000" w:themeColor="text1"/>
        </w:rPr>
        <w:t>counterexamples</w:t>
      </w:r>
      <w:r>
        <w:rPr>
          <w:color w:val="000000" w:themeColor="text1"/>
        </w:rPr>
        <w:t xml:space="preserve">, </w:t>
      </w:r>
      <w:r>
        <w:rPr>
          <w:color w:val="000000" w:themeColor="text1"/>
        </w:rPr>
        <w:lastRenderedPageBreak/>
        <w:t>to use empirical terminology—</w:t>
      </w:r>
      <w:r w:rsidRPr="007E4711">
        <w:rPr>
          <w:color w:val="000000" w:themeColor="text1"/>
        </w:rPr>
        <w:t xml:space="preserve">that </w:t>
      </w:r>
      <w:r>
        <w:rPr>
          <w:color w:val="000000" w:themeColor="text1"/>
        </w:rPr>
        <w:t>a more flattering one indeed supplanted the negative image</w:t>
      </w:r>
      <w:r w:rsidRPr="007E4711">
        <w:rPr>
          <w:color w:val="000000" w:themeColor="text1"/>
        </w:rPr>
        <w:t>.</w:t>
      </w:r>
      <w:r>
        <w:rPr>
          <w:color w:val="000000" w:themeColor="text1"/>
        </w:rPr>
        <w:t xml:space="preserve"> </w:t>
      </w:r>
      <w:r w:rsidRPr="007E4711">
        <w:rPr>
          <w:color w:val="000000" w:themeColor="text1"/>
        </w:rPr>
        <w:t>Hence, these two readers remain outliers</w:t>
      </w:r>
      <w:r>
        <w:rPr>
          <w:color w:val="000000" w:themeColor="text1"/>
        </w:rPr>
        <w:t xml:space="preserve"> (and concurrently counterexamples)</w:t>
      </w:r>
      <w:r w:rsidRPr="007E4711">
        <w:rPr>
          <w:color w:val="000000" w:themeColor="text1"/>
        </w:rPr>
        <w:t xml:space="preserve">; therefore, </w:t>
      </w:r>
      <w:r>
        <w:rPr>
          <w:color w:val="000000" w:themeColor="text1"/>
        </w:rPr>
        <w:t>we</w:t>
      </w:r>
      <w:r w:rsidRPr="007E4711">
        <w:rPr>
          <w:color w:val="000000" w:themeColor="text1"/>
        </w:rPr>
        <w:t xml:space="preserve"> cannot declare the success of Alsanea’s project based on these two occurrences, ignoring the thirty-four occurrences that strongly suggest otherwise. </w:t>
      </w:r>
    </w:p>
    <w:p w14:paraId="1AD621AF" w14:textId="3AC6FA09" w:rsidR="00CD5A58" w:rsidRPr="007E4711" w:rsidRDefault="00CD5A58" w:rsidP="00E6487E">
      <w:r w:rsidRPr="007E4711">
        <w:rPr>
          <w:color w:val="000000" w:themeColor="text1"/>
        </w:rPr>
        <w:t>The three labels associated with “woman” do not actually constitute the sole ground on which I base my conclusion that Alsanea’s project seems to have failed.</w:t>
      </w:r>
      <w:r>
        <w:rPr>
          <w:color w:val="000000" w:themeColor="text1"/>
        </w:rPr>
        <w:t xml:space="preserve"> </w:t>
      </w:r>
      <w:r w:rsidRPr="007E4711">
        <w:rPr>
          <w:color w:val="000000" w:themeColor="text1"/>
        </w:rPr>
        <w:t>The codes “superiority,” “clichéd image</w:t>
      </w:r>
      <w:r>
        <w:rPr>
          <w:color w:val="000000" w:themeColor="text1"/>
        </w:rPr>
        <w:t>,</w:t>
      </w:r>
      <w:r w:rsidRPr="007E4711">
        <w:rPr>
          <w:color w:val="000000" w:themeColor="text1"/>
        </w:rPr>
        <w:t>” and “compassion” provide additional evidence.</w:t>
      </w:r>
      <w:r>
        <w:rPr>
          <w:color w:val="000000" w:themeColor="text1"/>
        </w:rPr>
        <w:t xml:space="preserve"> </w:t>
      </w:r>
      <w:r w:rsidRPr="007E4711">
        <w:rPr>
          <w:color w:val="000000" w:themeColor="text1"/>
        </w:rPr>
        <w:t>With these three codes in mind,</w:t>
      </w:r>
      <w:r>
        <w:rPr>
          <w:color w:val="000000" w:themeColor="text1"/>
        </w:rPr>
        <w:t xml:space="preserve"> we can perhaps see very clearly that </w:t>
      </w:r>
      <w:r w:rsidRPr="007E4711">
        <w:rPr>
          <w:color w:val="000000" w:themeColor="text1"/>
        </w:rPr>
        <w:t>Alsanea merely reinforced her readers’ already existing images, leading them to feel thankful and</w:t>
      </w:r>
      <w:r>
        <w:rPr>
          <w:color w:val="000000" w:themeColor="text1"/>
        </w:rPr>
        <w:t>/or</w:t>
      </w:r>
      <w:r w:rsidRPr="007E4711">
        <w:rPr>
          <w:color w:val="000000" w:themeColor="text1"/>
        </w:rPr>
        <w:t xml:space="preserve"> lucky for being American, more appreciative of the lives they have as Americans</w:t>
      </w:r>
      <w:r>
        <w:rPr>
          <w:color w:val="000000" w:themeColor="text1"/>
        </w:rPr>
        <w:t xml:space="preserve">. This </w:t>
      </w:r>
      <w:r w:rsidRPr="007E4711">
        <w:rPr>
          <w:color w:val="000000" w:themeColor="text1"/>
        </w:rPr>
        <w:t>triggers some sense of superiority</w:t>
      </w:r>
      <w:r>
        <w:rPr>
          <w:color w:val="000000" w:themeColor="text1"/>
        </w:rPr>
        <w:t>,</w:t>
      </w:r>
      <w:r w:rsidRPr="007E4711">
        <w:rPr>
          <w:color w:val="000000" w:themeColor="text1"/>
        </w:rPr>
        <w:t xml:space="preserve"> as readers under this code start comparing their more privileged living conditions with the miserable ones under which those in Saudi Arabia are living.</w:t>
      </w:r>
      <w:r>
        <w:rPr>
          <w:color w:val="000000" w:themeColor="text1"/>
        </w:rPr>
        <w:t xml:space="preserve"> </w:t>
      </w:r>
      <w:r w:rsidRPr="007E4711">
        <w:rPr>
          <w:color w:val="000000" w:themeColor="text1"/>
        </w:rPr>
        <w:t>Furthermore, those under the code “clichéd image” state</w:t>
      </w:r>
      <w:r w:rsidR="00C40425">
        <w:rPr>
          <w:color w:val="000000" w:themeColor="text1"/>
        </w:rPr>
        <w:t>d</w:t>
      </w:r>
      <w:r w:rsidRPr="007E4711">
        <w:rPr>
          <w:color w:val="000000" w:themeColor="text1"/>
        </w:rPr>
        <w:t xml:space="preserve"> that </w:t>
      </w:r>
      <w:r w:rsidRPr="000E5714">
        <w:rPr>
          <w:i/>
          <w:iCs/>
          <w:color w:val="000000" w:themeColor="text1"/>
        </w:rPr>
        <w:t>GOR</w:t>
      </w:r>
      <w:r w:rsidRPr="007E4711">
        <w:rPr>
          <w:color w:val="000000" w:themeColor="text1"/>
        </w:rPr>
        <w:t xml:space="preserve"> presented nothing new, leading one reader to describe the text as “unoriginal”: “After reading this book, I felt that the whole </w:t>
      </w:r>
      <w:r w:rsidR="00C40425">
        <w:rPr>
          <w:color w:val="000000" w:themeColor="text1"/>
        </w:rPr>
        <w:t>‘</w:t>
      </w:r>
      <w:r w:rsidRPr="007E4711">
        <w:rPr>
          <w:color w:val="000000" w:themeColor="text1"/>
        </w:rPr>
        <w:t>behind the veil</w:t>
      </w:r>
      <w:r w:rsidR="00C40425">
        <w:rPr>
          <w:color w:val="000000" w:themeColor="text1"/>
        </w:rPr>
        <w:t>’</w:t>
      </w:r>
      <w:r w:rsidRPr="007E4711">
        <w:rPr>
          <w:color w:val="000000" w:themeColor="text1"/>
        </w:rPr>
        <w:t xml:space="preserve"> story genre was overdone.</w:t>
      </w:r>
      <w:r>
        <w:rPr>
          <w:color w:val="000000" w:themeColor="text1"/>
        </w:rPr>
        <w:t xml:space="preserve"> </w:t>
      </w:r>
      <w:r w:rsidRPr="007E4711">
        <w:rPr>
          <w:color w:val="000000" w:themeColor="text1"/>
        </w:rPr>
        <w:t>This was largely due to the author being too obvious in trying to create a scandalous and provocative storyline [. . .] This made the book feel uninspiring and unoriginal” (GORENG64)</w:t>
      </w:r>
      <w:r>
        <w:rPr>
          <w:color w:val="000000" w:themeColor="text1"/>
        </w:rPr>
        <w:t>. A</w:t>
      </w:r>
      <w:r w:rsidRPr="007E4711">
        <w:rPr>
          <w:color w:val="000000" w:themeColor="text1"/>
        </w:rPr>
        <w:t xml:space="preserve"> second </w:t>
      </w:r>
      <w:r>
        <w:rPr>
          <w:color w:val="000000" w:themeColor="text1"/>
        </w:rPr>
        <w:t>reader</w:t>
      </w:r>
      <w:r w:rsidRPr="007E4711">
        <w:rPr>
          <w:color w:val="000000" w:themeColor="text1"/>
        </w:rPr>
        <w:t xml:space="preserve"> dismisse</w:t>
      </w:r>
      <w:r w:rsidR="00C40425">
        <w:rPr>
          <w:color w:val="000000" w:themeColor="text1"/>
        </w:rPr>
        <w:t>d</w:t>
      </w:r>
      <w:r w:rsidRPr="007E4711">
        <w:rPr>
          <w:color w:val="000000" w:themeColor="text1"/>
        </w:rPr>
        <w:t xml:space="preserve"> it altogether for lacking genuineness</w:t>
      </w:r>
      <w:r>
        <w:rPr>
          <w:color w:val="000000" w:themeColor="text1"/>
        </w:rPr>
        <w:t>,</w:t>
      </w:r>
      <w:r w:rsidRPr="007E4711">
        <w:rPr>
          <w:color w:val="000000" w:themeColor="text1"/>
        </w:rPr>
        <w:t xml:space="preserve"> as it seems to have been tailored for the English reader: “there were awkwardly inserted passages designed to explain Saudi Arabian culture to the Western reader . . . but I really felt more like I was reading something written from a western perspective” (GORENG84)</w:t>
      </w:r>
      <w:r>
        <w:rPr>
          <w:color w:val="000000" w:themeColor="text1"/>
        </w:rPr>
        <w:t>.</w:t>
      </w:r>
      <w:r>
        <w:rPr>
          <w:color w:val="000000" w:themeColor="text1"/>
          <w:rtl/>
        </w:rPr>
        <w:t xml:space="preserve"> </w:t>
      </w:r>
      <w:r>
        <w:rPr>
          <w:color w:val="000000" w:themeColor="text1"/>
        </w:rPr>
        <w:t>F</w:t>
      </w:r>
      <w:r w:rsidRPr="007E4711">
        <w:rPr>
          <w:color w:val="000000" w:themeColor="text1"/>
        </w:rPr>
        <w:t xml:space="preserve">inally, a third </w:t>
      </w:r>
      <w:r>
        <w:rPr>
          <w:color w:val="000000" w:themeColor="text1"/>
        </w:rPr>
        <w:t xml:space="preserve">reader </w:t>
      </w:r>
      <w:r w:rsidRPr="007E4711">
        <w:rPr>
          <w:color w:val="000000" w:themeColor="text1"/>
        </w:rPr>
        <w:t>question</w:t>
      </w:r>
      <w:r w:rsidR="00C40425">
        <w:rPr>
          <w:color w:val="000000" w:themeColor="text1"/>
        </w:rPr>
        <w:t>ed</w:t>
      </w:r>
      <w:r w:rsidRPr="007E4711">
        <w:rPr>
          <w:color w:val="000000" w:themeColor="text1"/>
        </w:rPr>
        <w:t xml:space="preserve"> the source text: “. . . clichés were distracting at some serious </w:t>
      </w:r>
      <w:proofErr w:type="gramStart"/>
      <w:r w:rsidRPr="007E4711">
        <w:rPr>
          <w:color w:val="000000" w:themeColor="text1"/>
        </w:rPr>
        <w:t>points, and</w:t>
      </w:r>
      <w:proofErr w:type="gramEnd"/>
      <w:r w:rsidRPr="007E4711">
        <w:rPr>
          <w:color w:val="000000" w:themeColor="text1"/>
        </w:rPr>
        <w:t xml:space="preserve"> did make me wonder about the original version” (GORENG33).</w:t>
      </w:r>
      <w:r>
        <w:rPr>
          <w:color w:val="000000" w:themeColor="text1"/>
        </w:rPr>
        <w:t xml:space="preserve"> </w:t>
      </w:r>
      <w:r w:rsidRPr="007E4711">
        <w:rPr>
          <w:color w:val="000000" w:themeColor="text1"/>
        </w:rPr>
        <w:t xml:space="preserve">These segments also serve as a testament to the prevalent master discourse in the target context, for describing the </w:t>
      </w:r>
      <w:r w:rsidRPr="007E4711">
        <w:rPr>
          <w:color w:val="000000" w:themeColor="text1"/>
        </w:rPr>
        <w:lastRenderedPageBreak/>
        <w:t xml:space="preserve">narrative as “cliché” implies it </w:t>
      </w:r>
      <w:r>
        <w:rPr>
          <w:color w:val="000000" w:themeColor="text1"/>
        </w:rPr>
        <w:t xml:space="preserve">is </w:t>
      </w:r>
      <w:r w:rsidRPr="007E4711">
        <w:rPr>
          <w:color w:val="000000" w:themeColor="text1"/>
        </w:rPr>
        <w:t>the “same old story.” Saudi society, the state, men</w:t>
      </w:r>
      <w:r w:rsidR="00C40425">
        <w:rPr>
          <w:color w:val="000000" w:themeColor="text1"/>
        </w:rPr>
        <w:t>,</w:t>
      </w:r>
      <w:r w:rsidRPr="007E4711">
        <w:rPr>
          <w:color w:val="000000" w:themeColor="text1"/>
        </w:rPr>
        <w:t xml:space="preserve"> and culture—in which Alsanea professes pride in her prefatory note—have all been perceived in an extremely negative light, so much so that Saudi culture, for example, was described as “medieval” (GORENG28) and Saudi Arabia as a country “stuck in 7th century” (GORENG60).</w:t>
      </w:r>
      <w:r>
        <w:t xml:space="preserve"> </w:t>
      </w:r>
      <w:r w:rsidRPr="007E4711">
        <w:t xml:space="preserve">So, although Alsanea </w:t>
      </w:r>
      <w:r>
        <w:t>mainly was</w:t>
      </w:r>
      <w:r w:rsidRPr="007E4711">
        <w:t xml:space="preserve"> concerned about the image of the Saudi woman, her readers </w:t>
      </w:r>
      <w:r>
        <w:t>went</w:t>
      </w:r>
      <w:r w:rsidRPr="007E4711">
        <w:t xml:space="preserve"> beyond her intention and constructed unfavorable images of the larger context in which women live, as well as the people (the oppressors) they are surrounded by.</w:t>
      </w:r>
      <w:r>
        <w:t xml:space="preserve"> </w:t>
      </w:r>
      <w:r w:rsidRPr="007E4711">
        <w:t xml:space="preserve">Saudi men were perceived as brutal and misogynistic, and, in some cases, as childlike and mentally underdeveloped: “It appears that the </w:t>
      </w:r>
      <w:r w:rsidRPr="007E4711">
        <w:rPr>
          <w:b/>
          <w:bCs/>
        </w:rPr>
        <w:t>men</w:t>
      </w:r>
      <w:r w:rsidRPr="007E4711">
        <w:t xml:space="preserve"> in that society also </w:t>
      </w:r>
      <w:r w:rsidRPr="00B92D7A">
        <w:t>stop their emotional maturation at around age 12</w:t>
      </w:r>
      <w:r w:rsidRPr="007E4711">
        <w:t>” (GORENG10).</w:t>
      </w:r>
      <w:r>
        <w:t xml:space="preserve"> </w:t>
      </w:r>
      <w:r w:rsidRPr="007E4711">
        <w:t>This complete mismatch between Alsanea’s project and the actual reception by her readership might be surprising, but it is less so when we factor in the editorial intervention made to the text</w:t>
      </w:r>
      <w:r>
        <w:t>,</w:t>
      </w:r>
      <w:r w:rsidRPr="007E4711">
        <w:t xml:space="preserve"> as those changes </w:t>
      </w:r>
      <w:r>
        <w:t xml:space="preserve">evince </w:t>
      </w:r>
      <w:r w:rsidRPr="007E4711">
        <w:t>remarkable consistency in fostering the reception discussed</w:t>
      </w:r>
      <w:r>
        <w:t xml:space="preserve"> above</w:t>
      </w:r>
      <w:r w:rsidRPr="007E4711">
        <w:t>.</w:t>
      </w:r>
      <w:r>
        <w:t xml:space="preserve"> The inveterate hostility towards difference as manifest in the editorial interventions that seem to have led to this reception is a testimony that Edward Said’s </w:t>
      </w:r>
      <w:r w:rsidRPr="00BC1CD6">
        <w:rPr>
          <w:i/>
          <w:iCs/>
        </w:rPr>
        <w:t>Orientalism</w:t>
      </w:r>
      <w:r w:rsidR="009A030B">
        <w:rPr>
          <w:rStyle w:val="FootnoteReference"/>
          <w:i/>
          <w:iCs/>
        </w:rPr>
        <w:footnoteReference w:id="86"/>
      </w:r>
      <w:r>
        <w:t xml:space="preserve"> is still relevant—more on this below.</w:t>
      </w:r>
    </w:p>
    <w:p w14:paraId="23D6E675" w14:textId="771E8AD6" w:rsidR="00CD5A58" w:rsidRPr="007E4711" w:rsidRDefault="00CD5A58" w:rsidP="001458F6">
      <w:pPr>
        <w:rPr>
          <w:shd w:val="clear" w:color="auto" w:fill="FFFFFF"/>
        </w:rPr>
      </w:pPr>
      <w:r w:rsidRPr="000E5714">
        <w:rPr>
          <w:i/>
          <w:iCs/>
          <w:shd w:val="clear" w:color="auto" w:fill="FFFFFF"/>
        </w:rPr>
        <w:t>GOR</w:t>
      </w:r>
      <w:r w:rsidRPr="007E4711">
        <w:rPr>
          <w:shd w:val="clear" w:color="auto" w:fill="FFFFFF"/>
        </w:rPr>
        <w:t xml:space="preserve"> </w:t>
      </w:r>
      <w:r w:rsidR="00E069A1">
        <w:rPr>
          <w:shd w:val="clear" w:color="auto" w:fill="FFFFFF"/>
        </w:rPr>
        <w:t xml:space="preserve">in translation </w:t>
      </w:r>
      <w:r w:rsidRPr="007E4711">
        <w:rPr>
          <w:shd w:val="clear" w:color="auto" w:fill="FFFFFF"/>
        </w:rPr>
        <w:t xml:space="preserve">is undoubtedly a widely read text, as evidenced by the number of reviews on </w:t>
      </w:r>
      <w:r w:rsidRPr="007E4711">
        <w:rPr>
          <w:i/>
          <w:iCs/>
          <w:shd w:val="clear" w:color="auto" w:fill="FFFFFF"/>
        </w:rPr>
        <w:t>Amazon.com</w:t>
      </w:r>
      <w:r w:rsidRPr="007E4711">
        <w:rPr>
          <w:shd w:val="clear" w:color="auto" w:fill="FFFFFF"/>
        </w:rPr>
        <w:t xml:space="preserve">. But beyond the sheer number of reviews as an indicator of popularity and wide circulation, some readers reported how they encountered the text, providing us with additional insight into the </w:t>
      </w:r>
      <w:r w:rsidR="003363E7">
        <w:rPr>
          <w:shd w:val="clear" w:color="auto" w:fill="FFFFFF"/>
        </w:rPr>
        <w:t xml:space="preserve">text’s </w:t>
      </w:r>
      <w:r w:rsidRPr="007E4711">
        <w:rPr>
          <w:shd w:val="clear" w:color="auto" w:fill="FFFFFF"/>
        </w:rPr>
        <w:t>distribution and appeal.</w:t>
      </w:r>
      <w:r>
        <w:rPr>
          <w:shd w:val="clear" w:color="auto" w:fill="FFFFFF"/>
        </w:rPr>
        <w:t xml:space="preserve"> </w:t>
      </w:r>
      <w:r w:rsidRPr="000E5714">
        <w:rPr>
          <w:i/>
          <w:iCs/>
          <w:shd w:val="clear" w:color="auto" w:fill="FFFFFF"/>
        </w:rPr>
        <w:t>GOR</w:t>
      </w:r>
      <w:r w:rsidRPr="007E4711">
        <w:rPr>
          <w:shd w:val="clear" w:color="auto" w:fill="FFFFFF"/>
        </w:rPr>
        <w:t xml:space="preserve"> has been, </w:t>
      </w:r>
      <w:r w:rsidRPr="007E4711">
        <w:rPr>
          <w:shd w:val="clear" w:color="auto" w:fill="FFFFFF"/>
        </w:rPr>
        <w:lastRenderedPageBreak/>
        <w:t>to borrow Casanova’s</w:t>
      </w:r>
      <w:r w:rsidR="000966AC">
        <w:rPr>
          <w:rStyle w:val="FootnoteReference"/>
          <w:shd w:val="clear" w:color="auto" w:fill="FFFFFF"/>
        </w:rPr>
        <w:footnoteReference w:id="87"/>
      </w:r>
      <w:r w:rsidRPr="007E4711">
        <w:rPr>
          <w:shd w:val="clear" w:color="auto" w:fill="FFFFFF"/>
        </w:rPr>
        <w:t xml:space="preserve"> </w:t>
      </w:r>
      <w:r>
        <w:rPr>
          <w:shd w:val="clear" w:color="auto" w:fill="FFFFFF"/>
        </w:rPr>
        <w:t>term</w:t>
      </w:r>
      <w:r w:rsidRPr="007E4711">
        <w:rPr>
          <w:shd w:val="clear" w:color="auto" w:fill="FFFFFF"/>
        </w:rPr>
        <w:t>, “consecrated” in its new environment in a variety of ways.</w:t>
      </w:r>
      <w:r>
        <w:rPr>
          <w:shd w:val="clear" w:color="auto" w:fill="FFFFFF"/>
        </w:rPr>
        <w:t xml:space="preserve"> </w:t>
      </w:r>
      <w:r w:rsidRPr="007E4711">
        <w:rPr>
          <w:shd w:val="clear" w:color="auto" w:fill="FFFFFF"/>
        </w:rPr>
        <w:t>Observe the following examples: “I mostly avoid romance and drama novels but this one was required for one of my anthropology classes” (GORENG5); “I positively loved this book.</w:t>
      </w:r>
      <w:r>
        <w:rPr>
          <w:shd w:val="clear" w:color="auto" w:fill="FFFFFF"/>
        </w:rPr>
        <w:t xml:space="preserve"> </w:t>
      </w:r>
      <w:r w:rsidRPr="007E4711">
        <w:rPr>
          <w:shd w:val="clear" w:color="auto" w:fill="FFFFFF"/>
        </w:rPr>
        <w:t>I did not expect to get into it, because it was required reading for my Middle Eastern Studies class, but I absolutely did” (GORENG8); “I read this for a book club and would not have finished it otherwise” (GORENG46); “I bought this book after hearing about it on the news.</w:t>
      </w:r>
      <w:r>
        <w:rPr>
          <w:shd w:val="clear" w:color="auto" w:fill="FFFFFF"/>
        </w:rPr>
        <w:t xml:space="preserve"> </w:t>
      </w:r>
      <w:r w:rsidRPr="007E4711">
        <w:rPr>
          <w:shd w:val="clear" w:color="auto" w:fill="FFFFFF"/>
        </w:rPr>
        <w:t xml:space="preserve">I don't know much about the Saudi </w:t>
      </w:r>
      <w:proofErr w:type="gramStart"/>
      <w:r w:rsidRPr="007E4711">
        <w:rPr>
          <w:shd w:val="clear" w:color="auto" w:fill="FFFFFF"/>
        </w:rPr>
        <w:t>culture</w:t>
      </w:r>
      <w:proofErr w:type="gramEnd"/>
      <w:r w:rsidRPr="007E4711">
        <w:rPr>
          <w:shd w:val="clear" w:color="auto" w:fill="FFFFFF"/>
        </w:rPr>
        <w:t xml:space="preserve"> so it was very eye opening to read as an American woman” (GORENG54); “I was initially drawn to this title due to an NPR discussion I heard about it</w:t>
      </w:r>
      <w:r>
        <w:rPr>
          <w:shd w:val="clear" w:color="auto" w:fill="FFFFFF"/>
        </w:rPr>
        <w:t xml:space="preserve"> . . . </w:t>
      </w:r>
      <w:r w:rsidRPr="007E4711">
        <w:rPr>
          <w:shd w:val="clear" w:color="auto" w:fill="FFFFFF"/>
        </w:rPr>
        <w:t>found that this was a fascinating insight to a hidden culture” (GORENG10);</w:t>
      </w:r>
      <w:r w:rsidR="003363E7">
        <w:rPr>
          <w:shd w:val="clear" w:color="auto" w:fill="FFFFFF"/>
        </w:rPr>
        <w:t xml:space="preserve"> and</w:t>
      </w:r>
      <w:r w:rsidRPr="007E4711">
        <w:rPr>
          <w:shd w:val="clear" w:color="auto" w:fill="FFFFFF"/>
        </w:rPr>
        <w:t xml:space="preserve"> “I’ve seen the author being interviewed on a French TV channel” (GORAR107).</w:t>
      </w:r>
      <w:r>
        <w:rPr>
          <w:shd w:val="clear" w:color="auto" w:fill="FFFFFF"/>
        </w:rPr>
        <w:t xml:space="preserve"> </w:t>
      </w:r>
      <w:r w:rsidRPr="007E4711">
        <w:rPr>
          <w:shd w:val="clear" w:color="auto" w:fill="FFFFFF"/>
        </w:rPr>
        <w:t>As one can glean fr</w:t>
      </w:r>
      <w:r>
        <w:rPr>
          <w:shd w:val="clear" w:color="auto" w:fill="FFFFFF"/>
        </w:rPr>
        <w:t>o</w:t>
      </w:r>
      <w:r w:rsidRPr="007E4711">
        <w:rPr>
          <w:shd w:val="clear" w:color="auto" w:fill="FFFFFF"/>
        </w:rPr>
        <w:t>m these responses, the text is not only widely circulated but also widely promoted through its inclusion on reading lists within academic contexts.</w:t>
      </w:r>
      <w:r>
        <w:rPr>
          <w:shd w:val="clear" w:color="auto" w:fill="FFFFFF"/>
        </w:rPr>
        <w:t xml:space="preserve"> </w:t>
      </w:r>
      <w:r w:rsidRPr="007E4711">
        <w:rPr>
          <w:shd w:val="clear" w:color="auto" w:fill="FFFFFF"/>
        </w:rPr>
        <w:t>Furthermore, by virtue of being assigned in course</w:t>
      </w:r>
      <w:r>
        <w:rPr>
          <w:shd w:val="clear" w:color="auto" w:fill="FFFFFF"/>
        </w:rPr>
        <w:t>s</w:t>
      </w:r>
      <w:r w:rsidRPr="007E4711">
        <w:rPr>
          <w:shd w:val="clear" w:color="auto" w:fill="FFFFFF"/>
        </w:rPr>
        <w:t xml:space="preserve"> on </w:t>
      </w:r>
      <w:r w:rsidR="003363E7">
        <w:rPr>
          <w:shd w:val="clear" w:color="auto" w:fill="FFFFFF"/>
        </w:rPr>
        <w:t>a</w:t>
      </w:r>
      <w:r w:rsidRPr="007E4711">
        <w:rPr>
          <w:shd w:val="clear" w:color="auto" w:fill="FFFFFF"/>
        </w:rPr>
        <w:t>nthropology and the Middle East, the text is somehow guaranteed to be read by generations of American readers for primarily ethnographic reasons</w:t>
      </w:r>
      <w:r>
        <w:rPr>
          <w:shd w:val="clear" w:color="auto" w:fill="FFFFFF"/>
        </w:rPr>
        <w:t xml:space="preserve"> (insofar as it is assigned, of course)</w:t>
      </w:r>
      <w:r w:rsidRPr="007E4711">
        <w:rPr>
          <w:shd w:val="clear" w:color="auto" w:fill="FFFFFF"/>
        </w:rPr>
        <w:t>.</w:t>
      </w:r>
      <w:r>
        <w:rPr>
          <w:shd w:val="clear" w:color="auto" w:fill="FFFFFF"/>
        </w:rPr>
        <w:t xml:space="preserve"> </w:t>
      </w:r>
      <w:r w:rsidRPr="007E4711">
        <w:rPr>
          <w:shd w:val="clear" w:color="auto" w:fill="FFFFFF"/>
        </w:rPr>
        <w:t>Moreover, the text seems to have received good coverage in the mass media</w:t>
      </w:r>
      <w:r>
        <w:rPr>
          <w:shd w:val="clear" w:color="auto" w:fill="FFFFFF"/>
        </w:rPr>
        <w:t>,</w:t>
      </w:r>
      <w:r w:rsidRPr="007E4711">
        <w:rPr>
          <w:shd w:val="clear" w:color="auto" w:fill="FFFFFF"/>
        </w:rPr>
        <w:t xml:space="preserve"> as it was featured—and praised—on radio and TV channels.</w:t>
      </w:r>
      <w:r>
        <w:rPr>
          <w:shd w:val="clear" w:color="auto" w:fill="FFFFFF"/>
        </w:rPr>
        <w:t xml:space="preserve"> </w:t>
      </w:r>
      <w:r w:rsidRPr="007E4711">
        <w:rPr>
          <w:shd w:val="clear" w:color="auto" w:fill="FFFFFF"/>
        </w:rPr>
        <w:t xml:space="preserve">Finally, following the </w:t>
      </w:r>
      <w:r>
        <w:rPr>
          <w:shd w:val="clear" w:color="auto" w:fill="FFFFFF"/>
        </w:rPr>
        <w:t>massive</w:t>
      </w:r>
      <w:r w:rsidRPr="007E4711">
        <w:rPr>
          <w:shd w:val="clear" w:color="auto" w:fill="FFFFFF"/>
        </w:rPr>
        <w:t xml:space="preserve"> success of </w:t>
      </w:r>
      <w:r w:rsidRPr="000E5714">
        <w:rPr>
          <w:i/>
          <w:iCs/>
          <w:shd w:val="clear" w:color="auto" w:fill="FFFFFF"/>
        </w:rPr>
        <w:t>GOR</w:t>
      </w:r>
      <w:r w:rsidRPr="007E4711">
        <w:rPr>
          <w:shd w:val="clear" w:color="auto" w:fill="FFFFFF"/>
        </w:rPr>
        <w:t xml:space="preserve">, </w:t>
      </w:r>
      <w:r w:rsidRPr="007E4711">
        <w:t>Alsanea received a multitude of offers from film companies that she was considering back in 2009.</w:t>
      </w:r>
      <w:r w:rsidR="00D1648D">
        <w:rPr>
          <w:rStyle w:val="FootnoteReference"/>
        </w:rPr>
        <w:footnoteReference w:id="88"/>
      </w:r>
      <w:r>
        <w:t xml:space="preserve"> </w:t>
      </w:r>
      <w:r w:rsidRPr="007E4711">
        <w:t>It seems, however, that those cinematic projects did not take off the ground</w:t>
      </w:r>
      <w:r>
        <w:t>.</w:t>
      </w:r>
    </w:p>
    <w:p w14:paraId="0653CC9B" w14:textId="40EAD68D" w:rsidR="00CD5A58" w:rsidRPr="007E4711" w:rsidRDefault="00CD5A58" w:rsidP="001458F6">
      <w:pPr>
        <w:rPr>
          <w:shd w:val="clear" w:color="auto" w:fill="FFFFFF"/>
        </w:rPr>
      </w:pPr>
      <w:r w:rsidRPr="007E4711">
        <w:rPr>
          <w:shd w:val="clear" w:color="auto" w:fill="FFFFFF"/>
        </w:rPr>
        <w:lastRenderedPageBreak/>
        <w:t>The published translation departs so significantly from the Arabic text that some readers—vigilant readers, one might feel inclined to call them— started to grow suspicious and curious, the result perhaps of the excision of a significant passage from the Arabic version in the English translation.</w:t>
      </w:r>
      <w:r>
        <w:rPr>
          <w:shd w:val="clear" w:color="auto" w:fill="FFFFFF"/>
        </w:rPr>
        <w:t xml:space="preserve"> </w:t>
      </w:r>
      <w:r w:rsidRPr="007E4711">
        <w:rPr>
          <w:shd w:val="clear" w:color="auto" w:fill="FFFFFF"/>
        </w:rPr>
        <w:t>Observe the following response (GORENG20): “One question, however: who was the e-mailer?</w:t>
      </w:r>
      <w:r>
        <w:rPr>
          <w:shd w:val="clear" w:color="auto" w:fill="FFFFFF"/>
        </w:rPr>
        <w:t xml:space="preserve"> </w:t>
      </w:r>
      <w:r w:rsidRPr="007E4711">
        <w:rPr>
          <w:shd w:val="clear" w:color="auto" w:fill="FFFFFF"/>
        </w:rPr>
        <w:t>I didn't catch that for some reason.</w:t>
      </w:r>
      <w:r>
        <w:rPr>
          <w:shd w:val="clear" w:color="auto" w:fill="FFFFFF"/>
        </w:rPr>
        <w:t xml:space="preserve"> </w:t>
      </w:r>
      <w:r w:rsidRPr="007E4711">
        <w:rPr>
          <w:shd w:val="clear" w:color="auto" w:fill="FFFFFF"/>
        </w:rPr>
        <w:t xml:space="preserve">She said she would ‘reveal all’ by the end of the book, but I didn't get it.” Indeed, the author promises in the Arabic and English versions to reveal her identity; but </w:t>
      </w:r>
      <w:r w:rsidR="003363E7">
        <w:rPr>
          <w:shd w:val="clear" w:color="auto" w:fill="FFFFFF"/>
        </w:rPr>
        <w:t>although</w:t>
      </w:r>
      <w:r w:rsidR="003363E7" w:rsidRPr="007E4711">
        <w:rPr>
          <w:shd w:val="clear" w:color="auto" w:fill="FFFFFF"/>
        </w:rPr>
        <w:t xml:space="preserve"> </w:t>
      </w:r>
      <w:r w:rsidRPr="007E4711">
        <w:rPr>
          <w:shd w:val="clear" w:color="auto" w:fill="FFFFFF"/>
        </w:rPr>
        <w:t>she delivers on her promise in the Arabic text</w:t>
      </w:r>
      <w:r w:rsidR="00473C85">
        <w:rPr>
          <w:rStyle w:val="FootnoteReference"/>
          <w:shd w:val="clear" w:color="auto" w:fill="FFFFFF"/>
        </w:rPr>
        <w:footnoteReference w:id="89"/>
      </w:r>
      <w:r w:rsidR="00473C85">
        <w:rPr>
          <w:shd w:val="clear" w:color="auto" w:fill="FFFFFF"/>
        </w:rPr>
        <w:t xml:space="preserve">, </w:t>
      </w:r>
      <w:r w:rsidRPr="007E4711">
        <w:rPr>
          <w:shd w:val="clear" w:color="auto" w:fill="FFFFFF"/>
        </w:rPr>
        <w:t xml:space="preserve">she fails to do so in the </w:t>
      </w:r>
      <w:r>
        <w:rPr>
          <w:shd w:val="clear" w:color="auto" w:fill="FFFFFF"/>
        </w:rPr>
        <w:t xml:space="preserve">English </w:t>
      </w:r>
      <w:r w:rsidRPr="007E4711">
        <w:rPr>
          <w:shd w:val="clear" w:color="auto" w:fill="FFFFFF"/>
        </w:rPr>
        <w:t>translation.</w:t>
      </w:r>
      <w:r>
        <w:rPr>
          <w:shd w:val="clear" w:color="auto" w:fill="FFFFFF"/>
        </w:rPr>
        <w:t xml:space="preserve"> </w:t>
      </w:r>
      <w:r w:rsidRPr="007E4711">
        <w:rPr>
          <w:shd w:val="clear" w:color="auto" w:fill="FFFFFF"/>
        </w:rPr>
        <w:t>Here is a translation of the passage</w:t>
      </w:r>
      <w:r>
        <w:rPr>
          <w:shd w:val="clear" w:color="auto" w:fill="FFFFFF"/>
        </w:rPr>
        <w:t xml:space="preserve"> existing in the Arabic source but omitted in the translation:</w:t>
      </w:r>
    </w:p>
    <w:p w14:paraId="57DD0F54" w14:textId="77777777" w:rsidR="00CD5A58" w:rsidRPr="007E4711" w:rsidRDefault="00CD5A58" w:rsidP="001458F6">
      <w:pPr>
        <w:ind w:left="720" w:firstLine="0"/>
        <w:rPr>
          <w:shd w:val="clear" w:color="auto" w:fill="FFFFFF"/>
        </w:rPr>
      </w:pPr>
      <w:r w:rsidRPr="007E4711">
        <w:rPr>
          <w:shd w:val="clear" w:color="auto" w:fill="FFFFFF"/>
        </w:rPr>
        <w:t>Now that I have compiled these emails in a published text, as many have recommended me to do, I reveal my identity.</w:t>
      </w:r>
      <w:r>
        <w:rPr>
          <w:shd w:val="clear" w:color="auto" w:fill="FFFFFF"/>
        </w:rPr>
        <w:t xml:space="preserve"> </w:t>
      </w:r>
      <w:r w:rsidRPr="007E4711">
        <w:rPr>
          <w:shd w:val="clear" w:color="auto" w:fill="FFFFFF"/>
        </w:rPr>
        <w:t>But I am still afraid that you might call it a novel, for it is nothing but an assembly of emails written with honesty and spontaneity.</w:t>
      </w:r>
      <w:r>
        <w:rPr>
          <w:shd w:val="clear" w:color="auto" w:fill="FFFFFF"/>
        </w:rPr>
        <w:t xml:space="preserve"> </w:t>
      </w:r>
      <w:r w:rsidRPr="007E4711">
        <w:rPr>
          <w:shd w:val="clear" w:color="auto" w:fill="FFFFFF"/>
        </w:rPr>
        <w:t xml:space="preserve">They are just a diary of manias had by </w:t>
      </w:r>
      <w:r>
        <w:rPr>
          <w:shd w:val="clear" w:color="auto" w:fill="FFFFFF"/>
        </w:rPr>
        <w:t>one</w:t>
      </w:r>
      <w:r w:rsidRPr="007E4711">
        <w:rPr>
          <w:shd w:val="clear" w:color="auto" w:fill="FFFFFF"/>
        </w:rPr>
        <w:t xml:space="preserve"> juvenile girl in her early twenties.</w:t>
      </w:r>
      <w:r>
        <w:rPr>
          <w:shd w:val="clear" w:color="auto" w:fill="FFFFFF"/>
        </w:rPr>
        <w:t xml:space="preserve"> </w:t>
      </w:r>
      <w:r w:rsidRPr="007E4711">
        <w:rPr>
          <w:shd w:val="clear" w:color="auto" w:fill="FFFFFF"/>
        </w:rPr>
        <w:t xml:space="preserve">Hence, I accept neither placing them under the constraints of literary conventions, nor under a patina that makes them appear more serious than they </w:t>
      </w:r>
      <w:proofErr w:type="gramStart"/>
      <w:r w:rsidRPr="007E4711">
        <w:rPr>
          <w:shd w:val="clear" w:color="auto" w:fill="FFFFFF"/>
        </w:rPr>
        <w:t>actually are</w:t>
      </w:r>
      <w:proofErr w:type="gramEnd"/>
      <w:r w:rsidRPr="007E4711">
        <w:rPr>
          <w:shd w:val="clear" w:color="auto" w:fill="FFFFFF"/>
        </w:rPr>
        <w:t>; I just want to publish them as they are.</w:t>
      </w:r>
    </w:p>
    <w:p w14:paraId="56A1EC1F" w14:textId="4B60F6C4" w:rsidR="00CD5A58" w:rsidRDefault="00CD5A58" w:rsidP="001458F6">
      <w:pPr>
        <w:rPr>
          <w:shd w:val="clear" w:color="auto" w:fill="FFFFFF"/>
        </w:rPr>
      </w:pPr>
      <w:r>
        <w:rPr>
          <w:shd w:val="clear" w:color="auto" w:fill="FFFFFF"/>
        </w:rPr>
        <w:t>With that</w:t>
      </w:r>
      <w:r w:rsidRPr="007E4711">
        <w:rPr>
          <w:shd w:val="clear" w:color="auto" w:fill="FFFFFF"/>
        </w:rPr>
        <w:t xml:space="preserve"> missing </w:t>
      </w:r>
      <w:r>
        <w:rPr>
          <w:shd w:val="clear" w:color="auto" w:fill="FFFFFF"/>
        </w:rPr>
        <w:t>part in mind</w:t>
      </w:r>
      <w:r w:rsidRPr="007E4711">
        <w:rPr>
          <w:shd w:val="clear" w:color="auto" w:fill="FFFFFF"/>
        </w:rPr>
        <w:t xml:space="preserve">, the incentive behind its omission seems perfectly understandable: the novelist’s own identification of her work as just a “diary” of the “manias” of a single (one) “juvenile girl in her early twenties” undercuts </w:t>
      </w:r>
      <w:r>
        <w:rPr>
          <w:shd w:val="clear" w:color="auto" w:fill="FFFFFF"/>
        </w:rPr>
        <w:t xml:space="preserve">the packaging of the texts as the omitted part runs counter to </w:t>
      </w:r>
      <w:r w:rsidR="00A0019F">
        <w:rPr>
          <w:shd w:val="clear" w:color="auto" w:fill="FFFFFF"/>
        </w:rPr>
        <w:t xml:space="preserve">the </w:t>
      </w:r>
      <w:r>
        <w:rPr>
          <w:shd w:val="clear" w:color="auto" w:fill="FFFFFF"/>
        </w:rPr>
        <w:t xml:space="preserve">function it tries to fulfill. </w:t>
      </w:r>
      <w:r w:rsidRPr="007E4711">
        <w:rPr>
          <w:shd w:val="clear" w:color="auto" w:fill="FFFFFF"/>
        </w:rPr>
        <w:t xml:space="preserve">Intriguingly, the novelist did not take the text so seriously, presenting and framing the Arabic version as a </w:t>
      </w:r>
      <w:r w:rsidRPr="007E4711">
        <w:rPr>
          <w:shd w:val="clear" w:color="auto" w:fill="FFFFFF"/>
        </w:rPr>
        <w:lastRenderedPageBreak/>
        <w:t>mere documentation of the capricious desires of a girl in her twenties, warning readers against attaching unwarranted significance to it.</w:t>
      </w:r>
      <w:r>
        <w:rPr>
          <w:shd w:val="clear" w:color="auto" w:fill="FFFFFF"/>
        </w:rPr>
        <w:t xml:space="preserve"> </w:t>
      </w:r>
      <w:r w:rsidRPr="007E4711">
        <w:rPr>
          <w:shd w:val="clear" w:color="auto" w:fill="FFFFFF"/>
        </w:rPr>
        <w:t xml:space="preserve">This is not to declare her narrative erroneous or a mere compilation of lies; </w:t>
      </w:r>
      <w:r>
        <w:rPr>
          <w:shd w:val="clear" w:color="auto" w:fill="FFFFFF"/>
        </w:rPr>
        <w:t>instead</w:t>
      </w:r>
      <w:r w:rsidRPr="007E4711">
        <w:rPr>
          <w:shd w:val="clear" w:color="auto" w:fill="FFFFFF"/>
        </w:rPr>
        <w:t>, the aim is to spotlight the sharp contrast between the rather whimsical and flippant status of the text in its source context (per the author’s own admission, which was omitted from the translation) and how it came to acquire an authoritative, ethnographically instructive one in the host context</w:t>
      </w:r>
      <w:r>
        <w:rPr>
          <w:shd w:val="clear" w:color="auto" w:fill="FFFFFF"/>
        </w:rPr>
        <w:t xml:space="preserve">. </w:t>
      </w:r>
    </w:p>
    <w:p w14:paraId="1CEC3C9A" w14:textId="699F32EE" w:rsidR="00CD5A58" w:rsidRDefault="00CD5A58" w:rsidP="00EF0422">
      <w:r w:rsidRPr="007E4711">
        <w:t xml:space="preserve">To close this section, despite the </w:t>
      </w:r>
      <w:r>
        <w:t>significant</w:t>
      </w:r>
      <w:r w:rsidRPr="007E4711">
        <w:t xml:space="preserve"> shifts I have discussed, Alsanea remains a fierce defender of her version: “I did not write the book for Western readers.</w:t>
      </w:r>
      <w:r>
        <w:t xml:space="preserve"> </w:t>
      </w:r>
      <w:r w:rsidRPr="007E4711">
        <w:t>This is why it is very authentic and genuine even after translation</w:t>
      </w:r>
      <w:r w:rsidR="00A0019F">
        <w:t>.</w:t>
      </w:r>
      <w:r w:rsidRPr="007E4711">
        <w:t xml:space="preserve">” It seems that Alsanea defends </w:t>
      </w:r>
      <w:r>
        <w:t>the English</w:t>
      </w:r>
      <w:r w:rsidRPr="007E4711">
        <w:t xml:space="preserve"> text as a “faithful” rendering of the Arabic text, although the numerous shifts </w:t>
      </w:r>
      <w:r>
        <w:t>gainsay her claims</w:t>
      </w:r>
      <w:r w:rsidRPr="007E4711">
        <w:t>.</w:t>
      </w:r>
      <w:r>
        <w:t xml:space="preserve"> </w:t>
      </w:r>
      <w:r w:rsidRPr="007E4711">
        <w:t xml:space="preserve">Juxtaposing </w:t>
      </w:r>
      <w:r>
        <w:t>“</w:t>
      </w:r>
      <w:r w:rsidRPr="007E4711">
        <w:t>her</w:t>
      </w:r>
      <w:r>
        <w:t>”</w:t>
      </w:r>
      <w:r w:rsidRPr="007E4711">
        <w:t xml:space="preserve"> project with </w:t>
      </w:r>
      <w:r>
        <w:t>“</w:t>
      </w:r>
      <w:r w:rsidRPr="007E4711">
        <w:t>her</w:t>
      </w:r>
      <w:r>
        <w:t>”</w:t>
      </w:r>
      <w:r w:rsidRPr="007E4711">
        <w:t xml:space="preserve"> </w:t>
      </w:r>
      <w:r>
        <w:t xml:space="preserve">textual </w:t>
      </w:r>
      <w:r w:rsidRPr="007E4711">
        <w:t>decision</w:t>
      </w:r>
      <w:r>
        <w:t>-</w:t>
      </w:r>
      <w:r w:rsidRPr="007E4711">
        <w:t xml:space="preserve">making, one cannot </w:t>
      </w:r>
      <w:r w:rsidR="00A0019F">
        <w:t xml:space="preserve">help </w:t>
      </w:r>
      <w:r w:rsidRPr="007E4711">
        <w:t>but feel perplexed, given how at odds the two are with each other.</w:t>
      </w:r>
      <w:r>
        <w:t xml:space="preserve"> In the acknowledgment section, Alsanea vouchsafes multiple hands involved in translating </w:t>
      </w:r>
      <w:r w:rsidRPr="00473C85">
        <w:rPr>
          <w:i/>
          <w:iCs/>
        </w:rPr>
        <w:t>GOR</w:t>
      </w:r>
      <w:r>
        <w:t xml:space="preserve"> by giving credit to several people who helped her “edit the English counterpart” to ensure her translated novel “does not get </w:t>
      </w:r>
      <w:r w:rsidRPr="00EF0422">
        <w:rPr>
          <w:i/>
          <w:iCs/>
        </w:rPr>
        <w:t>lost in translation</w:t>
      </w:r>
      <w:r w:rsidR="00BD71D8">
        <w:t>.</w:t>
      </w:r>
      <w:r>
        <w:t>” The names she mentions are Nasser (brother), Aceel (friend), Rasha (sister), and finally Liza Darnton, the editor at Penguin. This mishmash of agents lends credence to Kobus Marais’s advocation for complexity thinking in TS which, to guard against reductionism, rejects binary thinking, with “source” and “target” being one of those enduring binaries</w:t>
      </w:r>
      <w:r>
        <w:rPr>
          <w:color w:val="000000"/>
        </w:rPr>
        <w:t>.</w:t>
      </w:r>
      <w:r w:rsidR="00ED6DB1">
        <w:rPr>
          <w:rStyle w:val="FootnoteReference"/>
          <w:color w:val="000000"/>
        </w:rPr>
        <w:footnoteReference w:id="90"/>
      </w:r>
      <w:r>
        <w:rPr>
          <w:color w:val="000000"/>
        </w:rPr>
        <w:t xml:space="preserve"> But Penguin’s decision to add this acknowledgment section seems to be a preemptive measure—an alibi of sorts—against potential criticism. This postulation is predicated on </w:t>
      </w:r>
      <w:r>
        <w:rPr>
          <w:color w:val="000000"/>
        </w:rPr>
        <w:lastRenderedPageBreak/>
        <w:t xml:space="preserve">one premise: the institutional “manipulation” of texts to reinvigorate and petrify </w:t>
      </w:r>
      <w:r>
        <w:t>“</w:t>
      </w:r>
      <w:r w:rsidRPr="007E4711">
        <w:t>stereotypic representations of foreign cultures”</w:t>
      </w:r>
      <w:r w:rsidR="00205156">
        <w:rPr>
          <w:rStyle w:val="FootnoteReference"/>
        </w:rPr>
        <w:footnoteReference w:id="91"/>
      </w:r>
      <w:r w:rsidRPr="007E4711">
        <w:t xml:space="preserve"> </w:t>
      </w:r>
      <w:r>
        <w:t xml:space="preserve">is an </w:t>
      </w:r>
      <w:r>
        <w:rPr>
          <w:color w:val="000000"/>
        </w:rPr>
        <w:t>already-existing phenomenon—as I shall historicize below—and attaching native and contemporary names to another iteration of a longstanding practice does</w:t>
      </w:r>
      <w:r w:rsidR="00BD71D8">
        <w:rPr>
          <w:color w:val="000000"/>
        </w:rPr>
        <w:t xml:space="preserve"> </w:t>
      </w:r>
      <w:r>
        <w:rPr>
          <w:color w:val="000000"/>
        </w:rPr>
        <w:t>n</w:t>
      </w:r>
      <w:r w:rsidR="00BD71D8">
        <w:rPr>
          <w:color w:val="000000"/>
        </w:rPr>
        <w:t>o</w:t>
      </w:r>
      <w:r>
        <w:rPr>
          <w:color w:val="000000"/>
        </w:rPr>
        <w:t xml:space="preserve">t render Penguin—nor the Saudi agents, including the novelist—acquitted. A </w:t>
      </w:r>
      <w:r w:rsidR="00BD71D8">
        <w:rPr>
          <w:color w:val="000000"/>
        </w:rPr>
        <w:t xml:space="preserve">greater </w:t>
      </w:r>
      <w:r>
        <w:rPr>
          <w:color w:val="000000"/>
        </w:rPr>
        <w:t>concern that one should pay more attention to is the translations’ representativeness of the Saudi people, a role thrust by Penguin into a handful of agents.</w:t>
      </w:r>
    </w:p>
    <w:p w14:paraId="2DDDA388" w14:textId="0631AE91" w:rsidR="00CD5A58" w:rsidRPr="00EF0422" w:rsidRDefault="00CD5A58" w:rsidP="00EF0422">
      <w:r w:rsidRPr="007E4711">
        <w:t>Penguin’s collaboration with Alsanea and the wholesale exclusion of the translator, in addition to the rejection of her translation, disrupt, as Emmerich note</w:t>
      </w:r>
      <w:r w:rsidR="00A90AE8">
        <w:t>d</w:t>
      </w:r>
      <w:r w:rsidRPr="007E4711">
        <w:t>, “conventional post-colonial understandings of the relationship between western translators and non-western authors</w:t>
      </w:r>
      <w:r w:rsidR="00A90AE8">
        <w:t>,</w:t>
      </w:r>
      <w:r w:rsidRPr="007E4711">
        <w:t>”</w:t>
      </w:r>
      <w:r w:rsidR="00A90AE8">
        <w:rPr>
          <w:rStyle w:val="FootnoteReference"/>
        </w:rPr>
        <w:footnoteReference w:id="92"/>
      </w:r>
      <w:r w:rsidRPr="007E4711">
        <w:t xml:space="preserve"> as the so-called “first world” (Western) translator was relegated to a marginal position, </w:t>
      </w:r>
      <w:r w:rsidR="00A81227">
        <w:t>whereas</w:t>
      </w:r>
      <w:r w:rsidR="00A81227" w:rsidRPr="007E4711">
        <w:t xml:space="preserve"> </w:t>
      </w:r>
      <w:r w:rsidRPr="007E4711">
        <w:t xml:space="preserve">the so-called “third world” writer was elevated to a higher </w:t>
      </w:r>
      <w:r>
        <w:t>status</w:t>
      </w:r>
      <w:r w:rsidRPr="007E4711">
        <w:t xml:space="preserve"> in regard to shaping the published version.</w:t>
      </w:r>
      <w:r>
        <w:t xml:space="preserve"> Transmutations are intrinsic to translation. A </w:t>
      </w:r>
      <w:r w:rsidRPr="007E4711">
        <w:rPr>
          <w:shd w:val="clear" w:color="auto" w:fill="FFFFFF"/>
        </w:rPr>
        <w:t>text’s position and function</w:t>
      </w:r>
      <w:r>
        <w:rPr>
          <w:shd w:val="clear" w:color="auto" w:fill="FFFFFF"/>
        </w:rPr>
        <w:t xml:space="preserve"> </w:t>
      </w:r>
      <w:r w:rsidRPr="007E4711">
        <w:rPr>
          <w:shd w:val="clear" w:color="auto" w:fill="FFFFFF"/>
        </w:rPr>
        <w:t>are not determined by</w:t>
      </w:r>
      <w:r>
        <w:rPr>
          <w:shd w:val="clear" w:color="auto" w:fill="FFFFFF"/>
        </w:rPr>
        <w:t xml:space="preserve"> “the field of origin” but by the “field of reception”</w:t>
      </w:r>
      <w:r w:rsidR="00F407CF">
        <w:rPr>
          <w:rFonts w:eastAsia="Times New Roman" w:cs="Times New Roman"/>
          <w:color w:val="000000"/>
        </w:rPr>
        <w:t xml:space="preserve">. </w:t>
      </w:r>
      <w:r w:rsidR="00C13AE8">
        <w:rPr>
          <w:rStyle w:val="FootnoteReference"/>
          <w:rFonts w:eastAsia="Times New Roman" w:cs="Times New Roman"/>
          <w:color w:val="000000"/>
        </w:rPr>
        <w:footnoteReference w:id="93"/>
      </w:r>
      <w:r w:rsidRPr="007E4711">
        <w:rPr>
          <w:rFonts w:eastAsia="Times New Roman" w:cs="Times New Roman"/>
          <w:color w:val="000000"/>
        </w:rPr>
        <w:t xml:space="preserve"> </w:t>
      </w:r>
      <w:r>
        <w:rPr>
          <w:shd w:val="clear" w:color="auto" w:fill="FFFFFF"/>
        </w:rPr>
        <w:t>But how was the text received in the home context? I answer this question next and then segue into discussing the implications of the outcomes of the current project.</w:t>
      </w:r>
    </w:p>
    <w:p w14:paraId="2AD76C1A" w14:textId="77777777" w:rsidR="00CD5A58" w:rsidRDefault="00CD5A58" w:rsidP="009C0C48">
      <w:pPr>
        <w:pStyle w:val="Heading3"/>
      </w:pPr>
      <w:r>
        <w:t>Arabic text</w:t>
      </w:r>
    </w:p>
    <w:p w14:paraId="255AF72A" w14:textId="04EECA14" w:rsidR="00CD5A58" w:rsidRPr="007E4711" w:rsidRDefault="00CD5A58" w:rsidP="009C0C48">
      <w:r>
        <w:t>The first observation is that the</w:t>
      </w:r>
      <w:r w:rsidRPr="007E4711">
        <w:t xml:space="preserve"> frequency list</w:t>
      </w:r>
      <w:r>
        <w:t xml:space="preserve"> </w:t>
      </w:r>
      <w:r w:rsidRPr="007E4711">
        <w:t xml:space="preserve">of </w:t>
      </w:r>
      <w:r>
        <w:t xml:space="preserve">the Arabic </w:t>
      </w:r>
      <w:r w:rsidRPr="007E4711">
        <w:t xml:space="preserve">text </w:t>
      </w:r>
      <w:r>
        <w:t xml:space="preserve">of the </w:t>
      </w:r>
      <w:r w:rsidRPr="007E4711">
        <w:t>translation stand in sharp contrast</w:t>
      </w:r>
      <w:r>
        <w:t xml:space="preserve">, and by </w:t>
      </w:r>
      <w:r w:rsidRPr="007E4711">
        <w:t xml:space="preserve">zooming in to observe in what sense they are being used </w:t>
      </w:r>
      <w:r w:rsidRPr="007E4711">
        <w:lastRenderedPageBreak/>
        <w:t>by readers can we reach a better understanding</w:t>
      </w:r>
      <w:r>
        <w:t xml:space="preserve"> of reception</w:t>
      </w:r>
      <w:r w:rsidRPr="007E4711">
        <w:t>.</w:t>
      </w:r>
      <w:r>
        <w:t xml:space="preserve"> The KWICs appearing in </w:t>
      </w:r>
      <w:r w:rsidR="00803652">
        <w:t xml:space="preserve">the </w:t>
      </w:r>
      <w:r>
        <w:t xml:space="preserve">frequency list are: </w:t>
      </w:r>
      <w:r w:rsidRPr="007E4711">
        <w:rPr>
          <w:rtl/>
        </w:rPr>
        <w:t>الرواية</w:t>
      </w:r>
      <w:r>
        <w:t xml:space="preserve"> (novel) (274), </w:t>
      </w:r>
      <w:r w:rsidRPr="007E4711">
        <w:rPr>
          <w:rtl/>
        </w:rPr>
        <w:t>المجتمع</w:t>
      </w:r>
      <w:r>
        <w:t xml:space="preserve"> (society) (104), </w:t>
      </w:r>
      <w:r w:rsidRPr="007E4711">
        <w:rPr>
          <w:rtl/>
        </w:rPr>
        <w:t>الكاتبة</w:t>
      </w:r>
      <w:r>
        <w:t xml:space="preserve"> (author) (77</w:t>
      </w:r>
      <w:proofErr w:type="gramStart"/>
      <w:r>
        <w:t xml:space="preserve">), </w:t>
      </w:r>
      <w:r w:rsidR="00473C85">
        <w:rPr>
          <w:rFonts w:hint="cs"/>
          <w:rtl/>
        </w:rPr>
        <w:t xml:space="preserve"> كتاب</w:t>
      </w:r>
      <w:proofErr w:type="gramEnd"/>
      <w:r>
        <w:t xml:space="preserve">(book) (67), </w:t>
      </w:r>
      <w:r w:rsidRPr="007E4711">
        <w:rPr>
          <w:rtl/>
        </w:rPr>
        <w:t>السعودي</w:t>
      </w:r>
      <w:r>
        <w:t xml:space="preserve"> (Saudi) (50), </w:t>
      </w:r>
      <w:r>
        <w:rPr>
          <w:rtl/>
        </w:rPr>
        <w:t>قصة</w:t>
      </w:r>
      <w:r>
        <w:t xml:space="preserve"> (story) (57), </w:t>
      </w:r>
      <w:r w:rsidRPr="007E4711">
        <w:rPr>
          <w:rtl/>
        </w:rPr>
        <w:t>ضجة</w:t>
      </w:r>
      <w:r>
        <w:t xml:space="preserve"> (hype/fuss) (40),</w:t>
      </w:r>
      <w:r w:rsidR="00803652">
        <w:t xml:space="preserve"> and</w:t>
      </w:r>
      <w:r>
        <w:t xml:space="preserve"> </w:t>
      </w:r>
      <w:r w:rsidRPr="007E4711">
        <w:rPr>
          <w:rFonts w:hint="cs"/>
          <w:rtl/>
        </w:rPr>
        <w:t>وقت</w:t>
      </w:r>
      <w:r>
        <w:t xml:space="preserve"> (</w:t>
      </w:r>
      <w:r w:rsidRPr="007E4711">
        <w:t>time</w:t>
      </w:r>
      <w:r w:rsidR="00803652">
        <w:t>)</w:t>
      </w:r>
      <w:r w:rsidRPr="007E4711">
        <w:rPr>
          <w:rStyle w:val="FootnoteReference"/>
        </w:rPr>
        <w:footnoteReference w:id="94"/>
      </w:r>
      <w:r>
        <w:t xml:space="preserve"> (17). Following the </w:t>
      </w:r>
      <w:r w:rsidRPr="007E4711">
        <w:t>analysis</w:t>
      </w:r>
      <w:r>
        <w:t xml:space="preserve"> of</w:t>
      </w:r>
      <w:r w:rsidRPr="007E4711">
        <w:t xml:space="preserve"> all KWICs in their respective context of appearance, ten themes rose to the surface.</w:t>
      </w:r>
      <w:r>
        <w:t xml:space="preserve"> </w:t>
      </w:r>
      <w:r w:rsidRPr="007E4711">
        <w:t>Starting with the most frequent to the least, they are: “aesthetics,” “hype,” “representation,” “social analysis,” “translation,” “</w:t>
      </w:r>
      <w:r>
        <w:t>fame-seeking</w:t>
      </w:r>
      <w:r w:rsidRPr="007E4711">
        <w:t>,” “girl mentality,” “fellow feeling/bond,” and, “men as demons.” Below I nuance these emerging themes by providing a table containing all the codes associated with the themes.</w:t>
      </w:r>
      <w:r>
        <w:t xml:space="preserve"> </w:t>
      </w:r>
      <w:r w:rsidRPr="007E4711">
        <w:t>I then conclude the analysis with a brief discussion of the</w:t>
      </w:r>
      <w:r>
        <w:t xml:space="preserve"> codes</w:t>
      </w:r>
      <w:r w:rsidRPr="007E4711">
        <w:t xml:space="preserve"> </w:t>
      </w:r>
      <w:r>
        <w:t xml:space="preserve">and segue into an </w:t>
      </w:r>
      <w:r w:rsidRPr="007E4711">
        <w:t>explor</w:t>
      </w:r>
      <w:r>
        <w:t>ation of</w:t>
      </w:r>
      <w:r w:rsidRPr="007E4711">
        <w:t xml:space="preserve"> the English reception.</w:t>
      </w:r>
    </w:p>
    <w:p w14:paraId="2DC8D84E" w14:textId="77777777" w:rsidR="00CD5A58" w:rsidRPr="007E4711" w:rsidRDefault="00CD5A58" w:rsidP="00B300DD">
      <w:pPr>
        <w:pStyle w:val="Caption"/>
      </w:pPr>
      <w:bookmarkStart w:id="9" w:name="_Toc58663288"/>
      <w:r w:rsidRPr="007E4711">
        <w:t xml:space="preserve">Table </w:t>
      </w:r>
      <w:r>
        <w:fldChar w:fldCharType="begin"/>
      </w:r>
      <w:r>
        <w:instrText xml:space="preserve"> SEQ Table \* ARABIC </w:instrText>
      </w:r>
      <w:r>
        <w:fldChar w:fldCharType="separate"/>
      </w:r>
      <w:r w:rsidRPr="007E4711">
        <w:rPr>
          <w:noProof/>
        </w:rPr>
        <w:t>18</w:t>
      </w:r>
      <w:r>
        <w:rPr>
          <w:noProof/>
        </w:rPr>
        <w:fldChar w:fldCharType="end"/>
      </w:r>
      <w:r w:rsidRPr="007E4711">
        <w:t xml:space="preserve"> Arabic Reception Summary</w:t>
      </w:r>
      <w:bookmarkEnd w:id="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24"/>
        <w:gridCol w:w="3226"/>
        <w:gridCol w:w="2600"/>
      </w:tblGrid>
      <w:tr w:rsidR="00CD5A58" w:rsidRPr="007E4711" w14:paraId="09C5D3BC" w14:textId="77777777" w:rsidTr="009C75B1">
        <w:tc>
          <w:tcPr>
            <w:tcW w:w="3524" w:type="dxa"/>
            <w:shd w:val="clear" w:color="auto" w:fill="auto"/>
          </w:tcPr>
          <w:p w14:paraId="0D1EFE35" w14:textId="77777777" w:rsidR="00CD5A58" w:rsidRPr="007E4711" w:rsidRDefault="00CD5A58" w:rsidP="00A345CA">
            <w:pPr>
              <w:ind w:firstLine="0"/>
              <w:jc w:val="center"/>
              <w:rPr>
                <w:b/>
                <w:bCs/>
                <w:sz w:val="24"/>
                <w:szCs w:val="24"/>
              </w:rPr>
            </w:pPr>
            <w:r w:rsidRPr="007E4711">
              <w:rPr>
                <w:b/>
                <w:bCs/>
                <w:sz w:val="24"/>
                <w:szCs w:val="24"/>
              </w:rPr>
              <w:t>Code</w:t>
            </w:r>
          </w:p>
        </w:tc>
        <w:tc>
          <w:tcPr>
            <w:tcW w:w="3226" w:type="dxa"/>
            <w:shd w:val="clear" w:color="auto" w:fill="auto"/>
          </w:tcPr>
          <w:p w14:paraId="790AF0DF" w14:textId="77777777" w:rsidR="00CD5A58" w:rsidRPr="007E4711" w:rsidRDefault="00CD5A58" w:rsidP="00A345CA">
            <w:pPr>
              <w:ind w:firstLine="0"/>
              <w:jc w:val="center"/>
              <w:rPr>
                <w:b/>
                <w:bCs/>
                <w:sz w:val="24"/>
                <w:szCs w:val="24"/>
              </w:rPr>
            </w:pPr>
            <w:r w:rsidRPr="007E4711">
              <w:rPr>
                <w:b/>
                <w:bCs/>
                <w:sz w:val="24"/>
                <w:szCs w:val="24"/>
              </w:rPr>
              <w:t>Number of Occurrences</w:t>
            </w:r>
          </w:p>
        </w:tc>
        <w:tc>
          <w:tcPr>
            <w:tcW w:w="2600" w:type="dxa"/>
            <w:shd w:val="clear" w:color="auto" w:fill="auto"/>
          </w:tcPr>
          <w:p w14:paraId="33C78F00" w14:textId="77777777" w:rsidR="00CD5A58" w:rsidRPr="007E4711" w:rsidRDefault="00CD5A58" w:rsidP="00A345CA">
            <w:pPr>
              <w:ind w:firstLine="0"/>
              <w:jc w:val="center"/>
              <w:rPr>
                <w:b/>
                <w:bCs/>
                <w:sz w:val="24"/>
                <w:szCs w:val="24"/>
              </w:rPr>
            </w:pPr>
            <w:r w:rsidRPr="007E4711">
              <w:rPr>
                <w:b/>
                <w:bCs/>
                <w:sz w:val="24"/>
                <w:szCs w:val="24"/>
              </w:rPr>
              <w:t>Percentage</w:t>
            </w:r>
          </w:p>
        </w:tc>
      </w:tr>
      <w:tr w:rsidR="00CD5A58" w:rsidRPr="007E4711" w14:paraId="4068712C" w14:textId="77777777" w:rsidTr="009C75B1">
        <w:tc>
          <w:tcPr>
            <w:tcW w:w="3524" w:type="dxa"/>
            <w:shd w:val="clear" w:color="auto" w:fill="auto"/>
          </w:tcPr>
          <w:p w14:paraId="055899E2" w14:textId="77777777" w:rsidR="00CD5A58" w:rsidRPr="007E4711" w:rsidRDefault="00CD5A58" w:rsidP="00A345CA">
            <w:pPr>
              <w:ind w:firstLine="0"/>
              <w:jc w:val="center"/>
              <w:rPr>
                <w:b/>
                <w:bCs/>
                <w:sz w:val="24"/>
                <w:szCs w:val="24"/>
              </w:rPr>
            </w:pPr>
            <w:r w:rsidRPr="007E4711">
              <w:rPr>
                <w:b/>
                <w:bCs/>
                <w:sz w:val="24"/>
                <w:szCs w:val="24"/>
              </w:rPr>
              <w:t xml:space="preserve">Aesthetic/ critical </w:t>
            </w:r>
          </w:p>
        </w:tc>
        <w:tc>
          <w:tcPr>
            <w:tcW w:w="3226" w:type="dxa"/>
            <w:shd w:val="clear" w:color="auto" w:fill="auto"/>
          </w:tcPr>
          <w:p w14:paraId="33142AA0" w14:textId="77777777" w:rsidR="00CD5A58" w:rsidRPr="007E4711" w:rsidRDefault="00CD5A58" w:rsidP="00A345CA">
            <w:pPr>
              <w:ind w:firstLine="0"/>
              <w:jc w:val="center"/>
              <w:rPr>
                <w:b/>
                <w:bCs/>
                <w:sz w:val="24"/>
                <w:szCs w:val="24"/>
              </w:rPr>
            </w:pPr>
            <w:r w:rsidRPr="007E4711">
              <w:rPr>
                <w:b/>
                <w:bCs/>
                <w:sz w:val="24"/>
                <w:szCs w:val="24"/>
              </w:rPr>
              <w:t>85</w:t>
            </w:r>
          </w:p>
        </w:tc>
        <w:tc>
          <w:tcPr>
            <w:tcW w:w="2600" w:type="dxa"/>
            <w:shd w:val="clear" w:color="auto" w:fill="auto"/>
          </w:tcPr>
          <w:p w14:paraId="27B40675" w14:textId="77777777" w:rsidR="00CD5A58" w:rsidRPr="007E4711" w:rsidRDefault="00CD5A58" w:rsidP="00A345CA">
            <w:pPr>
              <w:ind w:firstLine="0"/>
              <w:jc w:val="center"/>
              <w:rPr>
                <w:b/>
                <w:bCs/>
                <w:sz w:val="24"/>
                <w:szCs w:val="24"/>
              </w:rPr>
            </w:pPr>
            <w:r w:rsidRPr="007E4711">
              <w:rPr>
                <w:b/>
                <w:bCs/>
                <w:sz w:val="24"/>
                <w:szCs w:val="24"/>
              </w:rPr>
              <w:t>31%</w:t>
            </w:r>
          </w:p>
        </w:tc>
      </w:tr>
      <w:tr w:rsidR="00CD5A58" w:rsidRPr="007E4711" w14:paraId="7967AC0A" w14:textId="77777777" w:rsidTr="009C75B1">
        <w:tc>
          <w:tcPr>
            <w:tcW w:w="3524" w:type="dxa"/>
            <w:shd w:val="clear" w:color="auto" w:fill="auto"/>
          </w:tcPr>
          <w:p w14:paraId="01CA8772" w14:textId="77777777" w:rsidR="00CD5A58" w:rsidRPr="007E4711" w:rsidRDefault="00CD5A58" w:rsidP="00A345CA">
            <w:pPr>
              <w:ind w:firstLine="0"/>
              <w:jc w:val="center"/>
              <w:rPr>
                <w:b/>
                <w:bCs/>
                <w:sz w:val="24"/>
                <w:szCs w:val="24"/>
              </w:rPr>
            </w:pPr>
            <w:r w:rsidRPr="007E4711">
              <w:rPr>
                <w:b/>
                <w:bCs/>
                <w:sz w:val="24"/>
                <w:szCs w:val="24"/>
              </w:rPr>
              <w:t>hype unworthy</w:t>
            </w:r>
          </w:p>
        </w:tc>
        <w:tc>
          <w:tcPr>
            <w:tcW w:w="3226" w:type="dxa"/>
            <w:shd w:val="clear" w:color="auto" w:fill="auto"/>
          </w:tcPr>
          <w:p w14:paraId="51BAC773" w14:textId="77777777" w:rsidR="00CD5A58" w:rsidRPr="007E4711" w:rsidRDefault="00CD5A58" w:rsidP="00A345CA">
            <w:pPr>
              <w:ind w:firstLine="0"/>
              <w:jc w:val="center"/>
              <w:rPr>
                <w:b/>
                <w:bCs/>
                <w:sz w:val="24"/>
                <w:szCs w:val="24"/>
              </w:rPr>
            </w:pPr>
            <w:r w:rsidRPr="007E4711">
              <w:rPr>
                <w:b/>
                <w:bCs/>
                <w:sz w:val="24"/>
                <w:szCs w:val="24"/>
              </w:rPr>
              <w:t>49</w:t>
            </w:r>
          </w:p>
        </w:tc>
        <w:tc>
          <w:tcPr>
            <w:tcW w:w="2600" w:type="dxa"/>
            <w:shd w:val="clear" w:color="auto" w:fill="auto"/>
          </w:tcPr>
          <w:p w14:paraId="058278F9" w14:textId="77777777" w:rsidR="00CD5A58" w:rsidRPr="007E4711" w:rsidRDefault="00CD5A58" w:rsidP="00A345CA">
            <w:pPr>
              <w:ind w:firstLine="0"/>
              <w:jc w:val="center"/>
              <w:rPr>
                <w:b/>
                <w:bCs/>
                <w:sz w:val="24"/>
                <w:szCs w:val="24"/>
              </w:rPr>
            </w:pPr>
            <w:r w:rsidRPr="007E4711">
              <w:rPr>
                <w:b/>
                <w:bCs/>
                <w:sz w:val="24"/>
                <w:szCs w:val="24"/>
              </w:rPr>
              <w:t>18%</w:t>
            </w:r>
          </w:p>
        </w:tc>
      </w:tr>
      <w:tr w:rsidR="00CD5A58" w:rsidRPr="007E4711" w14:paraId="4A63100B" w14:textId="77777777" w:rsidTr="009C75B1">
        <w:tc>
          <w:tcPr>
            <w:tcW w:w="3524" w:type="dxa"/>
            <w:shd w:val="clear" w:color="auto" w:fill="auto"/>
          </w:tcPr>
          <w:p w14:paraId="193FF5B2" w14:textId="77777777" w:rsidR="00CD5A58" w:rsidRPr="007E4711" w:rsidRDefault="00CD5A58" w:rsidP="00A345CA">
            <w:pPr>
              <w:ind w:firstLine="0"/>
              <w:jc w:val="center"/>
              <w:rPr>
                <w:b/>
                <w:bCs/>
                <w:sz w:val="24"/>
                <w:szCs w:val="24"/>
              </w:rPr>
            </w:pPr>
            <w:r w:rsidRPr="007E4711">
              <w:rPr>
                <w:b/>
                <w:bCs/>
                <w:sz w:val="24"/>
                <w:szCs w:val="24"/>
              </w:rPr>
              <w:t xml:space="preserve">partial representation </w:t>
            </w:r>
          </w:p>
        </w:tc>
        <w:tc>
          <w:tcPr>
            <w:tcW w:w="3226" w:type="dxa"/>
            <w:shd w:val="clear" w:color="auto" w:fill="auto"/>
          </w:tcPr>
          <w:p w14:paraId="45C15D18" w14:textId="77777777" w:rsidR="00CD5A58" w:rsidRPr="007E4711" w:rsidRDefault="00CD5A58" w:rsidP="00A345CA">
            <w:pPr>
              <w:ind w:firstLine="0"/>
              <w:jc w:val="center"/>
              <w:rPr>
                <w:b/>
                <w:bCs/>
                <w:sz w:val="24"/>
                <w:szCs w:val="24"/>
              </w:rPr>
            </w:pPr>
            <w:r w:rsidRPr="007E4711">
              <w:rPr>
                <w:b/>
                <w:bCs/>
                <w:sz w:val="24"/>
                <w:szCs w:val="24"/>
              </w:rPr>
              <w:t>35</w:t>
            </w:r>
          </w:p>
        </w:tc>
        <w:tc>
          <w:tcPr>
            <w:tcW w:w="2600" w:type="dxa"/>
            <w:shd w:val="clear" w:color="auto" w:fill="auto"/>
          </w:tcPr>
          <w:p w14:paraId="261D3ABC" w14:textId="77777777" w:rsidR="00CD5A58" w:rsidRPr="007E4711" w:rsidRDefault="00CD5A58" w:rsidP="00A345CA">
            <w:pPr>
              <w:ind w:firstLine="0"/>
              <w:jc w:val="center"/>
              <w:rPr>
                <w:b/>
                <w:bCs/>
                <w:sz w:val="24"/>
                <w:szCs w:val="24"/>
              </w:rPr>
            </w:pPr>
            <w:r w:rsidRPr="007E4711">
              <w:rPr>
                <w:b/>
                <w:bCs/>
                <w:sz w:val="24"/>
                <w:szCs w:val="24"/>
              </w:rPr>
              <w:t>13%</w:t>
            </w:r>
          </w:p>
        </w:tc>
      </w:tr>
      <w:tr w:rsidR="00CD5A58" w:rsidRPr="007E4711" w14:paraId="4BF63C6C" w14:textId="77777777" w:rsidTr="009C75B1">
        <w:tc>
          <w:tcPr>
            <w:tcW w:w="3524" w:type="dxa"/>
            <w:shd w:val="clear" w:color="auto" w:fill="auto"/>
          </w:tcPr>
          <w:p w14:paraId="556B565A" w14:textId="77777777" w:rsidR="00CD5A58" w:rsidRPr="007E4711" w:rsidRDefault="00CD5A58" w:rsidP="00A345CA">
            <w:pPr>
              <w:ind w:firstLine="0"/>
              <w:jc w:val="center"/>
              <w:rPr>
                <w:b/>
                <w:bCs/>
                <w:sz w:val="24"/>
                <w:szCs w:val="24"/>
              </w:rPr>
            </w:pPr>
            <w:r w:rsidRPr="007E4711">
              <w:rPr>
                <w:b/>
                <w:bCs/>
                <w:sz w:val="24"/>
                <w:szCs w:val="24"/>
              </w:rPr>
              <w:t xml:space="preserve">misrepresentation </w:t>
            </w:r>
          </w:p>
        </w:tc>
        <w:tc>
          <w:tcPr>
            <w:tcW w:w="3226" w:type="dxa"/>
            <w:shd w:val="clear" w:color="auto" w:fill="auto"/>
          </w:tcPr>
          <w:p w14:paraId="11DCAB2A" w14:textId="77777777" w:rsidR="00CD5A58" w:rsidRPr="007E4711" w:rsidRDefault="00CD5A58" w:rsidP="00A345CA">
            <w:pPr>
              <w:ind w:firstLine="0"/>
              <w:jc w:val="center"/>
              <w:rPr>
                <w:b/>
                <w:bCs/>
                <w:sz w:val="24"/>
                <w:szCs w:val="24"/>
              </w:rPr>
            </w:pPr>
            <w:r w:rsidRPr="007E4711">
              <w:rPr>
                <w:b/>
                <w:bCs/>
                <w:sz w:val="24"/>
                <w:szCs w:val="24"/>
              </w:rPr>
              <w:t>22</w:t>
            </w:r>
          </w:p>
        </w:tc>
        <w:tc>
          <w:tcPr>
            <w:tcW w:w="2600" w:type="dxa"/>
            <w:shd w:val="clear" w:color="auto" w:fill="auto"/>
          </w:tcPr>
          <w:p w14:paraId="599F3662" w14:textId="77777777" w:rsidR="00CD5A58" w:rsidRPr="007E4711" w:rsidRDefault="00CD5A58" w:rsidP="00A345CA">
            <w:pPr>
              <w:ind w:firstLine="0"/>
              <w:jc w:val="center"/>
              <w:rPr>
                <w:b/>
                <w:bCs/>
                <w:sz w:val="24"/>
                <w:szCs w:val="24"/>
              </w:rPr>
            </w:pPr>
            <w:r w:rsidRPr="007E4711">
              <w:rPr>
                <w:b/>
                <w:bCs/>
                <w:sz w:val="24"/>
                <w:szCs w:val="24"/>
              </w:rPr>
              <w:t>8%</w:t>
            </w:r>
          </w:p>
        </w:tc>
      </w:tr>
      <w:tr w:rsidR="00CD5A58" w:rsidRPr="007E4711" w14:paraId="2CB48846" w14:textId="77777777" w:rsidTr="009C75B1">
        <w:tc>
          <w:tcPr>
            <w:tcW w:w="3524" w:type="dxa"/>
            <w:shd w:val="clear" w:color="auto" w:fill="auto"/>
          </w:tcPr>
          <w:p w14:paraId="4078C783" w14:textId="77777777" w:rsidR="00CD5A58" w:rsidRPr="007E4711" w:rsidRDefault="00CD5A58" w:rsidP="00A345CA">
            <w:pPr>
              <w:ind w:firstLine="0"/>
              <w:jc w:val="center"/>
              <w:rPr>
                <w:b/>
                <w:bCs/>
                <w:sz w:val="24"/>
                <w:szCs w:val="24"/>
              </w:rPr>
            </w:pPr>
            <w:r w:rsidRPr="007E4711">
              <w:rPr>
                <w:b/>
                <w:bCs/>
                <w:sz w:val="24"/>
                <w:szCs w:val="24"/>
              </w:rPr>
              <w:t xml:space="preserve"> social analysis </w:t>
            </w:r>
          </w:p>
        </w:tc>
        <w:tc>
          <w:tcPr>
            <w:tcW w:w="3226" w:type="dxa"/>
            <w:shd w:val="clear" w:color="auto" w:fill="auto"/>
          </w:tcPr>
          <w:p w14:paraId="748AC2FB" w14:textId="77777777" w:rsidR="00CD5A58" w:rsidRPr="007E4711" w:rsidRDefault="00CD5A58" w:rsidP="00A345CA">
            <w:pPr>
              <w:ind w:firstLine="0"/>
              <w:jc w:val="center"/>
              <w:rPr>
                <w:b/>
                <w:bCs/>
                <w:sz w:val="24"/>
                <w:szCs w:val="24"/>
              </w:rPr>
            </w:pPr>
            <w:r w:rsidRPr="007E4711">
              <w:rPr>
                <w:b/>
                <w:bCs/>
                <w:sz w:val="24"/>
                <w:szCs w:val="24"/>
              </w:rPr>
              <w:t>22</w:t>
            </w:r>
          </w:p>
        </w:tc>
        <w:tc>
          <w:tcPr>
            <w:tcW w:w="2600" w:type="dxa"/>
            <w:shd w:val="clear" w:color="auto" w:fill="auto"/>
          </w:tcPr>
          <w:p w14:paraId="0A670196" w14:textId="77777777" w:rsidR="00CD5A58" w:rsidRPr="007E4711" w:rsidRDefault="00CD5A58" w:rsidP="00A345CA">
            <w:pPr>
              <w:ind w:firstLine="0"/>
              <w:jc w:val="center"/>
              <w:rPr>
                <w:b/>
                <w:bCs/>
                <w:sz w:val="24"/>
                <w:szCs w:val="24"/>
              </w:rPr>
            </w:pPr>
            <w:r w:rsidRPr="007E4711">
              <w:rPr>
                <w:b/>
                <w:bCs/>
                <w:sz w:val="24"/>
                <w:szCs w:val="24"/>
              </w:rPr>
              <w:t>8%</w:t>
            </w:r>
          </w:p>
        </w:tc>
      </w:tr>
      <w:tr w:rsidR="00CD5A58" w:rsidRPr="007E4711" w14:paraId="700541E1" w14:textId="77777777" w:rsidTr="009C75B1">
        <w:tc>
          <w:tcPr>
            <w:tcW w:w="3524" w:type="dxa"/>
            <w:shd w:val="clear" w:color="auto" w:fill="auto"/>
          </w:tcPr>
          <w:p w14:paraId="24DCA26C" w14:textId="77777777" w:rsidR="00CD5A58" w:rsidRPr="007E4711" w:rsidRDefault="00CD5A58" w:rsidP="00A345CA">
            <w:pPr>
              <w:ind w:firstLine="0"/>
              <w:jc w:val="center"/>
              <w:rPr>
                <w:b/>
                <w:bCs/>
                <w:sz w:val="24"/>
                <w:szCs w:val="24"/>
              </w:rPr>
            </w:pPr>
            <w:r w:rsidRPr="007E4711">
              <w:rPr>
                <w:b/>
                <w:bCs/>
                <w:sz w:val="24"/>
                <w:szCs w:val="24"/>
              </w:rPr>
              <w:t xml:space="preserve">aesthetic/positive </w:t>
            </w:r>
          </w:p>
        </w:tc>
        <w:tc>
          <w:tcPr>
            <w:tcW w:w="3226" w:type="dxa"/>
            <w:shd w:val="clear" w:color="auto" w:fill="auto"/>
          </w:tcPr>
          <w:p w14:paraId="3F4FDD87" w14:textId="77777777" w:rsidR="00CD5A58" w:rsidRPr="007E4711" w:rsidRDefault="00CD5A58" w:rsidP="00A345CA">
            <w:pPr>
              <w:ind w:firstLine="0"/>
              <w:jc w:val="center"/>
              <w:rPr>
                <w:b/>
                <w:bCs/>
                <w:sz w:val="24"/>
                <w:szCs w:val="24"/>
              </w:rPr>
            </w:pPr>
            <w:r w:rsidRPr="007E4711">
              <w:rPr>
                <w:b/>
                <w:bCs/>
                <w:sz w:val="24"/>
                <w:szCs w:val="24"/>
              </w:rPr>
              <w:t>17</w:t>
            </w:r>
          </w:p>
        </w:tc>
        <w:tc>
          <w:tcPr>
            <w:tcW w:w="2600" w:type="dxa"/>
            <w:shd w:val="clear" w:color="auto" w:fill="auto"/>
          </w:tcPr>
          <w:p w14:paraId="75F26B24" w14:textId="77777777" w:rsidR="00CD5A58" w:rsidRPr="007E4711" w:rsidRDefault="00CD5A58" w:rsidP="00A345CA">
            <w:pPr>
              <w:ind w:firstLine="0"/>
              <w:jc w:val="center"/>
              <w:rPr>
                <w:b/>
                <w:bCs/>
                <w:sz w:val="24"/>
                <w:szCs w:val="24"/>
              </w:rPr>
            </w:pPr>
            <w:r w:rsidRPr="007E4711">
              <w:rPr>
                <w:b/>
                <w:bCs/>
                <w:sz w:val="24"/>
                <w:szCs w:val="24"/>
              </w:rPr>
              <w:t>6%</w:t>
            </w:r>
          </w:p>
        </w:tc>
      </w:tr>
      <w:tr w:rsidR="00CD5A58" w:rsidRPr="007E4711" w14:paraId="3D91D3C4" w14:textId="77777777" w:rsidTr="009C75B1">
        <w:tc>
          <w:tcPr>
            <w:tcW w:w="3524" w:type="dxa"/>
            <w:shd w:val="clear" w:color="auto" w:fill="auto"/>
          </w:tcPr>
          <w:p w14:paraId="14BD540B" w14:textId="77777777" w:rsidR="00CD5A58" w:rsidRPr="007E4711" w:rsidRDefault="00CD5A58" w:rsidP="00A345CA">
            <w:pPr>
              <w:ind w:firstLine="0"/>
              <w:jc w:val="center"/>
              <w:rPr>
                <w:b/>
                <w:bCs/>
                <w:sz w:val="24"/>
                <w:szCs w:val="24"/>
              </w:rPr>
            </w:pPr>
            <w:r w:rsidRPr="007E4711">
              <w:rPr>
                <w:b/>
                <w:bCs/>
                <w:sz w:val="24"/>
                <w:szCs w:val="24"/>
              </w:rPr>
              <w:t xml:space="preserve">translation/disapproval </w:t>
            </w:r>
          </w:p>
        </w:tc>
        <w:tc>
          <w:tcPr>
            <w:tcW w:w="3226" w:type="dxa"/>
            <w:shd w:val="clear" w:color="auto" w:fill="auto"/>
          </w:tcPr>
          <w:p w14:paraId="3E4DF4DA" w14:textId="77777777" w:rsidR="00CD5A58" w:rsidRPr="007E4711" w:rsidRDefault="00CD5A58" w:rsidP="00A345CA">
            <w:pPr>
              <w:ind w:firstLine="0"/>
              <w:jc w:val="center"/>
              <w:rPr>
                <w:b/>
                <w:bCs/>
                <w:sz w:val="24"/>
                <w:szCs w:val="24"/>
              </w:rPr>
            </w:pPr>
            <w:r w:rsidRPr="007E4711">
              <w:rPr>
                <w:b/>
                <w:bCs/>
                <w:sz w:val="24"/>
                <w:szCs w:val="24"/>
              </w:rPr>
              <w:t>15</w:t>
            </w:r>
          </w:p>
        </w:tc>
        <w:tc>
          <w:tcPr>
            <w:tcW w:w="2600" w:type="dxa"/>
            <w:shd w:val="clear" w:color="auto" w:fill="auto"/>
          </w:tcPr>
          <w:p w14:paraId="4FB71447" w14:textId="77777777" w:rsidR="00CD5A58" w:rsidRPr="007E4711" w:rsidRDefault="00CD5A58" w:rsidP="00A345CA">
            <w:pPr>
              <w:ind w:firstLine="0"/>
              <w:jc w:val="center"/>
              <w:rPr>
                <w:b/>
                <w:bCs/>
                <w:sz w:val="24"/>
                <w:szCs w:val="24"/>
              </w:rPr>
            </w:pPr>
            <w:r w:rsidRPr="007E4711">
              <w:rPr>
                <w:b/>
                <w:bCs/>
                <w:sz w:val="24"/>
                <w:szCs w:val="24"/>
              </w:rPr>
              <w:t>5.5%</w:t>
            </w:r>
          </w:p>
        </w:tc>
      </w:tr>
      <w:tr w:rsidR="00CD5A58" w:rsidRPr="007E4711" w14:paraId="02872942" w14:textId="77777777" w:rsidTr="009C75B1">
        <w:tc>
          <w:tcPr>
            <w:tcW w:w="3524" w:type="dxa"/>
            <w:shd w:val="clear" w:color="auto" w:fill="auto"/>
          </w:tcPr>
          <w:p w14:paraId="1E75D63B" w14:textId="77777777" w:rsidR="00CD5A58" w:rsidRPr="007E4711" w:rsidRDefault="00CD5A58" w:rsidP="00A345CA">
            <w:pPr>
              <w:ind w:firstLine="0"/>
              <w:jc w:val="center"/>
              <w:rPr>
                <w:b/>
                <w:bCs/>
                <w:sz w:val="24"/>
                <w:szCs w:val="24"/>
              </w:rPr>
            </w:pPr>
            <w:r w:rsidRPr="007E4711">
              <w:rPr>
                <w:b/>
                <w:bCs/>
                <w:sz w:val="24"/>
                <w:szCs w:val="24"/>
              </w:rPr>
              <w:lastRenderedPageBreak/>
              <w:t xml:space="preserve">universal </w:t>
            </w:r>
          </w:p>
        </w:tc>
        <w:tc>
          <w:tcPr>
            <w:tcW w:w="3226" w:type="dxa"/>
            <w:shd w:val="clear" w:color="auto" w:fill="auto"/>
          </w:tcPr>
          <w:p w14:paraId="29A8489C" w14:textId="77777777" w:rsidR="00CD5A58" w:rsidRPr="007E4711" w:rsidRDefault="00CD5A58" w:rsidP="00A345CA">
            <w:pPr>
              <w:ind w:firstLine="0"/>
              <w:jc w:val="center"/>
              <w:rPr>
                <w:b/>
                <w:bCs/>
                <w:sz w:val="24"/>
                <w:szCs w:val="24"/>
              </w:rPr>
            </w:pPr>
            <w:r w:rsidRPr="007E4711">
              <w:rPr>
                <w:b/>
                <w:bCs/>
                <w:sz w:val="24"/>
                <w:szCs w:val="24"/>
              </w:rPr>
              <w:t>8</w:t>
            </w:r>
          </w:p>
        </w:tc>
        <w:tc>
          <w:tcPr>
            <w:tcW w:w="2600" w:type="dxa"/>
            <w:shd w:val="clear" w:color="auto" w:fill="auto"/>
          </w:tcPr>
          <w:p w14:paraId="37F664D6" w14:textId="77777777" w:rsidR="00CD5A58" w:rsidRPr="007E4711" w:rsidRDefault="00CD5A58" w:rsidP="00A345CA">
            <w:pPr>
              <w:ind w:firstLine="0"/>
              <w:jc w:val="center"/>
              <w:rPr>
                <w:b/>
                <w:bCs/>
                <w:sz w:val="24"/>
                <w:szCs w:val="24"/>
              </w:rPr>
            </w:pPr>
            <w:r w:rsidRPr="007E4711">
              <w:rPr>
                <w:b/>
                <w:bCs/>
                <w:sz w:val="24"/>
                <w:szCs w:val="24"/>
              </w:rPr>
              <w:t>3%</w:t>
            </w:r>
          </w:p>
        </w:tc>
      </w:tr>
      <w:tr w:rsidR="00CD5A58" w:rsidRPr="007E4711" w14:paraId="1CABEEAE" w14:textId="77777777" w:rsidTr="009C75B1">
        <w:tc>
          <w:tcPr>
            <w:tcW w:w="3524" w:type="dxa"/>
            <w:shd w:val="clear" w:color="auto" w:fill="auto"/>
          </w:tcPr>
          <w:p w14:paraId="16466F58" w14:textId="77777777" w:rsidR="00CD5A58" w:rsidRPr="007E4711" w:rsidRDefault="00CD5A58" w:rsidP="00A345CA">
            <w:pPr>
              <w:ind w:firstLine="0"/>
              <w:jc w:val="center"/>
              <w:rPr>
                <w:b/>
                <w:bCs/>
                <w:sz w:val="24"/>
                <w:szCs w:val="24"/>
              </w:rPr>
            </w:pPr>
            <w:r w:rsidRPr="007E4711">
              <w:rPr>
                <w:b/>
                <w:bCs/>
                <w:sz w:val="24"/>
                <w:szCs w:val="24"/>
              </w:rPr>
              <w:t xml:space="preserve">fame seeking </w:t>
            </w:r>
          </w:p>
        </w:tc>
        <w:tc>
          <w:tcPr>
            <w:tcW w:w="3226" w:type="dxa"/>
            <w:shd w:val="clear" w:color="auto" w:fill="auto"/>
          </w:tcPr>
          <w:p w14:paraId="272A3673" w14:textId="77777777" w:rsidR="00CD5A58" w:rsidRPr="007E4711" w:rsidRDefault="00CD5A58" w:rsidP="00A345CA">
            <w:pPr>
              <w:ind w:firstLine="0"/>
              <w:jc w:val="center"/>
              <w:rPr>
                <w:b/>
                <w:bCs/>
                <w:sz w:val="24"/>
                <w:szCs w:val="24"/>
              </w:rPr>
            </w:pPr>
            <w:r w:rsidRPr="007E4711">
              <w:rPr>
                <w:b/>
                <w:bCs/>
                <w:sz w:val="24"/>
                <w:szCs w:val="24"/>
              </w:rPr>
              <w:t>8</w:t>
            </w:r>
          </w:p>
        </w:tc>
        <w:tc>
          <w:tcPr>
            <w:tcW w:w="2600" w:type="dxa"/>
            <w:shd w:val="clear" w:color="auto" w:fill="auto"/>
          </w:tcPr>
          <w:p w14:paraId="19779C17" w14:textId="77777777" w:rsidR="00CD5A58" w:rsidRPr="007E4711" w:rsidRDefault="00CD5A58" w:rsidP="00A345CA">
            <w:pPr>
              <w:ind w:firstLine="0"/>
              <w:jc w:val="center"/>
              <w:rPr>
                <w:b/>
                <w:bCs/>
                <w:sz w:val="24"/>
                <w:szCs w:val="24"/>
              </w:rPr>
            </w:pPr>
            <w:r w:rsidRPr="007E4711">
              <w:rPr>
                <w:b/>
                <w:bCs/>
                <w:sz w:val="24"/>
                <w:szCs w:val="24"/>
              </w:rPr>
              <w:t>3%</w:t>
            </w:r>
          </w:p>
        </w:tc>
      </w:tr>
      <w:tr w:rsidR="00CD5A58" w:rsidRPr="007E4711" w14:paraId="3F0B35A8" w14:textId="77777777" w:rsidTr="009C75B1">
        <w:tc>
          <w:tcPr>
            <w:tcW w:w="3524" w:type="dxa"/>
            <w:shd w:val="clear" w:color="auto" w:fill="auto"/>
          </w:tcPr>
          <w:p w14:paraId="0AF05844" w14:textId="77777777" w:rsidR="00CD5A58" w:rsidRPr="007E4711" w:rsidRDefault="00CD5A58" w:rsidP="00A345CA">
            <w:pPr>
              <w:ind w:firstLine="0"/>
              <w:jc w:val="center"/>
              <w:rPr>
                <w:b/>
                <w:bCs/>
                <w:sz w:val="24"/>
                <w:szCs w:val="24"/>
              </w:rPr>
            </w:pPr>
            <w:r w:rsidRPr="007E4711">
              <w:rPr>
                <w:b/>
                <w:bCs/>
                <w:sz w:val="24"/>
                <w:szCs w:val="24"/>
              </w:rPr>
              <w:t>ethnography</w:t>
            </w:r>
          </w:p>
        </w:tc>
        <w:tc>
          <w:tcPr>
            <w:tcW w:w="3226" w:type="dxa"/>
            <w:shd w:val="clear" w:color="auto" w:fill="auto"/>
          </w:tcPr>
          <w:p w14:paraId="4176CE05" w14:textId="77777777" w:rsidR="00CD5A58" w:rsidRPr="007E4711" w:rsidRDefault="00CD5A58" w:rsidP="00A345CA">
            <w:pPr>
              <w:ind w:firstLine="0"/>
              <w:jc w:val="center"/>
              <w:rPr>
                <w:b/>
                <w:bCs/>
                <w:sz w:val="24"/>
                <w:szCs w:val="24"/>
              </w:rPr>
            </w:pPr>
            <w:r w:rsidRPr="007E4711">
              <w:rPr>
                <w:b/>
                <w:bCs/>
                <w:sz w:val="24"/>
                <w:szCs w:val="24"/>
              </w:rPr>
              <w:t>4</w:t>
            </w:r>
          </w:p>
        </w:tc>
        <w:tc>
          <w:tcPr>
            <w:tcW w:w="2600" w:type="dxa"/>
            <w:shd w:val="clear" w:color="auto" w:fill="auto"/>
          </w:tcPr>
          <w:p w14:paraId="05CA5AD4" w14:textId="77777777" w:rsidR="00CD5A58" w:rsidRPr="007E4711" w:rsidRDefault="00CD5A58" w:rsidP="00A345CA">
            <w:pPr>
              <w:ind w:firstLine="0"/>
              <w:jc w:val="center"/>
              <w:rPr>
                <w:b/>
                <w:bCs/>
                <w:sz w:val="24"/>
                <w:szCs w:val="24"/>
              </w:rPr>
            </w:pPr>
            <w:r w:rsidRPr="007E4711">
              <w:rPr>
                <w:b/>
                <w:bCs/>
                <w:sz w:val="24"/>
                <w:szCs w:val="24"/>
              </w:rPr>
              <w:t>1.5%</w:t>
            </w:r>
          </w:p>
        </w:tc>
      </w:tr>
      <w:tr w:rsidR="00CD5A58" w:rsidRPr="007E4711" w14:paraId="50E80B9F" w14:textId="77777777" w:rsidTr="009C75B1">
        <w:tc>
          <w:tcPr>
            <w:tcW w:w="3524" w:type="dxa"/>
            <w:shd w:val="clear" w:color="auto" w:fill="auto"/>
          </w:tcPr>
          <w:p w14:paraId="2C16422D" w14:textId="77777777" w:rsidR="00CD5A58" w:rsidRPr="007E4711" w:rsidRDefault="00CD5A58" w:rsidP="00A345CA">
            <w:pPr>
              <w:ind w:firstLine="0"/>
              <w:jc w:val="center"/>
              <w:rPr>
                <w:b/>
                <w:bCs/>
                <w:sz w:val="24"/>
                <w:szCs w:val="24"/>
              </w:rPr>
            </w:pPr>
            <w:r w:rsidRPr="007E4711">
              <w:rPr>
                <w:b/>
                <w:bCs/>
                <w:sz w:val="24"/>
                <w:szCs w:val="24"/>
              </w:rPr>
              <w:t>insight into girl mentality</w:t>
            </w:r>
          </w:p>
        </w:tc>
        <w:tc>
          <w:tcPr>
            <w:tcW w:w="3226" w:type="dxa"/>
            <w:shd w:val="clear" w:color="auto" w:fill="auto"/>
          </w:tcPr>
          <w:p w14:paraId="6CF59183" w14:textId="77777777" w:rsidR="00CD5A58" w:rsidRPr="007E4711" w:rsidRDefault="00CD5A58" w:rsidP="00A345CA">
            <w:pPr>
              <w:ind w:firstLine="0"/>
              <w:jc w:val="center"/>
              <w:rPr>
                <w:b/>
                <w:bCs/>
                <w:sz w:val="24"/>
                <w:szCs w:val="24"/>
              </w:rPr>
            </w:pPr>
            <w:r w:rsidRPr="007E4711">
              <w:rPr>
                <w:b/>
                <w:bCs/>
                <w:sz w:val="24"/>
                <w:szCs w:val="24"/>
              </w:rPr>
              <w:t>3</w:t>
            </w:r>
          </w:p>
        </w:tc>
        <w:tc>
          <w:tcPr>
            <w:tcW w:w="2600" w:type="dxa"/>
            <w:shd w:val="clear" w:color="auto" w:fill="auto"/>
          </w:tcPr>
          <w:p w14:paraId="23DC2E46" w14:textId="77777777" w:rsidR="00CD5A58" w:rsidRPr="007E4711" w:rsidRDefault="00CD5A58" w:rsidP="00A345CA">
            <w:pPr>
              <w:ind w:firstLine="0"/>
              <w:jc w:val="center"/>
              <w:rPr>
                <w:b/>
                <w:bCs/>
                <w:sz w:val="24"/>
                <w:szCs w:val="24"/>
              </w:rPr>
            </w:pPr>
            <w:r w:rsidRPr="007E4711">
              <w:rPr>
                <w:b/>
                <w:bCs/>
                <w:sz w:val="24"/>
                <w:szCs w:val="24"/>
              </w:rPr>
              <w:t>1%</w:t>
            </w:r>
          </w:p>
        </w:tc>
      </w:tr>
      <w:tr w:rsidR="00CD5A58" w:rsidRPr="007E4711" w14:paraId="3C6E44DC" w14:textId="77777777" w:rsidTr="009C75B1">
        <w:tc>
          <w:tcPr>
            <w:tcW w:w="3524" w:type="dxa"/>
            <w:shd w:val="clear" w:color="auto" w:fill="auto"/>
          </w:tcPr>
          <w:p w14:paraId="7112A495" w14:textId="77777777" w:rsidR="00CD5A58" w:rsidRPr="007E4711" w:rsidRDefault="00CD5A58" w:rsidP="00A345CA">
            <w:pPr>
              <w:ind w:firstLine="0"/>
              <w:jc w:val="center"/>
              <w:rPr>
                <w:b/>
                <w:bCs/>
                <w:sz w:val="24"/>
                <w:szCs w:val="24"/>
              </w:rPr>
            </w:pPr>
            <w:r w:rsidRPr="007E4711">
              <w:rPr>
                <w:b/>
                <w:bCs/>
                <w:sz w:val="24"/>
                <w:szCs w:val="24"/>
              </w:rPr>
              <w:t>fellow feeling / bond</w:t>
            </w:r>
          </w:p>
        </w:tc>
        <w:tc>
          <w:tcPr>
            <w:tcW w:w="3226" w:type="dxa"/>
            <w:shd w:val="clear" w:color="auto" w:fill="auto"/>
          </w:tcPr>
          <w:p w14:paraId="7340CF74" w14:textId="77777777" w:rsidR="00CD5A58" w:rsidRPr="007E4711" w:rsidRDefault="00CD5A58" w:rsidP="00A345CA">
            <w:pPr>
              <w:ind w:firstLine="0"/>
              <w:jc w:val="center"/>
              <w:rPr>
                <w:b/>
                <w:bCs/>
                <w:sz w:val="24"/>
                <w:szCs w:val="24"/>
              </w:rPr>
            </w:pPr>
            <w:r w:rsidRPr="007E4711">
              <w:rPr>
                <w:b/>
                <w:bCs/>
                <w:sz w:val="24"/>
                <w:szCs w:val="24"/>
              </w:rPr>
              <w:t>3</w:t>
            </w:r>
          </w:p>
        </w:tc>
        <w:tc>
          <w:tcPr>
            <w:tcW w:w="2600" w:type="dxa"/>
            <w:shd w:val="clear" w:color="auto" w:fill="auto"/>
          </w:tcPr>
          <w:p w14:paraId="18638191" w14:textId="77777777" w:rsidR="00CD5A58" w:rsidRPr="007E4711" w:rsidRDefault="00CD5A58" w:rsidP="00A345CA">
            <w:pPr>
              <w:ind w:firstLine="0"/>
              <w:jc w:val="center"/>
              <w:rPr>
                <w:b/>
                <w:bCs/>
                <w:sz w:val="24"/>
                <w:szCs w:val="24"/>
              </w:rPr>
            </w:pPr>
            <w:r w:rsidRPr="007E4711">
              <w:rPr>
                <w:b/>
                <w:bCs/>
                <w:sz w:val="24"/>
                <w:szCs w:val="24"/>
              </w:rPr>
              <w:t>1%</w:t>
            </w:r>
          </w:p>
        </w:tc>
      </w:tr>
      <w:tr w:rsidR="00CD5A58" w:rsidRPr="007E4711" w14:paraId="4A388F6A" w14:textId="77777777" w:rsidTr="009C75B1">
        <w:tc>
          <w:tcPr>
            <w:tcW w:w="3524" w:type="dxa"/>
            <w:shd w:val="clear" w:color="auto" w:fill="auto"/>
          </w:tcPr>
          <w:p w14:paraId="6D5473B3" w14:textId="77777777" w:rsidR="00CD5A58" w:rsidRPr="007E4711" w:rsidRDefault="00CD5A58" w:rsidP="00A345CA">
            <w:pPr>
              <w:ind w:firstLine="0"/>
              <w:jc w:val="center"/>
              <w:rPr>
                <w:b/>
                <w:bCs/>
                <w:sz w:val="24"/>
                <w:szCs w:val="24"/>
              </w:rPr>
            </w:pPr>
            <w:r w:rsidRPr="007E4711">
              <w:rPr>
                <w:b/>
                <w:bCs/>
                <w:sz w:val="24"/>
                <w:szCs w:val="24"/>
              </w:rPr>
              <w:t xml:space="preserve">men as demons </w:t>
            </w:r>
          </w:p>
        </w:tc>
        <w:tc>
          <w:tcPr>
            <w:tcW w:w="3226" w:type="dxa"/>
            <w:shd w:val="clear" w:color="auto" w:fill="auto"/>
          </w:tcPr>
          <w:p w14:paraId="5BE79AAE" w14:textId="77777777" w:rsidR="00CD5A58" w:rsidRPr="007E4711" w:rsidRDefault="00CD5A58" w:rsidP="00A345CA">
            <w:pPr>
              <w:ind w:firstLine="0"/>
              <w:jc w:val="center"/>
              <w:rPr>
                <w:b/>
                <w:bCs/>
                <w:sz w:val="24"/>
                <w:szCs w:val="24"/>
              </w:rPr>
            </w:pPr>
            <w:r w:rsidRPr="007E4711">
              <w:rPr>
                <w:b/>
                <w:bCs/>
                <w:sz w:val="24"/>
                <w:szCs w:val="24"/>
              </w:rPr>
              <w:t>1</w:t>
            </w:r>
          </w:p>
        </w:tc>
        <w:tc>
          <w:tcPr>
            <w:tcW w:w="2600" w:type="dxa"/>
            <w:shd w:val="clear" w:color="auto" w:fill="auto"/>
          </w:tcPr>
          <w:p w14:paraId="5F25DA67" w14:textId="77777777" w:rsidR="00CD5A58" w:rsidRPr="007E4711" w:rsidRDefault="00CD5A58" w:rsidP="00A345CA">
            <w:pPr>
              <w:ind w:firstLine="0"/>
              <w:jc w:val="center"/>
              <w:rPr>
                <w:b/>
                <w:bCs/>
                <w:sz w:val="24"/>
                <w:szCs w:val="24"/>
              </w:rPr>
            </w:pPr>
            <w:r w:rsidRPr="007E4711">
              <w:rPr>
                <w:b/>
                <w:bCs/>
                <w:sz w:val="24"/>
                <w:szCs w:val="24"/>
              </w:rPr>
              <w:t>.5%</w:t>
            </w:r>
          </w:p>
        </w:tc>
      </w:tr>
      <w:tr w:rsidR="00CD5A58" w:rsidRPr="007E4711" w14:paraId="22508BA9" w14:textId="77777777" w:rsidTr="009C75B1">
        <w:tc>
          <w:tcPr>
            <w:tcW w:w="3524" w:type="dxa"/>
            <w:shd w:val="clear" w:color="auto" w:fill="auto"/>
          </w:tcPr>
          <w:p w14:paraId="76E2A1DB" w14:textId="77777777" w:rsidR="00CD5A58" w:rsidRPr="007E4711" w:rsidRDefault="00CD5A58" w:rsidP="00A345CA">
            <w:pPr>
              <w:ind w:firstLine="0"/>
              <w:jc w:val="center"/>
              <w:rPr>
                <w:b/>
                <w:bCs/>
                <w:sz w:val="24"/>
                <w:szCs w:val="24"/>
              </w:rPr>
            </w:pPr>
            <w:r w:rsidRPr="007E4711">
              <w:rPr>
                <w:b/>
                <w:bCs/>
                <w:sz w:val="24"/>
                <w:szCs w:val="24"/>
              </w:rPr>
              <w:t>translation/untranslatable</w:t>
            </w:r>
          </w:p>
        </w:tc>
        <w:tc>
          <w:tcPr>
            <w:tcW w:w="3226" w:type="dxa"/>
            <w:shd w:val="clear" w:color="auto" w:fill="auto"/>
          </w:tcPr>
          <w:p w14:paraId="6F685248" w14:textId="77777777" w:rsidR="00CD5A58" w:rsidRPr="007E4711" w:rsidRDefault="00CD5A58" w:rsidP="00A345CA">
            <w:pPr>
              <w:ind w:firstLine="0"/>
              <w:jc w:val="center"/>
              <w:rPr>
                <w:b/>
                <w:bCs/>
                <w:sz w:val="24"/>
                <w:szCs w:val="24"/>
              </w:rPr>
            </w:pPr>
            <w:r w:rsidRPr="007E4711">
              <w:rPr>
                <w:b/>
                <w:bCs/>
                <w:sz w:val="24"/>
                <w:szCs w:val="24"/>
              </w:rPr>
              <w:t>1</w:t>
            </w:r>
          </w:p>
        </w:tc>
        <w:tc>
          <w:tcPr>
            <w:tcW w:w="2600" w:type="dxa"/>
            <w:shd w:val="clear" w:color="auto" w:fill="auto"/>
          </w:tcPr>
          <w:p w14:paraId="10297A96" w14:textId="77777777" w:rsidR="00CD5A58" w:rsidRPr="007E4711" w:rsidRDefault="00CD5A58" w:rsidP="00A345CA">
            <w:pPr>
              <w:ind w:firstLine="0"/>
              <w:jc w:val="center"/>
              <w:rPr>
                <w:b/>
                <w:bCs/>
                <w:sz w:val="24"/>
                <w:szCs w:val="24"/>
              </w:rPr>
            </w:pPr>
            <w:r w:rsidRPr="007E4711">
              <w:rPr>
                <w:b/>
                <w:bCs/>
                <w:sz w:val="24"/>
                <w:szCs w:val="24"/>
              </w:rPr>
              <w:t>.5%</w:t>
            </w:r>
          </w:p>
        </w:tc>
      </w:tr>
    </w:tbl>
    <w:p w14:paraId="070A8A98" w14:textId="77777777" w:rsidR="00CD5A58" w:rsidRPr="007E4711" w:rsidRDefault="00CD5A58" w:rsidP="009C0C48">
      <w:pPr>
        <w:ind w:firstLine="0"/>
      </w:pPr>
    </w:p>
    <w:p w14:paraId="3A73A589" w14:textId="496FBDBB" w:rsidR="00CD5A58" w:rsidRDefault="00803652" w:rsidP="009C0C48">
      <w:r>
        <w:t>Although</w:t>
      </w:r>
      <w:r w:rsidRPr="007E4711">
        <w:t xml:space="preserve"> </w:t>
      </w:r>
      <w:r w:rsidR="00CD5A58" w:rsidRPr="007E4711">
        <w:t>the codes and their examples are</w:t>
      </w:r>
      <w:r w:rsidR="00CD5A58">
        <w:t xml:space="preserve"> quite</w:t>
      </w:r>
      <w:r w:rsidR="00CD5A58" w:rsidRPr="007E4711">
        <w:t xml:space="preserve"> self-explanatory, </w:t>
      </w:r>
      <w:r w:rsidR="00CD5A58">
        <w:t>I</w:t>
      </w:r>
      <w:r w:rsidR="00CD5A58" w:rsidRPr="007E4711">
        <w:t xml:space="preserve"> think it is necessary to make a few points.</w:t>
      </w:r>
      <w:r w:rsidR="00CD5A58">
        <w:t xml:space="preserve"> </w:t>
      </w:r>
      <w:r w:rsidR="00CD5A58" w:rsidRPr="007E4711">
        <w:t xml:space="preserve">As evident in the table above and the examples provided, </w:t>
      </w:r>
      <w:r w:rsidR="00CD5A58">
        <w:t>the readers of the Arabic version have been a loud voice of dissent. T</w:t>
      </w:r>
      <w:r w:rsidR="00CD5A58" w:rsidRPr="007E4711">
        <w:t>he text was received negatively on mostly aesthetic grounds, having no literary merit given the poor style of writing.</w:t>
      </w:r>
      <w:r w:rsidR="00CD5A58">
        <w:t xml:space="preserve"> </w:t>
      </w:r>
      <w:r w:rsidR="00CD5A58" w:rsidRPr="007E4711">
        <w:t>Most of the coded segments under the label “aesthetic/critical” express severe criticism of the writing style on var</w:t>
      </w:r>
      <w:r w:rsidR="00CD5A58">
        <w:t>ying</w:t>
      </w:r>
      <w:r w:rsidR="00CD5A58" w:rsidRPr="007E4711">
        <w:t>, yet related, grounds.</w:t>
      </w:r>
      <w:r w:rsidR="00CD5A58">
        <w:t xml:space="preserve"> </w:t>
      </w:r>
      <w:r w:rsidR="00CD5A58" w:rsidRPr="007E4711">
        <w:t xml:space="preserve">These criticisms range from typos and grammatical/syntactic mistakes to the chatty language </w:t>
      </w:r>
      <w:r w:rsidR="00CD5A58">
        <w:t>that readers deem</w:t>
      </w:r>
      <w:r w:rsidR="00CD5A58" w:rsidRPr="007E4711">
        <w:t xml:space="preserve"> inappropriate for a</w:t>
      </w:r>
      <w:r w:rsidR="00CD5A58">
        <w:t xml:space="preserve"> published</w:t>
      </w:r>
      <w:r w:rsidR="00CD5A58" w:rsidRPr="007E4711">
        <w:t xml:space="preserve"> novel.</w:t>
      </w:r>
      <w:r w:rsidR="00CD5A58">
        <w:t xml:space="preserve"> </w:t>
      </w:r>
      <w:r w:rsidR="00CD5A58" w:rsidRPr="007E4711">
        <w:t xml:space="preserve">Also, many readers </w:t>
      </w:r>
      <w:r w:rsidR="00CD5A58">
        <w:t>repulse</w:t>
      </w:r>
      <w:r w:rsidR="00CD5A58" w:rsidRPr="007E4711">
        <w:t xml:space="preserve"> </w:t>
      </w:r>
      <w:r w:rsidR="00CD5A58">
        <w:t xml:space="preserve">calling </w:t>
      </w:r>
      <w:r w:rsidR="00CD5A58" w:rsidRPr="00473C85">
        <w:rPr>
          <w:i/>
          <w:iCs/>
        </w:rPr>
        <w:t>GOR</w:t>
      </w:r>
      <w:r w:rsidR="00CD5A58">
        <w:t xml:space="preserve"> </w:t>
      </w:r>
      <w:r w:rsidR="00CD5A58" w:rsidRPr="007E4711">
        <w:t>“</w:t>
      </w:r>
      <w:r w:rsidR="00CD5A58">
        <w:t>a</w:t>
      </w:r>
      <w:r w:rsidR="00CD5A58" w:rsidRPr="007E4711">
        <w:t xml:space="preserve"> novel,” seeing it as a misnomer that would raise the text to a higher status, of which it is unworthy.</w:t>
      </w:r>
      <w:r w:rsidR="00CD5A58">
        <w:t xml:space="preserve"> </w:t>
      </w:r>
      <w:r w:rsidR="00CD5A58" w:rsidRPr="007E4711">
        <w:t>By contrast, segments strung together by the code “aesthetic/positive” express, generally, an appreciation of the style because readers find it innovative, mainstream</w:t>
      </w:r>
      <w:r w:rsidR="00185281">
        <w:t>,</w:t>
      </w:r>
      <w:r w:rsidR="00CD5A58" w:rsidRPr="007E4711">
        <w:t xml:space="preserve"> and non-elitist—or plain and simple, thereby extremely </w:t>
      </w:r>
      <w:proofErr w:type="gramStart"/>
      <w:r w:rsidR="00CD5A58" w:rsidRPr="007E4711">
        <w:t>readable</w:t>
      </w:r>
      <w:proofErr w:type="gramEnd"/>
      <w:r w:rsidR="00CD5A58" w:rsidRPr="007E4711">
        <w:t xml:space="preserve"> and less cognitively demanding.</w:t>
      </w:r>
      <w:r w:rsidR="00CD5A58">
        <w:t xml:space="preserve"> </w:t>
      </w:r>
      <w:r w:rsidR="00CD5A58" w:rsidRPr="007E4711">
        <w:t xml:space="preserve">Representation is a </w:t>
      </w:r>
      <w:r w:rsidR="00CD5A58">
        <w:t>central</w:t>
      </w:r>
      <w:r w:rsidR="00CD5A58" w:rsidRPr="007E4711">
        <w:t xml:space="preserve"> theme, too, with three codes associated with it: “partial representation”</w:t>
      </w:r>
      <w:r w:rsidR="00CD5A58">
        <w:t xml:space="preserve"> (i.e., true representation of only a certain class); </w:t>
      </w:r>
      <w:r w:rsidR="00CD5A58" w:rsidRPr="007E4711">
        <w:t>“misrepresentation”</w:t>
      </w:r>
      <w:r w:rsidR="00CD5A58">
        <w:t xml:space="preserve"> </w:t>
      </w:r>
      <w:r w:rsidR="00CD5A58">
        <w:lastRenderedPageBreak/>
        <w:t xml:space="preserve">(untrue or deforming); </w:t>
      </w:r>
      <w:r w:rsidR="00CD5A58" w:rsidRPr="007E4711">
        <w:t>and “universal”</w:t>
      </w:r>
      <w:r w:rsidR="00CD5A58">
        <w:t xml:space="preserve"> (true of all human societies).</w:t>
      </w:r>
      <w:r w:rsidR="00CD5A58" w:rsidRPr="007E4711">
        <w:t xml:space="preserve"> A surprising theme to emerge is “translation,” with fifteen occurrences (by fifteen readers) in which readers express</w:t>
      </w:r>
      <w:r w:rsidR="00185281">
        <w:t>ed</w:t>
      </w:r>
      <w:r w:rsidR="00CD5A58" w:rsidRPr="007E4711">
        <w:t xml:space="preserve"> outright objection or dismay that the text has been translated.</w:t>
      </w:r>
      <w:r w:rsidR="00CD5A58">
        <w:t xml:space="preserve"> </w:t>
      </w:r>
      <w:r w:rsidR="00CD5A58" w:rsidRPr="007E4711">
        <w:t>The objection is raised because the text is either a poor literary ambassador to represent Arabic literature,</w:t>
      </w:r>
      <w:r w:rsidR="00F407CF">
        <w:t xml:space="preserve"> as readers</w:t>
      </w:r>
      <w:r w:rsidR="00CD5A58" w:rsidRPr="007E4711">
        <w:t xml:space="preserve"> stat</w:t>
      </w:r>
      <w:r w:rsidR="00F407CF">
        <w:t>e</w:t>
      </w:r>
      <w:r w:rsidR="00CD5A58" w:rsidRPr="007E4711">
        <w:t xml:space="preserve"> or imply that there are better candidates for translation, or that it transmits a negative/deformed image of Saudi society beyond the national borders</w:t>
      </w:r>
      <w:r w:rsidR="00F407CF">
        <w:t>, chiding the novelist (and co-translator) for exporting a negative image. (W</w:t>
      </w:r>
      <w:r w:rsidR="00CD5A58">
        <w:t>hat seems noteworthy here is that Arabophone readers seem to view translation as a consecration, a dignifying act that should not be bestowed upon any text</w:t>
      </w:r>
      <w:r w:rsidR="00F407CF">
        <w:t>.</w:t>
      </w:r>
      <w:r w:rsidR="00CD5A58">
        <w:t xml:space="preserve">) </w:t>
      </w:r>
      <w:r w:rsidR="00185281">
        <w:t>Additionally,</w:t>
      </w:r>
      <w:r w:rsidR="00CD5A58" w:rsidRPr="007E4711">
        <w:t xml:space="preserve"> the segments under this code could have been inserted under two other relevant codes, “aesthetic/critical” or “misrepresentation,” respectively.</w:t>
      </w:r>
      <w:r w:rsidR="00CD5A58">
        <w:t xml:space="preserve"> </w:t>
      </w:r>
      <w:r w:rsidR="00CD5A58" w:rsidRPr="007E4711">
        <w:t>However, because the readers under this code are concerned more about the</w:t>
      </w:r>
      <w:r w:rsidR="00185281">
        <w:t xml:space="preserve"> text’s</w:t>
      </w:r>
      <w:r w:rsidR="00CD5A58" w:rsidRPr="007E4711">
        <w:t xml:space="preserve"> international representation (literary and imagological), I have nuanced my analysis by collecting them under a separate, more appropriate code (“translation disapproval”) to reflect that distinction.</w:t>
      </w:r>
      <w:r w:rsidR="00CD5A58">
        <w:t xml:space="preserve"> </w:t>
      </w:r>
      <w:r w:rsidR="00CD5A58" w:rsidRPr="007E4711">
        <w:t>Finally, only one reader expresse</w:t>
      </w:r>
      <w:r w:rsidR="00185281">
        <w:t>d</w:t>
      </w:r>
      <w:r w:rsidR="00CD5A58" w:rsidRPr="007E4711">
        <w:t xml:space="preserve"> astonishment that the text </w:t>
      </w:r>
      <w:r w:rsidR="00185281">
        <w:t>was</w:t>
      </w:r>
      <w:r w:rsidR="00CD5A58" w:rsidRPr="007E4711">
        <w:t xml:space="preserve"> translated because the dialect and slang featured in the Arabic text cannot be </w:t>
      </w:r>
      <w:r w:rsidR="00CD5A58">
        <w:t>“</w:t>
      </w:r>
      <w:r w:rsidR="00CD5A58" w:rsidRPr="007E4711">
        <w:t>carried across</w:t>
      </w:r>
      <w:r w:rsidR="00CD5A58">
        <w:t>”</w:t>
      </w:r>
      <w:r w:rsidR="00CD5A58" w:rsidRPr="007E4711">
        <w:t xml:space="preserve"> without a degree of inexorable “loss” of </w:t>
      </w:r>
      <w:r w:rsidR="00CD5A58">
        <w:t>“</w:t>
      </w:r>
      <w:r w:rsidR="00CD5A58" w:rsidRPr="007E4711">
        <w:t>meaning</w:t>
      </w:r>
      <w:r w:rsidR="00CD5A58">
        <w:t>.”</w:t>
      </w:r>
      <w:r w:rsidR="00CD5A58" w:rsidRPr="007E4711">
        <w:t xml:space="preserve"> </w:t>
      </w:r>
    </w:p>
    <w:p w14:paraId="01A25B14" w14:textId="77777777" w:rsidR="00CD5A58" w:rsidRDefault="00CD5A58" w:rsidP="002B05AF">
      <w:pPr>
        <w:pStyle w:val="Heading2"/>
      </w:pPr>
      <w:r>
        <w:t>Conclusion</w:t>
      </w:r>
    </w:p>
    <w:p w14:paraId="4C8CCDBB" w14:textId="77777777" w:rsidR="00CD5A58" w:rsidRPr="00EF0422" w:rsidRDefault="00CD5A58" w:rsidP="00EF0422">
      <w:pPr>
        <w:pStyle w:val="Heading3"/>
      </w:pPr>
      <w:r>
        <w:t>Preunification and translation</w:t>
      </w:r>
    </w:p>
    <w:p w14:paraId="50BD5301" w14:textId="151482BB" w:rsidR="00CD5A58" w:rsidRDefault="00CD5A58" w:rsidP="00D920AA">
      <w:r w:rsidRPr="007E4711">
        <w:rPr>
          <w:shd w:val="clear" w:color="auto" w:fill="FFFFFF"/>
        </w:rPr>
        <w:t xml:space="preserve">In the grand scheme of things, what </w:t>
      </w:r>
      <w:r w:rsidRPr="000E5714">
        <w:rPr>
          <w:i/>
          <w:iCs/>
          <w:shd w:val="clear" w:color="auto" w:fill="FFFFFF"/>
        </w:rPr>
        <w:t>GOR</w:t>
      </w:r>
      <w:r w:rsidRPr="007E4711">
        <w:rPr>
          <w:shd w:val="clear" w:color="auto" w:fill="FFFFFF"/>
        </w:rPr>
        <w:t xml:space="preserve"> has undergone is not anomalous</w:t>
      </w:r>
      <w:r>
        <w:rPr>
          <w:shd w:val="clear" w:color="auto" w:fill="FFFFFF"/>
        </w:rPr>
        <w:t>. C</w:t>
      </w:r>
      <w:r w:rsidRPr="007E4711">
        <w:rPr>
          <w:shd w:val="clear" w:color="auto" w:fill="FFFFFF"/>
        </w:rPr>
        <w:t>lassicist Trevor J. Saunders describe</w:t>
      </w:r>
      <w:r w:rsidR="00BB730C">
        <w:rPr>
          <w:shd w:val="clear" w:color="auto" w:fill="FFFFFF"/>
        </w:rPr>
        <w:t>d</w:t>
      </w:r>
      <w:r w:rsidRPr="007E4711">
        <w:rPr>
          <w:shd w:val="clear" w:color="auto" w:fill="FFFFFF"/>
        </w:rPr>
        <w:t xml:space="preserve"> such normalization practices as “penguinification,” which, as Connor argue</w:t>
      </w:r>
      <w:r w:rsidR="00BB730C">
        <w:rPr>
          <w:shd w:val="clear" w:color="auto" w:fill="FFFFFF"/>
        </w:rPr>
        <w:t>d</w:t>
      </w:r>
      <w:r w:rsidRPr="007E4711">
        <w:rPr>
          <w:shd w:val="clear" w:color="auto" w:fill="FFFFFF"/>
        </w:rPr>
        <w:t xml:space="preserve"> quite ferociously, remains operative today </w:t>
      </w:r>
      <w:sdt>
        <w:sdtPr>
          <w:rPr>
            <w:color w:val="000000"/>
            <w:shd w:val="clear" w:color="auto" w:fill="FFFFFF"/>
          </w:rPr>
          <w:tag w:val="MENDELEY_CITATION_v3_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"/>
          <w:id w:val="-1254279106"/>
          <w:placeholder>
            <w:docPart w:val="D6620B7357529E44B47CF054CCB615B7"/>
          </w:placeholder>
        </w:sdtPr>
        <w:sdtEndPr>
          <w:rPr>
            <w:shd w:val="clear" w:color="auto" w:fill="auto"/>
          </w:rPr>
        </w:sdtEndPr>
        <w:sdtContent>
          <w:r w:rsidR="00720E5D" w:rsidRPr="00720E5D">
            <w:rPr>
              <w:color w:val="000000"/>
            </w:rPr>
            <w:t>(2014, 426–27)</w:t>
          </w:r>
        </w:sdtContent>
      </w:sdt>
      <w:r w:rsidRPr="007E4711">
        <w:rPr>
          <w:shd w:val="clear" w:color="auto" w:fill="FFFFFF"/>
        </w:rPr>
        <w:t>.</w:t>
      </w:r>
      <w:r w:rsidR="005D00A1">
        <w:rPr>
          <w:rStyle w:val="FootnoteReference"/>
          <w:shd w:val="clear" w:color="auto" w:fill="FFFFFF"/>
        </w:rPr>
        <w:footnoteReference w:id="95"/>
      </w:r>
      <w:r>
        <w:rPr>
          <w:shd w:val="clear" w:color="auto" w:fill="FFFFFF"/>
        </w:rPr>
        <w:t xml:space="preserve"> </w:t>
      </w:r>
      <w:r w:rsidRPr="007E4711">
        <w:rPr>
          <w:shd w:val="clear" w:color="auto" w:fill="FFFFFF"/>
        </w:rPr>
        <w:t xml:space="preserve">Connor </w:t>
      </w:r>
      <w:r w:rsidR="00BB730C">
        <w:rPr>
          <w:shd w:val="clear" w:color="auto" w:fill="FFFFFF"/>
        </w:rPr>
        <w:t>did</w:t>
      </w:r>
      <w:r w:rsidR="00BB730C" w:rsidRPr="007E4711">
        <w:rPr>
          <w:shd w:val="clear" w:color="auto" w:fill="FFFFFF"/>
        </w:rPr>
        <w:t xml:space="preserve"> </w:t>
      </w:r>
      <w:r w:rsidRPr="007E4711">
        <w:rPr>
          <w:shd w:val="clear" w:color="auto" w:fill="FFFFFF"/>
        </w:rPr>
        <w:t xml:space="preserve">not include Arabic literature in his discussion, and </w:t>
      </w:r>
      <w:r>
        <w:rPr>
          <w:shd w:val="clear" w:color="auto" w:fill="FFFFFF"/>
        </w:rPr>
        <w:t xml:space="preserve">this bespeaks </w:t>
      </w:r>
      <w:r w:rsidRPr="007E4711">
        <w:rPr>
          <w:shd w:val="clear" w:color="auto" w:fill="FFFFFF"/>
        </w:rPr>
        <w:t>an ongoing, across-the-board tendency by Penguin that involves translated literature from a wide range of languages, of which Arabic is only one.</w:t>
      </w:r>
      <w:r>
        <w:t xml:space="preserve"> </w:t>
      </w:r>
      <w:r w:rsidRPr="007E4711">
        <w:t xml:space="preserve">Having discussed the production of the English </w:t>
      </w:r>
      <w:r w:rsidRPr="000E5714">
        <w:rPr>
          <w:i/>
          <w:iCs/>
        </w:rPr>
        <w:t>GOR</w:t>
      </w:r>
      <w:r w:rsidRPr="007E4711">
        <w:t xml:space="preserve"> and then demonstrated that it is only a part of a holistic penguinification phenomenon, </w:t>
      </w:r>
      <w:r>
        <w:t xml:space="preserve">I can argue more confidently that </w:t>
      </w:r>
      <w:r w:rsidRPr="000E5714">
        <w:rPr>
          <w:i/>
          <w:iCs/>
        </w:rPr>
        <w:t>GOR</w:t>
      </w:r>
      <w:r w:rsidRPr="007E4711">
        <w:t xml:space="preserve"> has indeed been</w:t>
      </w:r>
      <w:r>
        <w:t xml:space="preserve"> </w:t>
      </w:r>
      <w:r w:rsidRPr="007E4711">
        <w:t>“engineered”</w:t>
      </w:r>
      <w:r w:rsidR="006E2E7F">
        <w:rPr>
          <w:rStyle w:val="FootnoteReference"/>
        </w:rPr>
        <w:footnoteReference w:id="96"/>
      </w:r>
      <w:r>
        <w:t xml:space="preserve"> </w:t>
      </w:r>
      <w:r w:rsidRPr="007E4711">
        <w:t>for an anglophone readership</w:t>
      </w:r>
      <w:r>
        <w:t xml:space="preserve"> by editing </w:t>
      </w:r>
      <w:r w:rsidRPr="007E4711">
        <w:t>“other people’s realities into the terms of the receiving culture</w:t>
      </w:r>
      <w:r w:rsidR="00F407CF">
        <w:t>,</w:t>
      </w:r>
      <w:r w:rsidR="009E7B53">
        <w:t>”</w:t>
      </w:r>
      <w:r w:rsidR="006E2E7F">
        <w:rPr>
          <w:rStyle w:val="FootnoteReference"/>
        </w:rPr>
        <w:footnoteReference w:id="97"/>
      </w:r>
      <w:r w:rsidR="00F407CF">
        <w:t xml:space="preserve"> a process that Edward Said once described as “Orientalizing the Oriental”</w:t>
      </w:r>
      <w:r w:rsidR="00F407CF">
        <w:rPr>
          <w:rStyle w:val="FootnoteReference"/>
        </w:rPr>
        <w:footnoteReference w:id="98"/>
      </w:r>
      <w:r w:rsidR="00AD12DC">
        <w:t xml:space="preserve"> through</w:t>
      </w:r>
      <w:r w:rsidR="002661D6">
        <w:t xml:space="preserve"> regulated</w:t>
      </w:r>
      <w:r w:rsidR="00AD12DC">
        <w:t xml:space="preserve"> textualization.</w:t>
      </w:r>
    </w:p>
    <w:p w14:paraId="0A262B07" w14:textId="2FE904F1" w:rsidR="00CD5A58" w:rsidRDefault="00CD5A58" w:rsidP="00D920AA">
      <w:r w:rsidRPr="00EF0422">
        <w:t xml:space="preserve">Marco Sonzogni </w:t>
      </w:r>
      <w:r>
        <w:t>maintain</w:t>
      </w:r>
      <w:r w:rsidR="00BB730C">
        <w:t>ed</w:t>
      </w:r>
      <w:r>
        <w:t xml:space="preserve"> that book covers reveal the cultural assumptions of their designers and readers</w:t>
      </w:r>
      <w:r>
        <w:rPr>
          <w:color w:val="000000"/>
        </w:rPr>
        <w:t>,</w:t>
      </w:r>
      <w:r w:rsidR="00187703">
        <w:rPr>
          <w:rStyle w:val="FootnoteReference"/>
          <w:color w:val="000000"/>
        </w:rPr>
        <w:footnoteReference w:id="99"/>
      </w:r>
      <w:r>
        <w:rPr>
          <w:color w:val="000000"/>
        </w:rPr>
        <w:t xml:space="preserve"> an argument that can be vindicated by the figure below</w:t>
      </w:r>
      <w:r>
        <w:t xml:space="preserve">. To further instantiate the power of the master discourse to homogenize the heterogeneous by harmonizing </w:t>
      </w:r>
      <w:r w:rsidRPr="00473C85">
        <w:rPr>
          <w:i/>
          <w:iCs/>
        </w:rPr>
        <w:t>GOR</w:t>
      </w:r>
      <w:r w:rsidRPr="001B06AC">
        <w:t xml:space="preserve"> </w:t>
      </w:r>
      <w:r>
        <w:t xml:space="preserve">in English with the preexisting mold, indexed by domes, nocturnal settings, minarets, </w:t>
      </w:r>
      <w:proofErr w:type="gramStart"/>
      <w:r>
        <w:t>crescents</w:t>
      </w:r>
      <w:proofErr w:type="gramEnd"/>
      <w:r>
        <w:t xml:space="preserve"> and stars, and so 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760"/>
      </w:tblGrid>
      <w:tr w:rsidR="00CD5A58" w:rsidRPr="007E4711" w14:paraId="3F9C99F5" w14:textId="77777777" w:rsidTr="007078F1">
        <w:trPr>
          <w:trHeight w:hRule="exact" w:val="5760"/>
          <w:jc w:val="center"/>
        </w:trPr>
        <w:tc>
          <w:tcPr>
            <w:tcW w:w="4590" w:type="dxa"/>
          </w:tcPr>
          <w:p w14:paraId="754D60F7" w14:textId="77777777" w:rsidR="00CD5A58" w:rsidRPr="007E4711" w:rsidRDefault="00CD5A58" w:rsidP="007078F1">
            <w:pPr>
              <w:ind w:firstLine="0"/>
              <w:jc w:val="center"/>
            </w:pPr>
            <w:r w:rsidRPr="007E4711">
              <w:rPr>
                <w:noProof/>
              </w:rPr>
              <w:lastRenderedPageBreak/>
              <w:drawing>
                <wp:inline distT="0" distB="0" distL="0" distR="0" wp14:anchorId="6CC528AE" wp14:editId="62B67B7E">
                  <wp:extent cx="2899410" cy="3598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712" cy="3606808"/>
                          </a:xfrm>
                          <a:prstGeom prst="rect">
                            <a:avLst/>
                          </a:prstGeom>
                        </pic:spPr>
                      </pic:pic>
                    </a:graphicData>
                  </a:graphic>
                </wp:inline>
              </w:drawing>
            </w:r>
          </w:p>
        </w:tc>
        <w:tc>
          <w:tcPr>
            <w:tcW w:w="4760" w:type="dxa"/>
          </w:tcPr>
          <w:p w14:paraId="348DD120" w14:textId="77777777" w:rsidR="00CD5A58" w:rsidRPr="007E4711" w:rsidRDefault="00CD5A58" w:rsidP="007078F1">
            <w:pPr>
              <w:ind w:firstLine="0"/>
              <w:jc w:val="center"/>
            </w:pPr>
            <w:r w:rsidRPr="002670E2">
              <w:rPr>
                <w:noProof/>
              </w:rPr>
              <w:drawing>
                <wp:inline distT="0" distB="0" distL="0" distR="0" wp14:anchorId="0DAC7A5A" wp14:editId="2CDE7F8D">
                  <wp:extent cx="2897445" cy="3598545"/>
                  <wp:effectExtent l="0" t="0" r="0" b="0"/>
                  <wp:docPr id="44" name="Picture 5" descr="A picture containing text&#10;&#10;Description automatically generated">
                    <a:extLst xmlns:a="http://schemas.openxmlformats.org/drawingml/2006/main">
                      <a:ext uri="{FF2B5EF4-FFF2-40B4-BE49-F238E27FC236}">
                        <a16:creationId xmlns:a16="http://schemas.microsoft.com/office/drawing/2014/main" id="{21877B7D-0B59-FC49-A167-C26F400D8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Description automatically generated">
                            <a:extLst>
                              <a:ext uri="{FF2B5EF4-FFF2-40B4-BE49-F238E27FC236}">
                                <a16:creationId xmlns:a16="http://schemas.microsoft.com/office/drawing/2014/main" id="{21877B7D-0B59-FC49-A167-C26F400D8CEE}"/>
                              </a:ext>
                            </a:extLst>
                          </pic:cNvPr>
                          <pic:cNvPicPr>
                            <a:picLocks noChangeAspect="1"/>
                          </pic:cNvPicPr>
                        </pic:nvPicPr>
                        <pic:blipFill rotWithShape="1">
                          <a:blip r:embed="rId12"/>
                          <a:srcRect l="1030" r="9227" b="1"/>
                          <a:stretch/>
                        </pic:blipFill>
                        <pic:spPr>
                          <a:xfrm>
                            <a:off x="0" y="0"/>
                            <a:ext cx="2911795" cy="3616367"/>
                          </a:xfrm>
                          <a:prstGeom prst="rect">
                            <a:avLst/>
                          </a:prstGeom>
                        </pic:spPr>
                      </pic:pic>
                    </a:graphicData>
                  </a:graphic>
                </wp:inline>
              </w:drawing>
            </w:r>
          </w:p>
        </w:tc>
      </w:tr>
      <w:tr w:rsidR="00CD5A58" w:rsidRPr="007E4711" w14:paraId="7C8D6446" w14:textId="77777777" w:rsidTr="007078F1">
        <w:trPr>
          <w:trHeight w:hRule="exact" w:val="5221"/>
          <w:jc w:val="center"/>
        </w:trPr>
        <w:tc>
          <w:tcPr>
            <w:tcW w:w="4590" w:type="dxa"/>
          </w:tcPr>
          <w:p w14:paraId="75CB23F7" w14:textId="77777777" w:rsidR="00CD5A58" w:rsidRPr="007E4711" w:rsidRDefault="00CD5A58" w:rsidP="007078F1">
            <w:pPr>
              <w:ind w:firstLine="0"/>
              <w:jc w:val="center"/>
            </w:pPr>
            <w:r w:rsidRPr="007E4711">
              <w:rPr>
                <w:noProof/>
              </w:rPr>
              <w:drawing>
                <wp:inline distT="0" distB="0" distL="0" distR="0" wp14:anchorId="6ED0082E" wp14:editId="3DD6C33F">
                  <wp:extent cx="2895600"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a:extLst>
                              <a:ext uri="{28A0092B-C50C-407E-A947-70E740481C1C}">
                                <a14:useLocalDpi xmlns:a14="http://schemas.microsoft.com/office/drawing/2010/main" val="0"/>
                              </a:ext>
                            </a:extLst>
                          </a:blip>
                          <a:stretch>
                            <a:fillRect/>
                          </a:stretch>
                        </pic:blipFill>
                        <pic:spPr>
                          <a:xfrm>
                            <a:off x="0" y="0"/>
                            <a:ext cx="2941004" cy="3250583"/>
                          </a:xfrm>
                          <a:prstGeom prst="rect">
                            <a:avLst/>
                          </a:prstGeom>
                        </pic:spPr>
                      </pic:pic>
                    </a:graphicData>
                  </a:graphic>
                </wp:inline>
              </w:drawing>
            </w:r>
          </w:p>
        </w:tc>
        <w:tc>
          <w:tcPr>
            <w:tcW w:w="4760" w:type="dxa"/>
          </w:tcPr>
          <w:p w14:paraId="0D2FC461" w14:textId="77777777" w:rsidR="00CD5A58" w:rsidRPr="007E4711" w:rsidRDefault="00CD5A58" w:rsidP="007078F1">
            <w:pPr>
              <w:keepNext/>
              <w:ind w:firstLine="0"/>
              <w:jc w:val="center"/>
            </w:pPr>
            <w:r>
              <w:rPr>
                <w:noProof/>
              </w:rPr>
              <w:drawing>
                <wp:inline distT="0" distB="0" distL="0" distR="0" wp14:anchorId="730D2F82" wp14:editId="5BE49672">
                  <wp:extent cx="2893060" cy="3200400"/>
                  <wp:effectExtent l="0" t="0" r="2540" b="0"/>
                  <wp:docPr id="46" name="Picture 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3060" cy="3200400"/>
                          </a:xfrm>
                          <a:prstGeom prst="rect">
                            <a:avLst/>
                          </a:prstGeom>
                        </pic:spPr>
                      </pic:pic>
                    </a:graphicData>
                  </a:graphic>
                </wp:inline>
              </w:drawing>
            </w:r>
          </w:p>
        </w:tc>
      </w:tr>
    </w:tbl>
    <w:p w14:paraId="574CC39F" w14:textId="77777777" w:rsidR="00CD5A58" w:rsidRPr="002670E2" w:rsidRDefault="00CD5A58" w:rsidP="00B300DD">
      <w:pPr>
        <w:pStyle w:val="Caption"/>
        <w:rPr>
          <w:b/>
          <w:iCs/>
          <w:shd w:val="clear" w:color="auto" w:fill="FFFFFF"/>
        </w:rPr>
      </w:pPr>
      <w:bookmarkStart w:id="10" w:name="_Toc58663307"/>
      <w:r w:rsidRPr="002670E2">
        <w:t xml:space="preserve">Figure </w:t>
      </w:r>
      <w:r>
        <w:fldChar w:fldCharType="begin"/>
      </w:r>
      <w:r>
        <w:instrText xml:space="preserve"> SEQ Figure \* ARABIC </w:instrText>
      </w:r>
      <w:r>
        <w:fldChar w:fldCharType="separate"/>
      </w:r>
      <w:r>
        <w:rPr>
          <w:b/>
          <w:iCs/>
          <w:noProof/>
        </w:rPr>
        <w:t>2</w:t>
      </w:r>
      <w:r>
        <w:rPr>
          <w:b/>
          <w:iCs/>
          <w:noProof/>
        </w:rPr>
        <w:fldChar w:fldCharType="end"/>
      </w:r>
      <w:r w:rsidRPr="002670E2">
        <w:t xml:space="preserve"> Homogenizing the Heterogeneous</w:t>
      </w:r>
      <w:r>
        <w:t xml:space="preserve"> (“</w:t>
      </w:r>
      <w:r w:rsidRPr="00B300DD">
        <w:t>penguinification</w:t>
      </w:r>
      <w:r>
        <w:t>”)</w:t>
      </w:r>
      <w:bookmarkEnd w:id="10"/>
    </w:p>
    <w:p w14:paraId="36F97DB5" w14:textId="213E8BA7" w:rsidR="00CD5A58" w:rsidRDefault="00CD5A58" w:rsidP="001C6E47">
      <w:pPr>
        <w:ind w:firstLine="0"/>
      </w:pPr>
      <w:r>
        <w:lastRenderedPageBreak/>
        <w:t xml:space="preserve">Because </w:t>
      </w:r>
      <w:r w:rsidRPr="00473C85">
        <w:rPr>
          <w:i/>
          <w:iCs/>
        </w:rPr>
        <w:t>GOR</w:t>
      </w:r>
      <w:r>
        <w:t xml:space="preserve"> has been translated into innumerous languages, the figure below may lend further credence to </w:t>
      </w:r>
      <w:r w:rsidRPr="00EF0422">
        <w:t>Sonzogni</w:t>
      </w:r>
      <w:r>
        <w:t>’s postulation;</w:t>
      </w:r>
      <w:r w:rsidR="006632AB">
        <w:rPr>
          <w:rStyle w:val="FootnoteReference"/>
        </w:rPr>
        <w:footnoteReference w:id="100"/>
      </w:r>
      <w:r>
        <w:t xml:space="preserve"> therefore, I call for a multilingual collaboration to investigate </w:t>
      </w:r>
      <w:r w:rsidRPr="00473C85">
        <w:rPr>
          <w:i/>
          <w:iCs/>
        </w:rPr>
        <w:t>GOR</w:t>
      </w:r>
      <w:r>
        <w:t xml:space="preserve"> in translation (and for a similar endeavor for works from other languages </w:t>
      </w:r>
      <w:r w:rsidR="00BB730C">
        <w:t xml:space="preserve">that </w:t>
      </w:r>
      <w:r>
        <w:t>ha</w:t>
      </w:r>
      <w:r w:rsidR="00BB730C">
        <w:t>ve</w:t>
      </w:r>
      <w:r>
        <w:t xml:space="preserve"> undergone similar treatment). The figure below hints at the transformations that have transpired in translation as </w:t>
      </w:r>
      <w:r w:rsidRPr="00473C85">
        <w:rPr>
          <w:i/>
          <w:iCs/>
        </w:rPr>
        <w:t>GOR</w:t>
      </w:r>
      <w:r>
        <w:t xml:space="preserve"> continues to acquire an “afterlife”</w:t>
      </w:r>
      <w:r w:rsidR="006632AB">
        <w:rPr>
          <w:rStyle w:val="FootnoteReference"/>
        </w:rPr>
        <w:footnoteReference w:id="101"/>
      </w:r>
      <w:r>
        <w:t xml:space="preserve"> beyond its origins: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3117"/>
        <w:gridCol w:w="3117"/>
      </w:tblGrid>
      <w:tr w:rsidR="00CD5A58" w14:paraId="54D6207A" w14:textId="77777777" w:rsidTr="00F60BD2">
        <w:trPr>
          <w:trHeight w:hRule="exact" w:val="2268"/>
        </w:trPr>
        <w:tc>
          <w:tcPr>
            <w:tcW w:w="3116" w:type="dxa"/>
            <w:vAlign w:val="center"/>
          </w:tcPr>
          <w:p w14:paraId="1C586585" w14:textId="77777777" w:rsidR="00CD5A58" w:rsidRDefault="00CD5A58" w:rsidP="00F60BD2">
            <w:pPr>
              <w:ind w:firstLine="0"/>
              <w:jc w:val="center"/>
            </w:pPr>
            <w:r>
              <w:rPr>
                <w:noProof/>
              </w:rPr>
              <w:drawing>
                <wp:inline distT="0" distB="0" distL="0" distR="0" wp14:anchorId="6B6C75F1" wp14:editId="3AF59949">
                  <wp:extent cx="1920824" cy="1436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3690" cy="1475903"/>
                          </a:xfrm>
                          <a:prstGeom prst="rect">
                            <a:avLst/>
                          </a:prstGeom>
                        </pic:spPr>
                      </pic:pic>
                    </a:graphicData>
                  </a:graphic>
                </wp:inline>
              </w:drawing>
            </w:r>
          </w:p>
        </w:tc>
        <w:tc>
          <w:tcPr>
            <w:tcW w:w="3117" w:type="dxa"/>
            <w:vAlign w:val="center"/>
          </w:tcPr>
          <w:p w14:paraId="063B4DDA" w14:textId="77777777" w:rsidR="00CD5A58" w:rsidRDefault="00CD5A58" w:rsidP="00F60BD2">
            <w:pPr>
              <w:ind w:firstLine="0"/>
              <w:jc w:val="center"/>
            </w:pPr>
            <w:r>
              <w:rPr>
                <w:noProof/>
              </w:rPr>
              <w:drawing>
                <wp:inline distT="0" distB="0" distL="0" distR="0" wp14:anchorId="7B064D5F" wp14:editId="3BD33D22">
                  <wp:extent cx="1892840" cy="1436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7116" cy="1469968"/>
                          </a:xfrm>
                          <a:prstGeom prst="rect">
                            <a:avLst/>
                          </a:prstGeom>
                        </pic:spPr>
                      </pic:pic>
                    </a:graphicData>
                  </a:graphic>
                </wp:inline>
              </w:drawing>
            </w:r>
          </w:p>
        </w:tc>
        <w:tc>
          <w:tcPr>
            <w:tcW w:w="3117" w:type="dxa"/>
            <w:vAlign w:val="center"/>
          </w:tcPr>
          <w:p w14:paraId="2C264FF4" w14:textId="77777777" w:rsidR="00CD5A58" w:rsidRDefault="00CD5A58" w:rsidP="00F60BD2">
            <w:pPr>
              <w:ind w:firstLine="0"/>
              <w:jc w:val="center"/>
            </w:pPr>
            <w:r>
              <w:rPr>
                <w:noProof/>
              </w:rPr>
              <w:drawing>
                <wp:inline distT="0" distB="0" distL="0" distR="0" wp14:anchorId="31DD1280" wp14:editId="4EE80F22">
                  <wp:extent cx="1855242" cy="14369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4080" cy="1466994"/>
                          </a:xfrm>
                          <a:prstGeom prst="rect">
                            <a:avLst/>
                          </a:prstGeom>
                        </pic:spPr>
                      </pic:pic>
                    </a:graphicData>
                  </a:graphic>
                </wp:inline>
              </w:drawing>
            </w:r>
          </w:p>
        </w:tc>
      </w:tr>
      <w:tr w:rsidR="00CD5A58" w14:paraId="070083E1" w14:textId="77777777" w:rsidTr="00F60BD2">
        <w:trPr>
          <w:trHeight w:hRule="exact" w:val="2268"/>
        </w:trPr>
        <w:tc>
          <w:tcPr>
            <w:tcW w:w="3116" w:type="dxa"/>
            <w:vAlign w:val="center"/>
          </w:tcPr>
          <w:p w14:paraId="35A8C42F" w14:textId="77777777" w:rsidR="00CD5A58" w:rsidRDefault="00CD5A58" w:rsidP="00F60BD2">
            <w:pPr>
              <w:ind w:firstLine="0"/>
              <w:jc w:val="center"/>
            </w:pPr>
            <w:r>
              <w:rPr>
                <w:noProof/>
              </w:rPr>
              <w:drawing>
                <wp:inline distT="0" distB="0" distL="0" distR="0" wp14:anchorId="00291809" wp14:editId="438BB409">
                  <wp:extent cx="1922107" cy="1440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281" cy="1465037"/>
                          </a:xfrm>
                          <a:prstGeom prst="rect">
                            <a:avLst/>
                          </a:prstGeom>
                        </pic:spPr>
                      </pic:pic>
                    </a:graphicData>
                  </a:graphic>
                </wp:inline>
              </w:drawing>
            </w:r>
          </w:p>
        </w:tc>
        <w:tc>
          <w:tcPr>
            <w:tcW w:w="3117" w:type="dxa"/>
            <w:vAlign w:val="center"/>
          </w:tcPr>
          <w:p w14:paraId="267B0D14" w14:textId="77777777" w:rsidR="00CD5A58" w:rsidRDefault="00CD5A58" w:rsidP="00F60BD2">
            <w:pPr>
              <w:ind w:firstLine="0"/>
              <w:jc w:val="center"/>
            </w:pPr>
            <w:r>
              <w:rPr>
                <w:noProof/>
              </w:rPr>
              <w:drawing>
                <wp:inline distT="0" distB="0" distL="0" distR="0" wp14:anchorId="6186A1E6" wp14:editId="04FDDA9C">
                  <wp:extent cx="1893570" cy="1439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028" cy="1491818"/>
                          </a:xfrm>
                          <a:prstGeom prst="rect">
                            <a:avLst/>
                          </a:prstGeom>
                        </pic:spPr>
                      </pic:pic>
                    </a:graphicData>
                  </a:graphic>
                </wp:inline>
              </w:drawing>
            </w:r>
          </w:p>
        </w:tc>
        <w:tc>
          <w:tcPr>
            <w:tcW w:w="3117" w:type="dxa"/>
            <w:vAlign w:val="center"/>
          </w:tcPr>
          <w:p w14:paraId="59B16F1D" w14:textId="77777777" w:rsidR="00CD5A58" w:rsidRDefault="00CD5A58" w:rsidP="00D67C13">
            <w:pPr>
              <w:keepNext/>
              <w:ind w:firstLine="0"/>
              <w:jc w:val="center"/>
            </w:pPr>
            <w:r>
              <w:rPr>
                <w:noProof/>
              </w:rPr>
              <w:drawing>
                <wp:inline distT="0" distB="0" distL="0" distR="0" wp14:anchorId="19B85549" wp14:editId="4FAC975A">
                  <wp:extent cx="1854835" cy="1438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1948556" cy="1511615"/>
                          </a:xfrm>
                          <a:prstGeom prst="rect">
                            <a:avLst/>
                          </a:prstGeom>
                        </pic:spPr>
                      </pic:pic>
                    </a:graphicData>
                  </a:graphic>
                </wp:inline>
              </w:drawing>
            </w:r>
          </w:p>
        </w:tc>
      </w:tr>
    </w:tbl>
    <w:p w14:paraId="39D00822" w14:textId="77777777" w:rsidR="00CD5A58" w:rsidRDefault="00CD5A58" w:rsidP="00B300DD">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Packaging GOR in </w:t>
      </w:r>
      <w:r w:rsidRPr="00B300DD">
        <w:t>Global</w:t>
      </w:r>
      <w:r>
        <w:t xml:space="preserve"> Contexts</w:t>
      </w:r>
    </w:p>
    <w:p w14:paraId="7CD4DF6F" w14:textId="5BC41734" w:rsidR="00CD5A58" w:rsidRDefault="00CD5A58" w:rsidP="0058189C">
      <w:r>
        <w:t xml:space="preserve">What makes the need for a multilingual effort more pressing is the fact </w:t>
      </w:r>
      <w:r w:rsidR="00075DD5">
        <w:t xml:space="preserve">that </w:t>
      </w:r>
      <w:r>
        <w:t xml:space="preserve">Penguin’s version seems to have acquired some authoritativeness through serving as intermediary text. By virtue of being the most translated language, English enjoys the </w:t>
      </w:r>
      <w:r>
        <w:lastRenderedPageBreak/>
        <w:t>most central position in the translation system</w:t>
      </w:r>
      <w:r>
        <w:rPr>
          <w:color w:val="000000"/>
        </w:rPr>
        <w:t>.</w:t>
      </w:r>
      <w:r w:rsidR="008F6401">
        <w:rPr>
          <w:rStyle w:val="FootnoteReference"/>
          <w:color w:val="000000"/>
        </w:rPr>
        <w:footnoteReference w:id="102"/>
      </w:r>
      <w:r>
        <w:rPr>
          <w:color w:val="000000"/>
        </w:rPr>
        <w:t xml:space="preserve"> Thus, </w:t>
      </w:r>
      <w:r>
        <w:t>translator Edith Grossman</w:t>
      </w:r>
      <w:r w:rsidR="008E0D5A">
        <w:rPr>
          <w:rStyle w:val="FootnoteReference"/>
        </w:rPr>
        <w:footnoteReference w:id="103"/>
      </w:r>
      <w:r>
        <w:t xml:space="preserve"> views translating into English positively for its potentiality to serve as a relay language, thereby instigating translations of a given text into other languages. But Grossman’s endorsement should be approached with great caution, for she seems to endow translating into English</w:t>
      </w:r>
      <w:r w:rsidR="00F407CF">
        <w:t>—</w:t>
      </w:r>
      <w:r>
        <w:t xml:space="preserve">a language on which there </w:t>
      </w:r>
      <w:r w:rsidR="00075DD5">
        <w:t xml:space="preserve">is </w:t>
      </w:r>
      <w:r>
        <w:t xml:space="preserve">an enormous body of literature documenting its exploitation as a tool for appropriating other cultures—with essential utility. </w:t>
      </w:r>
      <w:r w:rsidRPr="00473C85">
        <w:rPr>
          <w:i/>
          <w:iCs/>
        </w:rPr>
        <w:t>GOR</w:t>
      </w:r>
      <w:r>
        <w:t xml:space="preserve">, to drive </w:t>
      </w:r>
      <w:r w:rsidR="00F407CF">
        <w:t>the</w:t>
      </w:r>
      <w:r>
        <w:t xml:space="preserve"> point home</w:t>
      </w:r>
      <w:r w:rsidR="00F407CF">
        <w:t xml:space="preserve"> by way of an example</w:t>
      </w:r>
      <w:r>
        <w:t>, has been translated into one of the Indian languages</w:t>
      </w:r>
      <w:r w:rsidR="00075DD5">
        <w:t>,</w:t>
      </w:r>
      <w:r>
        <w:rPr>
          <w:rStyle w:val="FootnoteReference"/>
        </w:rPr>
        <w:footnoteReference w:id="104"/>
      </w:r>
      <w:r>
        <w:t xml:space="preserve"> not from the Arabic source, but from the (“penguinified”) English text. This is</w:t>
      </w:r>
      <w:r w:rsidR="00F407CF">
        <w:t xml:space="preserve"> also</w:t>
      </w:r>
      <w:r>
        <w:t xml:space="preserve"> not to invoke relay translation as </w:t>
      </w:r>
      <w:r w:rsidR="00075DD5">
        <w:t xml:space="preserve">an </w:t>
      </w:r>
      <w:r>
        <w:t>ominous specter—</w:t>
      </w:r>
      <w:r w:rsidRPr="00D53F20">
        <w:rPr>
          <w:color w:val="000000"/>
        </w:rPr>
        <w:t>Heekyoung Cho</w:t>
      </w:r>
      <w:r>
        <w:rPr>
          <w:color w:val="000000"/>
        </w:rPr>
        <w:t>’s work</w:t>
      </w:r>
      <w:r w:rsidR="00974A6F">
        <w:rPr>
          <w:rStyle w:val="FootnoteReference"/>
          <w:color w:val="000000"/>
        </w:rPr>
        <w:footnoteReference w:id="105"/>
      </w:r>
      <w:r>
        <w:rPr>
          <w:color w:val="000000"/>
        </w:rPr>
        <w:t xml:space="preserve"> is a prime example of </w:t>
      </w:r>
      <w:r w:rsidR="00075DD5">
        <w:rPr>
          <w:color w:val="000000"/>
        </w:rPr>
        <w:t xml:space="preserve">how </w:t>
      </w:r>
      <w:r>
        <w:rPr>
          <w:color w:val="000000"/>
        </w:rPr>
        <w:t>productive it can be—but to invite healthy skepticism by considering the broader context that shapes translations. Akin to a boomerang, exported images can be imported back into their context of origin.</w:t>
      </w:r>
      <w:r>
        <w:t xml:space="preserve"> English </w:t>
      </w:r>
      <w:r w:rsidRPr="00473C85">
        <w:rPr>
          <w:i/>
          <w:iCs/>
        </w:rPr>
        <w:t>GOR</w:t>
      </w:r>
      <w:r>
        <w:t xml:space="preserve"> is now on sale at major bookstores in Saudi Arabia—Jarir Bookstore, to mention but one example</w:t>
      </w:r>
      <w:r>
        <w:rPr>
          <w:rStyle w:val="FootnoteReference"/>
        </w:rPr>
        <w:footnoteReference w:id="106"/>
      </w:r>
      <w:r>
        <w:t>—</w:t>
      </w:r>
      <w:r w:rsidR="00075DD5">
        <w:t xml:space="preserve">whereas </w:t>
      </w:r>
      <w:r>
        <w:t xml:space="preserve">the Arabic original no longer is. </w:t>
      </w:r>
      <w:r w:rsidR="00BC504C">
        <w:t xml:space="preserve">But it </w:t>
      </w:r>
      <w:r w:rsidR="00075DD5">
        <w:t>must</w:t>
      </w:r>
      <w:r w:rsidR="00BC504C">
        <w:t xml:space="preserve"> be stressed that </w:t>
      </w:r>
      <w:r>
        <w:t xml:space="preserve">the whole penguinification phenomenon is not purely reductive or essentially </w:t>
      </w:r>
      <w:r w:rsidR="00E069A1">
        <w:t>gloom</w:t>
      </w:r>
      <w:r w:rsidR="00075DD5">
        <w:t>-</w:t>
      </w:r>
      <w:r w:rsidR="00E069A1">
        <w:t>ridden</w:t>
      </w:r>
      <w:r w:rsidR="00BC504C">
        <w:t>,</w:t>
      </w:r>
      <w:r w:rsidR="00E069A1">
        <w:t xml:space="preserve"> as it might seem at first glance</w:t>
      </w:r>
      <w:r>
        <w:t xml:space="preserve">; it can be channeled productively to unleash the discursive potential of translation. </w:t>
      </w:r>
    </w:p>
    <w:p w14:paraId="0D8C926C" w14:textId="33DE74C5" w:rsidR="00CD5A58" w:rsidRDefault="00CD5A58" w:rsidP="00E1616A">
      <w:r w:rsidRPr="007E4711">
        <w:lastRenderedPageBreak/>
        <w:t xml:space="preserve">Contemplating a course of action that would lift the mantle of “invisibility” that continues to shroud the production of </w:t>
      </w:r>
      <w:r w:rsidRPr="000E5714">
        <w:rPr>
          <w:i/>
          <w:iCs/>
        </w:rPr>
        <w:t>GOR</w:t>
      </w:r>
      <w:r w:rsidRPr="007E4711">
        <w:t xml:space="preserve"> in its English translation</w:t>
      </w:r>
      <w:r>
        <w:t>,</w:t>
      </w:r>
      <w:r w:rsidRPr="007E4711">
        <w:t xml:space="preserve"> Booth </w:t>
      </w:r>
      <w:r w:rsidR="00075DD5">
        <w:t>wrote</w:t>
      </w:r>
      <w:r w:rsidRPr="007E4711">
        <w:t>: “I’m already thinking about how one could shake up the text in translation by, for instance, using Arabic script somehow side-by-side with English for the phrases originally in English</w:t>
      </w:r>
      <w:r w:rsidR="00385577">
        <w:t>.</w:t>
      </w:r>
      <w:r w:rsidRPr="007E4711">
        <w:t>”</w:t>
      </w:r>
      <w:r w:rsidR="00385577">
        <w:rPr>
          <w:rStyle w:val="FootnoteReference"/>
        </w:rPr>
        <w:footnoteReference w:id="107"/>
      </w:r>
      <w:r>
        <w:t xml:space="preserve"> </w:t>
      </w:r>
      <w:r w:rsidRPr="007E4711">
        <w:t xml:space="preserve">By having the translated text published adjacent to its source in </w:t>
      </w:r>
      <w:r w:rsidR="00F407CF">
        <w:t xml:space="preserve">a </w:t>
      </w:r>
      <w:r w:rsidRPr="007E4711">
        <w:t xml:space="preserve">parallel fashion, Penguin’s </w:t>
      </w:r>
      <w:r>
        <w:t xml:space="preserve">cultural appropriations can be </w:t>
      </w:r>
      <w:r w:rsidRPr="007E4711">
        <w:t>push</w:t>
      </w:r>
      <w:r>
        <w:t>ed</w:t>
      </w:r>
      <w:r w:rsidRPr="007E4711">
        <w:t xml:space="preserve"> into</w:t>
      </w:r>
      <w:r>
        <w:t xml:space="preserve"> </w:t>
      </w:r>
      <w:r w:rsidRPr="007E4711">
        <w:t>public view</w:t>
      </w:r>
      <w:r>
        <w:t>. But without a sufficient command of Arabic,</w:t>
      </w:r>
      <w:r w:rsidRPr="007E4711">
        <w:t xml:space="preserve"> </w:t>
      </w:r>
      <w:r>
        <w:t>a parallel reading</w:t>
      </w:r>
      <w:r w:rsidRPr="007E4711">
        <w:t xml:space="preserve"> is essentially out of reach.</w:t>
      </w:r>
      <w:r>
        <w:t xml:space="preserve"> </w:t>
      </w:r>
      <w:r w:rsidR="00F407CF">
        <w:t>Moreover</w:t>
      </w:r>
      <w:r w:rsidRPr="007E4711">
        <w:t xml:space="preserve">, publishing the text in a parallel edition would necessarily expose Penguin’s editorial interventions (in case Booth was advocating for that format to be published through Penguin), and this is nothing short of a self-destructive act for the publisher. </w:t>
      </w:r>
      <w:r>
        <w:t>An alternative is proposed below.</w:t>
      </w:r>
    </w:p>
    <w:p w14:paraId="64D9FEB1" w14:textId="06E5FEDD" w:rsidR="00CD5A58" w:rsidRDefault="00CD5A58" w:rsidP="00DF74AF">
      <w:pPr>
        <w:pStyle w:val="Heading3"/>
      </w:pPr>
      <w:r>
        <w:t xml:space="preserve">The </w:t>
      </w:r>
      <w:r w:rsidR="00B97F31">
        <w:t>Reader’s Turn</w:t>
      </w:r>
      <w:r>
        <w:t xml:space="preserve">: Towards the </w:t>
      </w:r>
      <w:r w:rsidR="00B97F31">
        <w:t xml:space="preserve">Promotion </w:t>
      </w:r>
      <w:r>
        <w:t xml:space="preserve">of (Virtual) Translation </w:t>
      </w:r>
      <w:r w:rsidR="00B97F31">
        <w:t>Literacy</w:t>
      </w:r>
    </w:p>
    <w:p w14:paraId="1A0CB4C1" w14:textId="277775B2" w:rsidR="00CD5A58" w:rsidRDefault="00CD5A58" w:rsidP="00481D0B">
      <w:pPr>
        <w:rPr>
          <w:rtl/>
        </w:rPr>
      </w:pPr>
      <w:r w:rsidRPr="007E4711">
        <w:t xml:space="preserve">Having carefully combed through the data over the multiple stages of this research project, starting with the data collection and through the actual analysis and discussion of results, </w:t>
      </w:r>
      <w:r>
        <w:t>I’ve observed the following features</w:t>
      </w:r>
      <w:r w:rsidR="00E33C38">
        <w:t xml:space="preserve"> in the reader responses</w:t>
      </w:r>
      <w:r>
        <w:rPr>
          <w:rFonts w:hint="cs"/>
          <w:rtl/>
        </w:rPr>
        <w:t>:</w:t>
      </w:r>
    </w:p>
    <w:p w14:paraId="747F0B87" w14:textId="77777777" w:rsidR="00CD5A58" w:rsidRPr="007E4711" w:rsidRDefault="00CD5A58" w:rsidP="00EC26C9">
      <w:pPr>
        <w:pStyle w:val="ListParagraph"/>
        <w:numPr>
          <w:ilvl w:val="0"/>
          <w:numId w:val="24"/>
        </w:numPr>
      </w:pPr>
      <w:r w:rsidRPr="007E4711">
        <w:t xml:space="preserve">(mostly) uncritical acceptance of </w:t>
      </w:r>
      <w:r>
        <w:t xml:space="preserve">the English </w:t>
      </w:r>
      <w:r w:rsidRPr="00473C85">
        <w:rPr>
          <w:i/>
          <w:iCs/>
        </w:rPr>
        <w:t>GOR</w:t>
      </w:r>
      <w:r>
        <w:t xml:space="preserve"> </w:t>
      </w:r>
      <w:r w:rsidRPr="007E4711">
        <w:t xml:space="preserve">as complete and accurate depictions of the source </w:t>
      </w:r>
      <w:proofErr w:type="gramStart"/>
      <w:r w:rsidRPr="007E4711">
        <w:t>culture;</w:t>
      </w:r>
      <w:proofErr w:type="gramEnd"/>
    </w:p>
    <w:p w14:paraId="48EA3BD2" w14:textId="77777777" w:rsidR="00CD5A58" w:rsidRPr="007E4711" w:rsidRDefault="00CD5A58" w:rsidP="00EC26C9">
      <w:pPr>
        <w:pStyle w:val="ListParagraph"/>
        <w:numPr>
          <w:ilvl w:val="0"/>
          <w:numId w:val="24"/>
        </w:numPr>
      </w:pPr>
      <w:r>
        <w:t xml:space="preserve">no sign of awareness about the controversies surrounding the production of </w:t>
      </w:r>
      <w:r w:rsidRPr="00473C85">
        <w:rPr>
          <w:i/>
          <w:iCs/>
        </w:rPr>
        <w:t>GOR</w:t>
      </w:r>
      <w:r>
        <w:t xml:space="preserve"> in </w:t>
      </w:r>
      <w:proofErr w:type="gramStart"/>
      <w:r>
        <w:t>English;</w:t>
      </w:r>
      <w:proofErr w:type="gramEnd"/>
      <w:r w:rsidRPr="007E4711">
        <w:t xml:space="preserve"> </w:t>
      </w:r>
    </w:p>
    <w:p w14:paraId="5D05B1D7" w14:textId="77777777" w:rsidR="00CD5A58" w:rsidRPr="007E4711" w:rsidRDefault="00CD5A58" w:rsidP="00EC26C9">
      <w:pPr>
        <w:pStyle w:val="ListParagraph"/>
        <w:numPr>
          <w:ilvl w:val="0"/>
          <w:numId w:val="24"/>
        </w:numPr>
      </w:pPr>
      <w:r w:rsidRPr="007E4711">
        <w:lastRenderedPageBreak/>
        <w:t xml:space="preserve">willingness to initiate and engage in dialogue about translated literature, as confirmed by the very act of posting reviews, </w:t>
      </w:r>
      <w:r>
        <w:t xml:space="preserve">through which some readers of </w:t>
      </w:r>
      <w:r w:rsidRPr="00473C85">
        <w:rPr>
          <w:i/>
          <w:iCs/>
        </w:rPr>
        <w:t>GOR</w:t>
      </w:r>
      <w:r w:rsidRPr="007E4711">
        <w:t xml:space="preserve"> pose direct questions about the source text because they view the translated text with some </w:t>
      </w:r>
      <w:proofErr w:type="gramStart"/>
      <w:r w:rsidRPr="007E4711">
        <w:t>suspicion;</w:t>
      </w:r>
      <w:proofErr w:type="gramEnd"/>
    </w:p>
    <w:p w14:paraId="3E847B0B" w14:textId="77777777" w:rsidR="00CD5A58" w:rsidRDefault="00CD5A58" w:rsidP="00EC26C9">
      <w:pPr>
        <w:pStyle w:val="ListParagraph"/>
        <w:numPr>
          <w:ilvl w:val="0"/>
          <w:numId w:val="24"/>
        </w:numPr>
      </w:pPr>
      <w:r w:rsidRPr="007E4711">
        <w:t>total absence of scholarly voices in these platforms</w:t>
      </w:r>
      <w:r>
        <w:t>.</w:t>
      </w:r>
      <w:r w:rsidRPr="007E4711">
        <w:t xml:space="preserve"> </w:t>
      </w:r>
    </w:p>
    <w:p w14:paraId="7B712B16" w14:textId="2CEAE6D6" w:rsidR="00CD5A58" w:rsidRDefault="00CD5A58" w:rsidP="00B97694">
      <w:r w:rsidRPr="007E4711">
        <w:t>Based on those observed features, especially the last one, there is an ethical obligation incumbent on the scholarly community of TS. Thus, I propose that the scholarly community begin</w:t>
      </w:r>
      <w:r>
        <w:t xml:space="preserve"> a joint</w:t>
      </w:r>
      <w:r w:rsidRPr="007E4711">
        <w:t xml:space="preserve"> promotion of translation literacy among lay readers virtually by joining these online discussions to initiate </w:t>
      </w:r>
      <w:r w:rsidRPr="007434A1">
        <w:rPr>
          <w:i/>
          <w:iCs/>
        </w:rPr>
        <w:t>dialogues</w:t>
      </w:r>
      <w:r w:rsidRPr="007E4711">
        <w:t xml:space="preserve"> with readers.</w:t>
      </w:r>
      <w:r>
        <w:t xml:space="preserve"> </w:t>
      </w:r>
      <w:r w:rsidRPr="007E4711">
        <w:t xml:space="preserve">Van Wyke’s position on translation ethics rests on the following two tenets: </w:t>
      </w:r>
      <w:r w:rsidR="00B97F31">
        <w:t>(a</w:t>
      </w:r>
      <w:r w:rsidRPr="007E4711">
        <w:t xml:space="preserve">) an awareness of the ubiquitous mechanistic view of translation among lay users and </w:t>
      </w:r>
      <w:r w:rsidR="00B97F31">
        <w:t>(b</w:t>
      </w:r>
      <w:r w:rsidRPr="007E4711">
        <w:t xml:space="preserve">) </w:t>
      </w:r>
      <w:r w:rsidR="00F407CF">
        <w:t xml:space="preserve">a </w:t>
      </w:r>
      <w:r w:rsidRPr="007E4711">
        <w:t>particular emphasis on the need for “educating” general users of translation</w:t>
      </w:r>
      <w:r>
        <w:t xml:space="preserve"> to problematize that</w:t>
      </w:r>
      <w:r w:rsidRPr="007E4711">
        <w:t xml:space="preserve"> simplistic conceptualization.</w:t>
      </w:r>
      <w:r w:rsidR="008E21C5">
        <w:rPr>
          <w:rStyle w:val="FootnoteReference"/>
        </w:rPr>
        <w:footnoteReference w:id="108"/>
      </w:r>
      <w:r>
        <w:t xml:space="preserve"> But an attempt to promote literacy is treading on thin ice, for readers may cast a bleak eye on translation. This indeed is a great challenge that the scholarly community can overcome by adopting (and adapting) a “social constructivist workshop”</w:t>
      </w:r>
      <w:r w:rsidR="008E21C5">
        <w:rPr>
          <w:rStyle w:val="FootnoteReference"/>
        </w:rPr>
        <w:footnoteReference w:id="109"/>
      </w:r>
      <w:r>
        <w:t xml:space="preserve"> by discussing certain case studies (</w:t>
      </w:r>
      <w:r w:rsidRPr="00473C85">
        <w:rPr>
          <w:i/>
          <w:iCs/>
        </w:rPr>
        <w:t>GOR</w:t>
      </w:r>
      <w:r>
        <w:t xml:space="preserve">, in </w:t>
      </w:r>
      <w:r w:rsidR="00E069A1">
        <w:t>our</w:t>
      </w:r>
      <w:r>
        <w:t xml:space="preserve"> case). Following in-class discussion</w:t>
      </w:r>
      <w:r w:rsidR="00E33C38">
        <w:t>s</w:t>
      </w:r>
      <w:r>
        <w:t xml:space="preserve">, students can be empowered by </w:t>
      </w:r>
      <w:r w:rsidR="00E069A1">
        <w:t xml:space="preserve">having the instructors </w:t>
      </w:r>
      <w:r>
        <w:t>delegat</w:t>
      </w:r>
      <w:r w:rsidR="00E069A1">
        <w:t xml:space="preserve">e </w:t>
      </w:r>
      <w:r>
        <w:t xml:space="preserve">the task of approaching translation users </w:t>
      </w:r>
      <w:r w:rsidR="00E069A1">
        <w:t>to them. The students</w:t>
      </w:r>
      <w:r>
        <w:t xml:space="preserve"> </w:t>
      </w:r>
      <w:r w:rsidR="00E069A1">
        <w:t xml:space="preserve">then </w:t>
      </w:r>
      <w:r>
        <w:t xml:space="preserve">report back to the group in class to discuss what their </w:t>
      </w:r>
      <w:r w:rsidR="00E069A1">
        <w:t xml:space="preserve">interactions with readers </w:t>
      </w:r>
      <w:r>
        <w:t>have yielded</w:t>
      </w:r>
      <w:r w:rsidR="00E069A1">
        <w:t xml:space="preserve"> to</w:t>
      </w:r>
      <w:r>
        <w:t xml:space="preserve"> think collectively about how to progress. This can be done over the semester under the guidance of the instructor—the “facilitator,” to use a</w:t>
      </w:r>
      <w:r w:rsidR="00E069A1">
        <w:t xml:space="preserve"> </w:t>
      </w:r>
      <w:r>
        <w:t xml:space="preserve">constructivist term. </w:t>
      </w:r>
      <w:r w:rsidRPr="007E4711">
        <w:t>By establishing dialogue</w:t>
      </w:r>
      <w:r>
        <w:t xml:space="preserve">s </w:t>
      </w:r>
      <w:r w:rsidRPr="007E4711">
        <w:t xml:space="preserve">with </w:t>
      </w:r>
      <w:r w:rsidRPr="007E4711">
        <w:lastRenderedPageBreak/>
        <w:t xml:space="preserve">readers </w:t>
      </w:r>
      <w:r w:rsidR="00E069A1">
        <w:t xml:space="preserve">of translations on such digital platforms </w:t>
      </w:r>
      <w:r w:rsidRPr="007E4711">
        <w:t>to educate them about how translation shapes distant cultures, we can enable “understanding of identity as a learned or constructed allegiance rather than an innate condition</w:t>
      </w:r>
      <w:r w:rsidR="00A64E52">
        <w:t>.</w:t>
      </w:r>
      <w:r w:rsidRPr="007E4711">
        <w:t>”</w:t>
      </w:r>
      <w:r w:rsidR="00A64E52">
        <w:rPr>
          <w:rStyle w:val="FootnoteReference"/>
        </w:rPr>
        <w:footnoteReference w:id="110"/>
      </w:r>
      <w:r>
        <w:t xml:space="preserve"> Such awareness </w:t>
      </w:r>
      <w:r w:rsidR="00E069A1">
        <w:t xml:space="preserve">could induce a moment of epiphany which could, on the one hand, kindle </w:t>
      </w:r>
      <w:r>
        <w:t>readers’ interest</w:t>
      </w:r>
      <w:r w:rsidR="006E4643">
        <w:t>s</w:t>
      </w:r>
      <w:r>
        <w:t xml:space="preserve"> in exploring more literary opportunities </w:t>
      </w:r>
      <w:r w:rsidR="00E069A1">
        <w:t>and provide a scaf</w:t>
      </w:r>
      <w:r>
        <w:t>fo</w:t>
      </w:r>
      <w:r w:rsidR="00E069A1">
        <w:t>ld</w:t>
      </w:r>
      <w:r>
        <w:t xml:space="preserve"> </w:t>
      </w:r>
      <w:r w:rsidR="00E069A1">
        <w:t xml:space="preserve">for </w:t>
      </w:r>
      <w:r>
        <w:t>better-informed reading of translated texts</w:t>
      </w:r>
      <w:r w:rsidR="00E069A1">
        <w:t>, on the other</w:t>
      </w:r>
      <w:r>
        <w:t>.</w:t>
      </w:r>
      <w:r w:rsidR="00E069A1">
        <w:t xml:space="preserve"> </w:t>
      </w:r>
      <w:r>
        <w:t xml:space="preserve">This </w:t>
      </w:r>
      <w:r w:rsidR="00E069A1">
        <w:t>literacy intersects</w:t>
      </w:r>
      <w:r>
        <w:t xml:space="preserve"> with imagology, a field that </w:t>
      </w:r>
      <w:r w:rsidR="00E069A1">
        <w:t>aims to</w:t>
      </w:r>
      <w:r>
        <w:t xml:space="preserve"> </w:t>
      </w:r>
      <w:r w:rsidRPr="007E4711">
        <w:t>“describe the origin, process, and function of national prejudices and stereotypes, to bring them to the surface, analyze them and make people rationally aware of them</w:t>
      </w:r>
      <w:r w:rsidR="00A64E52">
        <w:t>.</w:t>
      </w:r>
      <w:r w:rsidRPr="007E4711">
        <w:t>”</w:t>
      </w:r>
      <w:r w:rsidR="00A64E52">
        <w:rPr>
          <w:rStyle w:val="FootnoteReference"/>
        </w:rPr>
        <w:footnoteReference w:id="111"/>
      </w:r>
    </w:p>
    <w:p w14:paraId="3F8EDFE1" w14:textId="61D9676C" w:rsidR="00CD5A58" w:rsidRDefault="00CD5A58" w:rsidP="00570C7B">
      <w:pPr>
        <w:rPr>
          <w:rFonts w:eastAsia="Times New Roman" w:cs="Arial"/>
          <w:color w:val="000000"/>
          <w:shd w:val="clear" w:color="auto" w:fill="FFFFFF"/>
        </w:rPr>
      </w:pPr>
      <w:r>
        <w:t xml:space="preserve">These images reveal more about the Anglophone context—and its biases and prejudices—than about the “reality” of the Arab world. </w:t>
      </w:r>
      <w:r w:rsidR="00F407CF">
        <w:t>Additionally, t</w:t>
      </w:r>
      <w:r>
        <w:t xml:space="preserve">he arsenal of tactics that Penguin </w:t>
      </w:r>
      <w:r w:rsidR="00962797">
        <w:t>h</w:t>
      </w:r>
      <w:r>
        <w:t>as deployed to construct the identity of the other and then present it as the ultimate and irrecoverable “truth” speaks volumes of how brittle and frangible the protected image is. Thus, readers of translation can be informed to question and cogitate their schemata of translation</w:t>
      </w:r>
      <w:r w:rsidR="00E069A1">
        <w:t xml:space="preserve">, viewing it as </w:t>
      </w:r>
      <w:r w:rsidR="006E4643">
        <w:t xml:space="preserve">a </w:t>
      </w:r>
      <w:r w:rsidR="00E069A1">
        <w:t xml:space="preserve">trope for critically examining circulating images of other </w:t>
      </w:r>
      <w:r>
        <w:t xml:space="preserve">nations. Prioritizing </w:t>
      </w:r>
      <w:r w:rsidR="00E069A1">
        <w:t xml:space="preserve">interrogations </w:t>
      </w:r>
      <w:r>
        <w:t>of such simplistic</w:t>
      </w:r>
      <w:r w:rsidR="00E069A1">
        <w:t xml:space="preserve"> and widespread conceptualizations</w:t>
      </w:r>
      <w:r>
        <w:t xml:space="preserve"> is the sine qua non of </w:t>
      </w:r>
      <w:r w:rsidR="00E069A1">
        <w:t xml:space="preserve">bringing to light </w:t>
      </w:r>
      <w:r>
        <w:t xml:space="preserve">alternative views of translation—and of the East. </w:t>
      </w:r>
      <w:r>
        <w:rPr>
          <w:rFonts w:eastAsia="Times New Roman" w:cs="Arial"/>
          <w:color w:val="111111"/>
          <w:shd w:val="clear" w:color="auto" w:fill="FFFFFF"/>
        </w:rPr>
        <w:t>With better and more translations being available than ever before, David Damrosch has declared</w:t>
      </w:r>
      <w:r w:rsidR="006E4643">
        <w:rPr>
          <w:rFonts w:eastAsia="Times New Roman" w:cs="Arial"/>
          <w:color w:val="111111"/>
          <w:shd w:val="clear" w:color="auto" w:fill="FFFFFF"/>
        </w:rPr>
        <w:t xml:space="preserve"> a</w:t>
      </w:r>
      <w:r>
        <w:rPr>
          <w:rFonts w:eastAsia="Times New Roman" w:cs="Arial"/>
          <w:color w:val="111111"/>
          <w:shd w:val="clear" w:color="auto" w:fill="FFFFFF"/>
        </w:rPr>
        <w:t xml:space="preserve"> “golden age of translation</w:t>
      </w:r>
      <w:r w:rsidR="00E8780C">
        <w:rPr>
          <w:rFonts w:eastAsia="Times New Roman" w:cs="Arial"/>
          <w:color w:val="111111"/>
          <w:shd w:val="clear" w:color="auto" w:fill="FFFFFF"/>
        </w:rPr>
        <w:t>.</w:t>
      </w:r>
      <w:r>
        <w:rPr>
          <w:rFonts w:eastAsia="Times New Roman" w:cs="Arial"/>
          <w:color w:val="111111"/>
          <w:shd w:val="clear" w:color="auto" w:fill="FFFFFF"/>
        </w:rPr>
        <w:t>”</w:t>
      </w:r>
      <w:r w:rsidR="00E8780C">
        <w:rPr>
          <w:rStyle w:val="FootnoteReference"/>
          <w:rFonts w:eastAsia="Times New Roman" w:cs="Arial"/>
          <w:color w:val="111111"/>
          <w:shd w:val="clear" w:color="auto" w:fill="FFFFFF"/>
        </w:rPr>
        <w:footnoteReference w:id="112"/>
      </w:r>
      <w:r>
        <w:rPr>
          <w:rFonts w:eastAsia="Times New Roman" w:cs="Arial"/>
          <w:color w:val="000000"/>
          <w:shd w:val="clear" w:color="auto" w:fill="FFFFFF"/>
        </w:rPr>
        <w:t xml:space="preserve"> Thus, it is crucial for translation literacy to burgeon in a manner commensurate with the golden age </w:t>
      </w:r>
      <w:r>
        <w:rPr>
          <w:rFonts w:eastAsia="Times New Roman" w:cs="Arial"/>
          <w:color w:val="000000"/>
          <w:shd w:val="clear" w:color="auto" w:fill="FFFFFF"/>
        </w:rPr>
        <w:lastRenderedPageBreak/>
        <w:t xml:space="preserve">declared by Damrosch. By promoting translation literacy about how </w:t>
      </w:r>
      <w:r w:rsidRPr="00A64E52">
        <w:rPr>
          <w:rFonts w:eastAsia="Times New Roman" w:cs="Arial"/>
          <w:i/>
          <w:iCs/>
          <w:color w:val="000000"/>
          <w:shd w:val="clear" w:color="auto" w:fill="FFFFFF"/>
        </w:rPr>
        <w:t>GOR</w:t>
      </w:r>
      <w:r>
        <w:rPr>
          <w:rFonts w:eastAsia="Times New Roman" w:cs="Arial"/>
          <w:color w:val="000000"/>
          <w:shd w:val="clear" w:color="auto" w:fill="FFFFFF"/>
        </w:rPr>
        <w:t xml:space="preserve"> has come to exist, the following statement </w:t>
      </w:r>
      <w:r w:rsidR="00E069A1">
        <w:rPr>
          <w:rFonts w:eastAsia="Times New Roman" w:cs="Arial"/>
          <w:color w:val="000000"/>
          <w:shd w:val="clear" w:color="auto" w:fill="FFFFFF"/>
        </w:rPr>
        <w:t>becomes felicitous timely:</w:t>
      </w:r>
      <w:r>
        <w:rPr>
          <w:rFonts w:eastAsia="Times New Roman" w:cs="Arial"/>
          <w:color w:val="000000"/>
          <w:shd w:val="clear" w:color="auto" w:fill="FFFFFF"/>
        </w:rPr>
        <w:t xml:space="preserve"> “We are always somewhat settled by novelty, </w:t>
      </w:r>
      <w:proofErr w:type="gramStart"/>
      <w:r>
        <w:rPr>
          <w:rFonts w:eastAsia="Times New Roman" w:cs="Arial"/>
          <w:color w:val="000000"/>
          <w:shd w:val="clear" w:color="auto" w:fill="FFFFFF"/>
        </w:rPr>
        <w:t>difference</w:t>
      </w:r>
      <w:proofErr w:type="gramEnd"/>
      <w:r>
        <w:rPr>
          <w:rFonts w:eastAsia="Times New Roman" w:cs="Arial"/>
          <w:color w:val="000000"/>
          <w:shd w:val="clear" w:color="auto" w:fill="FFFFFF"/>
        </w:rPr>
        <w:t xml:space="preserve"> and otherness, which challenge our own values and hold up a mirror that forces us to examine ourselves. Translation, in the final analysis is about discovery—a journey of exploration through the fabulous realm of knowledge</w:t>
      </w:r>
      <w:r w:rsidR="00396E2B">
        <w:rPr>
          <w:rFonts w:eastAsia="Times New Roman" w:cs="Arial"/>
          <w:color w:val="000000"/>
          <w:shd w:val="clear" w:color="auto" w:fill="FFFFFF"/>
        </w:rPr>
        <w:t>.</w:t>
      </w:r>
      <w:r>
        <w:rPr>
          <w:rFonts w:eastAsia="Times New Roman" w:cs="Arial"/>
          <w:color w:val="000000"/>
          <w:shd w:val="clear" w:color="auto" w:fill="FFFFFF"/>
        </w:rPr>
        <w:t>”</w:t>
      </w:r>
      <w:r w:rsidR="00396E2B">
        <w:rPr>
          <w:rStyle w:val="FootnoteReference"/>
          <w:rFonts w:eastAsia="Times New Roman" w:cs="Arial"/>
          <w:color w:val="000000"/>
          <w:shd w:val="clear" w:color="auto" w:fill="FFFFFF"/>
        </w:rPr>
        <w:footnoteReference w:id="113"/>
      </w:r>
    </w:p>
    <w:p w14:paraId="48AC362F" w14:textId="4E989199" w:rsidR="005E59DD" w:rsidRDefault="00CD5A58" w:rsidP="00CD5A58">
      <w:pPr>
        <w:rPr>
          <w:color w:val="000000"/>
        </w:rPr>
        <w:sectPr w:rsidR="005E59DD" w:rsidSect="00CC5A22">
          <w:footerReference w:type="even" r:id="rId20"/>
          <w:footerReference w:type="default" r:id="rId21"/>
          <w:pgSz w:w="12240" w:h="15840"/>
          <w:pgMar w:top="1440" w:right="1440" w:bottom="1440" w:left="1440" w:header="720" w:footer="720" w:gutter="0"/>
          <w:cols w:space="720"/>
          <w:docGrid w:linePitch="360"/>
        </w:sectPr>
      </w:pPr>
      <w:r>
        <w:t xml:space="preserve">Moving beyond </w:t>
      </w:r>
      <w:r w:rsidRPr="00473C85">
        <w:rPr>
          <w:i/>
          <w:iCs/>
        </w:rPr>
        <w:t>GOR</w:t>
      </w:r>
      <w:r>
        <w:t xml:space="preserve"> in its English translation to investigate its reception in its new context aligns closely with Michael Allan’s shift of emphasis from a formalist “close reading” to approach world literature as “</w:t>
      </w:r>
      <w:r w:rsidRPr="00151CFD">
        <w:t>the world in which the text accrues meaning</w:t>
      </w:r>
      <w:r w:rsidR="002F2E0D">
        <w:t>.</w:t>
      </w:r>
      <w:r>
        <w:t>”</w:t>
      </w:r>
      <w:r w:rsidR="002F2E0D">
        <w:rPr>
          <w:rStyle w:val="FootnoteReference"/>
        </w:rPr>
        <w:footnoteReference w:id="114"/>
      </w:r>
      <w:r>
        <w:rPr>
          <w:color w:val="000000"/>
        </w:rPr>
        <w:t xml:space="preserve"> </w:t>
      </w:r>
      <w:r>
        <w:t>Allan therefore espouses historicizing literature not by simply “finding texts deemed literary” but by enquiring about “the conditions in which these texts are understood, how they come to matter, and the ends to which they are put</w:t>
      </w:r>
      <w:r w:rsidR="00AE7EA3">
        <w:t>.</w:t>
      </w:r>
      <w:r>
        <w:t>”</w:t>
      </w:r>
      <w:r w:rsidR="00AE7EA3">
        <w:rPr>
          <w:rStyle w:val="FootnoteReference"/>
        </w:rPr>
        <w:footnoteReference w:id="115"/>
      </w:r>
      <w:r>
        <w:t xml:space="preserve"> And so, this paper has traced an arc that spanned </w:t>
      </w:r>
      <w:r w:rsidRPr="00473C85">
        <w:rPr>
          <w:i/>
          <w:iCs/>
        </w:rPr>
        <w:t>GOR</w:t>
      </w:r>
      <w:r>
        <w:t xml:space="preserve"> through to its background(s), packaging, reception, and ultimately the forward-looking proposal for promoting a broad-based translation literacy. Therefore, pronouncing judgements on the translation of </w:t>
      </w:r>
      <w:r w:rsidRPr="00473C85">
        <w:rPr>
          <w:i/>
          <w:iCs/>
        </w:rPr>
        <w:t>GOR</w:t>
      </w:r>
      <w:r>
        <w:t xml:space="preserve">, not to invoke </w:t>
      </w:r>
      <w:r w:rsidR="009A67EC">
        <w:t xml:space="preserve">a </w:t>
      </w:r>
      <w:r>
        <w:t>simplistic</w:t>
      </w:r>
      <w:r w:rsidR="00E9078A">
        <w:t xml:space="preserve"> and outdated</w:t>
      </w:r>
      <w:r>
        <w:t xml:space="preserve"> rhetoric of betrayal and distortion,</w:t>
      </w:r>
      <w:r w:rsidRPr="00DE60E0">
        <w:t xml:space="preserve"> </w:t>
      </w:r>
      <w:r>
        <w:t xml:space="preserve">was eschewed. By arguing for translation literacy, I by no means argue for a reading or an interpretation to </w:t>
      </w:r>
      <w:r w:rsidRPr="006B4E08">
        <w:rPr>
          <w:i/>
          <w:iCs/>
        </w:rPr>
        <w:t>replace</w:t>
      </w:r>
      <w:r>
        <w:t xml:space="preserve"> the </w:t>
      </w:r>
      <w:r w:rsidR="009A67EC">
        <w:t>one investigated herein</w:t>
      </w:r>
      <w:r>
        <w:t>; rather, I’m arguing for</w:t>
      </w:r>
      <w:r w:rsidR="006E4643">
        <w:t xml:space="preserve"> an</w:t>
      </w:r>
      <w:r w:rsidRPr="00760BD9">
        <w:rPr>
          <w:i/>
          <w:iCs/>
        </w:rPr>
        <w:t xml:space="preserve"> alternative</w:t>
      </w:r>
      <w:r>
        <w:t xml:space="preserve"> reading to unleash more interpretive possibilities</w:t>
      </w:r>
      <w:r w:rsidR="00F407CF">
        <w:t xml:space="preserve">, ultimately enriching our understanding of the text. </w:t>
      </w:r>
      <w:r>
        <w:t xml:space="preserve"> By doing so, we can give readers more agency and </w:t>
      </w:r>
      <w:r w:rsidR="008A313A">
        <w:t xml:space="preserve">further establish </w:t>
      </w:r>
      <w:r>
        <w:t>the concept of translation</w:t>
      </w:r>
      <w:r w:rsidR="008A313A">
        <w:t>’s</w:t>
      </w:r>
      <w:r>
        <w:t xml:space="preserve"> greater </w:t>
      </w:r>
      <w:r>
        <w:lastRenderedPageBreak/>
        <w:t xml:space="preserve">nuance and sophistication. This will allow us to “enlarge translation” and “empower” the reader, to use Maria </w:t>
      </w:r>
      <w:proofErr w:type="spellStart"/>
      <w:r>
        <w:t>Tymoczko’s</w:t>
      </w:r>
      <w:proofErr w:type="spellEnd"/>
      <w:r>
        <w:t xml:space="preserve"> eponymous words.</w:t>
      </w:r>
      <w:r w:rsidR="00AE7EA3">
        <w:rPr>
          <w:rStyle w:val="FootnoteReference"/>
        </w:rPr>
        <w:footnoteReference w:id="116"/>
      </w:r>
      <w:r>
        <w:t xml:space="preserve"> </w:t>
      </w:r>
      <w:r w:rsidR="00F407CF">
        <w:t xml:space="preserve"> Tarek Shamma</w:t>
      </w:r>
      <w:r w:rsidR="00071F60">
        <w:t xml:space="preserve"> </w:t>
      </w:r>
      <w:r w:rsidR="00F407CF">
        <w:t>maintains that Power imbalance(s) is one unifying thread of postcolonial approaches to translation,</w:t>
      </w:r>
      <w:r w:rsidR="00071F60">
        <w:rPr>
          <w:rStyle w:val="FootnoteReference"/>
        </w:rPr>
        <w:footnoteReference w:id="117"/>
      </w:r>
      <w:r w:rsidR="00F407CF">
        <w:t xml:space="preserve"> which could </w:t>
      </w:r>
      <w:r w:rsidR="00071F60">
        <w:t xml:space="preserve">be </w:t>
      </w:r>
      <w:r w:rsidR="00F407CF">
        <w:t>disrupt</w:t>
      </w:r>
      <w:r w:rsidR="00071F60">
        <w:t>ed</w:t>
      </w:r>
      <w:r w:rsidR="00F407CF">
        <w:t xml:space="preserve"> and redistribute</w:t>
      </w:r>
      <w:r w:rsidR="00071F60">
        <w:t>d</w:t>
      </w:r>
      <w:r w:rsidR="00F407CF">
        <w:t xml:space="preserve"> by promoting translation literacy, allowing Booth to regain her usurped agency. </w:t>
      </w:r>
      <w:r>
        <w:t xml:space="preserve">“One is not born a reader of </w:t>
      </w:r>
      <w:proofErr w:type="gramStart"/>
      <w:r>
        <w:t>translations, but</w:t>
      </w:r>
      <w:proofErr w:type="gramEnd"/>
      <w:r>
        <w:t xml:space="preserve"> made one</w:t>
      </w:r>
      <w:r w:rsidR="00AE7EA3">
        <w:t>.</w:t>
      </w:r>
      <w:r>
        <w:t>”</w:t>
      </w:r>
      <w:r w:rsidR="00AE7EA3">
        <w:rPr>
          <w:rStyle w:val="FootnoteReference"/>
        </w:rPr>
        <w:footnoteReference w:id="118"/>
      </w:r>
      <w:r>
        <w:t xml:space="preserve"> Anthony Pym has recently remarked that the “big black box in Translation studies is still reception</w:t>
      </w:r>
      <w:r w:rsidR="00AE7EA3">
        <w:t>.</w:t>
      </w:r>
      <w:r>
        <w:t>”</w:t>
      </w:r>
      <w:r w:rsidR="00AE7EA3">
        <w:rPr>
          <w:rStyle w:val="FootnoteReference"/>
        </w:rPr>
        <w:footnoteReference w:id="119"/>
      </w:r>
      <w:r>
        <w:rPr>
          <w:color w:val="000000"/>
        </w:rPr>
        <w:t xml:space="preserve"> It is hoped that this paper has provided original insights, however brief, into the black box</w:t>
      </w:r>
      <w:r w:rsidR="00E069A1">
        <w:rPr>
          <w:color w:val="000000"/>
        </w:rPr>
        <w:t xml:space="preserve">, offering prospective researchers of reception </w:t>
      </w:r>
      <w:r>
        <w:rPr>
          <w:color w:val="000000"/>
        </w:rPr>
        <w:t xml:space="preserve">a model to keep venturing into yet another known </w:t>
      </w:r>
      <w:r w:rsidR="000F7E03">
        <w:rPr>
          <w:color w:val="000000"/>
        </w:rPr>
        <w:t>unknown</w:t>
      </w:r>
      <w:r w:rsidR="00E069A1">
        <w:rPr>
          <w:color w:val="000000"/>
        </w:rPr>
        <w:t xml:space="preserve"> of TS</w:t>
      </w:r>
      <w:r w:rsidR="00F407CF">
        <w:rPr>
          <w:color w:val="000000"/>
        </w:rPr>
        <w:t>.</w:t>
      </w:r>
    </w:p>
    <w:p w14:paraId="344FE07A" w14:textId="2B271744" w:rsidR="005E59DD" w:rsidRPr="005E59DD" w:rsidRDefault="005E59DD" w:rsidP="00E15062">
      <w:pPr>
        <w:ind w:firstLine="0"/>
        <w:rPr>
          <w:rFonts w:eastAsia="Times New Roman"/>
        </w:rPr>
      </w:pPr>
    </w:p>
    <w:sectPr w:rsidR="005E59DD" w:rsidRPr="005E59DD" w:rsidSect="00CC5A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01007" w14:textId="77777777" w:rsidR="00CC5A22" w:rsidRDefault="00CC5A22" w:rsidP="001458F6">
      <w:pPr>
        <w:spacing w:after="0" w:line="240" w:lineRule="auto"/>
      </w:pPr>
      <w:r>
        <w:separator/>
      </w:r>
    </w:p>
  </w:endnote>
  <w:endnote w:type="continuationSeparator" w:id="0">
    <w:p w14:paraId="702B1791" w14:textId="77777777" w:rsidR="00CC5A22" w:rsidRDefault="00CC5A22" w:rsidP="001458F6">
      <w:pPr>
        <w:spacing w:after="0" w:line="240" w:lineRule="auto"/>
      </w:pPr>
      <w:r>
        <w:continuationSeparator/>
      </w:r>
    </w:p>
  </w:endnote>
  <w:endnote w:type="continuationNotice" w:id="1">
    <w:p w14:paraId="294689C4" w14:textId="77777777" w:rsidR="00CC5A22" w:rsidRDefault="00CC5A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7938385"/>
      <w:docPartObj>
        <w:docPartGallery w:val="Page Numbers (Bottom of Page)"/>
        <w:docPartUnique/>
      </w:docPartObj>
    </w:sdtPr>
    <w:sdtContent>
      <w:p w14:paraId="4A4DCDF3" w14:textId="10EC9B8B" w:rsidR="005236A0" w:rsidRDefault="005236A0" w:rsidP="007727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407CF">
          <w:rPr>
            <w:rStyle w:val="PageNumber"/>
            <w:noProof/>
          </w:rPr>
          <w:t>42</w:t>
        </w:r>
        <w:r>
          <w:rPr>
            <w:rStyle w:val="PageNumber"/>
          </w:rPr>
          <w:fldChar w:fldCharType="end"/>
        </w:r>
      </w:p>
    </w:sdtContent>
  </w:sdt>
  <w:p w14:paraId="0FD08E4D" w14:textId="77777777" w:rsidR="005236A0" w:rsidRDefault="00523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0247040"/>
      <w:docPartObj>
        <w:docPartGallery w:val="Page Numbers (Bottom of Page)"/>
        <w:docPartUnique/>
      </w:docPartObj>
    </w:sdtPr>
    <w:sdtContent>
      <w:p w14:paraId="0B698085" w14:textId="08642020" w:rsidR="005236A0" w:rsidRDefault="005236A0" w:rsidP="007727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EE902E" w14:textId="77777777" w:rsidR="005236A0" w:rsidRDefault="00523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DA83" w14:textId="77777777" w:rsidR="00CC5A22" w:rsidRDefault="00CC5A22" w:rsidP="001458F6">
      <w:pPr>
        <w:spacing w:after="0" w:line="240" w:lineRule="auto"/>
      </w:pPr>
      <w:r>
        <w:separator/>
      </w:r>
    </w:p>
  </w:footnote>
  <w:footnote w:type="continuationSeparator" w:id="0">
    <w:p w14:paraId="3710C519" w14:textId="77777777" w:rsidR="00CC5A22" w:rsidRDefault="00CC5A22" w:rsidP="001458F6">
      <w:pPr>
        <w:spacing w:after="0" w:line="240" w:lineRule="auto"/>
      </w:pPr>
      <w:r>
        <w:continuationSeparator/>
      </w:r>
    </w:p>
  </w:footnote>
  <w:footnote w:type="continuationNotice" w:id="1">
    <w:p w14:paraId="7EA83CCF" w14:textId="77777777" w:rsidR="00CC5A22" w:rsidRDefault="00CC5A22">
      <w:pPr>
        <w:spacing w:after="0" w:line="240" w:lineRule="auto"/>
      </w:pPr>
    </w:p>
  </w:footnote>
  <w:footnote w:id="2">
    <w:p w14:paraId="1BCDB5D7" w14:textId="05AFF25C" w:rsidR="00F407CF" w:rsidRDefault="00F407CF" w:rsidP="00F407CF">
      <w:pPr>
        <w:pStyle w:val="Footnote"/>
      </w:pPr>
      <w:r>
        <w:rPr>
          <w:rStyle w:val="FootnoteReference"/>
        </w:rPr>
        <w:footnoteRef/>
      </w:r>
      <w:r>
        <w:t xml:space="preserve"> </w:t>
      </w:r>
      <w:r w:rsidRPr="00F407CF">
        <w:rPr>
          <w:i w:val="0"/>
          <w:iCs w:val="0"/>
        </w:rPr>
        <w:t xml:space="preserve">This is a prime example of how the Orient is a </w:t>
      </w:r>
      <w:r>
        <w:rPr>
          <w:i w:val="0"/>
          <w:iCs w:val="0"/>
        </w:rPr>
        <w:t>“</w:t>
      </w:r>
      <w:r w:rsidRPr="00F407CF">
        <w:rPr>
          <w:i w:val="0"/>
          <w:iCs w:val="0"/>
        </w:rPr>
        <w:t>textual construct</w:t>
      </w:r>
      <w:r>
        <w:rPr>
          <w:i w:val="0"/>
          <w:iCs w:val="0"/>
        </w:rPr>
        <w:t>,”</w:t>
      </w:r>
      <w:r w:rsidRPr="00F407CF">
        <w:rPr>
          <w:i w:val="0"/>
          <w:iCs w:val="0"/>
        </w:rPr>
        <w:t xml:space="preserve"> as argued by Edward Said in his </w:t>
      </w:r>
      <w:r w:rsidRPr="00F407CF">
        <w:t>Orientalism</w:t>
      </w:r>
      <w:r>
        <w:rPr>
          <w:i w:val="0"/>
          <w:iCs w:val="0"/>
        </w:rPr>
        <w:t xml:space="preserve"> (1979)</w:t>
      </w:r>
      <w:r w:rsidRPr="00F407CF">
        <w:rPr>
          <w:i w:val="0"/>
          <w:iCs w:val="0"/>
        </w:rPr>
        <w:t>.</w:t>
      </w:r>
      <w:r>
        <w:rPr>
          <w:i w:val="0"/>
          <w:iCs w:val="0"/>
        </w:rPr>
        <w:t xml:space="preserve"> In this blurb, the publisher dismisses personal encounters and projects the text as the ultimate guide to local cultures. (The aim here is</w:t>
      </w:r>
      <w:r w:rsidRPr="00F407CF">
        <w:rPr>
          <w:i w:val="0"/>
          <w:iCs w:val="0"/>
        </w:rPr>
        <w:t xml:space="preserve"> not</w:t>
      </w:r>
      <w:r>
        <w:rPr>
          <w:i w:val="0"/>
          <w:iCs w:val="0"/>
        </w:rPr>
        <w:t xml:space="preserve"> to</w:t>
      </w:r>
      <w:r w:rsidRPr="00F407CF">
        <w:rPr>
          <w:i w:val="0"/>
          <w:iCs w:val="0"/>
        </w:rPr>
        <w:t xml:space="preserve"> advocate for one approach over the other, but rather </w:t>
      </w:r>
      <w:r>
        <w:rPr>
          <w:i w:val="0"/>
          <w:iCs w:val="0"/>
        </w:rPr>
        <w:t xml:space="preserve">to </w:t>
      </w:r>
      <w:r w:rsidRPr="00F407CF">
        <w:rPr>
          <w:i w:val="0"/>
          <w:iCs w:val="0"/>
        </w:rPr>
        <w:t>reject the notion that any one perspective is the definitive source of truth.</w:t>
      </w:r>
      <w:r>
        <w:rPr>
          <w:i w:val="0"/>
          <w:iCs w:val="0"/>
        </w:rPr>
        <w:t>)</w:t>
      </w:r>
    </w:p>
  </w:footnote>
  <w:footnote w:id="3">
    <w:p w14:paraId="42926053" w14:textId="1ED59557" w:rsidR="00473C85" w:rsidRDefault="00473C85" w:rsidP="00F407CF">
      <w:pPr>
        <w:pStyle w:val="Footnote"/>
      </w:pPr>
      <w:r>
        <w:rPr>
          <w:rStyle w:val="FootnoteReference"/>
        </w:rPr>
        <w:footnoteRef/>
      </w:r>
      <w:r>
        <w:t xml:space="preserve"> </w:t>
      </w:r>
      <w:r w:rsidRPr="00275588">
        <w:t>Rajaa</w:t>
      </w:r>
      <w:r>
        <w:t xml:space="preserve"> </w:t>
      </w:r>
      <w:r w:rsidRPr="00275588">
        <w:t>Alsanea</w:t>
      </w:r>
      <w:r>
        <w:t>,</w:t>
      </w:r>
      <w:r w:rsidRPr="00275588">
        <w:t xml:space="preserve"> </w:t>
      </w:r>
      <w:r w:rsidRPr="00473C85">
        <w:rPr>
          <w:rtl/>
        </w:rPr>
        <w:t>بنات الرياض</w:t>
      </w:r>
      <w:r w:rsidRPr="00473C85">
        <w:t xml:space="preserve"> </w:t>
      </w:r>
      <w:proofErr w:type="spellStart"/>
      <w:r w:rsidRPr="00473C85">
        <w:t>Bānātū</w:t>
      </w:r>
      <w:proofErr w:type="spellEnd"/>
      <w:r w:rsidRPr="00473C85">
        <w:t xml:space="preserve"> </w:t>
      </w:r>
      <w:proofErr w:type="spellStart"/>
      <w:r w:rsidRPr="00473C85">
        <w:rPr>
          <w:rFonts w:ascii="Times New Roman" w:hAnsi="Times New Roman" w:cs="Times New Roman"/>
        </w:rPr>
        <w:t>ʾ</w:t>
      </w:r>
      <w:r w:rsidRPr="00473C85">
        <w:t>rrīyāḍ</w:t>
      </w:r>
      <w:proofErr w:type="spellEnd"/>
      <w:r>
        <w:t xml:space="preserve"> </w:t>
      </w:r>
      <w:proofErr w:type="gramStart"/>
      <w:r>
        <w:t>(</w:t>
      </w:r>
      <w:r>
        <w:rPr>
          <w:rFonts w:hint="cs"/>
          <w:rtl/>
        </w:rPr>
        <w:t xml:space="preserve"> دار</w:t>
      </w:r>
      <w:proofErr w:type="gramEnd"/>
      <w:r>
        <w:rPr>
          <w:rFonts w:hint="cs"/>
          <w:rtl/>
        </w:rPr>
        <w:t xml:space="preserve"> الساقي</w:t>
      </w:r>
      <w:r>
        <w:t xml:space="preserve">Dar </w:t>
      </w:r>
      <w:proofErr w:type="spellStart"/>
      <w:r>
        <w:t>Alsaqi</w:t>
      </w:r>
      <w:proofErr w:type="spellEnd"/>
      <w:r>
        <w:t xml:space="preserve">, </w:t>
      </w:r>
      <w:r w:rsidRPr="00275588">
        <w:t>200</w:t>
      </w:r>
      <w:r>
        <w:t>5).</w:t>
      </w:r>
    </w:p>
  </w:footnote>
  <w:footnote w:id="4">
    <w:p w14:paraId="6AC8D8E0" w14:textId="373ACD00" w:rsidR="00275588" w:rsidRDefault="00275588">
      <w:pPr>
        <w:pStyle w:val="FootnoteText"/>
      </w:pPr>
      <w:r>
        <w:rPr>
          <w:rStyle w:val="FootnoteReference"/>
        </w:rPr>
        <w:footnoteRef/>
      </w:r>
      <w:r>
        <w:t xml:space="preserve"> </w:t>
      </w:r>
      <w:r w:rsidRPr="00275588">
        <w:rPr>
          <w:sz w:val="20"/>
          <w:szCs w:val="20"/>
        </w:rPr>
        <w:t>Rajaa</w:t>
      </w:r>
      <w:r>
        <w:t xml:space="preserve"> </w:t>
      </w:r>
      <w:r w:rsidRPr="00275588">
        <w:rPr>
          <w:sz w:val="20"/>
          <w:szCs w:val="20"/>
        </w:rPr>
        <w:t>Alsanea</w:t>
      </w:r>
      <w:r>
        <w:rPr>
          <w:sz w:val="20"/>
          <w:szCs w:val="20"/>
        </w:rPr>
        <w:t>,</w:t>
      </w:r>
      <w:r w:rsidRPr="00275588">
        <w:rPr>
          <w:sz w:val="20"/>
          <w:szCs w:val="20"/>
        </w:rPr>
        <w:t xml:space="preserve"> </w:t>
      </w:r>
      <w:r w:rsidRPr="00275588">
        <w:rPr>
          <w:i/>
          <w:iCs/>
          <w:sz w:val="20"/>
          <w:szCs w:val="20"/>
        </w:rPr>
        <w:t>Girls of Riyadh</w:t>
      </w:r>
      <w:r w:rsidR="00473C85">
        <w:rPr>
          <w:i/>
          <w:iCs/>
          <w:sz w:val="20"/>
          <w:szCs w:val="20"/>
        </w:rPr>
        <w:t xml:space="preserve">, </w:t>
      </w:r>
      <w:r w:rsidR="00473C85">
        <w:rPr>
          <w:sz w:val="20"/>
          <w:szCs w:val="20"/>
        </w:rPr>
        <w:t xml:space="preserve">trans </w:t>
      </w:r>
      <w:r w:rsidR="00473C85" w:rsidRPr="00275588">
        <w:rPr>
          <w:sz w:val="20"/>
          <w:szCs w:val="20"/>
        </w:rPr>
        <w:t>Rajaa</w:t>
      </w:r>
      <w:r w:rsidR="00473C85">
        <w:t xml:space="preserve"> </w:t>
      </w:r>
      <w:r w:rsidR="00473C85" w:rsidRPr="00275588">
        <w:rPr>
          <w:sz w:val="20"/>
          <w:szCs w:val="20"/>
        </w:rPr>
        <w:t>Alsanea</w:t>
      </w:r>
      <w:r w:rsidR="00473C85">
        <w:rPr>
          <w:sz w:val="20"/>
          <w:szCs w:val="20"/>
        </w:rPr>
        <w:t xml:space="preserve"> and</w:t>
      </w:r>
      <w:r w:rsidR="00473C85" w:rsidRPr="00275588">
        <w:rPr>
          <w:sz w:val="20"/>
          <w:szCs w:val="20"/>
        </w:rPr>
        <w:t xml:space="preserve"> Marilyn Booth</w:t>
      </w:r>
      <w:r w:rsidRPr="00275588">
        <w:rPr>
          <w:sz w:val="20"/>
          <w:szCs w:val="20"/>
        </w:rPr>
        <w:t xml:space="preserve"> </w:t>
      </w:r>
      <w:r>
        <w:rPr>
          <w:sz w:val="20"/>
          <w:szCs w:val="20"/>
        </w:rPr>
        <w:t>(</w:t>
      </w:r>
      <w:r w:rsidR="00473C85">
        <w:rPr>
          <w:sz w:val="20"/>
          <w:szCs w:val="20"/>
        </w:rPr>
        <w:t>New York</w:t>
      </w:r>
      <w:r w:rsidRPr="00275588">
        <w:rPr>
          <w:sz w:val="20"/>
          <w:szCs w:val="20"/>
        </w:rPr>
        <w:t xml:space="preserve">: Penguin </w:t>
      </w:r>
      <w:r w:rsidR="00473C85">
        <w:rPr>
          <w:sz w:val="20"/>
          <w:szCs w:val="20"/>
        </w:rPr>
        <w:t>Group</w:t>
      </w:r>
      <w:r>
        <w:rPr>
          <w:sz w:val="20"/>
          <w:szCs w:val="20"/>
        </w:rPr>
        <w:t xml:space="preserve">, </w:t>
      </w:r>
      <w:r w:rsidRPr="00275588">
        <w:rPr>
          <w:sz w:val="20"/>
          <w:szCs w:val="20"/>
        </w:rPr>
        <w:t>200</w:t>
      </w:r>
      <w:r w:rsidR="00473C85">
        <w:rPr>
          <w:sz w:val="20"/>
          <w:szCs w:val="20"/>
        </w:rPr>
        <w:t>7</w:t>
      </w:r>
      <w:r>
        <w:rPr>
          <w:sz w:val="20"/>
          <w:szCs w:val="20"/>
        </w:rPr>
        <w:t>).</w:t>
      </w:r>
    </w:p>
  </w:footnote>
  <w:footnote w:id="5">
    <w:p w14:paraId="01A26CAE" w14:textId="6D65EB99" w:rsidR="00275588" w:rsidRDefault="00275588">
      <w:pPr>
        <w:pStyle w:val="FootnoteText"/>
      </w:pPr>
      <w:r>
        <w:rPr>
          <w:rStyle w:val="FootnoteReference"/>
        </w:rPr>
        <w:footnoteRef/>
      </w:r>
      <w:r>
        <w:t xml:space="preserve"> </w:t>
      </w:r>
      <w:r w:rsidRPr="00275588">
        <w:rPr>
          <w:sz w:val="20"/>
          <w:szCs w:val="20"/>
        </w:rPr>
        <w:t>Roger Allen</w:t>
      </w:r>
      <w:r>
        <w:rPr>
          <w:sz w:val="20"/>
          <w:szCs w:val="20"/>
        </w:rPr>
        <w:t>,</w:t>
      </w:r>
      <w:r w:rsidRPr="00275588">
        <w:rPr>
          <w:sz w:val="20"/>
          <w:szCs w:val="20"/>
        </w:rPr>
        <w:t xml:space="preserve"> </w:t>
      </w:r>
      <w:r w:rsidRPr="00E921DB">
        <w:rPr>
          <w:i/>
          <w:iCs/>
          <w:sz w:val="20"/>
          <w:szCs w:val="20"/>
        </w:rPr>
        <w:t>Selected Studies in Modern Arabic Narrative: History, Genre, Translation</w:t>
      </w:r>
      <w:r w:rsidRPr="00275588">
        <w:rPr>
          <w:sz w:val="20"/>
          <w:szCs w:val="20"/>
        </w:rPr>
        <w:t xml:space="preserve"> </w:t>
      </w:r>
      <w:r>
        <w:rPr>
          <w:sz w:val="20"/>
          <w:szCs w:val="20"/>
        </w:rPr>
        <w:t>(</w:t>
      </w:r>
      <w:r w:rsidRPr="00275588">
        <w:rPr>
          <w:sz w:val="20"/>
          <w:szCs w:val="20"/>
        </w:rPr>
        <w:t>Atlanta, Georgia: Lockwood Press</w:t>
      </w:r>
      <w:r>
        <w:rPr>
          <w:sz w:val="20"/>
          <w:szCs w:val="20"/>
        </w:rPr>
        <w:t>, 2019)</w:t>
      </w:r>
      <w:r w:rsidR="00E921DB">
        <w:rPr>
          <w:sz w:val="20"/>
          <w:szCs w:val="20"/>
        </w:rPr>
        <w:t>, 193.</w:t>
      </w:r>
    </w:p>
  </w:footnote>
  <w:footnote w:id="6">
    <w:p w14:paraId="272132FE" w14:textId="0037447E" w:rsidR="00F407CF" w:rsidRDefault="00F407CF" w:rsidP="00F407CF">
      <w:pPr>
        <w:pStyle w:val="Footnote"/>
      </w:pPr>
      <w:r>
        <w:rPr>
          <w:rStyle w:val="FootnoteReference"/>
        </w:rPr>
        <w:footnoteRef/>
      </w:r>
      <w:r>
        <w:t xml:space="preserve"> Lawrence Venuti, </w:t>
      </w:r>
      <w:r w:rsidRPr="00473C85">
        <w:t>The scandals of Translation</w:t>
      </w:r>
      <w:r>
        <w:t>. (</w:t>
      </w:r>
      <w:r w:rsidRPr="00473C85">
        <w:t>New York, NY: Routledge,</w:t>
      </w:r>
      <w:r>
        <w:t xml:space="preserve"> 1998</w:t>
      </w:r>
      <w:r w:rsidRPr="00473C85">
        <w:t>).</w:t>
      </w:r>
    </w:p>
  </w:footnote>
  <w:footnote w:id="7">
    <w:p w14:paraId="2351B128" w14:textId="28A9C8BE" w:rsidR="009F5E47" w:rsidRDefault="009F5E47">
      <w:pPr>
        <w:pStyle w:val="FootnoteText"/>
      </w:pPr>
      <w:r>
        <w:rPr>
          <w:rStyle w:val="FootnoteReference"/>
        </w:rPr>
        <w:footnoteRef/>
      </w:r>
      <w:r>
        <w:t xml:space="preserve"> </w:t>
      </w:r>
      <w:r w:rsidRPr="009F5E47">
        <w:rPr>
          <w:sz w:val="20"/>
          <w:szCs w:val="20"/>
        </w:rPr>
        <w:t>Said Faiq</w:t>
      </w:r>
      <w:r>
        <w:rPr>
          <w:sz w:val="20"/>
          <w:szCs w:val="20"/>
        </w:rPr>
        <w:t xml:space="preserve">, </w:t>
      </w:r>
      <w:r w:rsidRPr="009F5E47">
        <w:rPr>
          <w:sz w:val="20"/>
          <w:szCs w:val="20"/>
        </w:rPr>
        <w:t>“The Routledge Handbook of Literary Translation</w:t>
      </w:r>
      <w:r>
        <w:rPr>
          <w:sz w:val="20"/>
          <w:szCs w:val="20"/>
        </w:rPr>
        <w:t>,</w:t>
      </w:r>
      <w:r w:rsidRPr="00E93D8A">
        <w:rPr>
          <w:sz w:val="20"/>
          <w:szCs w:val="20"/>
        </w:rPr>
        <w:t xml:space="preserve">” </w:t>
      </w:r>
      <w:r>
        <w:rPr>
          <w:sz w:val="20"/>
          <w:szCs w:val="20"/>
        </w:rPr>
        <w:t>i</w:t>
      </w:r>
      <w:r w:rsidRPr="00E93D8A">
        <w:rPr>
          <w:sz w:val="20"/>
          <w:szCs w:val="20"/>
        </w:rPr>
        <w:t xml:space="preserve">n </w:t>
      </w:r>
      <w:r w:rsidRPr="00E93D8A">
        <w:rPr>
          <w:i/>
          <w:iCs/>
          <w:sz w:val="20"/>
          <w:szCs w:val="20"/>
        </w:rPr>
        <w:t>The Routledge Handbook of Literary Translation</w:t>
      </w:r>
      <w:r w:rsidRPr="009F5E47">
        <w:rPr>
          <w:sz w:val="20"/>
          <w:szCs w:val="20"/>
        </w:rPr>
        <w:t xml:space="preserve">, </w:t>
      </w:r>
      <w:r>
        <w:rPr>
          <w:sz w:val="20"/>
          <w:szCs w:val="20"/>
        </w:rPr>
        <w:t>ed.</w:t>
      </w:r>
      <w:r w:rsidRPr="009F5E47">
        <w:rPr>
          <w:sz w:val="20"/>
          <w:szCs w:val="20"/>
        </w:rPr>
        <w:t xml:space="preserve"> Kelly Washbourne and Ben Van Wyke</w:t>
      </w:r>
      <w:r>
        <w:rPr>
          <w:sz w:val="20"/>
          <w:szCs w:val="20"/>
        </w:rPr>
        <w:t xml:space="preserve"> (</w:t>
      </w:r>
      <w:r w:rsidRPr="009F5E47">
        <w:rPr>
          <w:sz w:val="20"/>
          <w:szCs w:val="20"/>
        </w:rPr>
        <w:t>Abingdon, Oxon; New York, NY: Routledge, 2018</w:t>
      </w:r>
      <w:r>
        <w:rPr>
          <w:sz w:val="20"/>
          <w:szCs w:val="20"/>
        </w:rPr>
        <w:t>)</w:t>
      </w:r>
      <w:r w:rsidRPr="009F5E47">
        <w:rPr>
          <w:sz w:val="20"/>
          <w:szCs w:val="20"/>
        </w:rPr>
        <w:t>.</w:t>
      </w:r>
    </w:p>
  </w:footnote>
  <w:footnote w:id="8">
    <w:p w14:paraId="16D1EEC5" w14:textId="77777777" w:rsidR="00F407CF" w:rsidRDefault="00F407CF" w:rsidP="00F407CF">
      <w:pPr>
        <w:pStyle w:val="FootnoteText"/>
      </w:pPr>
      <w:r>
        <w:rPr>
          <w:rStyle w:val="FootnoteReference"/>
        </w:rPr>
        <w:footnoteRef/>
      </w:r>
      <w:r>
        <w:t xml:space="preserve"> </w:t>
      </w:r>
      <w:r w:rsidRPr="00F308E9">
        <w:rPr>
          <w:sz w:val="20"/>
          <w:szCs w:val="20"/>
        </w:rPr>
        <w:t xml:space="preserve">Gideon Toury, </w:t>
      </w:r>
      <w:r w:rsidRPr="00F308E9">
        <w:rPr>
          <w:i/>
          <w:iCs/>
          <w:sz w:val="20"/>
          <w:szCs w:val="20"/>
        </w:rPr>
        <w:t>Descriptive Translation Studies</w:t>
      </w:r>
      <w:r w:rsidRPr="00F308E9">
        <w:rPr>
          <w:sz w:val="20"/>
          <w:szCs w:val="20"/>
        </w:rPr>
        <w:t xml:space="preserve"> (Amsterdam, The Netherlands; Philadelphia, PA: John Benjamins Publishing Company, 1995), 26.</w:t>
      </w:r>
    </w:p>
  </w:footnote>
  <w:footnote w:id="9">
    <w:p w14:paraId="42BF48EA" w14:textId="726CC7AB" w:rsidR="009C7235" w:rsidRDefault="009C7235" w:rsidP="009C7235">
      <w:pPr>
        <w:pStyle w:val="Footnote"/>
      </w:pPr>
      <w:r w:rsidRPr="009C7235">
        <w:rPr>
          <w:rStyle w:val="FootnoteReference"/>
          <w:i w:val="0"/>
          <w:iCs w:val="0"/>
        </w:rPr>
        <w:footnoteRef/>
      </w:r>
      <w:r w:rsidRPr="009C7235">
        <w:rPr>
          <w:i w:val="0"/>
          <w:iCs w:val="0"/>
        </w:rPr>
        <w:t xml:space="preserve"> “What to read (and watch) to understand Saudi Arabia</w:t>
      </w:r>
      <w:r>
        <w:rPr>
          <w:i w:val="0"/>
          <w:iCs w:val="0"/>
        </w:rPr>
        <w:t xml:space="preserve">,” The Economist, accessed, February 11, 2024, </w:t>
      </w:r>
      <w:r w:rsidRPr="009C7235">
        <w:rPr>
          <w:i w:val="0"/>
          <w:iCs w:val="0"/>
        </w:rPr>
        <w:t>https://www.economist.com/the-economist-reads/2023/06/22/what-to-read-and-watch-to-understand-saudi-arabia</w:t>
      </w:r>
      <w:r>
        <w:rPr>
          <w:i w:val="0"/>
          <w:iCs w:val="0"/>
        </w:rPr>
        <w:t>.</w:t>
      </w:r>
    </w:p>
  </w:footnote>
  <w:footnote w:id="10">
    <w:p w14:paraId="527049BB" w14:textId="3795824D" w:rsidR="00E93D8A" w:rsidRPr="00E93D8A" w:rsidRDefault="00E93D8A">
      <w:pPr>
        <w:pStyle w:val="FootnoteText"/>
        <w:rPr>
          <w:sz w:val="20"/>
          <w:szCs w:val="20"/>
        </w:rPr>
      </w:pPr>
      <w:r>
        <w:rPr>
          <w:rStyle w:val="FootnoteReference"/>
        </w:rPr>
        <w:footnoteRef/>
      </w:r>
      <w:r>
        <w:t xml:space="preserve"> </w:t>
      </w:r>
      <w:r w:rsidRPr="00E93D8A">
        <w:rPr>
          <w:sz w:val="20"/>
          <w:szCs w:val="20"/>
        </w:rPr>
        <w:t xml:space="preserve">Jeremy Munday, </w:t>
      </w:r>
      <w:r w:rsidRPr="00E93D8A">
        <w:rPr>
          <w:i/>
          <w:iCs/>
          <w:sz w:val="20"/>
          <w:szCs w:val="20"/>
        </w:rPr>
        <w:t>Introducing Translation Studies: Theories and Applications</w:t>
      </w:r>
      <w:r>
        <w:rPr>
          <w:sz w:val="20"/>
          <w:szCs w:val="20"/>
        </w:rPr>
        <w:t>,</w:t>
      </w:r>
      <w:r w:rsidRPr="00E93D8A">
        <w:rPr>
          <w:sz w:val="20"/>
          <w:szCs w:val="20"/>
        </w:rPr>
        <w:t xml:space="preserve"> 4</w:t>
      </w:r>
      <w:r w:rsidRPr="00E93D8A">
        <w:rPr>
          <w:sz w:val="20"/>
          <w:szCs w:val="20"/>
          <w:vertAlign w:val="superscript"/>
        </w:rPr>
        <w:t>th</w:t>
      </w:r>
      <w:r w:rsidRPr="00E93D8A">
        <w:rPr>
          <w:sz w:val="20"/>
          <w:szCs w:val="20"/>
        </w:rPr>
        <w:t xml:space="preserve"> ed. </w:t>
      </w:r>
      <w:r>
        <w:rPr>
          <w:sz w:val="20"/>
          <w:szCs w:val="20"/>
        </w:rPr>
        <w:t>(</w:t>
      </w:r>
      <w:r w:rsidRPr="00E93D8A">
        <w:rPr>
          <w:sz w:val="20"/>
          <w:szCs w:val="20"/>
        </w:rPr>
        <w:t>Routledge</w:t>
      </w:r>
      <w:r>
        <w:rPr>
          <w:sz w:val="20"/>
          <w:szCs w:val="20"/>
        </w:rPr>
        <w:t xml:space="preserve">, </w:t>
      </w:r>
      <w:r w:rsidRPr="00E93D8A">
        <w:rPr>
          <w:sz w:val="20"/>
          <w:szCs w:val="20"/>
        </w:rPr>
        <w:t>2016</w:t>
      </w:r>
      <w:r>
        <w:rPr>
          <w:sz w:val="20"/>
          <w:szCs w:val="20"/>
        </w:rPr>
        <w:t xml:space="preserve">); </w:t>
      </w:r>
      <w:r w:rsidRPr="00E93D8A">
        <w:rPr>
          <w:sz w:val="20"/>
          <w:szCs w:val="20"/>
        </w:rPr>
        <w:t>Karen Emmerich, “Visibility (and Invisibility)</w:t>
      </w:r>
      <w:r>
        <w:rPr>
          <w:sz w:val="20"/>
          <w:szCs w:val="20"/>
        </w:rPr>
        <w:t>,</w:t>
      </w:r>
      <w:r w:rsidRPr="00E93D8A">
        <w:rPr>
          <w:sz w:val="20"/>
          <w:szCs w:val="20"/>
        </w:rPr>
        <w:t xml:space="preserve">” </w:t>
      </w:r>
      <w:r>
        <w:rPr>
          <w:sz w:val="20"/>
          <w:szCs w:val="20"/>
        </w:rPr>
        <w:t>i</w:t>
      </w:r>
      <w:r w:rsidRPr="00E93D8A">
        <w:rPr>
          <w:sz w:val="20"/>
          <w:szCs w:val="20"/>
        </w:rPr>
        <w:t xml:space="preserve">n </w:t>
      </w:r>
      <w:r w:rsidRPr="00473C85">
        <w:rPr>
          <w:i/>
          <w:iCs/>
          <w:sz w:val="20"/>
          <w:szCs w:val="20"/>
        </w:rPr>
        <w:t>Handbook of Translation Studies: Volume 4</w:t>
      </w:r>
      <w:r w:rsidRPr="00E93D8A">
        <w:rPr>
          <w:sz w:val="20"/>
          <w:szCs w:val="20"/>
        </w:rPr>
        <w:t xml:space="preserve">, </w:t>
      </w:r>
      <w:r>
        <w:rPr>
          <w:sz w:val="20"/>
          <w:szCs w:val="20"/>
        </w:rPr>
        <w:t>eds.</w:t>
      </w:r>
      <w:r w:rsidRPr="00E93D8A">
        <w:rPr>
          <w:sz w:val="20"/>
          <w:szCs w:val="20"/>
        </w:rPr>
        <w:t xml:space="preserve"> Yves Gambier and Luc van Doorslaer, 200–206</w:t>
      </w:r>
      <w:r>
        <w:rPr>
          <w:sz w:val="20"/>
          <w:szCs w:val="20"/>
        </w:rPr>
        <w:t xml:space="preserve"> (</w:t>
      </w:r>
      <w:r w:rsidRPr="00E93D8A">
        <w:rPr>
          <w:sz w:val="20"/>
          <w:szCs w:val="20"/>
        </w:rPr>
        <w:t>John Benjamins Publishing Company</w:t>
      </w:r>
      <w:r>
        <w:rPr>
          <w:sz w:val="20"/>
          <w:szCs w:val="20"/>
        </w:rPr>
        <w:t xml:space="preserve">, </w:t>
      </w:r>
      <w:r w:rsidRPr="00E93D8A">
        <w:rPr>
          <w:sz w:val="20"/>
          <w:szCs w:val="20"/>
        </w:rPr>
        <w:t>2013</w:t>
      </w:r>
      <w:r>
        <w:rPr>
          <w:sz w:val="20"/>
          <w:szCs w:val="20"/>
        </w:rPr>
        <w:t>).</w:t>
      </w:r>
    </w:p>
  </w:footnote>
  <w:footnote w:id="11">
    <w:p w14:paraId="4A51EEB4" w14:textId="31E5BBEE" w:rsidR="00CC4004" w:rsidRDefault="00CC4004">
      <w:pPr>
        <w:pStyle w:val="FootnoteText"/>
      </w:pPr>
      <w:r>
        <w:rPr>
          <w:rStyle w:val="FootnoteReference"/>
        </w:rPr>
        <w:footnoteRef/>
      </w:r>
      <w:r>
        <w:t xml:space="preserve"> </w:t>
      </w:r>
      <w:r w:rsidRPr="00CC4004">
        <w:rPr>
          <w:sz w:val="20"/>
          <w:szCs w:val="20"/>
        </w:rPr>
        <w:t>John</w:t>
      </w:r>
      <w:r>
        <w:rPr>
          <w:sz w:val="20"/>
          <w:szCs w:val="20"/>
        </w:rPr>
        <w:t xml:space="preserve"> Milton</w:t>
      </w:r>
      <w:r w:rsidRPr="00CC4004">
        <w:rPr>
          <w:sz w:val="20"/>
          <w:szCs w:val="20"/>
        </w:rPr>
        <w:t xml:space="preserve"> and Paul Bandia</w:t>
      </w:r>
      <w:r>
        <w:rPr>
          <w:sz w:val="20"/>
          <w:szCs w:val="20"/>
        </w:rPr>
        <w:t>,</w:t>
      </w:r>
      <w:r w:rsidRPr="00CC4004">
        <w:rPr>
          <w:sz w:val="20"/>
          <w:szCs w:val="20"/>
        </w:rPr>
        <w:t xml:space="preserve"> “Introduction: Agents of Translation and Translation Studies</w:t>
      </w:r>
      <w:r>
        <w:rPr>
          <w:sz w:val="20"/>
          <w:szCs w:val="20"/>
        </w:rPr>
        <w:t>,</w:t>
      </w:r>
      <w:r w:rsidRPr="00CC4004">
        <w:rPr>
          <w:sz w:val="20"/>
          <w:szCs w:val="20"/>
        </w:rPr>
        <w:t xml:space="preserve">” </w:t>
      </w:r>
      <w:r>
        <w:rPr>
          <w:sz w:val="20"/>
          <w:szCs w:val="20"/>
        </w:rPr>
        <w:t>i</w:t>
      </w:r>
      <w:r w:rsidRPr="00CC4004">
        <w:rPr>
          <w:sz w:val="20"/>
          <w:szCs w:val="20"/>
        </w:rPr>
        <w:t xml:space="preserve">n </w:t>
      </w:r>
      <w:r w:rsidRPr="00CC4004">
        <w:rPr>
          <w:i/>
          <w:iCs/>
          <w:sz w:val="20"/>
          <w:szCs w:val="20"/>
        </w:rPr>
        <w:t>Agents of Translation</w:t>
      </w:r>
      <w:r>
        <w:rPr>
          <w:sz w:val="20"/>
          <w:szCs w:val="20"/>
        </w:rPr>
        <w:t>,</w:t>
      </w:r>
      <w:r w:rsidRPr="00CC4004">
        <w:rPr>
          <w:sz w:val="20"/>
          <w:szCs w:val="20"/>
        </w:rPr>
        <w:t xml:space="preserve"> </w:t>
      </w:r>
      <w:r>
        <w:rPr>
          <w:sz w:val="20"/>
          <w:szCs w:val="20"/>
        </w:rPr>
        <w:t>eds.</w:t>
      </w:r>
      <w:r w:rsidRPr="00CC4004">
        <w:rPr>
          <w:sz w:val="20"/>
          <w:szCs w:val="20"/>
        </w:rPr>
        <w:t xml:space="preserve"> John Milton and Paul Bandia, 1–18 </w:t>
      </w:r>
      <w:r>
        <w:rPr>
          <w:sz w:val="20"/>
          <w:szCs w:val="20"/>
        </w:rPr>
        <w:t>(J</w:t>
      </w:r>
      <w:r w:rsidRPr="00CC4004">
        <w:rPr>
          <w:sz w:val="20"/>
          <w:szCs w:val="20"/>
        </w:rPr>
        <w:t>ohn Benjamins Publishing Company</w:t>
      </w:r>
      <w:r>
        <w:rPr>
          <w:sz w:val="20"/>
          <w:szCs w:val="20"/>
        </w:rPr>
        <w:t xml:space="preserve">, </w:t>
      </w:r>
      <w:r w:rsidRPr="006F0615">
        <w:rPr>
          <w:sz w:val="20"/>
          <w:szCs w:val="20"/>
        </w:rPr>
        <w:t>2009</w:t>
      </w:r>
      <w:r>
        <w:rPr>
          <w:sz w:val="20"/>
          <w:szCs w:val="20"/>
        </w:rPr>
        <w:t>).</w:t>
      </w:r>
    </w:p>
  </w:footnote>
  <w:footnote w:id="12">
    <w:p w14:paraId="36A9157B" w14:textId="7E212B4F" w:rsidR="005073F4" w:rsidRPr="00C93991" w:rsidRDefault="005073F4">
      <w:pPr>
        <w:pStyle w:val="FootnoteText"/>
        <w:rPr>
          <w:sz w:val="20"/>
          <w:szCs w:val="20"/>
        </w:rPr>
      </w:pPr>
      <w:r>
        <w:rPr>
          <w:rStyle w:val="FootnoteReference"/>
        </w:rPr>
        <w:footnoteRef/>
      </w:r>
      <w:r>
        <w:t xml:space="preserve"> </w:t>
      </w:r>
      <w:proofErr w:type="spellStart"/>
      <w:r w:rsidRPr="00C93991">
        <w:rPr>
          <w:sz w:val="20"/>
          <w:szCs w:val="20"/>
        </w:rPr>
        <w:t>Sherif</w:t>
      </w:r>
      <w:proofErr w:type="spellEnd"/>
      <w:r w:rsidRPr="00C93991">
        <w:rPr>
          <w:sz w:val="20"/>
          <w:szCs w:val="20"/>
        </w:rPr>
        <w:t xml:space="preserve"> H. Ismail, “Arabic Literature into English,” </w:t>
      </w:r>
      <w:r w:rsidRPr="00C93991">
        <w:rPr>
          <w:i/>
          <w:iCs/>
          <w:sz w:val="20"/>
          <w:szCs w:val="20"/>
        </w:rPr>
        <w:t>Interventions</w:t>
      </w:r>
      <w:r w:rsidRPr="00C93991">
        <w:rPr>
          <w:sz w:val="20"/>
          <w:szCs w:val="20"/>
        </w:rPr>
        <w:t xml:space="preserve"> 17, no. 6 (2015): 916–31; Claudia Roth Pierpont, “Found in Translation,” </w:t>
      </w:r>
      <w:r w:rsidRPr="00C93991">
        <w:rPr>
          <w:i/>
          <w:iCs/>
          <w:sz w:val="20"/>
          <w:szCs w:val="20"/>
        </w:rPr>
        <w:t>The New Yorker</w:t>
      </w:r>
      <w:r w:rsidRPr="00C93991">
        <w:rPr>
          <w:sz w:val="20"/>
          <w:szCs w:val="20"/>
        </w:rPr>
        <w:t>, January 2010</w:t>
      </w:r>
      <w:r w:rsidR="001F5C32" w:rsidRPr="00C93991">
        <w:rPr>
          <w:sz w:val="20"/>
          <w:szCs w:val="20"/>
        </w:rPr>
        <w:t xml:space="preserve">; Salih J. Altoma, </w:t>
      </w:r>
      <w:r w:rsidR="001F5C32" w:rsidRPr="00C93991">
        <w:rPr>
          <w:i/>
          <w:iCs/>
          <w:sz w:val="20"/>
          <w:szCs w:val="20"/>
        </w:rPr>
        <w:t>Modern Arabic Literature in Translation: A Companion</w:t>
      </w:r>
      <w:r w:rsidR="001F5C32" w:rsidRPr="00C93991">
        <w:rPr>
          <w:sz w:val="20"/>
          <w:szCs w:val="20"/>
        </w:rPr>
        <w:t xml:space="preserve"> (London: Saqi, 2005)</w:t>
      </w:r>
      <w:r w:rsidR="00C93991" w:rsidRPr="00C93991">
        <w:rPr>
          <w:sz w:val="20"/>
          <w:szCs w:val="20"/>
        </w:rPr>
        <w:t xml:space="preserve">; Alice Guthrie and Alexandra </w:t>
      </w:r>
      <w:proofErr w:type="spellStart"/>
      <w:r w:rsidR="00C93991" w:rsidRPr="00C93991">
        <w:rPr>
          <w:sz w:val="20"/>
          <w:szCs w:val="20"/>
        </w:rPr>
        <w:t>Buchler</w:t>
      </w:r>
      <w:proofErr w:type="spellEnd"/>
      <w:r w:rsidR="00C93991" w:rsidRPr="00C93991">
        <w:rPr>
          <w:sz w:val="20"/>
          <w:szCs w:val="20"/>
        </w:rPr>
        <w:t xml:space="preserve">, </w:t>
      </w:r>
      <w:r w:rsidR="00C93991" w:rsidRPr="00C93991">
        <w:rPr>
          <w:i/>
          <w:iCs/>
          <w:sz w:val="20"/>
          <w:szCs w:val="20"/>
        </w:rPr>
        <w:t>Literary Translation from Arabic into English in the United Kingdom and Ireland, 1990-2010 | Anna Lindh Foundation</w:t>
      </w:r>
      <w:r w:rsidR="00C93991" w:rsidRPr="00C93991">
        <w:rPr>
          <w:sz w:val="20"/>
          <w:szCs w:val="20"/>
        </w:rPr>
        <w:t xml:space="preserve"> (Aberystwyth, 2011); Heather M. Hoyt, “Teaching from Cover to Cover: Arab Women’s Novels in the Classroom,” in </w:t>
      </w:r>
      <w:r w:rsidR="00C93991" w:rsidRPr="00C93991">
        <w:rPr>
          <w:i/>
          <w:iCs/>
          <w:sz w:val="20"/>
          <w:szCs w:val="20"/>
        </w:rPr>
        <w:t>Edinburgh Companion to the Arab Novel in English</w:t>
      </w:r>
      <w:r w:rsidR="00C93991" w:rsidRPr="00C93991">
        <w:rPr>
          <w:sz w:val="20"/>
          <w:szCs w:val="20"/>
        </w:rPr>
        <w:t xml:space="preserve">, ed. Nouri </w:t>
      </w:r>
      <w:proofErr w:type="spellStart"/>
      <w:r w:rsidR="00C93991" w:rsidRPr="00C93991">
        <w:rPr>
          <w:sz w:val="20"/>
          <w:szCs w:val="20"/>
        </w:rPr>
        <w:t>Gana</w:t>
      </w:r>
      <w:proofErr w:type="spellEnd"/>
      <w:r w:rsidR="00C93991" w:rsidRPr="00C93991">
        <w:rPr>
          <w:sz w:val="20"/>
          <w:szCs w:val="20"/>
        </w:rPr>
        <w:t xml:space="preserve">, 405–25 (Edinburgh University Press, 2015); Allen, </w:t>
      </w:r>
      <w:r w:rsidR="00C93991" w:rsidRPr="00C93991">
        <w:rPr>
          <w:i/>
          <w:iCs/>
          <w:sz w:val="20"/>
          <w:szCs w:val="20"/>
        </w:rPr>
        <w:t>Selected Studies</w:t>
      </w:r>
      <w:r w:rsidR="00C93991" w:rsidRPr="00C93991">
        <w:rPr>
          <w:sz w:val="20"/>
          <w:szCs w:val="20"/>
        </w:rPr>
        <w:t xml:space="preserve">; Abdel Wahab Khalifa and Ahmed </w:t>
      </w:r>
      <w:proofErr w:type="spellStart"/>
      <w:r w:rsidR="00C93991" w:rsidRPr="00C93991">
        <w:rPr>
          <w:sz w:val="20"/>
          <w:szCs w:val="20"/>
        </w:rPr>
        <w:t>Elgindy</w:t>
      </w:r>
      <w:proofErr w:type="spellEnd"/>
      <w:r w:rsidR="00C93991" w:rsidRPr="00C93991">
        <w:rPr>
          <w:sz w:val="20"/>
          <w:szCs w:val="20"/>
        </w:rPr>
        <w:t xml:space="preserve">, “The Reality of Arabic Fiction Translation into English: A Sociological Approach,” </w:t>
      </w:r>
      <w:r w:rsidR="00C93991" w:rsidRPr="00C93991">
        <w:rPr>
          <w:i/>
          <w:iCs/>
          <w:sz w:val="20"/>
          <w:szCs w:val="20"/>
        </w:rPr>
        <w:t>International Journal of Society, Culture &amp; Language</w:t>
      </w:r>
      <w:r w:rsidR="00C93991" w:rsidRPr="00C93991">
        <w:rPr>
          <w:sz w:val="20"/>
          <w:szCs w:val="20"/>
        </w:rPr>
        <w:t xml:space="preserve"> 2, no. 2 (Special Issue on Translation, Society &amp; Culture, 2014): 41–56.</w:t>
      </w:r>
    </w:p>
  </w:footnote>
  <w:footnote w:id="13">
    <w:p w14:paraId="646B4F53" w14:textId="5E6EA5F0" w:rsidR="00942E2F" w:rsidRDefault="00942E2F">
      <w:pPr>
        <w:pStyle w:val="FootnoteText"/>
      </w:pPr>
      <w:r>
        <w:rPr>
          <w:rStyle w:val="FootnoteReference"/>
        </w:rPr>
        <w:footnoteRef/>
      </w:r>
      <w:r>
        <w:t xml:space="preserve"> </w:t>
      </w:r>
      <w:r w:rsidRPr="00296DF4">
        <w:rPr>
          <w:sz w:val="20"/>
          <w:szCs w:val="20"/>
        </w:rPr>
        <w:t xml:space="preserve">Edward Said, “Embargoed Literature,” </w:t>
      </w:r>
      <w:r w:rsidR="00296DF4" w:rsidRPr="00296DF4">
        <w:rPr>
          <w:i/>
          <w:iCs/>
          <w:sz w:val="20"/>
          <w:szCs w:val="20"/>
        </w:rPr>
        <w:t>The Nation</w:t>
      </w:r>
      <w:r w:rsidR="00296DF4" w:rsidRPr="00296DF4">
        <w:rPr>
          <w:sz w:val="20"/>
          <w:szCs w:val="20"/>
        </w:rPr>
        <w:t xml:space="preserve">, September 17, 1990, </w:t>
      </w:r>
      <w:r w:rsidRPr="00296DF4">
        <w:rPr>
          <w:sz w:val="20"/>
          <w:szCs w:val="20"/>
        </w:rPr>
        <w:t>278–80.</w:t>
      </w:r>
    </w:p>
  </w:footnote>
  <w:footnote w:id="14">
    <w:p w14:paraId="3F6BEA5E" w14:textId="6B55CB4C" w:rsidR="006B4C55" w:rsidRDefault="006B4C55">
      <w:pPr>
        <w:pStyle w:val="FootnoteText"/>
      </w:pPr>
      <w:r>
        <w:rPr>
          <w:rStyle w:val="FootnoteReference"/>
        </w:rPr>
        <w:footnoteRef/>
      </w:r>
      <w:r>
        <w:t xml:space="preserve"> </w:t>
      </w:r>
      <w:r w:rsidRPr="00D5577C">
        <w:rPr>
          <w:sz w:val="20"/>
          <w:szCs w:val="20"/>
        </w:rPr>
        <w:t xml:space="preserve">Allen Hibbard, “Translation of Modern and Contemporary Literature in Arabic,” in </w:t>
      </w:r>
      <w:r w:rsidRPr="00D5577C">
        <w:rPr>
          <w:i/>
          <w:iCs/>
          <w:sz w:val="20"/>
          <w:szCs w:val="20"/>
        </w:rPr>
        <w:t>Literature in Translation: Teaching Issues and Reading Practices</w:t>
      </w:r>
      <w:r w:rsidRPr="00D5577C">
        <w:rPr>
          <w:sz w:val="20"/>
          <w:szCs w:val="20"/>
        </w:rPr>
        <w:t xml:space="preserve">, eds. Carol Maier and </w:t>
      </w:r>
      <w:proofErr w:type="spellStart"/>
      <w:r w:rsidRPr="00D5577C">
        <w:rPr>
          <w:sz w:val="20"/>
          <w:szCs w:val="20"/>
        </w:rPr>
        <w:t>Françoise</w:t>
      </w:r>
      <w:proofErr w:type="spellEnd"/>
      <w:r w:rsidRPr="00D5577C">
        <w:rPr>
          <w:sz w:val="20"/>
          <w:szCs w:val="20"/>
        </w:rPr>
        <w:t xml:space="preserve"> </w:t>
      </w:r>
      <w:proofErr w:type="spellStart"/>
      <w:r w:rsidRPr="00D5577C">
        <w:rPr>
          <w:sz w:val="20"/>
          <w:szCs w:val="20"/>
        </w:rPr>
        <w:t>Massardier</w:t>
      </w:r>
      <w:proofErr w:type="spellEnd"/>
      <w:r w:rsidRPr="00D5577C">
        <w:rPr>
          <w:sz w:val="20"/>
          <w:szCs w:val="20"/>
        </w:rPr>
        <w:t>-Kenney, 218–34 (Kent, OH: Kent State University Press, 2010).</w:t>
      </w:r>
    </w:p>
  </w:footnote>
  <w:footnote w:id="15">
    <w:p w14:paraId="6833CA2C" w14:textId="4DAB495E" w:rsidR="00876712" w:rsidRDefault="00876712">
      <w:pPr>
        <w:pStyle w:val="FootnoteText"/>
      </w:pPr>
      <w:r>
        <w:rPr>
          <w:rStyle w:val="FootnoteReference"/>
        </w:rPr>
        <w:footnoteRef/>
      </w:r>
      <w:r>
        <w:t xml:space="preserve"> </w:t>
      </w:r>
      <w:r w:rsidRPr="00D5577C">
        <w:rPr>
          <w:sz w:val="20"/>
          <w:szCs w:val="20"/>
        </w:rPr>
        <w:t xml:space="preserve">Ron Charles, “13 Sept. 11 Novels That Changed the Fiction Landscape,” </w:t>
      </w:r>
      <w:r w:rsidRPr="00D5577C">
        <w:rPr>
          <w:i/>
          <w:iCs/>
          <w:sz w:val="20"/>
          <w:szCs w:val="20"/>
        </w:rPr>
        <w:t>The Washington Post</w:t>
      </w:r>
      <w:r w:rsidRPr="00D5577C">
        <w:rPr>
          <w:sz w:val="20"/>
          <w:szCs w:val="20"/>
        </w:rPr>
        <w:t>, September 7, 2021.</w:t>
      </w:r>
    </w:p>
  </w:footnote>
  <w:footnote w:id="16">
    <w:p w14:paraId="755676F3" w14:textId="17B8F007" w:rsidR="00D5577C" w:rsidRDefault="00D5577C">
      <w:pPr>
        <w:pStyle w:val="FootnoteText"/>
      </w:pPr>
      <w:r>
        <w:rPr>
          <w:rStyle w:val="FootnoteReference"/>
        </w:rPr>
        <w:footnoteRef/>
      </w:r>
      <w:r>
        <w:t xml:space="preserve"> </w:t>
      </w:r>
      <w:r w:rsidRPr="00D5577C">
        <w:rPr>
          <w:sz w:val="20"/>
          <w:szCs w:val="20"/>
        </w:rPr>
        <w:t>Hoyt, “Teaching from Cover to Cover,” 419.</w:t>
      </w:r>
    </w:p>
  </w:footnote>
  <w:footnote w:id="17">
    <w:p w14:paraId="27183B5D" w14:textId="1F711CAA" w:rsidR="00A54807" w:rsidRDefault="00A54807">
      <w:pPr>
        <w:pStyle w:val="FootnoteText"/>
      </w:pPr>
      <w:r>
        <w:rPr>
          <w:rStyle w:val="FootnoteReference"/>
        </w:rPr>
        <w:footnoteRef/>
      </w:r>
      <w:r>
        <w:t xml:space="preserve"> </w:t>
      </w:r>
      <w:r w:rsidRPr="00A54807">
        <w:rPr>
          <w:sz w:val="20"/>
          <w:szCs w:val="20"/>
        </w:rPr>
        <w:t xml:space="preserve">Lila Abu-Lughod, </w:t>
      </w:r>
      <w:r w:rsidRPr="00A54807">
        <w:rPr>
          <w:i/>
          <w:iCs/>
          <w:sz w:val="20"/>
          <w:szCs w:val="20"/>
        </w:rPr>
        <w:t>Do Muslim Women Need Saving?</w:t>
      </w:r>
      <w:r w:rsidRPr="00A54807">
        <w:rPr>
          <w:sz w:val="20"/>
          <w:szCs w:val="20"/>
        </w:rPr>
        <w:t xml:space="preserve"> (Cambridge, MA: Harvard University Press, 2015), 87.</w:t>
      </w:r>
    </w:p>
  </w:footnote>
  <w:footnote w:id="18">
    <w:p w14:paraId="37092F6E" w14:textId="5889C45A" w:rsidR="00E50FD9" w:rsidRDefault="00E50FD9">
      <w:pPr>
        <w:pStyle w:val="FootnoteText"/>
      </w:pPr>
      <w:r>
        <w:rPr>
          <w:rStyle w:val="FootnoteReference"/>
        </w:rPr>
        <w:footnoteRef/>
      </w:r>
      <w:r>
        <w:t xml:space="preserve"> </w:t>
      </w:r>
      <w:r w:rsidRPr="00E50FD9">
        <w:rPr>
          <w:sz w:val="20"/>
          <w:szCs w:val="20"/>
        </w:rPr>
        <w:t xml:space="preserve">Joseph Massad, “‘Homeland,’ Obama’s Show,” </w:t>
      </w:r>
      <w:r w:rsidRPr="00E50FD9">
        <w:rPr>
          <w:i/>
          <w:iCs/>
          <w:sz w:val="20"/>
          <w:szCs w:val="20"/>
        </w:rPr>
        <w:t>Aljazeera.com</w:t>
      </w:r>
      <w:r w:rsidRPr="00E50FD9">
        <w:rPr>
          <w:sz w:val="20"/>
          <w:szCs w:val="20"/>
        </w:rPr>
        <w:t>, 2012. https://www.aljazeera.com/opinions/2012/10/25/homeland-obamas-show/.</w:t>
      </w:r>
    </w:p>
  </w:footnote>
  <w:footnote w:id="19">
    <w:p w14:paraId="2B373CA0" w14:textId="77777777" w:rsidR="00CD5A58" w:rsidRDefault="00CD5A58" w:rsidP="00F407CF">
      <w:pPr>
        <w:pStyle w:val="Footnote"/>
      </w:pPr>
      <w:r>
        <w:rPr>
          <w:rStyle w:val="FootnoteReference"/>
        </w:rPr>
        <w:footnoteRef/>
      </w:r>
      <w:r>
        <w:t xml:space="preserve"> Can be viewed at: </w:t>
      </w:r>
      <w:proofErr w:type="gramStart"/>
      <w:r w:rsidRPr="00BB209B">
        <w:t>https://www.youtube.com/watch?v=SV8hosb-H54</w:t>
      </w:r>
      <w:proofErr w:type="gramEnd"/>
    </w:p>
  </w:footnote>
  <w:footnote w:id="20">
    <w:p w14:paraId="58A3D1F2" w14:textId="234A8A7F" w:rsidR="00E50FD9" w:rsidRDefault="00E50FD9">
      <w:pPr>
        <w:pStyle w:val="FootnoteText"/>
      </w:pPr>
      <w:r>
        <w:rPr>
          <w:rStyle w:val="FootnoteReference"/>
        </w:rPr>
        <w:footnoteRef/>
      </w:r>
      <w:r>
        <w:t xml:space="preserve"> </w:t>
      </w:r>
      <w:r w:rsidR="009F54DB" w:rsidRPr="00307FE5">
        <w:rPr>
          <w:sz w:val="20"/>
          <w:szCs w:val="20"/>
        </w:rPr>
        <w:t xml:space="preserve">Mona Baker, “The Changing Landscape of Translation and Interpreting Studies,” in </w:t>
      </w:r>
      <w:r w:rsidR="009F54DB" w:rsidRPr="00307FE5">
        <w:rPr>
          <w:i/>
          <w:iCs/>
          <w:sz w:val="20"/>
          <w:szCs w:val="20"/>
        </w:rPr>
        <w:t>A Companion to Translation Studies</w:t>
      </w:r>
      <w:r w:rsidR="009F54DB" w:rsidRPr="00307FE5">
        <w:rPr>
          <w:sz w:val="20"/>
          <w:szCs w:val="20"/>
        </w:rPr>
        <w:t xml:space="preserve">, eds. Sandra </w:t>
      </w:r>
      <w:proofErr w:type="spellStart"/>
      <w:r w:rsidR="009F54DB" w:rsidRPr="00307FE5">
        <w:rPr>
          <w:sz w:val="20"/>
          <w:szCs w:val="20"/>
        </w:rPr>
        <w:t>Bermann</w:t>
      </w:r>
      <w:proofErr w:type="spellEnd"/>
      <w:r w:rsidR="009F54DB" w:rsidRPr="00307FE5">
        <w:rPr>
          <w:sz w:val="20"/>
          <w:szCs w:val="20"/>
        </w:rPr>
        <w:t xml:space="preserve"> and Catherine Porter, 13–27 (Oxford, UK: John Wiley &amp; Sons, Ltd., 2014), 16; Lawrence Venuti, </w:t>
      </w:r>
      <w:r w:rsidR="009F54DB" w:rsidRPr="00307FE5">
        <w:rPr>
          <w:i/>
          <w:iCs/>
          <w:sz w:val="20"/>
          <w:szCs w:val="20"/>
        </w:rPr>
        <w:t>The Translator’s Invisibility: A History of Translation</w:t>
      </w:r>
      <w:r w:rsidR="009F54DB" w:rsidRPr="00307FE5">
        <w:rPr>
          <w:sz w:val="20"/>
          <w:szCs w:val="20"/>
        </w:rPr>
        <w:t xml:space="preserve"> (Routledge, 1995), 19.</w:t>
      </w:r>
    </w:p>
  </w:footnote>
  <w:footnote w:id="21">
    <w:p w14:paraId="3DC08EDF" w14:textId="75D14CCA" w:rsidR="00307FE5" w:rsidRDefault="00307FE5">
      <w:pPr>
        <w:pStyle w:val="FootnoteText"/>
      </w:pPr>
      <w:r>
        <w:rPr>
          <w:rStyle w:val="FootnoteReference"/>
        </w:rPr>
        <w:footnoteRef/>
      </w:r>
      <w:r>
        <w:t xml:space="preserve"> </w:t>
      </w:r>
      <w:r w:rsidRPr="00307FE5">
        <w:rPr>
          <w:sz w:val="20"/>
          <w:szCs w:val="20"/>
        </w:rPr>
        <w:t xml:space="preserve">Marilyn Booth, “Three’s a Crowd: The Translator-Author-Publisher and the Engineering of ITALICS Girls of Riyadh for an Anglophone Readership,” in </w:t>
      </w:r>
      <w:r w:rsidRPr="00307FE5">
        <w:rPr>
          <w:i/>
          <w:iCs/>
          <w:sz w:val="20"/>
          <w:szCs w:val="20"/>
        </w:rPr>
        <w:t>Translating Women: Different Voices and New Horizons</w:t>
      </w:r>
      <w:r w:rsidRPr="00307FE5">
        <w:rPr>
          <w:sz w:val="20"/>
          <w:szCs w:val="20"/>
        </w:rPr>
        <w:t xml:space="preserve">, eds. F </w:t>
      </w:r>
      <w:proofErr w:type="spellStart"/>
      <w:r w:rsidRPr="00307FE5">
        <w:rPr>
          <w:sz w:val="20"/>
          <w:szCs w:val="20"/>
        </w:rPr>
        <w:t>Farahzad</w:t>
      </w:r>
      <w:proofErr w:type="spellEnd"/>
      <w:r w:rsidRPr="00307FE5">
        <w:rPr>
          <w:sz w:val="20"/>
          <w:szCs w:val="20"/>
        </w:rPr>
        <w:t xml:space="preserve"> and L von Flotow, 105–19 (New York, NY: Routledge, 2017), 115.</w:t>
      </w:r>
    </w:p>
  </w:footnote>
  <w:footnote w:id="22">
    <w:p w14:paraId="43DBBA52" w14:textId="35BBE4C6" w:rsidR="00307FE5" w:rsidRDefault="00307FE5">
      <w:pPr>
        <w:pStyle w:val="FootnoteText"/>
      </w:pPr>
      <w:r>
        <w:rPr>
          <w:rStyle w:val="FootnoteReference"/>
        </w:rPr>
        <w:footnoteRef/>
      </w:r>
      <w:r>
        <w:t xml:space="preserve"> </w:t>
      </w:r>
      <w:r w:rsidRPr="00D434E6">
        <w:rPr>
          <w:sz w:val="20"/>
          <w:szCs w:val="20"/>
        </w:rPr>
        <w:t>Amal</w:t>
      </w:r>
      <w:r w:rsidR="00D434E6" w:rsidRPr="00D434E6">
        <w:rPr>
          <w:sz w:val="20"/>
          <w:szCs w:val="20"/>
        </w:rPr>
        <w:t xml:space="preserve"> </w:t>
      </w:r>
      <w:proofErr w:type="spellStart"/>
      <w:r w:rsidR="00D434E6" w:rsidRPr="00D434E6">
        <w:rPr>
          <w:sz w:val="20"/>
          <w:szCs w:val="20"/>
        </w:rPr>
        <w:t>Amireh</w:t>
      </w:r>
      <w:proofErr w:type="spellEnd"/>
      <w:r w:rsidRPr="00D434E6">
        <w:rPr>
          <w:sz w:val="20"/>
          <w:szCs w:val="20"/>
        </w:rPr>
        <w:t xml:space="preserve"> and Lisa </w:t>
      </w:r>
      <w:proofErr w:type="spellStart"/>
      <w:r w:rsidRPr="00D434E6">
        <w:rPr>
          <w:sz w:val="20"/>
          <w:szCs w:val="20"/>
        </w:rPr>
        <w:t>Suhair</w:t>
      </w:r>
      <w:proofErr w:type="spellEnd"/>
      <w:r w:rsidRPr="00D434E6">
        <w:rPr>
          <w:sz w:val="20"/>
          <w:szCs w:val="20"/>
        </w:rPr>
        <w:t xml:space="preserve"> </w:t>
      </w:r>
      <w:proofErr w:type="spellStart"/>
      <w:r w:rsidRPr="00D434E6">
        <w:rPr>
          <w:sz w:val="20"/>
          <w:szCs w:val="20"/>
        </w:rPr>
        <w:t>Majaj</w:t>
      </w:r>
      <w:proofErr w:type="spellEnd"/>
      <w:r w:rsidRPr="00D434E6">
        <w:rPr>
          <w:sz w:val="20"/>
          <w:szCs w:val="20"/>
        </w:rPr>
        <w:t>, eds.</w:t>
      </w:r>
      <w:r w:rsidR="00D434E6" w:rsidRPr="00D434E6">
        <w:rPr>
          <w:sz w:val="20"/>
          <w:szCs w:val="20"/>
        </w:rPr>
        <w:t>,</w:t>
      </w:r>
      <w:r w:rsidRPr="00D434E6">
        <w:rPr>
          <w:sz w:val="20"/>
          <w:szCs w:val="20"/>
        </w:rPr>
        <w:t xml:space="preserve"> </w:t>
      </w:r>
      <w:r w:rsidRPr="00D434E6">
        <w:rPr>
          <w:i/>
          <w:iCs/>
          <w:sz w:val="20"/>
          <w:szCs w:val="20"/>
        </w:rPr>
        <w:t>Going Global: The Transnational Reception of Third World Women Writers</w:t>
      </w:r>
      <w:r w:rsidRPr="00D434E6">
        <w:rPr>
          <w:sz w:val="20"/>
          <w:szCs w:val="20"/>
        </w:rPr>
        <w:t xml:space="preserve"> </w:t>
      </w:r>
      <w:r w:rsidR="00D434E6" w:rsidRPr="00D434E6">
        <w:rPr>
          <w:sz w:val="20"/>
          <w:szCs w:val="20"/>
        </w:rPr>
        <w:t>(</w:t>
      </w:r>
      <w:r w:rsidRPr="00D434E6">
        <w:rPr>
          <w:sz w:val="20"/>
          <w:szCs w:val="20"/>
        </w:rPr>
        <w:t>New York, NY: Routledge, 2000</w:t>
      </w:r>
      <w:r w:rsidR="00D434E6" w:rsidRPr="00D434E6">
        <w:rPr>
          <w:sz w:val="20"/>
          <w:szCs w:val="20"/>
        </w:rPr>
        <w:t>), 9.</w:t>
      </w:r>
    </w:p>
  </w:footnote>
  <w:footnote w:id="23">
    <w:p w14:paraId="4C96974A" w14:textId="791F7031" w:rsidR="00D434E6" w:rsidRDefault="00D434E6">
      <w:pPr>
        <w:pStyle w:val="FootnoteText"/>
      </w:pPr>
      <w:r>
        <w:rPr>
          <w:rStyle w:val="FootnoteReference"/>
        </w:rPr>
        <w:footnoteRef/>
      </w:r>
      <w:r>
        <w:t xml:space="preserve"> </w:t>
      </w:r>
      <w:r w:rsidR="006637D3" w:rsidRPr="006637D3">
        <w:rPr>
          <w:sz w:val="20"/>
          <w:szCs w:val="20"/>
        </w:rPr>
        <w:t>van Wyke, Ben</w:t>
      </w:r>
      <w:r w:rsidR="006637D3">
        <w:rPr>
          <w:sz w:val="20"/>
          <w:szCs w:val="20"/>
        </w:rPr>
        <w:t>,</w:t>
      </w:r>
      <w:r w:rsidR="006637D3" w:rsidRPr="006637D3">
        <w:rPr>
          <w:sz w:val="20"/>
          <w:szCs w:val="20"/>
        </w:rPr>
        <w:t xml:space="preserve"> “Translation and Ethics</w:t>
      </w:r>
      <w:r w:rsidR="006637D3">
        <w:rPr>
          <w:sz w:val="20"/>
          <w:szCs w:val="20"/>
        </w:rPr>
        <w:t>,</w:t>
      </w:r>
      <w:r w:rsidR="006637D3" w:rsidRPr="006637D3">
        <w:rPr>
          <w:sz w:val="20"/>
          <w:szCs w:val="20"/>
        </w:rPr>
        <w:t xml:space="preserve">” </w:t>
      </w:r>
      <w:r w:rsidR="006637D3">
        <w:rPr>
          <w:sz w:val="20"/>
          <w:szCs w:val="20"/>
        </w:rPr>
        <w:t>i</w:t>
      </w:r>
      <w:r w:rsidR="006637D3" w:rsidRPr="006637D3">
        <w:rPr>
          <w:sz w:val="20"/>
          <w:szCs w:val="20"/>
        </w:rPr>
        <w:t xml:space="preserve">n </w:t>
      </w:r>
      <w:r w:rsidR="006637D3" w:rsidRPr="006637D3">
        <w:rPr>
          <w:i/>
          <w:iCs/>
          <w:sz w:val="20"/>
          <w:szCs w:val="20"/>
        </w:rPr>
        <w:t>The Routledge Handbook of Translation</w:t>
      </w:r>
      <w:r w:rsidR="006637D3" w:rsidRPr="006637D3">
        <w:rPr>
          <w:sz w:val="20"/>
          <w:szCs w:val="20"/>
        </w:rPr>
        <w:t xml:space="preserve">, </w:t>
      </w:r>
      <w:r w:rsidR="006637D3">
        <w:rPr>
          <w:sz w:val="20"/>
          <w:szCs w:val="20"/>
        </w:rPr>
        <w:t>eds.</w:t>
      </w:r>
      <w:r w:rsidR="006637D3" w:rsidRPr="006637D3">
        <w:rPr>
          <w:sz w:val="20"/>
          <w:szCs w:val="20"/>
        </w:rPr>
        <w:t xml:space="preserve"> Carman Milan and Francesca </w:t>
      </w:r>
      <w:proofErr w:type="spellStart"/>
      <w:r w:rsidR="006637D3" w:rsidRPr="006637D3">
        <w:rPr>
          <w:sz w:val="20"/>
          <w:szCs w:val="20"/>
        </w:rPr>
        <w:t>Bartrina</w:t>
      </w:r>
      <w:proofErr w:type="spellEnd"/>
      <w:r w:rsidR="006637D3" w:rsidRPr="006637D3">
        <w:rPr>
          <w:sz w:val="20"/>
          <w:szCs w:val="20"/>
        </w:rPr>
        <w:t xml:space="preserve">, 548–60 </w:t>
      </w:r>
      <w:r w:rsidR="006637D3">
        <w:rPr>
          <w:sz w:val="20"/>
          <w:szCs w:val="20"/>
        </w:rPr>
        <w:t>(</w:t>
      </w:r>
      <w:r w:rsidR="006637D3" w:rsidRPr="006637D3">
        <w:rPr>
          <w:sz w:val="20"/>
          <w:szCs w:val="20"/>
        </w:rPr>
        <w:t>New York, NY: Routledge, 2013</w:t>
      </w:r>
      <w:r w:rsidR="006637D3">
        <w:rPr>
          <w:sz w:val="20"/>
          <w:szCs w:val="20"/>
        </w:rPr>
        <w:t>), 557.</w:t>
      </w:r>
    </w:p>
  </w:footnote>
  <w:footnote w:id="24">
    <w:p w14:paraId="79666916" w14:textId="1F9F563A" w:rsidR="00AA035D" w:rsidRDefault="00AA035D">
      <w:pPr>
        <w:pStyle w:val="FootnoteText"/>
      </w:pPr>
      <w:r>
        <w:rPr>
          <w:rStyle w:val="FootnoteReference"/>
        </w:rPr>
        <w:footnoteRef/>
      </w:r>
      <w:r>
        <w:t xml:space="preserve"> </w:t>
      </w:r>
      <w:r w:rsidRPr="00AA035D">
        <w:rPr>
          <w:sz w:val="20"/>
          <w:szCs w:val="20"/>
        </w:rPr>
        <w:t xml:space="preserve">Brian James Baer, “Is There a Translation in This Class? A Crash Course in Translation Literacy,” in </w:t>
      </w:r>
      <w:r w:rsidRPr="00AA035D">
        <w:rPr>
          <w:i/>
          <w:iCs/>
          <w:sz w:val="20"/>
          <w:szCs w:val="20"/>
        </w:rPr>
        <w:t>Teaching Literature in Translation: Pedagogical Contexts and Reading Practices</w:t>
      </w:r>
      <w:r w:rsidRPr="00AA035D">
        <w:rPr>
          <w:sz w:val="20"/>
          <w:szCs w:val="20"/>
        </w:rPr>
        <w:t>, eds. Brian James Baer and Michelle Woods, 3–12 (New York, NY: Routledge, 2022), 5.</w:t>
      </w:r>
    </w:p>
  </w:footnote>
  <w:footnote w:id="25">
    <w:p w14:paraId="32652C15" w14:textId="0D313E13" w:rsidR="00636311" w:rsidRDefault="00636311">
      <w:pPr>
        <w:pStyle w:val="FootnoteText"/>
      </w:pPr>
      <w:r>
        <w:rPr>
          <w:rStyle w:val="FootnoteReference"/>
        </w:rPr>
        <w:footnoteRef/>
      </w:r>
      <w:r>
        <w:t xml:space="preserve"> </w:t>
      </w:r>
      <w:r w:rsidRPr="004B39C5">
        <w:rPr>
          <w:sz w:val="20"/>
          <w:szCs w:val="20"/>
        </w:rPr>
        <w:t xml:space="preserve">Edith Grossman, </w:t>
      </w:r>
      <w:r w:rsidRPr="004B39C5">
        <w:rPr>
          <w:i/>
          <w:iCs/>
          <w:sz w:val="20"/>
          <w:szCs w:val="20"/>
        </w:rPr>
        <w:t>Why Translation Matters</w:t>
      </w:r>
      <w:r w:rsidRPr="004B39C5">
        <w:rPr>
          <w:sz w:val="20"/>
          <w:szCs w:val="20"/>
        </w:rPr>
        <w:t xml:space="preserve"> (Orwigsburg, </w:t>
      </w:r>
      <w:r w:rsidR="004B39C5" w:rsidRPr="004B39C5">
        <w:rPr>
          <w:sz w:val="20"/>
          <w:szCs w:val="20"/>
        </w:rPr>
        <w:t>PA</w:t>
      </w:r>
      <w:r w:rsidRPr="004B39C5">
        <w:rPr>
          <w:sz w:val="20"/>
          <w:szCs w:val="20"/>
        </w:rPr>
        <w:t>: Yale University Press, 2010</w:t>
      </w:r>
      <w:r w:rsidR="004B39C5" w:rsidRPr="004B39C5">
        <w:rPr>
          <w:sz w:val="20"/>
          <w:szCs w:val="20"/>
        </w:rPr>
        <w:t>)</w:t>
      </w:r>
      <w:r w:rsidR="004B39C5">
        <w:rPr>
          <w:sz w:val="20"/>
          <w:szCs w:val="20"/>
        </w:rPr>
        <w:t>,</w:t>
      </w:r>
      <w:r w:rsidR="004B39C5" w:rsidRPr="004B39C5">
        <w:rPr>
          <w:sz w:val="20"/>
          <w:szCs w:val="20"/>
        </w:rPr>
        <w:t xml:space="preserve"> 69</w:t>
      </w:r>
      <w:r w:rsidRPr="004B39C5">
        <w:rPr>
          <w:sz w:val="20"/>
          <w:szCs w:val="20"/>
        </w:rPr>
        <w:t>.</w:t>
      </w:r>
    </w:p>
  </w:footnote>
  <w:footnote w:id="26">
    <w:p w14:paraId="248EB03A" w14:textId="779E6E38" w:rsidR="00960CD5" w:rsidRDefault="00960CD5">
      <w:pPr>
        <w:pStyle w:val="FootnoteText"/>
      </w:pPr>
      <w:r>
        <w:rPr>
          <w:rStyle w:val="FootnoteReference"/>
        </w:rPr>
        <w:footnoteRef/>
      </w:r>
      <w:r>
        <w:t xml:space="preserve"> </w:t>
      </w:r>
      <w:r w:rsidRPr="00960CD5">
        <w:rPr>
          <w:sz w:val="20"/>
          <w:szCs w:val="20"/>
        </w:rPr>
        <w:t xml:space="preserve">David Crystal, </w:t>
      </w:r>
      <w:r w:rsidRPr="00960CD5">
        <w:rPr>
          <w:i/>
          <w:iCs/>
          <w:sz w:val="20"/>
          <w:szCs w:val="20"/>
        </w:rPr>
        <w:t>How Language Works</w:t>
      </w:r>
      <w:r w:rsidRPr="00960CD5">
        <w:rPr>
          <w:sz w:val="20"/>
          <w:szCs w:val="20"/>
        </w:rPr>
        <w:t xml:space="preserve"> (New York: Avery, 2005), 417.</w:t>
      </w:r>
    </w:p>
  </w:footnote>
  <w:footnote w:id="27">
    <w:p w14:paraId="26C3EAFC" w14:textId="6512FDF1" w:rsidR="00960CD5" w:rsidRDefault="00960CD5">
      <w:pPr>
        <w:pStyle w:val="FootnoteText"/>
      </w:pPr>
      <w:r>
        <w:rPr>
          <w:rStyle w:val="FootnoteReference"/>
        </w:rPr>
        <w:footnoteRef/>
      </w:r>
      <w:r>
        <w:t xml:space="preserve"> </w:t>
      </w:r>
      <w:r w:rsidRPr="00960CD5">
        <w:rPr>
          <w:sz w:val="20"/>
          <w:szCs w:val="20"/>
        </w:rPr>
        <w:t xml:space="preserve">Bernd Meyer, “Case Studies,” in </w:t>
      </w:r>
      <w:r w:rsidRPr="00960CD5">
        <w:rPr>
          <w:i/>
          <w:iCs/>
          <w:sz w:val="20"/>
          <w:szCs w:val="20"/>
        </w:rPr>
        <w:t>Researching Translation and Interpreting</w:t>
      </w:r>
      <w:r w:rsidRPr="00960CD5">
        <w:rPr>
          <w:sz w:val="20"/>
          <w:szCs w:val="20"/>
        </w:rPr>
        <w:t>, eds. Claudia Angelelli and Brian James Baer, 177–84 (New York, NY: Routledge, 2016), 178.</w:t>
      </w:r>
    </w:p>
  </w:footnote>
  <w:footnote w:id="28">
    <w:p w14:paraId="6060911B" w14:textId="797DBDDE" w:rsidR="00BC52B4" w:rsidRDefault="00BC52B4">
      <w:pPr>
        <w:pStyle w:val="FootnoteText"/>
      </w:pPr>
      <w:r>
        <w:rPr>
          <w:rStyle w:val="FootnoteReference"/>
        </w:rPr>
        <w:footnoteRef/>
      </w:r>
      <w:r>
        <w:t xml:space="preserve"> </w:t>
      </w:r>
      <w:r w:rsidRPr="009F6DAE">
        <w:rPr>
          <w:sz w:val="20"/>
          <w:szCs w:val="20"/>
        </w:rPr>
        <w:t xml:space="preserve">Ika Willis, </w:t>
      </w:r>
      <w:r w:rsidRPr="009F6DAE">
        <w:rPr>
          <w:i/>
          <w:iCs/>
          <w:sz w:val="20"/>
          <w:szCs w:val="20"/>
        </w:rPr>
        <w:t>Reception</w:t>
      </w:r>
      <w:r w:rsidRPr="009F6DAE">
        <w:rPr>
          <w:sz w:val="20"/>
          <w:szCs w:val="20"/>
        </w:rPr>
        <w:t xml:space="preserve"> (New York: Routledge, 2018).</w:t>
      </w:r>
    </w:p>
  </w:footnote>
  <w:footnote w:id="29">
    <w:p w14:paraId="484B2261" w14:textId="70DB1A3E" w:rsidR="00BC52B4" w:rsidRDefault="00BC52B4">
      <w:pPr>
        <w:pStyle w:val="FootnoteText"/>
      </w:pPr>
      <w:r>
        <w:rPr>
          <w:rStyle w:val="FootnoteReference"/>
        </w:rPr>
        <w:footnoteRef/>
      </w:r>
      <w:r>
        <w:t xml:space="preserve"> </w:t>
      </w:r>
      <w:r w:rsidRPr="009F6DAE">
        <w:rPr>
          <w:sz w:val="20"/>
          <w:szCs w:val="20"/>
        </w:rPr>
        <w:t xml:space="preserve">Lawrence Venuti, </w:t>
      </w:r>
      <w:r w:rsidRPr="009F6DAE">
        <w:rPr>
          <w:i/>
          <w:iCs/>
          <w:sz w:val="20"/>
          <w:szCs w:val="20"/>
        </w:rPr>
        <w:t>Contra Instrumentalism: A Translation Polemic</w:t>
      </w:r>
      <w:r w:rsidRPr="009F6DAE">
        <w:rPr>
          <w:sz w:val="20"/>
          <w:szCs w:val="20"/>
        </w:rPr>
        <w:t xml:space="preserve"> (University of Nebraska Press, 2019).</w:t>
      </w:r>
    </w:p>
  </w:footnote>
  <w:footnote w:id="30">
    <w:p w14:paraId="2582D2BF" w14:textId="79230E87" w:rsidR="009F6DAE" w:rsidRDefault="009F6DAE">
      <w:pPr>
        <w:pStyle w:val="FootnoteText"/>
      </w:pPr>
      <w:r>
        <w:rPr>
          <w:rStyle w:val="FootnoteReference"/>
        </w:rPr>
        <w:footnoteRef/>
      </w:r>
      <w:r>
        <w:t xml:space="preserve"> </w:t>
      </w:r>
      <w:r w:rsidRPr="009F6DAE">
        <w:rPr>
          <w:sz w:val="20"/>
          <w:szCs w:val="20"/>
        </w:rPr>
        <w:t xml:space="preserve">Roland Barthes, “The Death of the Author,” in </w:t>
      </w:r>
      <w:r w:rsidRPr="009F6DAE">
        <w:rPr>
          <w:i/>
          <w:iCs/>
          <w:sz w:val="20"/>
          <w:szCs w:val="20"/>
        </w:rPr>
        <w:t>Image, Music, Text</w:t>
      </w:r>
      <w:r w:rsidRPr="009F6DAE">
        <w:rPr>
          <w:sz w:val="20"/>
          <w:szCs w:val="20"/>
        </w:rPr>
        <w:t>, ed. Stephen Heath, 142–48 (New York, NY: Hill and Wang, 1978).</w:t>
      </w:r>
    </w:p>
  </w:footnote>
  <w:footnote w:id="31">
    <w:p w14:paraId="5D378FEB" w14:textId="7F0FD2FE" w:rsidR="009F6DAE" w:rsidRDefault="009F6DAE">
      <w:pPr>
        <w:pStyle w:val="FootnoteText"/>
      </w:pPr>
      <w:r>
        <w:rPr>
          <w:rStyle w:val="FootnoteReference"/>
        </w:rPr>
        <w:footnoteRef/>
      </w:r>
      <w:r>
        <w:t xml:space="preserve"> </w:t>
      </w:r>
      <w:r w:rsidRPr="009F6DAE">
        <w:rPr>
          <w:sz w:val="20"/>
          <w:szCs w:val="20"/>
        </w:rPr>
        <w:t xml:space="preserve">Stuart Hall, </w:t>
      </w:r>
      <w:r w:rsidRPr="009F6DAE">
        <w:rPr>
          <w:i/>
          <w:iCs/>
          <w:sz w:val="20"/>
          <w:szCs w:val="20"/>
        </w:rPr>
        <w:t>Representation: Cultural Representations and Signifying Practices</w:t>
      </w:r>
      <w:r w:rsidRPr="009F6DAE">
        <w:rPr>
          <w:sz w:val="20"/>
          <w:szCs w:val="20"/>
        </w:rPr>
        <w:t xml:space="preserve"> (London: Sage in association with the Open University, 1997), 18.</w:t>
      </w:r>
    </w:p>
  </w:footnote>
  <w:footnote w:id="32">
    <w:p w14:paraId="74B62FFB" w14:textId="680E6054" w:rsidR="009F6DAE" w:rsidRDefault="009F6DAE">
      <w:pPr>
        <w:pStyle w:val="FootnoteText"/>
      </w:pPr>
      <w:r>
        <w:rPr>
          <w:rStyle w:val="FootnoteReference"/>
        </w:rPr>
        <w:footnoteRef/>
      </w:r>
      <w:r>
        <w:t xml:space="preserve"> </w:t>
      </w:r>
      <w:r w:rsidRPr="009F6DAE">
        <w:rPr>
          <w:sz w:val="20"/>
          <w:szCs w:val="20"/>
        </w:rPr>
        <w:t xml:space="preserve">Clive Scott, </w:t>
      </w:r>
      <w:r w:rsidRPr="009F6DAE">
        <w:rPr>
          <w:i/>
          <w:iCs/>
          <w:sz w:val="20"/>
          <w:szCs w:val="20"/>
        </w:rPr>
        <w:t>Translating the Perception of Text: Literary Translation and Phenomenology</w:t>
      </w:r>
      <w:r w:rsidRPr="009F6DAE">
        <w:rPr>
          <w:sz w:val="20"/>
          <w:szCs w:val="20"/>
        </w:rPr>
        <w:t xml:space="preserve"> (Oxford, UK: Routledge, 2012), 6.</w:t>
      </w:r>
    </w:p>
  </w:footnote>
  <w:footnote w:id="33">
    <w:p w14:paraId="0AFB03E1" w14:textId="11701797" w:rsidR="009F6DAE" w:rsidRDefault="009F6DAE">
      <w:pPr>
        <w:pStyle w:val="FootnoteText"/>
      </w:pPr>
      <w:r>
        <w:rPr>
          <w:rStyle w:val="FootnoteReference"/>
        </w:rPr>
        <w:footnoteRef/>
      </w:r>
      <w:r>
        <w:t xml:space="preserve"> </w:t>
      </w:r>
      <w:r w:rsidRPr="009F6DAE">
        <w:rPr>
          <w:sz w:val="20"/>
          <w:szCs w:val="20"/>
        </w:rPr>
        <w:t xml:space="preserve">Ben van Wyke, “Ethics and Translation,” in </w:t>
      </w:r>
      <w:r w:rsidRPr="009F6DAE">
        <w:rPr>
          <w:i/>
          <w:iCs/>
          <w:sz w:val="20"/>
          <w:szCs w:val="20"/>
        </w:rPr>
        <w:t>Handbook of Translation Studies</w:t>
      </w:r>
      <w:r w:rsidRPr="009F6DAE">
        <w:rPr>
          <w:sz w:val="20"/>
          <w:szCs w:val="20"/>
        </w:rPr>
        <w:t>, eds. Yves Gambier and Luc van Doorslaer, 1:111–15 (Amsterdam/Philadelphia: John Benjamins Publishing Company, 2010), 113.</w:t>
      </w:r>
    </w:p>
  </w:footnote>
  <w:footnote w:id="34">
    <w:p w14:paraId="1833AFC6" w14:textId="45AF6717" w:rsidR="00111E22" w:rsidRDefault="00111E22">
      <w:pPr>
        <w:pStyle w:val="FootnoteText"/>
      </w:pPr>
      <w:r>
        <w:rPr>
          <w:rStyle w:val="FootnoteReference"/>
        </w:rPr>
        <w:footnoteRef/>
      </w:r>
      <w:r>
        <w:t xml:space="preserve"> </w:t>
      </w:r>
      <w:r w:rsidRPr="00111E22">
        <w:rPr>
          <w:sz w:val="20"/>
          <w:szCs w:val="20"/>
        </w:rPr>
        <w:t xml:space="preserve">Claudia Angelelli and Brian James Baer, eds., </w:t>
      </w:r>
      <w:r w:rsidRPr="00111E22">
        <w:rPr>
          <w:i/>
          <w:iCs/>
          <w:sz w:val="20"/>
          <w:szCs w:val="20"/>
        </w:rPr>
        <w:t xml:space="preserve">Researching </w:t>
      </w:r>
      <w:proofErr w:type="gramStart"/>
      <w:r w:rsidRPr="00111E22">
        <w:rPr>
          <w:i/>
          <w:iCs/>
          <w:sz w:val="20"/>
          <w:szCs w:val="20"/>
        </w:rPr>
        <w:t>Translation</w:t>
      </w:r>
      <w:proofErr w:type="gramEnd"/>
      <w:r w:rsidRPr="00111E22">
        <w:rPr>
          <w:i/>
          <w:iCs/>
          <w:sz w:val="20"/>
          <w:szCs w:val="20"/>
        </w:rPr>
        <w:t xml:space="preserve"> and Interpreting</w:t>
      </w:r>
      <w:r w:rsidRPr="00111E22">
        <w:rPr>
          <w:sz w:val="20"/>
          <w:szCs w:val="20"/>
        </w:rPr>
        <w:t xml:space="preserve"> (New York, NY: Routledge, 2016).</w:t>
      </w:r>
    </w:p>
  </w:footnote>
  <w:footnote w:id="35">
    <w:p w14:paraId="3CE0E432" w14:textId="2DDABEC7" w:rsidR="001B3834" w:rsidRDefault="001B3834">
      <w:pPr>
        <w:pStyle w:val="FootnoteText"/>
      </w:pPr>
      <w:r>
        <w:rPr>
          <w:rStyle w:val="FootnoteReference"/>
        </w:rPr>
        <w:footnoteRef/>
      </w:r>
      <w:r>
        <w:t xml:space="preserve"> </w:t>
      </w:r>
      <w:r w:rsidRPr="001B3834">
        <w:rPr>
          <w:sz w:val="20"/>
          <w:szCs w:val="20"/>
        </w:rPr>
        <w:t xml:space="preserve">Leo </w:t>
      </w:r>
      <w:proofErr w:type="spellStart"/>
      <w:r w:rsidRPr="001B3834">
        <w:rPr>
          <w:sz w:val="20"/>
          <w:szCs w:val="20"/>
        </w:rPr>
        <w:t>Tak</w:t>
      </w:r>
      <w:proofErr w:type="spellEnd"/>
      <w:r w:rsidRPr="001B3834">
        <w:rPr>
          <w:sz w:val="20"/>
          <w:szCs w:val="20"/>
        </w:rPr>
        <w:t xml:space="preserve">-hung Chan, “Reader Response and Reception Theory,” in </w:t>
      </w:r>
      <w:r w:rsidRPr="001B3834">
        <w:rPr>
          <w:i/>
          <w:iCs/>
          <w:sz w:val="20"/>
          <w:szCs w:val="20"/>
        </w:rPr>
        <w:t>Researching Translation and Interpreting</w:t>
      </w:r>
      <w:r w:rsidRPr="001B3834">
        <w:rPr>
          <w:sz w:val="20"/>
          <w:szCs w:val="20"/>
        </w:rPr>
        <w:t>, eds. Brian James Baer and Claudia V. Angelelli, 146–54 (Abingdon: Routledge, 2015), 152.</w:t>
      </w:r>
    </w:p>
  </w:footnote>
  <w:footnote w:id="36">
    <w:p w14:paraId="180DFC28" w14:textId="371D83BA" w:rsidR="005C2F1A" w:rsidRDefault="005C2F1A">
      <w:pPr>
        <w:pStyle w:val="FootnoteText"/>
      </w:pPr>
      <w:r>
        <w:rPr>
          <w:rStyle w:val="FootnoteReference"/>
        </w:rPr>
        <w:footnoteRef/>
      </w:r>
      <w:r>
        <w:t xml:space="preserve"> </w:t>
      </w:r>
      <w:proofErr w:type="spellStart"/>
      <w:r w:rsidRPr="005C2F1A">
        <w:rPr>
          <w:sz w:val="20"/>
          <w:szCs w:val="20"/>
        </w:rPr>
        <w:t>Haidee</w:t>
      </w:r>
      <w:proofErr w:type="spellEnd"/>
      <w:r w:rsidRPr="005C2F1A">
        <w:rPr>
          <w:sz w:val="20"/>
          <w:szCs w:val="20"/>
        </w:rPr>
        <w:t xml:space="preserve"> Kruger and Jan</w:t>
      </w:r>
      <w:r w:rsidRPr="005C2F1A">
        <w:rPr>
          <w:rFonts w:ascii="Cambria Math" w:hAnsi="Cambria Math" w:cs="Cambria Math"/>
          <w:sz w:val="20"/>
          <w:szCs w:val="20"/>
        </w:rPr>
        <w:t>‐</w:t>
      </w:r>
      <w:r w:rsidRPr="005C2F1A">
        <w:rPr>
          <w:sz w:val="20"/>
          <w:szCs w:val="20"/>
        </w:rPr>
        <w:t xml:space="preserve">Louis Kruger, “Cognition and Reception,” in </w:t>
      </w:r>
      <w:r w:rsidRPr="005C2F1A">
        <w:rPr>
          <w:i/>
          <w:iCs/>
          <w:sz w:val="20"/>
          <w:szCs w:val="20"/>
        </w:rPr>
        <w:t>The Handbook of Translation and Cognition</w:t>
      </w:r>
      <w:r w:rsidRPr="005C2F1A">
        <w:rPr>
          <w:sz w:val="20"/>
          <w:szCs w:val="20"/>
        </w:rPr>
        <w:t xml:space="preserve">, eds. John W. </w:t>
      </w:r>
      <w:proofErr w:type="spellStart"/>
      <w:r w:rsidRPr="005C2F1A">
        <w:rPr>
          <w:sz w:val="20"/>
          <w:szCs w:val="20"/>
        </w:rPr>
        <w:t>Schwieter</w:t>
      </w:r>
      <w:proofErr w:type="spellEnd"/>
      <w:r w:rsidRPr="005C2F1A">
        <w:rPr>
          <w:sz w:val="20"/>
          <w:szCs w:val="20"/>
        </w:rPr>
        <w:t xml:space="preserve"> and Aline Ferreira, 71–89 (Hoboken, NJ: Wiley, 2017); </w:t>
      </w:r>
      <w:proofErr w:type="spellStart"/>
      <w:r w:rsidRPr="005C2F1A">
        <w:rPr>
          <w:sz w:val="20"/>
          <w:szCs w:val="20"/>
        </w:rPr>
        <w:t>Gisèle</w:t>
      </w:r>
      <w:proofErr w:type="spellEnd"/>
      <w:r w:rsidRPr="005C2F1A">
        <w:rPr>
          <w:sz w:val="20"/>
          <w:szCs w:val="20"/>
        </w:rPr>
        <w:t xml:space="preserve"> Sapiro, “The Sociology of Translation: A New Research Domain,” in </w:t>
      </w:r>
      <w:r w:rsidRPr="005C2F1A">
        <w:rPr>
          <w:i/>
          <w:iCs/>
          <w:sz w:val="20"/>
          <w:szCs w:val="20"/>
        </w:rPr>
        <w:t>A Companion to Translation Studies</w:t>
      </w:r>
      <w:r w:rsidRPr="005C2F1A">
        <w:rPr>
          <w:sz w:val="20"/>
          <w:szCs w:val="20"/>
        </w:rPr>
        <w:t xml:space="preserve">, eds. Sandra </w:t>
      </w:r>
      <w:proofErr w:type="spellStart"/>
      <w:r w:rsidRPr="005C2F1A">
        <w:rPr>
          <w:sz w:val="20"/>
          <w:szCs w:val="20"/>
        </w:rPr>
        <w:t>Bermann</w:t>
      </w:r>
      <w:proofErr w:type="spellEnd"/>
      <w:r w:rsidRPr="005C2F1A">
        <w:rPr>
          <w:sz w:val="20"/>
          <w:szCs w:val="20"/>
        </w:rPr>
        <w:t xml:space="preserve"> and Catherine Porter, 82–94 (Oxford, UK: John Wiley &amp; Sons, Ltd, 2014); Brian James Baer, “Translated Literature and the Role of the Reader,” in </w:t>
      </w:r>
      <w:r w:rsidRPr="005C2F1A">
        <w:rPr>
          <w:i/>
          <w:iCs/>
          <w:sz w:val="20"/>
          <w:szCs w:val="20"/>
        </w:rPr>
        <w:t>A Companion to Translation Studies</w:t>
      </w:r>
      <w:r w:rsidRPr="005C2F1A">
        <w:rPr>
          <w:sz w:val="20"/>
          <w:szCs w:val="20"/>
        </w:rPr>
        <w:t>, 333–45 (Oxford, UK: John Wiley &amp; Sons, Ltd, 2014).</w:t>
      </w:r>
    </w:p>
  </w:footnote>
  <w:footnote w:id="37">
    <w:p w14:paraId="32F86C29" w14:textId="7481E8BD" w:rsidR="00F75352" w:rsidRDefault="00F75352">
      <w:pPr>
        <w:pStyle w:val="FootnoteText"/>
      </w:pPr>
      <w:r>
        <w:rPr>
          <w:rStyle w:val="FootnoteReference"/>
        </w:rPr>
        <w:footnoteRef/>
      </w:r>
      <w:r>
        <w:t xml:space="preserve"> </w:t>
      </w:r>
      <w:r w:rsidRPr="00F75352">
        <w:rPr>
          <w:sz w:val="20"/>
          <w:szCs w:val="20"/>
        </w:rPr>
        <w:t xml:space="preserve">Anthony Pym, “Translations and Their Readers. What We Know and Don’t Know,” </w:t>
      </w:r>
      <w:r w:rsidRPr="00F75352">
        <w:rPr>
          <w:i/>
          <w:iCs/>
          <w:sz w:val="20"/>
          <w:szCs w:val="20"/>
        </w:rPr>
        <w:t>YouTube</w:t>
      </w:r>
      <w:r w:rsidRPr="00F75352">
        <w:rPr>
          <w:sz w:val="20"/>
          <w:szCs w:val="20"/>
        </w:rPr>
        <w:t>, 2021. https://www.youtube.com/watch?v=JYrXneLIjq4&amp;t=5s.</w:t>
      </w:r>
    </w:p>
  </w:footnote>
  <w:footnote w:id="38">
    <w:p w14:paraId="254EADE0" w14:textId="2B845D7B" w:rsidR="00650E1E" w:rsidRDefault="00650E1E">
      <w:pPr>
        <w:pStyle w:val="FootnoteText"/>
      </w:pPr>
      <w:r>
        <w:rPr>
          <w:rStyle w:val="FootnoteReference"/>
        </w:rPr>
        <w:footnoteRef/>
      </w:r>
      <w:r>
        <w:t xml:space="preserve"> </w:t>
      </w:r>
      <w:r w:rsidRPr="00650E1E">
        <w:rPr>
          <w:sz w:val="20"/>
          <w:szCs w:val="20"/>
        </w:rPr>
        <w:t xml:space="preserve">Hans </w:t>
      </w:r>
      <w:proofErr w:type="spellStart"/>
      <w:r w:rsidRPr="00650E1E">
        <w:rPr>
          <w:sz w:val="20"/>
          <w:szCs w:val="20"/>
        </w:rPr>
        <w:t>Bertens</w:t>
      </w:r>
      <w:proofErr w:type="spellEnd"/>
      <w:r w:rsidRPr="00650E1E">
        <w:rPr>
          <w:sz w:val="20"/>
          <w:szCs w:val="20"/>
        </w:rPr>
        <w:t xml:space="preserve">, </w:t>
      </w:r>
      <w:r w:rsidRPr="00650E1E">
        <w:rPr>
          <w:i/>
          <w:iCs/>
          <w:sz w:val="20"/>
          <w:szCs w:val="20"/>
        </w:rPr>
        <w:t>Literary Theory: The Basics</w:t>
      </w:r>
      <w:r w:rsidRPr="00650E1E">
        <w:rPr>
          <w:sz w:val="20"/>
          <w:szCs w:val="20"/>
        </w:rPr>
        <w:t>, 3</w:t>
      </w:r>
      <w:r w:rsidRPr="00650E1E">
        <w:rPr>
          <w:sz w:val="20"/>
          <w:szCs w:val="20"/>
          <w:vertAlign w:val="superscript"/>
        </w:rPr>
        <w:t>rd</w:t>
      </w:r>
      <w:r w:rsidRPr="00650E1E">
        <w:rPr>
          <w:sz w:val="20"/>
          <w:szCs w:val="20"/>
        </w:rPr>
        <w:t xml:space="preserve"> ed (New York, NY: Routledge, 2017), 98.</w:t>
      </w:r>
    </w:p>
  </w:footnote>
  <w:footnote w:id="39">
    <w:p w14:paraId="3032F5BC" w14:textId="2E65FF95" w:rsidR="00AB601D" w:rsidRDefault="00AB601D">
      <w:pPr>
        <w:pStyle w:val="FootnoteText"/>
      </w:pPr>
      <w:r>
        <w:rPr>
          <w:rStyle w:val="FootnoteReference"/>
        </w:rPr>
        <w:footnoteRef/>
      </w:r>
      <w:r>
        <w:t xml:space="preserve"> </w:t>
      </w:r>
      <w:r w:rsidRPr="00AB601D">
        <w:rPr>
          <w:sz w:val="20"/>
          <w:szCs w:val="20"/>
        </w:rPr>
        <w:t xml:space="preserve">Joseph Conte, </w:t>
      </w:r>
      <w:r w:rsidRPr="00AB601D">
        <w:rPr>
          <w:i/>
          <w:iCs/>
          <w:sz w:val="20"/>
          <w:szCs w:val="20"/>
        </w:rPr>
        <w:t>Transnational Politics in the Post-9/11 Novel</w:t>
      </w:r>
      <w:r w:rsidRPr="00AB601D">
        <w:rPr>
          <w:sz w:val="20"/>
          <w:szCs w:val="20"/>
        </w:rPr>
        <w:t xml:space="preserve"> (New York, NY: Routledge, 2020).</w:t>
      </w:r>
    </w:p>
  </w:footnote>
  <w:footnote w:id="40">
    <w:p w14:paraId="23AD49D3" w14:textId="5D0D55E1" w:rsidR="008B27DA" w:rsidRDefault="008B27DA">
      <w:pPr>
        <w:pStyle w:val="FootnoteText"/>
      </w:pPr>
      <w:r>
        <w:rPr>
          <w:rStyle w:val="FootnoteReference"/>
        </w:rPr>
        <w:footnoteRef/>
      </w:r>
      <w:r>
        <w:t xml:space="preserve"> </w:t>
      </w:r>
      <w:r w:rsidRPr="008B27DA">
        <w:rPr>
          <w:sz w:val="20"/>
          <w:szCs w:val="20"/>
        </w:rPr>
        <w:t xml:space="preserve">Gérard Genette, </w:t>
      </w:r>
      <w:r w:rsidRPr="008B27DA">
        <w:rPr>
          <w:i/>
          <w:iCs/>
          <w:sz w:val="20"/>
          <w:szCs w:val="20"/>
        </w:rPr>
        <w:t>Paratexts: Thresholds of Interpretation</w:t>
      </w:r>
      <w:r w:rsidRPr="008B27DA">
        <w:rPr>
          <w:sz w:val="20"/>
          <w:szCs w:val="20"/>
        </w:rPr>
        <w:t xml:space="preserve"> (Cambridge, England: Cambridge University Press, 1997).</w:t>
      </w:r>
    </w:p>
  </w:footnote>
  <w:footnote w:id="41">
    <w:p w14:paraId="434AAB28" w14:textId="5F2123BA" w:rsidR="00D24047" w:rsidRDefault="00D24047">
      <w:pPr>
        <w:pStyle w:val="FootnoteText"/>
      </w:pPr>
      <w:r>
        <w:rPr>
          <w:rStyle w:val="FootnoteReference"/>
        </w:rPr>
        <w:footnoteRef/>
      </w:r>
      <w:r>
        <w:t xml:space="preserve"> </w:t>
      </w:r>
      <w:r w:rsidRPr="00D24047">
        <w:rPr>
          <w:sz w:val="20"/>
          <w:szCs w:val="20"/>
        </w:rPr>
        <w:t>Ibid., 238.</w:t>
      </w:r>
    </w:p>
  </w:footnote>
  <w:footnote w:id="42">
    <w:p w14:paraId="34C9D30E" w14:textId="08BFC0DB" w:rsidR="00A741BE" w:rsidRDefault="00A741BE">
      <w:pPr>
        <w:pStyle w:val="FootnoteText"/>
      </w:pPr>
      <w:r>
        <w:rPr>
          <w:rStyle w:val="FootnoteReference"/>
        </w:rPr>
        <w:footnoteRef/>
      </w:r>
      <w:r>
        <w:t xml:space="preserve"> </w:t>
      </w:r>
      <w:r w:rsidRPr="00A741BE">
        <w:rPr>
          <w:sz w:val="20"/>
          <w:szCs w:val="20"/>
        </w:rPr>
        <w:t xml:space="preserve">Richard Watts, </w:t>
      </w:r>
      <w:r w:rsidRPr="00A741BE">
        <w:rPr>
          <w:i/>
          <w:iCs/>
          <w:sz w:val="20"/>
          <w:szCs w:val="20"/>
        </w:rPr>
        <w:t>Packaging Post/Coloniality: The Manufacture of Literary Identity in the Francophone World</w:t>
      </w:r>
      <w:r w:rsidRPr="00A741BE">
        <w:rPr>
          <w:sz w:val="20"/>
          <w:szCs w:val="20"/>
        </w:rPr>
        <w:t xml:space="preserve"> (Lanham, MD: Lexington Books, 2005), 14.</w:t>
      </w:r>
    </w:p>
  </w:footnote>
  <w:footnote w:id="43">
    <w:p w14:paraId="4FD30121" w14:textId="1C73D3F0" w:rsidR="001A6EB6" w:rsidRPr="001A6EB6" w:rsidRDefault="001A6EB6">
      <w:pPr>
        <w:pStyle w:val="FootnoteText"/>
        <w:rPr>
          <w:sz w:val="20"/>
          <w:szCs w:val="20"/>
        </w:rPr>
      </w:pPr>
      <w:r>
        <w:rPr>
          <w:rStyle w:val="FootnoteReference"/>
        </w:rPr>
        <w:footnoteRef/>
      </w:r>
      <w:r>
        <w:t xml:space="preserve"> </w:t>
      </w:r>
      <w:r w:rsidRPr="001A6EB6">
        <w:rPr>
          <w:sz w:val="20"/>
          <w:szCs w:val="20"/>
        </w:rPr>
        <w:t>Ibid., 2.</w:t>
      </w:r>
    </w:p>
  </w:footnote>
  <w:footnote w:id="44">
    <w:p w14:paraId="6CE9E31D" w14:textId="759C4625" w:rsidR="001A6EB6" w:rsidRDefault="001A6EB6">
      <w:pPr>
        <w:pStyle w:val="FootnoteText"/>
      </w:pPr>
      <w:r>
        <w:rPr>
          <w:rStyle w:val="FootnoteReference"/>
        </w:rPr>
        <w:footnoteRef/>
      </w:r>
      <w:r>
        <w:t xml:space="preserve"> </w:t>
      </w:r>
      <w:r w:rsidRPr="001A6EB6">
        <w:rPr>
          <w:sz w:val="20"/>
          <w:szCs w:val="20"/>
        </w:rPr>
        <w:t>Wolfgang</w:t>
      </w:r>
      <w:r>
        <w:rPr>
          <w:sz w:val="20"/>
          <w:szCs w:val="20"/>
        </w:rPr>
        <w:t xml:space="preserve"> </w:t>
      </w:r>
      <w:r w:rsidRPr="001A6EB6">
        <w:rPr>
          <w:sz w:val="20"/>
          <w:szCs w:val="20"/>
        </w:rPr>
        <w:t xml:space="preserve">Iser, </w:t>
      </w:r>
      <w:r w:rsidRPr="001A6EB6">
        <w:rPr>
          <w:i/>
          <w:iCs/>
          <w:sz w:val="20"/>
          <w:szCs w:val="20"/>
        </w:rPr>
        <w:t>The Implied Reader</w:t>
      </w:r>
      <w:r w:rsidRPr="001A6EB6">
        <w:rPr>
          <w:sz w:val="20"/>
          <w:szCs w:val="20"/>
        </w:rPr>
        <w:t xml:space="preserve"> </w:t>
      </w:r>
      <w:r>
        <w:rPr>
          <w:sz w:val="20"/>
          <w:szCs w:val="20"/>
        </w:rPr>
        <w:t>(</w:t>
      </w:r>
      <w:r w:rsidRPr="001A6EB6">
        <w:rPr>
          <w:sz w:val="20"/>
          <w:szCs w:val="20"/>
        </w:rPr>
        <w:t>Baltimore and London: The John Hopkins University Press, 1974</w:t>
      </w:r>
      <w:r>
        <w:rPr>
          <w:sz w:val="20"/>
          <w:szCs w:val="20"/>
        </w:rPr>
        <w:t>), 282</w:t>
      </w:r>
      <w:r w:rsidRPr="001A6EB6">
        <w:rPr>
          <w:sz w:val="20"/>
          <w:szCs w:val="20"/>
        </w:rPr>
        <w:t>.</w:t>
      </w:r>
    </w:p>
  </w:footnote>
  <w:footnote w:id="45">
    <w:p w14:paraId="011D934E" w14:textId="2BE6A683" w:rsidR="00CD5A58" w:rsidRDefault="00CD5A58" w:rsidP="00F407CF">
      <w:pPr>
        <w:pStyle w:val="Footnote"/>
      </w:pPr>
      <w:r>
        <w:rPr>
          <w:rStyle w:val="FootnoteReference"/>
        </w:rPr>
        <w:footnoteRef/>
      </w:r>
      <w:r>
        <w:t xml:space="preserve"> </w:t>
      </w:r>
      <w:r w:rsidRPr="00F407CF">
        <w:rPr>
          <w:i w:val="0"/>
          <w:iCs w:val="0"/>
        </w:rPr>
        <w:t>What is unique about Iser’s metaphor is that once it is inver</w:t>
      </w:r>
      <w:r w:rsidR="00987BFE" w:rsidRPr="00F407CF">
        <w:rPr>
          <w:i w:val="0"/>
          <w:iCs w:val="0"/>
        </w:rPr>
        <w:t>ted</w:t>
      </w:r>
      <w:r w:rsidRPr="00F407CF">
        <w:rPr>
          <w:i w:val="0"/>
          <w:iCs w:val="0"/>
        </w:rPr>
        <w:t>—that the lines (meaning) are fixed even if the stars (</w:t>
      </w:r>
      <w:r w:rsidR="00BC504C" w:rsidRPr="00F407CF">
        <w:rPr>
          <w:i w:val="0"/>
          <w:iCs w:val="0"/>
        </w:rPr>
        <w:t>a ST</w:t>
      </w:r>
      <w:r w:rsidRPr="00F407CF">
        <w:rPr>
          <w:i w:val="0"/>
          <w:iCs w:val="0"/>
        </w:rPr>
        <w:t xml:space="preserve"> </w:t>
      </w:r>
      <w:r w:rsidR="00BC504C" w:rsidRPr="00F407CF">
        <w:rPr>
          <w:i w:val="0"/>
          <w:iCs w:val="0"/>
        </w:rPr>
        <w:t xml:space="preserve">and its </w:t>
      </w:r>
      <w:r w:rsidRPr="00F407CF">
        <w:rPr>
          <w:i w:val="0"/>
          <w:iCs w:val="0"/>
        </w:rPr>
        <w:t>translation, for example) are different—positivism surfaces.</w:t>
      </w:r>
    </w:p>
  </w:footnote>
  <w:footnote w:id="46">
    <w:p w14:paraId="74FD9949" w14:textId="4BD460C3" w:rsidR="00CD5A58" w:rsidRDefault="00CD5A58" w:rsidP="00F407CF">
      <w:pPr>
        <w:pStyle w:val="Footnote"/>
      </w:pPr>
      <w:r>
        <w:rPr>
          <w:rStyle w:val="FootnoteReference"/>
        </w:rPr>
        <w:footnoteRef/>
      </w:r>
      <w:r>
        <w:t xml:space="preserve"> </w:t>
      </w:r>
      <w:r w:rsidRPr="00F407CF">
        <w:rPr>
          <w:i w:val="0"/>
          <w:iCs w:val="0"/>
        </w:rPr>
        <w:t>Of course, this is not meant to underestimate the reader’s agency, as the reader has the final say in the matter of meaning creation, or to suggest that packaging is the sole player in meaning creation, but rather to stress the immense significance of articulated interpretations transmitted to the reader through a paratextual medium (i.e., packaging), whereby reading against the backdrop of specific presuppositions is scaffolded so that certain interpretations are buttressed during the reading act.</w:t>
      </w:r>
    </w:p>
  </w:footnote>
  <w:footnote w:id="47">
    <w:p w14:paraId="72BC605F" w14:textId="3776666F" w:rsidR="00197476" w:rsidRDefault="00197476">
      <w:pPr>
        <w:pStyle w:val="FootnoteText"/>
      </w:pPr>
      <w:r>
        <w:rPr>
          <w:rStyle w:val="FootnoteReference"/>
        </w:rPr>
        <w:footnoteRef/>
      </w:r>
      <w:r>
        <w:t xml:space="preserve"> </w:t>
      </w:r>
      <w:proofErr w:type="spellStart"/>
      <w:r w:rsidRPr="00197476">
        <w:rPr>
          <w:sz w:val="20"/>
          <w:szCs w:val="20"/>
        </w:rPr>
        <w:t>Şehnaz</w:t>
      </w:r>
      <w:proofErr w:type="spellEnd"/>
      <w:r w:rsidRPr="00197476">
        <w:rPr>
          <w:sz w:val="20"/>
          <w:szCs w:val="20"/>
        </w:rPr>
        <w:t xml:space="preserve"> Tahir </w:t>
      </w:r>
      <w:proofErr w:type="spellStart"/>
      <w:r w:rsidRPr="00197476">
        <w:rPr>
          <w:sz w:val="20"/>
          <w:szCs w:val="20"/>
        </w:rPr>
        <w:t>Gürçaglar</w:t>
      </w:r>
      <w:proofErr w:type="spellEnd"/>
      <w:r w:rsidRPr="00197476">
        <w:rPr>
          <w:sz w:val="20"/>
          <w:szCs w:val="20"/>
        </w:rPr>
        <w:t xml:space="preserve">, “Translated Texts / Paratexts,” in </w:t>
      </w:r>
      <w:r w:rsidRPr="00197476">
        <w:rPr>
          <w:i/>
          <w:iCs/>
          <w:sz w:val="20"/>
          <w:szCs w:val="20"/>
        </w:rPr>
        <w:t>A History of Modern Translation Knowledge: Sources, Concepts, Effects</w:t>
      </w:r>
      <w:r w:rsidRPr="00197476">
        <w:rPr>
          <w:sz w:val="20"/>
          <w:szCs w:val="20"/>
        </w:rPr>
        <w:t xml:space="preserve">, eds. </w:t>
      </w:r>
      <w:proofErr w:type="spellStart"/>
      <w:r w:rsidRPr="00197476">
        <w:rPr>
          <w:sz w:val="20"/>
          <w:szCs w:val="20"/>
        </w:rPr>
        <w:t>D’hulst</w:t>
      </w:r>
      <w:proofErr w:type="spellEnd"/>
      <w:r w:rsidRPr="00197476">
        <w:rPr>
          <w:sz w:val="20"/>
          <w:szCs w:val="20"/>
        </w:rPr>
        <w:t xml:space="preserve"> Lieven and Yves Gambier, 287–92 (Amsterdam: John Benjamins Publishing Company, 2018), 289.</w:t>
      </w:r>
    </w:p>
  </w:footnote>
  <w:footnote w:id="48">
    <w:p w14:paraId="2536870E" w14:textId="1F808A32" w:rsidR="000E10DC" w:rsidRDefault="000E10DC">
      <w:pPr>
        <w:pStyle w:val="FootnoteText"/>
      </w:pPr>
      <w:r>
        <w:rPr>
          <w:rStyle w:val="FootnoteReference"/>
        </w:rPr>
        <w:footnoteRef/>
      </w:r>
      <w:r>
        <w:t xml:space="preserve"> </w:t>
      </w:r>
      <w:r w:rsidRPr="000E10DC">
        <w:rPr>
          <w:sz w:val="20"/>
          <w:szCs w:val="20"/>
        </w:rPr>
        <w:t>Pierre</w:t>
      </w:r>
      <w:r>
        <w:rPr>
          <w:sz w:val="20"/>
          <w:szCs w:val="20"/>
        </w:rPr>
        <w:t xml:space="preserve"> </w:t>
      </w:r>
      <w:r w:rsidRPr="006F0615">
        <w:rPr>
          <w:sz w:val="20"/>
          <w:szCs w:val="20"/>
        </w:rPr>
        <w:t>Bourdieu,</w:t>
      </w:r>
      <w:r w:rsidRPr="000E10DC">
        <w:rPr>
          <w:sz w:val="20"/>
          <w:szCs w:val="20"/>
        </w:rPr>
        <w:t xml:space="preserve"> “The Social Conditions of the International Circulation of Ideas</w:t>
      </w:r>
      <w:r>
        <w:rPr>
          <w:sz w:val="20"/>
          <w:szCs w:val="20"/>
        </w:rPr>
        <w:t>,</w:t>
      </w:r>
      <w:r w:rsidRPr="000E10DC">
        <w:rPr>
          <w:sz w:val="20"/>
          <w:szCs w:val="20"/>
        </w:rPr>
        <w:t xml:space="preserve">” </w:t>
      </w:r>
      <w:r>
        <w:rPr>
          <w:sz w:val="20"/>
          <w:szCs w:val="20"/>
        </w:rPr>
        <w:t>i</w:t>
      </w:r>
      <w:r w:rsidRPr="000E10DC">
        <w:rPr>
          <w:sz w:val="20"/>
          <w:szCs w:val="20"/>
        </w:rPr>
        <w:t xml:space="preserve">n </w:t>
      </w:r>
      <w:r w:rsidRPr="000E10DC">
        <w:rPr>
          <w:i/>
          <w:iCs/>
          <w:sz w:val="20"/>
          <w:szCs w:val="20"/>
        </w:rPr>
        <w:t>Bourdieu: A Critical Reader</w:t>
      </w:r>
      <w:r w:rsidRPr="000E10DC">
        <w:rPr>
          <w:sz w:val="20"/>
          <w:szCs w:val="20"/>
        </w:rPr>
        <w:t xml:space="preserve">, </w:t>
      </w:r>
      <w:r>
        <w:rPr>
          <w:sz w:val="20"/>
          <w:szCs w:val="20"/>
        </w:rPr>
        <w:t>ed.</w:t>
      </w:r>
      <w:r w:rsidRPr="000E10DC">
        <w:rPr>
          <w:sz w:val="20"/>
          <w:szCs w:val="20"/>
        </w:rPr>
        <w:t xml:space="preserve"> Richard Shusterman, 220–28 </w:t>
      </w:r>
      <w:r>
        <w:rPr>
          <w:sz w:val="20"/>
          <w:szCs w:val="20"/>
        </w:rPr>
        <w:t>(</w:t>
      </w:r>
      <w:r w:rsidRPr="000E10DC">
        <w:rPr>
          <w:sz w:val="20"/>
          <w:szCs w:val="20"/>
        </w:rPr>
        <w:t>Oxford, UK: Wiley-Blackwell, 1999</w:t>
      </w:r>
      <w:r>
        <w:rPr>
          <w:sz w:val="20"/>
          <w:szCs w:val="20"/>
        </w:rPr>
        <w:t>), 224</w:t>
      </w:r>
      <w:r w:rsidRPr="000E10DC">
        <w:rPr>
          <w:sz w:val="20"/>
          <w:szCs w:val="20"/>
        </w:rPr>
        <w:t>.</w:t>
      </w:r>
    </w:p>
  </w:footnote>
  <w:footnote w:id="49">
    <w:p w14:paraId="73AD65AA" w14:textId="47EF4C53" w:rsidR="00264C54" w:rsidRDefault="00264C54">
      <w:pPr>
        <w:pStyle w:val="FootnoteText"/>
      </w:pPr>
      <w:r>
        <w:rPr>
          <w:rStyle w:val="FootnoteReference"/>
        </w:rPr>
        <w:footnoteRef/>
      </w:r>
      <w:r>
        <w:t xml:space="preserve"> </w:t>
      </w:r>
      <w:r w:rsidRPr="00264C54">
        <w:rPr>
          <w:sz w:val="20"/>
          <w:szCs w:val="20"/>
        </w:rPr>
        <w:t xml:space="preserve">Watts, </w:t>
      </w:r>
      <w:r w:rsidRPr="00264C54">
        <w:rPr>
          <w:i/>
          <w:iCs/>
          <w:sz w:val="20"/>
          <w:szCs w:val="20"/>
        </w:rPr>
        <w:t>Packaging Post/Coloniality</w:t>
      </w:r>
      <w:r w:rsidRPr="00264C54">
        <w:rPr>
          <w:sz w:val="20"/>
          <w:szCs w:val="20"/>
        </w:rPr>
        <w:t>, 5.</w:t>
      </w:r>
    </w:p>
  </w:footnote>
  <w:footnote w:id="50">
    <w:p w14:paraId="3FEE6C9F" w14:textId="2D90F9B9" w:rsidR="00CD5A58" w:rsidRDefault="00CD5A58" w:rsidP="00F407CF">
      <w:pPr>
        <w:pStyle w:val="Footnote"/>
      </w:pPr>
      <w:r>
        <w:rPr>
          <w:rStyle w:val="FootnoteReference"/>
        </w:rPr>
        <w:footnoteRef/>
      </w:r>
      <w:r>
        <w:t xml:space="preserve"> </w:t>
      </w:r>
      <w:r w:rsidRPr="00F407CF">
        <w:rPr>
          <w:i w:val="0"/>
          <w:iCs w:val="0"/>
        </w:rPr>
        <w:t>This is how I’ve decided to cite the reader responses collected as data: Initializing the text “GOR</w:t>
      </w:r>
      <w:r w:rsidR="001024C4" w:rsidRPr="00F407CF">
        <w:rPr>
          <w:i w:val="0"/>
          <w:iCs w:val="0"/>
        </w:rPr>
        <w:t>,</w:t>
      </w:r>
      <w:r w:rsidRPr="00F407CF">
        <w:rPr>
          <w:i w:val="0"/>
          <w:iCs w:val="0"/>
        </w:rPr>
        <w:t>” followed by “ENG” to indicate English translation and “AR” to indicate the Arabic text and then a number to designate the sequential order of the review as it appears in each corpus.</w:t>
      </w:r>
    </w:p>
  </w:footnote>
  <w:footnote w:id="51">
    <w:p w14:paraId="08CB6CD5" w14:textId="63EF3727" w:rsidR="009B3364" w:rsidRDefault="009B3364">
      <w:pPr>
        <w:pStyle w:val="FootnoteText"/>
      </w:pPr>
      <w:r>
        <w:rPr>
          <w:rStyle w:val="FootnoteReference"/>
        </w:rPr>
        <w:footnoteRef/>
      </w:r>
      <w:r>
        <w:t xml:space="preserve"> </w:t>
      </w:r>
      <w:proofErr w:type="spellStart"/>
      <w:r w:rsidRPr="009B3364">
        <w:rPr>
          <w:sz w:val="20"/>
          <w:szCs w:val="20"/>
        </w:rPr>
        <w:t>Alev</w:t>
      </w:r>
      <w:proofErr w:type="spellEnd"/>
      <w:r w:rsidRPr="009B3364">
        <w:rPr>
          <w:sz w:val="20"/>
          <w:szCs w:val="20"/>
        </w:rPr>
        <w:t xml:space="preserve"> Adil, “Girls of Riyadh, by Rajaa Alsanea, Trans. Marilyn Booth,” </w:t>
      </w:r>
      <w:r w:rsidRPr="009B3364">
        <w:rPr>
          <w:i/>
          <w:iCs/>
          <w:sz w:val="20"/>
          <w:szCs w:val="20"/>
        </w:rPr>
        <w:t>Independent</w:t>
      </w:r>
      <w:r w:rsidRPr="009B3364">
        <w:rPr>
          <w:sz w:val="20"/>
          <w:szCs w:val="20"/>
        </w:rPr>
        <w:t>, August 3, 2007</w:t>
      </w:r>
      <w:r w:rsidR="00D73BA6">
        <w:rPr>
          <w:sz w:val="20"/>
          <w:szCs w:val="20"/>
        </w:rPr>
        <w:t>, para. 1,</w:t>
      </w:r>
      <w:r w:rsidRPr="009B3364">
        <w:rPr>
          <w:sz w:val="20"/>
          <w:szCs w:val="20"/>
        </w:rPr>
        <w:t xml:space="preserve"> </w:t>
      </w:r>
      <w:hyperlink r:id="rId1" w:history="1">
        <w:r w:rsidRPr="00CA5D6F">
          <w:rPr>
            <w:rStyle w:val="Hyperlink"/>
            <w:sz w:val="20"/>
            <w:szCs w:val="20"/>
          </w:rPr>
          <w:t>https://www.independent.co.uk/arts-entertainment/books/reviews/girls-of-riyadh-by-rajaa-alsanea-trans-marilyn-booth-5334374.html</w:t>
        </w:r>
      </w:hyperlink>
      <w:r>
        <w:rPr>
          <w:sz w:val="20"/>
          <w:szCs w:val="20"/>
        </w:rPr>
        <w:t xml:space="preserve">; </w:t>
      </w:r>
      <w:r w:rsidR="00D73BA6" w:rsidRPr="00D73BA6">
        <w:rPr>
          <w:sz w:val="20"/>
          <w:szCs w:val="20"/>
        </w:rPr>
        <w:t>Philippa Kennedy, “Beyond the Book</w:t>
      </w:r>
      <w:r w:rsidR="00D73BA6">
        <w:rPr>
          <w:sz w:val="20"/>
          <w:szCs w:val="20"/>
        </w:rPr>
        <w:t>,</w:t>
      </w:r>
      <w:r w:rsidR="00D73BA6" w:rsidRPr="00D73BA6">
        <w:rPr>
          <w:sz w:val="20"/>
          <w:szCs w:val="20"/>
        </w:rPr>
        <w:t xml:space="preserve">” </w:t>
      </w:r>
      <w:r w:rsidR="00D73BA6" w:rsidRPr="00D73BA6">
        <w:rPr>
          <w:i/>
          <w:iCs/>
          <w:sz w:val="20"/>
          <w:szCs w:val="20"/>
        </w:rPr>
        <w:t>The National</w:t>
      </w:r>
      <w:r w:rsidR="00D73BA6" w:rsidRPr="00D73BA6">
        <w:rPr>
          <w:sz w:val="20"/>
          <w:szCs w:val="20"/>
        </w:rPr>
        <w:t>, March 17, 2009</w:t>
      </w:r>
      <w:r w:rsidR="00D73BA6">
        <w:rPr>
          <w:sz w:val="20"/>
          <w:szCs w:val="20"/>
        </w:rPr>
        <w:t>, para 9,</w:t>
      </w:r>
      <w:r w:rsidR="00D73BA6" w:rsidRPr="00D73BA6">
        <w:rPr>
          <w:sz w:val="20"/>
          <w:szCs w:val="20"/>
        </w:rPr>
        <w:t xml:space="preserve"> https://www.thenational.ae/arts-culture/books/beyond-the-book-1.554538.</w:t>
      </w:r>
    </w:p>
  </w:footnote>
  <w:footnote w:id="52">
    <w:p w14:paraId="2A819899" w14:textId="2F83EBA3" w:rsidR="003672AA" w:rsidRDefault="003672AA">
      <w:pPr>
        <w:pStyle w:val="FootnoteText"/>
      </w:pPr>
      <w:r>
        <w:rPr>
          <w:rStyle w:val="FootnoteReference"/>
        </w:rPr>
        <w:footnoteRef/>
      </w:r>
      <w:r>
        <w:t xml:space="preserve"> </w:t>
      </w:r>
      <w:r w:rsidRPr="003672AA">
        <w:rPr>
          <w:sz w:val="20"/>
          <w:szCs w:val="20"/>
        </w:rPr>
        <w:t xml:space="preserve">Marylin Booth, “Translator v. Author (2007),” </w:t>
      </w:r>
      <w:r w:rsidRPr="003672AA">
        <w:rPr>
          <w:i/>
          <w:iCs/>
          <w:sz w:val="20"/>
          <w:szCs w:val="20"/>
        </w:rPr>
        <w:t>Translation Studies</w:t>
      </w:r>
      <w:r w:rsidRPr="003672AA">
        <w:rPr>
          <w:sz w:val="20"/>
          <w:szCs w:val="20"/>
        </w:rPr>
        <w:t xml:space="preserve"> 1, no. 2 (2008): </w:t>
      </w:r>
      <w:r w:rsidR="00A27400">
        <w:rPr>
          <w:sz w:val="20"/>
          <w:szCs w:val="20"/>
        </w:rPr>
        <w:t>199</w:t>
      </w:r>
      <w:r w:rsidRPr="003672AA">
        <w:rPr>
          <w:sz w:val="20"/>
          <w:szCs w:val="20"/>
        </w:rPr>
        <w:t>.</w:t>
      </w:r>
    </w:p>
  </w:footnote>
  <w:footnote w:id="53">
    <w:p w14:paraId="7D6B7EB8" w14:textId="1AC35E02" w:rsidR="00473C85" w:rsidRDefault="00473C85">
      <w:pPr>
        <w:pStyle w:val="FootnoteText"/>
      </w:pPr>
      <w:r>
        <w:rPr>
          <w:rStyle w:val="FootnoteReference"/>
        </w:rPr>
        <w:footnoteRef/>
      </w:r>
      <w:r>
        <w:t xml:space="preserve"> </w:t>
      </w:r>
      <w:r w:rsidRPr="003672AA">
        <w:rPr>
          <w:sz w:val="20"/>
          <w:szCs w:val="20"/>
        </w:rPr>
        <w:t>Booth, “Translator v. Author (2007)</w:t>
      </w:r>
      <w:r>
        <w:rPr>
          <w:sz w:val="20"/>
          <w:szCs w:val="20"/>
        </w:rPr>
        <w:t>.</w:t>
      </w:r>
    </w:p>
  </w:footnote>
  <w:footnote w:id="54">
    <w:p w14:paraId="77C79E06" w14:textId="11139F5C" w:rsidR="00994EFB" w:rsidRDefault="00994EFB">
      <w:pPr>
        <w:pStyle w:val="FootnoteText"/>
      </w:pPr>
      <w:r>
        <w:rPr>
          <w:rStyle w:val="FootnoteReference"/>
        </w:rPr>
        <w:footnoteRef/>
      </w:r>
      <w:r>
        <w:t xml:space="preserve"> </w:t>
      </w:r>
      <w:r w:rsidRPr="00994EFB">
        <w:rPr>
          <w:sz w:val="20"/>
          <w:szCs w:val="20"/>
        </w:rPr>
        <w:t>Booth, “Translator v. Author,” 200.</w:t>
      </w:r>
    </w:p>
  </w:footnote>
  <w:footnote w:id="55">
    <w:p w14:paraId="64EAE20F" w14:textId="1EA07495" w:rsidR="00830570" w:rsidRDefault="00830570">
      <w:pPr>
        <w:pStyle w:val="FootnoteText"/>
      </w:pPr>
      <w:r>
        <w:rPr>
          <w:rStyle w:val="FootnoteReference"/>
        </w:rPr>
        <w:footnoteRef/>
      </w:r>
      <w:r>
        <w:t xml:space="preserve"> </w:t>
      </w:r>
      <w:r w:rsidRPr="00830570">
        <w:rPr>
          <w:sz w:val="20"/>
          <w:szCs w:val="20"/>
        </w:rPr>
        <w:t xml:space="preserve">Antoine Berman, </w:t>
      </w:r>
      <w:r w:rsidRPr="00830570">
        <w:rPr>
          <w:i/>
          <w:iCs/>
          <w:sz w:val="20"/>
          <w:szCs w:val="20"/>
        </w:rPr>
        <w:t xml:space="preserve">Toward a Translation Criticism: John </w:t>
      </w:r>
      <w:proofErr w:type="spellStart"/>
      <w:r w:rsidRPr="00830570">
        <w:rPr>
          <w:i/>
          <w:iCs/>
          <w:sz w:val="20"/>
          <w:szCs w:val="20"/>
        </w:rPr>
        <w:t>Donee</w:t>
      </w:r>
      <w:proofErr w:type="spellEnd"/>
      <w:r w:rsidRPr="00830570">
        <w:rPr>
          <w:sz w:val="20"/>
          <w:szCs w:val="20"/>
        </w:rPr>
        <w:t xml:space="preserve">, ed. </w:t>
      </w:r>
      <w:proofErr w:type="spellStart"/>
      <w:r w:rsidRPr="00830570">
        <w:rPr>
          <w:sz w:val="20"/>
          <w:szCs w:val="20"/>
        </w:rPr>
        <w:t>Françoise</w:t>
      </w:r>
      <w:proofErr w:type="spellEnd"/>
      <w:r w:rsidRPr="00830570">
        <w:rPr>
          <w:sz w:val="20"/>
          <w:szCs w:val="20"/>
        </w:rPr>
        <w:t xml:space="preserve"> </w:t>
      </w:r>
      <w:proofErr w:type="spellStart"/>
      <w:r w:rsidRPr="00830570">
        <w:rPr>
          <w:sz w:val="20"/>
          <w:szCs w:val="20"/>
        </w:rPr>
        <w:t>Massardier</w:t>
      </w:r>
      <w:proofErr w:type="spellEnd"/>
      <w:r w:rsidRPr="00830570">
        <w:rPr>
          <w:sz w:val="20"/>
          <w:szCs w:val="20"/>
        </w:rPr>
        <w:t>-Kenney (Kent, OH: Kent State University Press, 2009).</w:t>
      </w:r>
    </w:p>
  </w:footnote>
  <w:footnote w:id="56">
    <w:p w14:paraId="78122ACB" w14:textId="56F5F9B7" w:rsidR="00A621C0" w:rsidRDefault="00A621C0">
      <w:pPr>
        <w:pStyle w:val="FootnoteText"/>
      </w:pPr>
      <w:r>
        <w:rPr>
          <w:rStyle w:val="FootnoteReference"/>
        </w:rPr>
        <w:footnoteRef/>
      </w:r>
      <w:r>
        <w:t xml:space="preserve"> </w:t>
      </w:r>
      <w:r w:rsidRPr="00994EFB">
        <w:rPr>
          <w:sz w:val="20"/>
          <w:szCs w:val="20"/>
        </w:rPr>
        <w:t>Booth, “Translator v. Author</w:t>
      </w:r>
      <w:r>
        <w:rPr>
          <w:sz w:val="20"/>
          <w:szCs w:val="20"/>
        </w:rPr>
        <w:t>.</w:t>
      </w:r>
      <w:r w:rsidRPr="00994EFB">
        <w:rPr>
          <w:sz w:val="20"/>
          <w:szCs w:val="20"/>
        </w:rPr>
        <w:t>”</w:t>
      </w:r>
    </w:p>
  </w:footnote>
  <w:footnote w:id="57">
    <w:p w14:paraId="3A2B797C" w14:textId="0205EAA6" w:rsidR="00A621C0" w:rsidRDefault="00A621C0">
      <w:pPr>
        <w:pStyle w:val="FootnoteText"/>
      </w:pPr>
      <w:r>
        <w:rPr>
          <w:rStyle w:val="FootnoteReference"/>
        </w:rPr>
        <w:footnoteRef/>
      </w:r>
      <w:r>
        <w:t xml:space="preserve"> </w:t>
      </w:r>
      <w:r w:rsidRPr="00994EFB">
        <w:rPr>
          <w:sz w:val="20"/>
          <w:szCs w:val="20"/>
        </w:rPr>
        <w:t>Booth, “Translator v. Author,”</w:t>
      </w:r>
      <w:r>
        <w:rPr>
          <w:sz w:val="20"/>
          <w:szCs w:val="20"/>
        </w:rPr>
        <w:t xml:space="preserve"> 201.</w:t>
      </w:r>
    </w:p>
  </w:footnote>
  <w:footnote w:id="58">
    <w:p w14:paraId="38C9E734" w14:textId="137A6F37" w:rsidR="00CD5A58" w:rsidRDefault="00CD5A58" w:rsidP="00F407CF">
      <w:pPr>
        <w:pStyle w:val="Footnote"/>
      </w:pPr>
      <w:r w:rsidRPr="0084073F">
        <w:rPr>
          <w:rStyle w:val="FootnoteReference"/>
        </w:rPr>
        <w:footnoteRef/>
      </w:r>
      <w:r>
        <w:t xml:space="preserve"> </w:t>
      </w:r>
      <w:r w:rsidRPr="00F407CF">
        <w:rPr>
          <w:i w:val="0"/>
          <w:iCs w:val="0"/>
        </w:rPr>
        <w:t xml:space="preserve">I hope it is clear at this point that I am not advocating for prescriptivism, seeing this as </w:t>
      </w:r>
      <w:r w:rsidR="00351714" w:rsidRPr="00F407CF">
        <w:rPr>
          <w:i w:val="0"/>
          <w:iCs w:val="0"/>
        </w:rPr>
        <w:t xml:space="preserve">an </w:t>
      </w:r>
      <w:r w:rsidRPr="00F407CF">
        <w:rPr>
          <w:i w:val="0"/>
          <w:iCs w:val="0"/>
        </w:rPr>
        <w:t>“unfaithful” or “wrong” translation, for I am merely providing context.</w:t>
      </w:r>
      <w:r>
        <w:t xml:space="preserve"> </w:t>
      </w:r>
    </w:p>
  </w:footnote>
  <w:footnote w:id="59">
    <w:p w14:paraId="1FDF25C6" w14:textId="261B1A03" w:rsidR="001C549E" w:rsidRDefault="001C549E">
      <w:pPr>
        <w:pStyle w:val="FootnoteText"/>
      </w:pPr>
      <w:r>
        <w:rPr>
          <w:rStyle w:val="FootnoteReference"/>
        </w:rPr>
        <w:footnoteRef/>
      </w:r>
      <w:r>
        <w:t xml:space="preserve"> </w:t>
      </w:r>
      <w:r w:rsidRPr="00473C85">
        <w:rPr>
          <w:sz w:val="20"/>
          <w:szCs w:val="20"/>
        </w:rPr>
        <w:t>Booth, “Translator v. Author,” n. 2.</w:t>
      </w:r>
    </w:p>
  </w:footnote>
  <w:footnote w:id="60">
    <w:p w14:paraId="34B78EC2" w14:textId="5B095C0F" w:rsidR="00CD5A58" w:rsidRDefault="00CD5A58" w:rsidP="00F407CF">
      <w:pPr>
        <w:pStyle w:val="Footnote"/>
      </w:pPr>
      <w:r>
        <w:rPr>
          <w:rStyle w:val="FootnoteReference"/>
        </w:rPr>
        <w:footnoteRef/>
      </w:r>
      <w:r>
        <w:t xml:space="preserve"> </w:t>
      </w:r>
      <w:r w:rsidRPr="00F407CF">
        <w:rPr>
          <w:i w:val="0"/>
          <w:iCs w:val="0"/>
        </w:rPr>
        <w:t>I’m cautious with this term because this word suggests there is a fixed and concrete entity preexisting in the ST subject to manipulation, as if the ST is ever intact, which is a positivist premise that this paper does not embrace.</w:t>
      </w:r>
    </w:p>
  </w:footnote>
  <w:footnote w:id="61">
    <w:p w14:paraId="69247B6F" w14:textId="7EA9D361" w:rsidR="00B248E2" w:rsidRDefault="00B248E2">
      <w:pPr>
        <w:pStyle w:val="FootnoteText"/>
      </w:pPr>
      <w:r>
        <w:rPr>
          <w:rStyle w:val="FootnoteReference"/>
        </w:rPr>
        <w:footnoteRef/>
      </w:r>
      <w:r>
        <w:t xml:space="preserve"> </w:t>
      </w:r>
      <w:r w:rsidRPr="006F0615">
        <w:rPr>
          <w:sz w:val="20"/>
          <w:szCs w:val="20"/>
        </w:rPr>
        <w:t>Booth, “Translator v. Author”</w:t>
      </w:r>
      <w:r>
        <w:rPr>
          <w:sz w:val="20"/>
          <w:szCs w:val="20"/>
        </w:rPr>
        <w:t xml:space="preserve">; </w:t>
      </w:r>
      <w:r w:rsidR="003C3DF6">
        <w:rPr>
          <w:sz w:val="20"/>
          <w:szCs w:val="20"/>
        </w:rPr>
        <w:t xml:space="preserve">Marylin Booth, </w:t>
      </w:r>
      <w:r w:rsidR="003C3DF6" w:rsidRPr="003C3DF6">
        <w:rPr>
          <w:sz w:val="20"/>
          <w:szCs w:val="20"/>
        </w:rPr>
        <w:t>“‘The Muslim Woman’ as Celebrity Author and the Politics of Translating Arabic</w:t>
      </w:r>
      <w:r w:rsidR="003C3DF6">
        <w:rPr>
          <w:sz w:val="20"/>
          <w:szCs w:val="20"/>
        </w:rPr>
        <w:t>,</w:t>
      </w:r>
      <w:r w:rsidR="003C3DF6" w:rsidRPr="003C3DF6">
        <w:rPr>
          <w:sz w:val="20"/>
          <w:szCs w:val="20"/>
        </w:rPr>
        <w:t xml:space="preserve">” </w:t>
      </w:r>
      <w:r w:rsidR="003C3DF6" w:rsidRPr="003C3DF6">
        <w:rPr>
          <w:i/>
          <w:iCs/>
          <w:sz w:val="20"/>
          <w:szCs w:val="20"/>
        </w:rPr>
        <w:t>Journal of Middle East Women’s Studies</w:t>
      </w:r>
      <w:r w:rsidR="003C3DF6" w:rsidRPr="003C3DF6">
        <w:rPr>
          <w:sz w:val="20"/>
          <w:szCs w:val="20"/>
        </w:rPr>
        <w:t xml:space="preserve"> 6, no. 3 (2010): 149–82</w:t>
      </w:r>
      <w:r w:rsidR="003C3DF6">
        <w:rPr>
          <w:sz w:val="20"/>
          <w:szCs w:val="20"/>
        </w:rPr>
        <w:t>; Booth, “Three’s a Crowd.”</w:t>
      </w:r>
    </w:p>
  </w:footnote>
  <w:footnote w:id="62">
    <w:p w14:paraId="0337FD77" w14:textId="641C01D4" w:rsidR="00176740" w:rsidRDefault="00176740">
      <w:pPr>
        <w:pStyle w:val="FootnoteText"/>
      </w:pPr>
      <w:r>
        <w:rPr>
          <w:rStyle w:val="FootnoteReference"/>
        </w:rPr>
        <w:footnoteRef/>
      </w:r>
      <w:r>
        <w:t xml:space="preserve"> </w:t>
      </w:r>
      <w:r w:rsidRPr="00176740">
        <w:rPr>
          <w:sz w:val="20"/>
          <w:szCs w:val="20"/>
        </w:rPr>
        <w:t>Booth, “‘The Muslim Woman,’” 174.</w:t>
      </w:r>
    </w:p>
  </w:footnote>
  <w:footnote w:id="63">
    <w:p w14:paraId="36742D75" w14:textId="23F8195E" w:rsidR="00A34CC4" w:rsidRDefault="00A34CC4">
      <w:pPr>
        <w:pStyle w:val="FootnoteText"/>
      </w:pPr>
      <w:r>
        <w:rPr>
          <w:rStyle w:val="FootnoteReference"/>
        </w:rPr>
        <w:footnoteRef/>
      </w:r>
      <w:r>
        <w:t xml:space="preserve"> </w:t>
      </w:r>
      <w:r w:rsidRPr="00176740">
        <w:rPr>
          <w:sz w:val="20"/>
          <w:szCs w:val="20"/>
        </w:rPr>
        <w:t>Booth, “‘The Muslim Woman,’”</w:t>
      </w:r>
      <w:r>
        <w:rPr>
          <w:sz w:val="20"/>
          <w:szCs w:val="20"/>
        </w:rPr>
        <w:t xml:space="preserve"> 205.</w:t>
      </w:r>
    </w:p>
  </w:footnote>
  <w:footnote w:id="64">
    <w:p w14:paraId="267ACFCB" w14:textId="31153F19" w:rsidR="00A34CC4" w:rsidRDefault="00A34CC4">
      <w:pPr>
        <w:pStyle w:val="FootnoteText"/>
      </w:pPr>
      <w:r>
        <w:rPr>
          <w:rStyle w:val="FootnoteReference"/>
        </w:rPr>
        <w:footnoteRef/>
      </w:r>
      <w:r>
        <w:t xml:space="preserve"> </w:t>
      </w:r>
      <w:r w:rsidRPr="00A34CC4">
        <w:rPr>
          <w:sz w:val="20"/>
          <w:szCs w:val="20"/>
        </w:rPr>
        <w:t>Ibid.</w:t>
      </w:r>
    </w:p>
  </w:footnote>
  <w:footnote w:id="65">
    <w:p w14:paraId="66AD9EF3" w14:textId="3C62498B" w:rsidR="00D53F56" w:rsidRDefault="00D53F56">
      <w:pPr>
        <w:pStyle w:val="FootnoteText"/>
      </w:pPr>
      <w:r>
        <w:rPr>
          <w:rStyle w:val="FootnoteReference"/>
        </w:rPr>
        <w:footnoteRef/>
      </w:r>
      <w:r>
        <w:t xml:space="preserve"> </w:t>
      </w:r>
      <w:r w:rsidRPr="00823145">
        <w:rPr>
          <w:sz w:val="20"/>
          <w:szCs w:val="20"/>
        </w:rPr>
        <w:t>Ibid., 172.</w:t>
      </w:r>
    </w:p>
  </w:footnote>
  <w:footnote w:id="66">
    <w:p w14:paraId="65AFF85C" w14:textId="2E927F4E" w:rsidR="00823145" w:rsidRDefault="00823145">
      <w:pPr>
        <w:pStyle w:val="FootnoteText"/>
      </w:pPr>
      <w:r>
        <w:rPr>
          <w:rStyle w:val="FootnoteReference"/>
        </w:rPr>
        <w:footnoteRef/>
      </w:r>
      <w:r>
        <w:t xml:space="preserve"> </w:t>
      </w:r>
      <w:r w:rsidRPr="00823145">
        <w:rPr>
          <w:rFonts w:eastAsia="Times New Roman"/>
          <w:sz w:val="20"/>
          <w:szCs w:val="20"/>
        </w:rPr>
        <w:t xml:space="preserve">Booth, “Translator v. Author,” 208; Michelle Hartman, “Prose Fiction,” in </w:t>
      </w:r>
      <w:r w:rsidRPr="00823145">
        <w:rPr>
          <w:rFonts w:eastAsia="Times New Roman"/>
          <w:i/>
          <w:iCs/>
          <w:sz w:val="20"/>
          <w:szCs w:val="20"/>
        </w:rPr>
        <w:t>The Routledge Handbook of Literary Translation</w:t>
      </w:r>
      <w:r w:rsidRPr="00823145">
        <w:rPr>
          <w:rFonts w:eastAsia="Times New Roman"/>
          <w:sz w:val="20"/>
          <w:szCs w:val="20"/>
        </w:rPr>
        <w:t>, eds. R. Kelly Washbourne and Ben Van Wyke, 206–19 (Abingdon, Oxon; New York, NY: Routledge, 2018), 213.</w:t>
      </w:r>
    </w:p>
  </w:footnote>
  <w:footnote w:id="67">
    <w:p w14:paraId="43776583" w14:textId="6782F2A7" w:rsidR="00657777" w:rsidRDefault="00657777">
      <w:pPr>
        <w:pStyle w:val="FootnoteText"/>
      </w:pPr>
      <w:r>
        <w:rPr>
          <w:rStyle w:val="FootnoteReference"/>
        </w:rPr>
        <w:footnoteRef/>
      </w:r>
      <w:r>
        <w:t xml:space="preserve"> </w:t>
      </w:r>
      <w:proofErr w:type="spellStart"/>
      <w:r w:rsidRPr="0018272A">
        <w:rPr>
          <w:sz w:val="20"/>
          <w:szCs w:val="20"/>
        </w:rPr>
        <w:t>Mohja</w:t>
      </w:r>
      <w:proofErr w:type="spellEnd"/>
      <w:r w:rsidRPr="0018272A">
        <w:rPr>
          <w:sz w:val="20"/>
          <w:szCs w:val="20"/>
        </w:rPr>
        <w:t xml:space="preserve"> </w:t>
      </w:r>
      <w:proofErr w:type="spellStart"/>
      <w:r w:rsidRPr="0018272A">
        <w:rPr>
          <w:sz w:val="20"/>
          <w:szCs w:val="20"/>
        </w:rPr>
        <w:t>Kahf</w:t>
      </w:r>
      <w:proofErr w:type="spellEnd"/>
      <w:r w:rsidRPr="0018272A">
        <w:rPr>
          <w:sz w:val="20"/>
          <w:szCs w:val="20"/>
        </w:rPr>
        <w:t xml:space="preserve">, “Packaging ‘Huda’: </w:t>
      </w:r>
      <w:proofErr w:type="spellStart"/>
      <w:r w:rsidRPr="0018272A">
        <w:rPr>
          <w:sz w:val="20"/>
          <w:szCs w:val="20"/>
        </w:rPr>
        <w:t>Sha’rawi’s</w:t>
      </w:r>
      <w:proofErr w:type="spellEnd"/>
      <w:r w:rsidRPr="0018272A">
        <w:rPr>
          <w:sz w:val="20"/>
          <w:szCs w:val="20"/>
        </w:rPr>
        <w:t xml:space="preserve"> Memoirs in the United States Reception Environment</w:t>
      </w:r>
      <w:r w:rsidR="0018272A" w:rsidRPr="0018272A">
        <w:rPr>
          <w:sz w:val="20"/>
          <w:szCs w:val="20"/>
        </w:rPr>
        <w:t>,</w:t>
      </w:r>
      <w:r w:rsidRPr="0018272A">
        <w:rPr>
          <w:sz w:val="20"/>
          <w:szCs w:val="20"/>
        </w:rPr>
        <w:t xml:space="preserve">” </w:t>
      </w:r>
      <w:r w:rsidR="0018272A" w:rsidRPr="0018272A">
        <w:rPr>
          <w:sz w:val="20"/>
          <w:szCs w:val="20"/>
        </w:rPr>
        <w:t>i</w:t>
      </w:r>
      <w:r w:rsidRPr="0018272A">
        <w:rPr>
          <w:sz w:val="20"/>
          <w:szCs w:val="20"/>
        </w:rPr>
        <w:t xml:space="preserve">n </w:t>
      </w:r>
      <w:r w:rsidRPr="00473C85">
        <w:rPr>
          <w:i/>
          <w:iCs/>
          <w:sz w:val="20"/>
          <w:szCs w:val="20"/>
        </w:rPr>
        <w:t>Critical Readings in Translation Studies</w:t>
      </w:r>
      <w:r w:rsidRPr="0018272A">
        <w:rPr>
          <w:sz w:val="20"/>
          <w:szCs w:val="20"/>
        </w:rPr>
        <w:t xml:space="preserve">, </w:t>
      </w:r>
      <w:r w:rsidR="0018272A" w:rsidRPr="0018272A">
        <w:rPr>
          <w:sz w:val="20"/>
          <w:szCs w:val="20"/>
        </w:rPr>
        <w:t>ed.</w:t>
      </w:r>
      <w:r w:rsidRPr="0018272A">
        <w:rPr>
          <w:sz w:val="20"/>
          <w:szCs w:val="20"/>
        </w:rPr>
        <w:t xml:space="preserve"> Mona Baker, 28–45 </w:t>
      </w:r>
      <w:r w:rsidR="0018272A" w:rsidRPr="0018272A">
        <w:rPr>
          <w:sz w:val="20"/>
          <w:szCs w:val="20"/>
        </w:rPr>
        <w:t>(</w:t>
      </w:r>
      <w:r w:rsidRPr="0018272A">
        <w:rPr>
          <w:sz w:val="20"/>
          <w:szCs w:val="20"/>
        </w:rPr>
        <w:t>New York: Routledge, 2010</w:t>
      </w:r>
      <w:r w:rsidR="0018272A" w:rsidRPr="0018272A">
        <w:rPr>
          <w:sz w:val="20"/>
          <w:szCs w:val="20"/>
        </w:rPr>
        <w:t>), 36–38</w:t>
      </w:r>
      <w:r w:rsidRPr="0018272A">
        <w:rPr>
          <w:sz w:val="20"/>
          <w:szCs w:val="20"/>
        </w:rPr>
        <w:t>.</w:t>
      </w:r>
    </w:p>
  </w:footnote>
  <w:footnote w:id="68">
    <w:p w14:paraId="78FB8415" w14:textId="45AF1CC3" w:rsidR="0018272A" w:rsidRDefault="0018272A">
      <w:pPr>
        <w:pStyle w:val="FootnoteText"/>
      </w:pPr>
      <w:r>
        <w:rPr>
          <w:rStyle w:val="FootnoteReference"/>
        </w:rPr>
        <w:footnoteRef/>
      </w:r>
      <w:r>
        <w:t xml:space="preserve"> </w:t>
      </w:r>
      <w:r w:rsidRPr="0018272A">
        <w:rPr>
          <w:sz w:val="20"/>
          <w:szCs w:val="20"/>
        </w:rPr>
        <w:t xml:space="preserve">William Graham Sumner, </w:t>
      </w:r>
      <w:r w:rsidRPr="00473C85">
        <w:rPr>
          <w:i/>
          <w:iCs/>
          <w:sz w:val="20"/>
          <w:szCs w:val="20"/>
        </w:rPr>
        <w:t>Folkways: A Study of the Sociological Importance of Usages, Manners, Customs, Mores, and Morals</w:t>
      </w:r>
      <w:r w:rsidRPr="0018272A">
        <w:rPr>
          <w:sz w:val="20"/>
          <w:szCs w:val="20"/>
        </w:rPr>
        <w:t xml:space="preserve"> (</w:t>
      </w:r>
      <w:proofErr w:type="spellStart"/>
      <w:r w:rsidRPr="0018272A">
        <w:rPr>
          <w:sz w:val="20"/>
          <w:szCs w:val="20"/>
        </w:rPr>
        <w:t>Pantianos</w:t>
      </w:r>
      <w:proofErr w:type="spellEnd"/>
      <w:r w:rsidRPr="0018272A">
        <w:rPr>
          <w:sz w:val="20"/>
          <w:szCs w:val="20"/>
        </w:rPr>
        <w:t xml:space="preserve"> Classics, 2017), 11.</w:t>
      </w:r>
    </w:p>
  </w:footnote>
  <w:footnote w:id="69">
    <w:p w14:paraId="727AFA37" w14:textId="6E4D0E0C" w:rsidR="0018272A" w:rsidRDefault="0018272A">
      <w:pPr>
        <w:pStyle w:val="FootnoteText"/>
      </w:pPr>
      <w:r>
        <w:rPr>
          <w:rStyle w:val="FootnoteReference"/>
        </w:rPr>
        <w:footnoteRef/>
      </w:r>
      <w:r>
        <w:t xml:space="preserve"> </w:t>
      </w:r>
      <w:r w:rsidRPr="0018272A">
        <w:rPr>
          <w:sz w:val="20"/>
          <w:szCs w:val="20"/>
        </w:rPr>
        <w:t>Booth, “‘The Muslim Woman,’” 170.</w:t>
      </w:r>
    </w:p>
  </w:footnote>
  <w:footnote w:id="70">
    <w:p w14:paraId="40CE529B" w14:textId="3A259415" w:rsidR="0018272A" w:rsidRDefault="0018272A">
      <w:pPr>
        <w:pStyle w:val="FootnoteText"/>
      </w:pPr>
      <w:r>
        <w:rPr>
          <w:rStyle w:val="FootnoteReference"/>
        </w:rPr>
        <w:footnoteRef/>
      </w:r>
      <w:r>
        <w:t xml:space="preserve"> </w:t>
      </w:r>
      <w:r w:rsidRPr="0018272A">
        <w:rPr>
          <w:sz w:val="20"/>
          <w:szCs w:val="20"/>
        </w:rPr>
        <w:t>Booth, “Translator v. Author,” 209.</w:t>
      </w:r>
    </w:p>
  </w:footnote>
  <w:footnote w:id="71">
    <w:p w14:paraId="52CD984B" w14:textId="1B2AAA67" w:rsidR="00C604F5" w:rsidRDefault="00C604F5">
      <w:pPr>
        <w:pStyle w:val="FootnoteText"/>
      </w:pPr>
      <w:r>
        <w:rPr>
          <w:rStyle w:val="FootnoteReference"/>
        </w:rPr>
        <w:footnoteRef/>
      </w:r>
      <w:r>
        <w:t xml:space="preserve"> </w:t>
      </w:r>
      <w:r w:rsidRPr="00C604F5">
        <w:rPr>
          <w:sz w:val="20"/>
          <w:szCs w:val="20"/>
        </w:rPr>
        <w:t>Faiq, “The Routledge Handbook of Literary Translation,” 442.</w:t>
      </w:r>
    </w:p>
  </w:footnote>
  <w:footnote w:id="72">
    <w:p w14:paraId="3BDD3A55" w14:textId="03FE9C7C" w:rsidR="009814E3" w:rsidRDefault="009814E3">
      <w:pPr>
        <w:pStyle w:val="FootnoteText"/>
      </w:pPr>
      <w:r>
        <w:rPr>
          <w:rStyle w:val="FootnoteReference"/>
        </w:rPr>
        <w:footnoteRef/>
      </w:r>
      <w:r>
        <w:t xml:space="preserve"> </w:t>
      </w:r>
      <w:r w:rsidRPr="009814E3">
        <w:rPr>
          <w:sz w:val="20"/>
          <w:szCs w:val="20"/>
        </w:rPr>
        <w:t>Lynx</w:t>
      </w:r>
      <w:r>
        <w:rPr>
          <w:sz w:val="20"/>
          <w:szCs w:val="20"/>
        </w:rPr>
        <w:t xml:space="preserve"> </w:t>
      </w:r>
      <w:r w:rsidRPr="009814E3">
        <w:rPr>
          <w:sz w:val="20"/>
          <w:szCs w:val="20"/>
        </w:rPr>
        <w:t>Qualey</w:t>
      </w:r>
      <w:r>
        <w:rPr>
          <w:sz w:val="20"/>
          <w:szCs w:val="20"/>
        </w:rPr>
        <w:t>,</w:t>
      </w:r>
      <w:r w:rsidRPr="009814E3">
        <w:rPr>
          <w:sz w:val="20"/>
          <w:szCs w:val="20"/>
        </w:rPr>
        <w:t xml:space="preserve"> “Translating for Bigots</w:t>
      </w:r>
      <w:r>
        <w:rPr>
          <w:sz w:val="20"/>
          <w:szCs w:val="20"/>
        </w:rPr>
        <w:t>,</w:t>
      </w:r>
      <w:r w:rsidRPr="009814E3">
        <w:rPr>
          <w:sz w:val="20"/>
          <w:szCs w:val="20"/>
        </w:rPr>
        <w:t xml:space="preserve">” </w:t>
      </w:r>
      <w:proofErr w:type="spellStart"/>
      <w:r w:rsidRPr="009814E3">
        <w:rPr>
          <w:i/>
          <w:iCs/>
          <w:sz w:val="20"/>
          <w:szCs w:val="20"/>
        </w:rPr>
        <w:t>Arablit</w:t>
      </w:r>
      <w:proofErr w:type="spellEnd"/>
      <w:r w:rsidRPr="009814E3">
        <w:rPr>
          <w:sz w:val="20"/>
          <w:szCs w:val="20"/>
        </w:rPr>
        <w:t xml:space="preserve">, </w:t>
      </w:r>
      <w:r>
        <w:rPr>
          <w:sz w:val="20"/>
          <w:szCs w:val="20"/>
        </w:rPr>
        <w:t xml:space="preserve">November 4, </w:t>
      </w:r>
      <w:r w:rsidRPr="009814E3">
        <w:rPr>
          <w:sz w:val="20"/>
          <w:szCs w:val="20"/>
        </w:rPr>
        <w:t>2013</w:t>
      </w:r>
      <w:r>
        <w:rPr>
          <w:sz w:val="20"/>
          <w:szCs w:val="20"/>
        </w:rPr>
        <w:t>, para. 7</w:t>
      </w:r>
      <w:r w:rsidRPr="009814E3">
        <w:rPr>
          <w:sz w:val="20"/>
          <w:szCs w:val="20"/>
        </w:rPr>
        <w:t>. https://arablit.org/2013/11/04/translating-for-bigots/.</w:t>
      </w:r>
    </w:p>
  </w:footnote>
  <w:footnote w:id="73">
    <w:p w14:paraId="07052667" w14:textId="62280A9F" w:rsidR="00EB44B0" w:rsidRDefault="00EB44B0">
      <w:pPr>
        <w:pStyle w:val="FootnoteText"/>
      </w:pPr>
      <w:r>
        <w:rPr>
          <w:rStyle w:val="FootnoteReference"/>
        </w:rPr>
        <w:footnoteRef/>
      </w:r>
      <w:r>
        <w:t xml:space="preserve"> </w:t>
      </w:r>
      <w:r w:rsidRPr="00EB44B0">
        <w:rPr>
          <w:sz w:val="20"/>
          <w:szCs w:val="20"/>
        </w:rPr>
        <w:t xml:space="preserve">See Mohammed Alzahrani, “Reading Arabic Texts in English Translation: Lifting the ‘Veil,’” in </w:t>
      </w:r>
      <w:r w:rsidRPr="00EB44B0">
        <w:rPr>
          <w:i/>
          <w:iCs/>
          <w:sz w:val="20"/>
          <w:szCs w:val="20"/>
        </w:rPr>
        <w:t>Teaching Literature in Translation: Pedagogical Contexts and Reading Practices</w:t>
      </w:r>
      <w:r w:rsidRPr="00EB44B0">
        <w:rPr>
          <w:sz w:val="20"/>
          <w:szCs w:val="20"/>
        </w:rPr>
        <w:t>, eds. Brian James Baer and Michelle Woods, 111–22 (Routledge, 2022) for a more elaborate discussion of the “veil.”</w:t>
      </w:r>
    </w:p>
  </w:footnote>
  <w:footnote w:id="74">
    <w:p w14:paraId="1D981592" w14:textId="15083D04" w:rsidR="00EB44B0" w:rsidRDefault="00EB44B0">
      <w:pPr>
        <w:pStyle w:val="FootnoteText"/>
      </w:pPr>
      <w:r>
        <w:rPr>
          <w:rStyle w:val="FootnoteReference"/>
        </w:rPr>
        <w:footnoteRef/>
      </w:r>
      <w:r>
        <w:t xml:space="preserve"> </w:t>
      </w:r>
      <w:r w:rsidRPr="00EB44B0">
        <w:rPr>
          <w:sz w:val="20"/>
          <w:szCs w:val="20"/>
        </w:rPr>
        <w:t xml:space="preserve">Michelle Hartman, “Gender, Genre, and the (Missing) Gazelle: Arab Women Writers and the Politics of Translation,” </w:t>
      </w:r>
      <w:r w:rsidRPr="00EB44B0">
        <w:rPr>
          <w:i/>
          <w:iCs/>
          <w:sz w:val="20"/>
          <w:szCs w:val="20"/>
        </w:rPr>
        <w:t>Feminist Studies</w:t>
      </w:r>
      <w:r w:rsidRPr="00EB44B0">
        <w:rPr>
          <w:sz w:val="20"/>
          <w:szCs w:val="20"/>
        </w:rPr>
        <w:t xml:space="preserve"> 38, no. 1 (2012): </w:t>
      </w:r>
      <w:r w:rsidR="007A21A6">
        <w:rPr>
          <w:sz w:val="20"/>
          <w:szCs w:val="20"/>
        </w:rPr>
        <w:t>18</w:t>
      </w:r>
      <w:r w:rsidRPr="00EB44B0">
        <w:rPr>
          <w:sz w:val="20"/>
          <w:szCs w:val="20"/>
        </w:rPr>
        <w:t>.</w:t>
      </w:r>
    </w:p>
  </w:footnote>
  <w:footnote w:id="75">
    <w:p w14:paraId="6665EE51" w14:textId="19E9D46A" w:rsidR="00BE5C12" w:rsidRDefault="00BE5C12">
      <w:pPr>
        <w:pStyle w:val="FootnoteText"/>
      </w:pPr>
      <w:r>
        <w:rPr>
          <w:rStyle w:val="FootnoteReference"/>
        </w:rPr>
        <w:footnoteRef/>
      </w:r>
      <w:r>
        <w:t xml:space="preserve"> </w:t>
      </w:r>
      <w:r w:rsidRPr="00BE5C12">
        <w:rPr>
          <w:sz w:val="20"/>
          <w:szCs w:val="20"/>
        </w:rPr>
        <w:t xml:space="preserve">Gabriela Saldanha and Sharon O’Brien, </w:t>
      </w:r>
      <w:r w:rsidRPr="00BE5C12">
        <w:rPr>
          <w:i/>
          <w:iCs/>
          <w:sz w:val="20"/>
          <w:szCs w:val="20"/>
        </w:rPr>
        <w:t>Research Methodologies in Translation Studies</w:t>
      </w:r>
      <w:r w:rsidRPr="00BE5C12">
        <w:rPr>
          <w:sz w:val="20"/>
          <w:szCs w:val="20"/>
        </w:rPr>
        <w:t xml:space="preserve"> (New York, NY: Routledge, 2014), 34.</w:t>
      </w:r>
    </w:p>
  </w:footnote>
  <w:footnote w:id="76">
    <w:p w14:paraId="00EC6C4A" w14:textId="77777777" w:rsidR="00CD5A58" w:rsidRDefault="00CD5A58" w:rsidP="00F407CF">
      <w:pPr>
        <w:pStyle w:val="Footnote"/>
      </w:pPr>
      <w:r w:rsidRPr="0084073F">
        <w:rPr>
          <w:rStyle w:val="FootnoteReference"/>
        </w:rPr>
        <w:footnoteRef/>
      </w:r>
      <w:r>
        <w:t xml:space="preserve"> </w:t>
      </w:r>
      <w:r w:rsidRPr="00473C85">
        <w:t>Rare occurrence.</w:t>
      </w:r>
    </w:p>
  </w:footnote>
  <w:footnote w:id="77">
    <w:p w14:paraId="5B9F9C12" w14:textId="3BA857CB" w:rsidR="009938C5" w:rsidRDefault="009938C5">
      <w:pPr>
        <w:pStyle w:val="FootnoteText"/>
      </w:pPr>
      <w:r>
        <w:rPr>
          <w:rStyle w:val="FootnoteReference"/>
        </w:rPr>
        <w:footnoteRef/>
      </w:r>
      <w:r>
        <w:t xml:space="preserve"> </w:t>
      </w:r>
      <w:r w:rsidRPr="009938C5">
        <w:rPr>
          <w:sz w:val="20"/>
          <w:szCs w:val="20"/>
        </w:rPr>
        <w:t xml:space="preserve">John Sinclair, </w:t>
      </w:r>
      <w:r w:rsidRPr="009938C5">
        <w:rPr>
          <w:i/>
          <w:iCs/>
          <w:sz w:val="20"/>
          <w:szCs w:val="20"/>
        </w:rPr>
        <w:t>Reading Concordances: An Introduction</w:t>
      </w:r>
      <w:r w:rsidRPr="009938C5">
        <w:rPr>
          <w:sz w:val="20"/>
          <w:szCs w:val="20"/>
        </w:rPr>
        <w:t xml:space="preserve"> (Pearson/Longman, 2003), xvi–xvii.</w:t>
      </w:r>
    </w:p>
  </w:footnote>
  <w:footnote w:id="78">
    <w:p w14:paraId="45189A4B" w14:textId="02825296" w:rsidR="001B77B7" w:rsidRDefault="001B77B7">
      <w:pPr>
        <w:pStyle w:val="FootnoteText"/>
      </w:pPr>
      <w:r>
        <w:rPr>
          <w:rStyle w:val="FootnoteReference"/>
        </w:rPr>
        <w:footnoteRef/>
      </w:r>
      <w:r>
        <w:t xml:space="preserve"> </w:t>
      </w:r>
      <w:r w:rsidRPr="001B77B7">
        <w:rPr>
          <w:sz w:val="20"/>
          <w:szCs w:val="20"/>
        </w:rPr>
        <w:t xml:space="preserve">Alsanea and Booth, </w:t>
      </w:r>
      <w:r w:rsidRPr="001B77B7">
        <w:rPr>
          <w:i/>
          <w:iCs/>
          <w:sz w:val="20"/>
          <w:szCs w:val="20"/>
        </w:rPr>
        <w:t>Girls of Riyadh</w:t>
      </w:r>
      <w:r w:rsidRPr="001B77B7">
        <w:rPr>
          <w:sz w:val="20"/>
          <w:szCs w:val="20"/>
        </w:rPr>
        <w:t xml:space="preserve">, </w:t>
      </w:r>
      <w:proofErr w:type="spellStart"/>
      <w:r w:rsidRPr="001B77B7">
        <w:rPr>
          <w:sz w:val="20"/>
          <w:szCs w:val="20"/>
        </w:rPr>
        <w:t>i</w:t>
      </w:r>
      <w:proofErr w:type="spellEnd"/>
      <w:r w:rsidRPr="001B77B7">
        <w:rPr>
          <w:sz w:val="20"/>
          <w:szCs w:val="20"/>
        </w:rPr>
        <w:t>–iii.</w:t>
      </w:r>
    </w:p>
  </w:footnote>
  <w:footnote w:id="79">
    <w:p w14:paraId="1A14A047" w14:textId="4DB08020" w:rsidR="00CD6ECD" w:rsidRDefault="00CD6ECD">
      <w:pPr>
        <w:pStyle w:val="FootnoteText"/>
      </w:pPr>
      <w:r>
        <w:rPr>
          <w:rStyle w:val="FootnoteReference"/>
        </w:rPr>
        <w:footnoteRef/>
      </w:r>
      <w:r>
        <w:t xml:space="preserve"> </w:t>
      </w:r>
      <w:r w:rsidRPr="00CD6ECD">
        <w:rPr>
          <w:sz w:val="20"/>
          <w:szCs w:val="20"/>
        </w:rPr>
        <w:t xml:space="preserve">Dima Ayoub, “Politics of Paratextuality: The Glossary between Translation and the Translational,” </w:t>
      </w:r>
      <w:r w:rsidRPr="00CD6ECD">
        <w:rPr>
          <w:i/>
          <w:iCs/>
          <w:sz w:val="20"/>
          <w:szCs w:val="20"/>
        </w:rPr>
        <w:t>Journal of Arabic Literature</w:t>
      </w:r>
      <w:r w:rsidRPr="00CD6ECD">
        <w:rPr>
          <w:sz w:val="20"/>
          <w:szCs w:val="20"/>
        </w:rPr>
        <w:t xml:space="preserve"> 51, no. 1–2 (2020): </w:t>
      </w:r>
      <w:r>
        <w:rPr>
          <w:sz w:val="20"/>
          <w:szCs w:val="20"/>
        </w:rPr>
        <w:t>34</w:t>
      </w:r>
      <w:r w:rsidRPr="00CD6ECD">
        <w:rPr>
          <w:sz w:val="20"/>
          <w:szCs w:val="20"/>
        </w:rPr>
        <w:t>. https://doi.org/10.1163/1570064x-12341399.</w:t>
      </w:r>
    </w:p>
  </w:footnote>
  <w:footnote w:id="80">
    <w:p w14:paraId="6FD01AEB" w14:textId="4ABC15D2" w:rsidR="00473C85" w:rsidRDefault="00473C85" w:rsidP="00F407CF">
      <w:pPr>
        <w:pStyle w:val="Footnote"/>
      </w:pPr>
      <w:r>
        <w:rPr>
          <w:rStyle w:val="FootnoteReference"/>
        </w:rPr>
        <w:footnoteRef/>
      </w:r>
      <w:r>
        <w:t xml:space="preserve"> </w:t>
      </w:r>
      <w:r w:rsidRPr="00AD12DC">
        <w:rPr>
          <w:i w:val="0"/>
          <w:iCs w:val="0"/>
        </w:rPr>
        <w:t>Maria Tymoczko</w:t>
      </w:r>
      <w:r>
        <w:t>,</w:t>
      </w:r>
      <w:r w:rsidRPr="00473C85">
        <w:t xml:space="preserve"> Translation in a Postcolonial Context: Early Irish Literature in English Translation. </w:t>
      </w:r>
      <w:r w:rsidRPr="00AD12DC">
        <w:rPr>
          <w:i w:val="0"/>
          <w:iCs w:val="0"/>
        </w:rPr>
        <w:t>(New York, NY: Routledge, 2014).</w:t>
      </w:r>
    </w:p>
  </w:footnote>
  <w:footnote w:id="81">
    <w:p w14:paraId="2AE2C53A" w14:textId="7FEB6F17" w:rsidR="00AD12DC" w:rsidRDefault="00AD12DC">
      <w:pPr>
        <w:pStyle w:val="FootnoteText"/>
      </w:pPr>
      <w:r>
        <w:rPr>
          <w:rStyle w:val="FootnoteReference"/>
        </w:rPr>
        <w:footnoteRef/>
      </w:r>
      <w:r>
        <w:t xml:space="preserve"> </w:t>
      </w:r>
      <w:r w:rsidRPr="009A030B">
        <w:rPr>
          <w:sz w:val="20"/>
          <w:szCs w:val="20"/>
        </w:rPr>
        <w:t>Edward</w:t>
      </w:r>
      <w:r>
        <w:rPr>
          <w:sz w:val="20"/>
          <w:szCs w:val="20"/>
        </w:rPr>
        <w:t xml:space="preserve"> Said,</w:t>
      </w:r>
      <w:r w:rsidRPr="009A030B">
        <w:rPr>
          <w:sz w:val="20"/>
          <w:szCs w:val="20"/>
        </w:rPr>
        <w:t xml:space="preserve"> </w:t>
      </w:r>
      <w:r w:rsidRPr="009A030B">
        <w:rPr>
          <w:i/>
          <w:iCs/>
          <w:sz w:val="20"/>
          <w:szCs w:val="20"/>
        </w:rPr>
        <w:t>Orientalism</w:t>
      </w:r>
      <w:r w:rsidRPr="009A030B">
        <w:rPr>
          <w:sz w:val="20"/>
          <w:szCs w:val="20"/>
        </w:rPr>
        <w:t xml:space="preserve"> </w:t>
      </w:r>
      <w:r>
        <w:rPr>
          <w:sz w:val="20"/>
          <w:szCs w:val="20"/>
        </w:rPr>
        <w:t>(</w:t>
      </w:r>
      <w:r w:rsidRPr="009A030B">
        <w:rPr>
          <w:sz w:val="20"/>
          <w:szCs w:val="20"/>
        </w:rPr>
        <w:t>Vintage Books, 1979</w:t>
      </w:r>
      <w:r>
        <w:rPr>
          <w:sz w:val="20"/>
          <w:szCs w:val="20"/>
        </w:rPr>
        <w:t>) 52</w:t>
      </w:r>
      <w:r w:rsidRPr="009A030B">
        <w:rPr>
          <w:sz w:val="20"/>
          <w:szCs w:val="20"/>
        </w:rPr>
        <w:t>.</w:t>
      </w:r>
    </w:p>
  </w:footnote>
  <w:footnote w:id="82">
    <w:p w14:paraId="6768F5BE" w14:textId="3E26F451" w:rsidR="00473C85" w:rsidRDefault="00473C85">
      <w:pPr>
        <w:pStyle w:val="FootnoteText"/>
        <w:rPr>
          <w:rtl/>
        </w:rPr>
      </w:pPr>
      <w:r>
        <w:rPr>
          <w:rStyle w:val="FootnoteReference"/>
        </w:rPr>
        <w:footnoteRef/>
      </w:r>
      <w:r>
        <w:t xml:space="preserve"> </w:t>
      </w:r>
      <w:r w:rsidRPr="001B77B7">
        <w:rPr>
          <w:sz w:val="20"/>
          <w:szCs w:val="20"/>
        </w:rPr>
        <w:t xml:space="preserve">Alsanea, </w:t>
      </w:r>
      <w:r w:rsidRPr="001B77B7">
        <w:rPr>
          <w:i/>
          <w:iCs/>
          <w:sz w:val="20"/>
          <w:szCs w:val="20"/>
        </w:rPr>
        <w:t>Girls of Riyadh</w:t>
      </w:r>
      <w:r w:rsidRPr="001B77B7">
        <w:rPr>
          <w:sz w:val="20"/>
          <w:szCs w:val="20"/>
        </w:rPr>
        <w:t xml:space="preserve">, </w:t>
      </w:r>
      <w:r>
        <w:rPr>
          <w:sz w:val="20"/>
          <w:szCs w:val="20"/>
        </w:rPr>
        <w:t>ix</w:t>
      </w:r>
      <w:r w:rsidRPr="001B77B7">
        <w:rPr>
          <w:sz w:val="20"/>
          <w:szCs w:val="20"/>
        </w:rPr>
        <w:t>.</w:t>
      </w:r>
    </w:p>
  </w:footnote>
  <w:footnote w:id="83">
    <w:p w14:paraId="09031520" w14:textId="77777777" w:rsidR="00CD5A58" w:rsidRDefault="00CD5A58" w:rsidP="00F407CF">
      <w:pPr>
        <w:pStyle w:val="Footnote"/>
      </w:pPr>
      <w:r w:rsidRPr="0084073F">
        <w:rPr>
          <w:rStyle w:val="FootnoteReference"/>
        </w:rPr>
        <w:footnoteRef/>
      </w:r>
      <w:r>
        <w:t xml:space="preserve"> </w:t>
      </w:r>
      <w:r w:rsidRPr="00071F60">
        <w:rPr>
          <w:i w:val="0"/>
          <w:iCs w:val="0"/>
        </w:rPr>
        <w:t>The last part of this review (“</w:t>
      </w:r>
      <w:r w:rsidRPr="00071F60">
        <w:rPr>
          <w:rFonts w:cs="Helvetica Neue"/>
          <w:i w:val="0"/>
          <w:iCs w:val="0"/>
          <w:color w:val="000000"/>
        </w:rPr>
        <w:t>This is a real eye-opener for anyone living in the luxury of a free society”)</w:t>
      </w:r>
      <w:r w:rsidRPr="00071F60">
        <w:rPr>
          <w:i w:val="0"/>
          <w:iCs w:val="0"/>
        </w:rPr>
        <w:t xml:space="preserve"> had been coded “superiority” and was added to the other segments where readers express thankfulness or privilege for not leading such life.</w:t>
      </w:r>
    </w:p>
  </w:footnote>
  <w:footnote w:id="84">
    <w:p w14:paraId="564E0F9E" w14:textId="56AB3853" w:rsidR="00CD5A58" w:rsidRDefault="00CD5A58" w:rsidP="00F407CF">
      <w:pPr>
        <w:pStyle w:val="Footnote"/>
      </w:pPr>
      <w:r w:rsidRPr="0084073F">
        <w:rPr>
          <w:rStyle w:val="FootnoteReference"/>
        </w:rPr>
        <w:footnoteRef/>
      </w:r>
      <w:r>
        <w:t xml:space="preserve"> </w:t>
      </w:r>
      <w:r w:rsidRPr="00F407CF">
        <w:rPr>
          <w:i w:val="0"/>
          <w:iCs w:val="0"/>
        </w:rPr>
        <w:t xml:space="preserve">This quotation is associated with three codes: “ethnography,” because the reader reportedly learned about Saudi men and how they treat their partners; “resistant,” because the reader refuses to buy the idea that all Saudi men are tyrannical and scornful towards their significant others, which is an image well in line with how they were depicted in the translated text; </w:t>
      </w:r>
      <w:r w:rsidR="00AF7325" w:rsidRPr="00F407CF">
        <w:rPr>
          <w:i w:val="0"/>
          <w:iCs w:val="0"/>
        </w:rPr>
        <w:t xml:space="preserve">and </w:t>
      </w:r>
      <w:r w:rsidRPr="00F407CF">
        <w:rPr>
          <w:i w:val="0"/>
          <w:iCs w:val="0"/>
        </w:rPr>
        <w:t xml:space="preserve">“universal,” because this reader mentions that such abhorrent qualities exist “in and out of marriage everywhere in the world.” I decided to keep them in one quotation and not chop this segment up into three </w:t>
      </w:r>
      <w:r w:rsidR="00AF7325" w:rsidRPr="00F407CF">
        <w:rPr>
          <w:i w:val="0"/>
          <w:iCs w:val="0"/>
        </w:rPr>
        <w:t xml:space="preserve">sections </w:t>
      </w:r>
      <w:r w:rsidRPr="00F407CF">
        <w:rPr>
          <w:i w:val="0"/>
          <w:iCs w:val="0"/>
        </w:rPr>
        <w:t>because, first, each coded segment in the quotation bleeds into the other and, second, these segments would sound awkward if they were decontextualized through chopping them up and inserting them into three separate categories.</w:t>
      </w:r>
      <w:r>
        <w:t xml:space="preserve"> </w:t>
      </w:r>
    </w:p>
  </w:footnote>
  <w:footnote w:id="85">
    <w:p w14:paraId="0BB9FF13" w14:textId="019CACC9" w:rsidR="00CD5A58" w:rsidRDefault="00CD5A58" w:rsidP="00F407CF">
      <w:pPr>
        <w:pStyle w:val="Footnote"/>
      </w:pPr>
      <w:r w:rsidRPr="0084073F">
        <w:rPr>
          <w:rStyle w:val="FootnoteReference"/>
        </w:rPr>
        <w:footnoteRef/>
      </w:r>
      <w:r>
        <w:t xml:space="preserve"> </w:t>
      </w:r>
      <w:r w:rsidRPr="00071F60">
        <w:rPr>
          <w:i w:val="0"/>
          <w:iCs w:val="0"/>
        </w:rPr>
        <w:t xml:space="preserve">This word is particularly problematic, for </w:t>
      </w:r>
      <w:r w:rsidR="00576B87" w:rsidRPr="00071F60">
        <w:rPr>
          <w:i w:val="0"/>
          <w:iCs w:val="0"/>
        </w:rPr>
        <w:t xml:space="preserve">although </w:t>
      </w:r>
      <w:r w:rsidRPr="00071F60">
        <w:rPr>
          <w:i w:val="0"/>
          <w:iCs w:val="0"/>
        </w:rPr>
        <w:t>cultural aspects have been dramatically watered down, if not expunged, the text is still packaged (and read) as a guide to the culture.</w:t>
      </w:r>
    </w:p>
  </w:footnote>
  <w:footnote w:id="86">
    <w:p w14:paraId="65B1A31A" w14:textId="7C4730B9" w:rsidR="009A030B" w:rsidRDefault="009A030B">
      <w:pPr>
        <w:pStyle w:val="FootnoteText"/>
      </w:pPr>
      <w:r>
        <w:rPr>
          <w:rStyle w:val="FootnoteReference"/>
        </w:rPr>
        <w:footnoteRef/>
      </w:r>
      <w:r>
        <w:t xml:space="preserve"> </w:t>
      </w:r>
      <w:r w:rsidRPr="009A030B">
        <w:rPr>
          <w:sz w:val="20"/>
          <w:szCs w:val="20"/>
        </w:rPr>
        <w:t>Edward</w:t>
      </w:r>
      <w:r>
        <w:rPr>
          <w:sz w:val="20"/>
          <w:szCs w:val="20"/>
        </w:rPr>
        <w:t xml:space="preserve"> Said,</w:t>
      </w:r>
      <w:r w:rsidRPr="009A030B">
        <w:rPr>
          <w:sz w:val="20"/>
          <w:szCs w:val="20"/>
        </w:rPr>
        <w:t xml:space="preserve"> </w:t>
      </w:r>
      <w:r w:rsidRPr="009A030B">
        <w:rPr>
          <w:i/>
          <w:iCs/>
          <w:sz w:val="20"/>
          <w:szCs w:val="20"/>
        </w:rPr>
        <w:t>Orientalism</w:t>
      </w:r>
      <w:r w:rsidRPr="009A030B">
        <w:rPr>
          <w:sz w:val="20"/>
          <w:szCs w:val="20"/>
        </w:rPr>
        <w:t xml:space="preserve"> </w:t>
      </w:r>
      <w:r>
        <w:rPr>
          <w:sz w:val="20"/>
          <w:szCs w:val="20"/>
        </w:rPr>
        <w:t>(</w:t>
      </w:r>
      <w:r w:rsidRPr="009A030B">
        <w:rPr>
          <w:sz w:val="20"/>
          <w:szCs w:val="20"/>
        </w:rPr>
        <w:t>Vintage Books, 1979</w:t>
      </w:r>
      <w:r>
        <w:rPr>
          <w:sz w:val="20"/>
          <w:szCs w:val="20"/>
        </w:rPr>
        <w:t>)</w:t>
      </w:r>
      <w:r w:rsidRPr="009A030B">
        <w:rPr>
          <w:sz w:val="20"/>
          <w:szCs w:val="20"/>
        </w:rPr>
        <w:t>.</w:t>
      </w:r>
    </w:p>
  </w:footnote>
  <w:footnote w:id="87">
    <w:p w14:paraId="67E7DA31" w14:textId="6F4A1B18" w:rsidR="000966AC" w:rsidRDefault="000966AC">
      <w:pPr>
        <w:pStyle w:val="FootnoteText"/>
      </w:pPr>
      <w:r>
        <w:rPr>
          <w:rStyle w:val="FootnoteReference"/>
        </w:rPr>
        <w:footnoteRef/>
      </w:r>
      <w:r>
        <w:t xml:space="preserve"> </w:t>
      </w:r>
      <w:r w:rsidRPr="000966AC">
        <w:rPr>
          <w:sz w:val="20"/>
          <w:szCs w:val="20"/>
        </w:rPr>
        <w:t xml:space="preserve">Pascale Casanova, “Consecration and Accumulation of Literary Capital: Translation as Unequal Exchange,” in </w:t>
      </w:r>
      <w:r w:rsidRPr="000966AC">
        <w:rPr>
          <w:i/>
          <w:iCs/>
          <w:sz w:val="20"/>
          <w:szCs w:val="20"/>
        </w:rPr>
        <w:t>Critical Readings in Translation Studies</w:t>
      </w:r>
      <w:r w:rsidRPr="000966AC">
        <w:rPr>
          <w:sz w:val="20"/>
          <w:szCs w:val="20"/>
        </w:rPr>
        <w:t>, ed. Mona Baker, 285–303 (London: Routledge, 2010).</w:t>
      </w:r>
    </w:p>
  </w:footnote>
  <w:footnote w:id="88">
    <w:p w14:paraId="2BD1B4F8" w14:textId="583C4FAC" w:rsidR="00D1648D" w:rsidRDefault="00D1648D">
      <w:pPr>
        <w:pStyle w:val="FootnoteText"/>
      </w:pPr>
      <w:r>
        <w:rPr>
          <w:rStyle w:val="FootnoteReference"/>
        </w:rPr>
        <w:footnoteRef/>
      </w:r>
      <w:r>
        <w:t xml:space="preserve"> </w:t>
      </w:r>
      <w:r w:rsidRPr="00D1648D">
        <w:rPr>
          <w:sz w:val="20"/>
          <w:szCs w:val="20"/>
        </w:rPr>
        <w:t>Kennedy, “Beyond the Book,” para. 5.</w:t>
      </w:r>
    </w:p>
  </w:footnote>
  <w:footnote w:id="89">
    <w:p w14:paraId="1DC87E53" w14:textId="5224F805" w:rsidR="00473C85" w:rsidRDefault="00473C85" w:rsidP="00F407CF">
      <w:pPr>
        <w:pStyle w:val="Footnote"/>
      </w:pPr>
      <w:r>
        <w:rPr>
          <w:rStyle w:val="FootnoteReference"/>
        </w:rPr>
        <w:footnoteRef/>
      </w:r>
      <w:r>
        <w:t xml:space="preserve"> </w:t>
      </w:r>
      <w:r w:rsidRPr="00275588">
        <w:t>Alsanea</w:t>
      </w:r>
      <w:r>
        <w:t>,</w:t>
      </w:r>
      <w:r w:rsidRPr="00275588">
        <w:t xml:space="preserve"> </w:t>
      </w:r>
      <w:r w:rsidRPr="00473C85">
        <w:rPr>
          <w:rtl/>
        </w:rPr>
        <w:t>بنات الرياض</w:t>
      </w:r>
      <w:r w:rsidRPr="00473C85">
        <w:t xml:space="preserve"> </w:t>
      </w:r>
      <w:proofErr w:type="spellStart"/>
      <w:r w:rsidRPr="00473C85">
        <w:t>Bānātū</w:t>
      </w:r>
      <w:proofErr w:type="spellEnd"/>
      <w:r w:rsidRPr="00473C85">
        <w:t xml:space="preserve"> </w:t>
      </w:r>
      <w:proofErr w:type="spellStart"/>
      <w:r w:rsidRPr="00473C85">
        <w:rPr>
          <w:rFonts w:ascii="Times New Roman" w:hAnsi="Times New Roman" w:cs="Times New Roman"/>
        </w:rPr>
        <w:t>ʾ</w:t>
      </w:r>
      <w:r w:rsidRPr="00473C85">
        <w:t>rrīyāḍ</w:t>
      </w:r>
      <w:proofErr w:type="spellEnd"/>
      <w:r w:rsidRPr="00473C85">
        <w:t xml:space="preserve">, </w:t>
      </w:r>
      <w:r>
        <w:t>318.</w:t>
      </w:r>
    </w:p>
  </w:footnote>
  <w:footnote w:id="90">
    <w:p w14:paraId="0D6AE0F8" w14:textId="49B178D0" w:rsidR="00ED6DB1" w:rsidRDefault="00ED6DB1">
      <w:pPr>
        <w:pStyle w:val="FootnoteText"/>
      </w:pPr>
      <w:r>
        <w:rPr>
          <w:rStyle w:val="FootnoteReference"/>
        </w:rPr>
        <w:footnoteRef/>
      </w:r>
      <w:r>
        <w:t xml:space="preserve"> </w:t>
      </w:r>
      <w:r w:rsidRPr="00ED6DB1">
        <w:rPr>
          <w:sz w:val="20"/>
          <w:szCs w:val="20"/>
        </w:rPr>
        <w:t xml:space="preserve">Kobus Marais, </w:t>
      </w:r>
      <w:r w:rsidRPr="00ED6DB1">
        <w:rPr>
          <w:i/>
          <w:iCs/>
          <w:sz w:val="20"/>
          <w:szCs w:val="20"/>
        </w:rPr>
        <w:t>Translation Theory and Development Studies: A Complexity Theory Approach</w:t>
      </w:r>
      <w:r w:rsidRPr="00ED6DB1">
        <w:rPr>
          <w:sz w:val="20"/>
          <w:szCs w:val="20"/>
        </w:rPr>
        <w:t xml:space="preserve"> (New York, NY: Routledge, 2014), 17.</w:t>
      </w:r>
    </w:p>
  </w:footnote>
  <w:footnote w:id="91">
    <w:p w14:paraId="5E5B15CB" w14:textId="31CADCDD" w:rsidR="00205156" w:rsidRDefault="00205156">
      <w:pPr>
        <w:pStyle w:val="FootnoteText"/>
      </w:pPr>
      <w:r>
        <w:rPr>
          <w:rStyle w:val="FootnoteReference"/>
        </w:rPr>
        <w:footnoteRef/>
      </w:r>
      <w:r>
        <w:t xml:space="preserve"> </w:t>
      </w:r>
      <w:proofErr w:type="spellStart"/>
      <w:r w:rsidRPr="00205156">
        <w:rPr>
          <w:sz w:val="20"/>
          <w:szCs w:val="20"/>
        </w:rPr>
        <w:t>Gisèle</w:t>
      </w:r>
      <w:proofErr w:type="spellEnd"/>
      <w:r w:rsidRPr="00205156">
        <w:rPr>
          <w:sz w:val="20"/>
          <w:szCs w:val="20"/>
        </w:rPr>
        <w:t xml:space="preserve"> Sapiro, “Translation and the Field of Publishing,” </w:t>
      </w:r>
      <w:r w:rsidRPr="00205156">
        <w:rPr>
          <w:i/>
          <w:iCs/>
          <w:sz w:val="20"/>
          <w:szCs w:val="20"/>
        </w:rPr>
        <w:t>Translation Studies</w:t>
      </w:r>
      <w:r w:rsidRPr="00205156">
        <w:rPr>
          <w:sz w:val="20"/>
          <w:szCs w:val="20"/>
        </w:rPr>
        <w:t xml:space="preserve"> 1, no. 2(2008): 163. https://doi.org/10.1080/14781700802113473.</w:t>
      </w:r>
    </w:p>
  </w:footnote>
  <w:footnote w:id="92">
    <w:p w14:paraId="6EFEA249" w14:textId="465E7FDD" w:rsidR="00A90AE8" w:rsidRDefault="00A90AE8">
      <w:pPr>
        <w:pStyle w:val="FootnoteText"/>
      </w:pPr>
      <w:r>
        <w:rPr>
          <w:rStyle w:val="FootnoteReference"/>
        </w:rPr>
        <w:footnoteRef/>
      </w:r>
      <w:r>
        <w:t xml:space="preserve"> </w:t>
      </w:r>
      <w:r w:rsidRPr="00560D1A">
        <w:rPr>
          <w:sz w:val="20"/>
          <w:szCs w:val="20"/>
        </w:rPr>
        <w:t>Emmerich, “Visibility (and Invisibility),” 201.</w:t>
      </w:r>
    </w:p>
  </w:footnote>
  <w:footnote w:id="93">
    <w:p w14:paraId="098A0CE4" w14:textId="7B96BEC9" w:rsidR="00C13AE8" w:rsidRDefault="00C13AE8">
      <w:pPr>
        <w:pStyle w:val="FootnoteText"/>
      </w:pPr>
      <w:r>
        <w:rPr>
          <w:rStyle w:val="FootnoteReference"/>
        </w:rPr>
        <w:footnoteRef/>
      </w:r>
      <w:r>
        <w:t xml:space="preserve"> </w:t>
      </w:r>
      <w:r w:rsidRPr="00C13AE8">
        <w:rPr>
          <w:sz w:val="20"/>
          <w:szCs w:val="20"/>
        </w:rPr>
        <w:t>Bourdieu, “The Social Conditions,” 223.</w:t>
      </w:r>
    </w:p>
  </w:footnote>
  <w:footnote w:id="94">
    <w:p w14:paraId="797B2F73" w14:textId="77777777" w:rsidR="00CD5A58" w:rsidRDefault="00CD5A58" w:rsidP="00F407CF">
      <w:pPr>
        <w:pStyle w:val="Footnote"/>
      </w:pPr>
      <w:r w:rsidRPr="0084073F">
        <w:rPr>
          <w:rStyle w:val="FootnoteReference"/>
        </w:rPr>
        <w:footnoteRef/>
      </w:r>
      <w:r>
        <w:t xml:space="preserve"> </w:t>
      </w:r>
      <w:r w:rsidRPr="00473C85">
        <w:t>These words appear in contexts in which readers express regret for wasting their “time” on reading this—or that this text is not worthy of one’s “time.”</w:t>
      </w:r>
    </w:p>
  </w:footnote>
  <w:footnote w:id="95">
    <w:p w14:paraId="31C0EE51" w14:textId="6D8DD3D2" w:rsidR="005D00A1" w:rsidRDefault="005D00A1">
      <w:pPr>
        <w:pStyle w:val="FootnoteText"/>
      </w:pPr>
      <w:r>
        <w:rPr>
          <w:rStyle w:val="FootnoteReference"/>
        </w:rPr>
        <w:footnoteRef/>
      </w:r>
      <w:r>
        <w:t xml:space="preserve"> </w:t>
      </w:r>
      <w:r w:rsidRPr="005D00A1">
        <w:rPr>
          <w:sz w:val="20"/>
          <w:szCs w:val="20"/>
        </w:rPr>
        <w:t xml:space="preserve">Peter Connor, “Reading Literature in Translation,” in </w:t>
      </w:r>
      <w:r w:rsidRPr="005D00A1">
        <w:rPr>
          <w:i/>
          <w:iCs/>
          <w:sz w:val="20"/>
          <w:szCs w:val="20"/>
        </w:rPr>
        <w:t>A Companion to Translation Studies</w:t>
      </w:r>
      <w:r w:rsidRPr="005D00A1">
        <w:rPr>
          <w:sz w:val="20"/>
          <w:szCs w:val="20"/>
        </w:rPr>
        <w:t xml:space="preserve">, ed. Sandra </w:t>
      </w:r>
      <w:proofErr w:type="spellStart"/>
      <w:r w:rsidRPr="005D00A1">
        <w:rPr>
          <w:sz w:val="20"/>
          <w:szCs w:val="20"/>
        </w:rPr>
        <w:t>Bermann</w:t>
      </w:r>
      <w:proofErr w:type="spellEnd"/>
      <w:r w:rsidRPr="005D00A1">
        <w:rPr>
          <w:sz w:val="20"/>
          <w:szCs w:val="20"/>
        </w:rPr>
        <w:t xml:space="preserve"> and Catherine Porter, 425–37 (Oxford, UK: John Wiley &amp; Sons, Ltd, 2014), 426–427.</w:t>
      </w:r>
    </w:p>
  </w:footnote>
  <w:footnote w:id="96">
    <w:p w14:paraId="516B8A5B" w14:textId="006FA645" w:rsidR="006E2E7F" w:rsidRDefault="006E2E7F">
      <w:pPr>
        <w:pStyle w:val="FootnoteText"/>
      </w:pPr>
      <w:r>
        <w:rPr>
          <w:rStyle w:val="FootnoteReference"/>
        </w:rPr>
        <w:footnoteRef/>
      </w:r>
      <w:r>
        <w:t xml:space="preserve"> </w:t>
      </w:r>
      <w:r w:rsidRPr="009E7B53">
        <w:rPr>
          <w:sz w:val="20"/>
          <w:szCs w:val="20"/>
        </w:rPr>
        <w:t>Booth, “Three’s a Crowd,” 105.</w:t>
      </w:r>
    </w:p>
  </w:footnote>
  <w:footnote w:id="97">
    <w:p w14:paraId="4498DA39" w14:textId="79941672" w:rsidR="006E2E7F" w:rsidRDefault="006E2E7F">
      <w:pPr>
        <w:pStyle w:val="FootnoteText"/>
      </w:pPr>
      <w:r>
        <w:rPr>
          <w:rStyle w:val="FootnoteReference"/>
        </w:rPr>
        <w:footnoteRef/>
      </w:r>
      <w:r>
        <w:t xml:space="preserve"> </w:t>
      </w:r>
      <w:r w:rsidRPr="009E7B53">
        <w:rPr>
          <w:sz w:val="20"/>
          <w:szCs w:val="20"/>
        </w:rPr>
        <w:t xml:space="preserve">Kate Sturge, </w:t>
      </w:r>
      <w:r w:rsidRPr="009E7B53">
        <w:rPr>
          <w:i/>
          <w:iCs/>
          <w:sz w:val="20"/>
          <w:szCs w:val="20"/>
        </w:rPr>
        <w:t>Representing Others: Translation, Ethnography and Museum</w:t>
      </w:r>
      <w:r w:rsidRPr="009E7B53">
        <w:rPr>
          <w:sz w:val="20"/>
          <w:szCs w:val="20"/>
        </w:rPr>
        <w:t xml:space="preserve"> (Manchester, UK: St. Jerome Publishing, 2007), 79.</w:t>
      </w:r>
    </w:p>
  </w:footnote>
  <w:footnote w:id="98">
    <w:p w14:paraId="6EF36DB5" w14:textId="46330B24" w:rsidR="00F407CF" w:rsidRDefault="00F407CF">
      <w:pPr>
        <w:pStyle w:val="FootnoteText"/>
      </w:pPr>
      <w:r>
        <w:rPr>
          <w:rStyle w:val="FootnoteReference"/>
        </w:rPr>
        <w:footnoteRef/>
      </w:r>
      <w:r>
        <w:t xml:space="preserve"> </w:t>
      </w:r>
      <w:r w:rsidRPr="009A030B">
        <w:rPr>
          <w:sz w:val="20"/>
          <w:szCs w:val="20"/>
        </w:rPr>
        <w:t>Edward</w:t>
      </w:r>
      <w:r>
        <w:rPr>
          <w:sz w:val="20"/>
          <w:szCs w:val="20"/>
        </w:rPr>
        <w:t xml:space="preserve"> Said,</w:t>
      </w:r>
      <w:r w:rsidRPr="009A030B">
        <w:rPr>
          <w:sz w:val="20"/>
          <w:szCs w:val="20"/>
        </w:rPr>
        <w:t xml:space="preserve"> </w:t>
      </w:r>
      <w:r w:rsidRPr="009A030B">
        <w:rPr>
          <w:i/>
          <w:iCs/>
          <w:sz w:val="20"/>
          <w:szCs w:val="20"/>
        </w:rPr>
        <w:t>Orientalism</w:t>
      </w:r>
      <w:r w:rsidRPr="009A030B">
        <w:rPr>
          <w:sz w:val="20"/>
          <w:szCs w:val="20"/>
        </w:rPr>
        <w:t xml:space="preserve"> </w:t>
      </w:r>
      <w:r>
        <w:rPr>
          <w:sz w:val="20"/>
          <w:szCs w:val="20"/>
        </w:rPr>
        <w:t>(</w:t>
      </w:r>
      <w:r w:rsidRPr="009A030B">
        <w:rPr>
          <w:sz w:val="20"/>
          <w:szCs w:val="20"/>
        </w:rPr>
        <w:t>Vintage Books, 1979</w:t>
      </w:r>
      <w:r>
        <w:rPr>
          <w:sz w:val="20"/>
          <w:szCs w:val="20"/>
        </w:rPr>
        <w:t>) 49</w:t>
      </w:r>
      <w:r w:rsidRPr="009A030B">
        <w:rPr>
          <w:sz w:val="20"/>
          <w:szCs w:val="20"/>
        </w:rPr>
        <w:t>.</w:t>
      </w:r>
    </w:p>
  </w:footnote>
  <w:footnote w:id="99">
    <w:p w14:paraId="26B4B303" w14:textId="6A13E7E0" w:rsidR="00187703" w:rsidRDefault="00187703">
      <w:pPr>
        <w:pStyle w:val="FootnoteText"/>
      </w:pPr>
      <w:r>
        <w:rPr>
          <w:rStyle w:val="FootnoteReference"/>
        </w:rPr>
        <w:footnoteRef/>
      </w:r>
      <w:r>
        <w:t xml:space="preserve"> </w:t>
      </w:r>
      <w:r w:rsidRPr="0096241D">
        <w:rPr>
          <w:sz w:val="20"/>
          <w:szCs w:val="20"/>
        </w:rPr>
        <w:t xml:space="preserve">Marco Sonzogni, </w:t>
      </w:r>
      <w:r w:rsidRPr="0096241D">
        <w:rPr>
          <w:i/>
          <w:iCs/>
          <w:sz w:val="20"/>
          <w:szCs w:val="20"/>
        </w:rPr>
        <w:t>Re-Covered Rose: A Case Study in Book Cover Design as Intersemiotic Translation</w:t>
      </w:r>
      <w:r w:rsidRPr="0096241D">
        <w:rPr>
          <w:sz w:val="20"/>
          <w:szCs w:val="20"/>
        </w:rPr>
        <w:t xml:space="preserve"> (Amsterdam: John Benjamins Publishing Company, 2011), 4.</w:t>
      </w:r>
    </w:p>
  </w:footnote>
  <w:footnote w:id="100">
    <w:p w14:paraId="7E1622B8" w14:textId="1CEB55ED" w:rsidR="006632AB" w:rsidRPr="006632AB" w:rsidRDefault="006632AB">
      <w:pPr>
        <w:pStyle w:val="FootnoteText"/>
      </w:pPr>
      <w:r>
        <w:rPr>
          <w:rStyle w:val="FootnoteReference"/>
        </w:rPr>
        <w:footnoteRef/>
      </w:r>
      <w:r>
        <w:t xml:space="preserve"> </w:t>
      </w:r>
      <w:r w:rsidRPr="0096241D">
        <w:rPr>
          <w:sz w:val="20"/>
          <w:szCs w:val="20"/>
        </w:rPr>
        <w:t xml:space="preserve">Sonzogni, </w:t>
      </w:r>
      <w:r w:rsidRPr="0096241D">
        <w:rPr>
          <w:i/>
          <w:iCs/>
          <w:sz w:val="20"/>
          <w:szCs w:val="20"/>
        </w:rPr>
        <w:t>Re-Covered Rose</w:t>
      </w:r>
      <w:r>
        <w:rPr>
          <w:sz w:val="20"/>
          <w:szCs w:val="20"/>
        </w:rPr>
        <w:t>.</w:t>
      </w:r>
    </w:p>
  </w:footnote>
  <w:footnote w:id="101">
    <w:p w14:paraId="0B719180" w14:textId="4366E967" w:rsidR="006632AB" w:rsidRDefault="006632AB">
      <w:pPr>
        <w:pStyle w:val="FootnoteText"/>
      </w:pPr>
      <w:r>
        <w:rPr>
          <w:rStyle w:val="FootnoteReference"/>
        </w:rPr>
        <w:footnoteRef/>
      </w:r>
      <w:r>
        <w:t xml:space="preserve"> </w:t>
      </w:r>
      <w:r w:rsidRPr="00FB2612">
        <w:rPr>
          <w:sz w:val="20"/>
          <w:szCs w:val="20"/>
        </w:rPr>
        <w:t>Walte</w:t>
      </w:r>
      <w:r>
        <w:rPr>
          <w:sz w:val="20"/>
          <w:szCs w:val="20"/>
        </w:rPr>
        <w:t xml:space="preserve">r </w:t>
      </w:r>
      <w:r w:rsidRPr="006F0615">
        <w:rPr>
          <w:sz w:val="20"/>
          <w:szCs w:val="20"/>
        </w:rPr>
        <w:t>Benjamin,</w:t>
      </w:r>
      <w:r w:rsidRPr="00FB2612">
        <w:rPr>
          <w:sz w:val="20"/>
          <w:szCs w:val="20"/>
        </w:rPr>
        <w:t xml:space="preserve"> “The Task of the Translator</w:t>
      </w:r>
      <w:r>
        <w:rPr>
          <w:sz w:val="20"/>
          <w:szCs w:val="20"/>
        </w:rPr>
        <w:t>,</w:t>
      </w:r>
      <w:r w:rsidRPr="00FB2612">
        <w:rPr>
          <w:sz w:val="20"/>
          <w:szCs w:val="20"/>
        </w:rPr>
        <w:t xml:space="preserve">” </w:t>
      </w:r>
      <w:r>
        <w:rPr>
          <w:sz w:val="20"/>
          <w:szCs w:val="20"/>
        </w:rPr>
        <w:t>i</w:t>
      </w:r>
      <w:r w:rsidRPr="00FB2612">
        <w:rPr>
          <w:sz w:val="20"/>
          <w:szCs w:val="20"/>
        </w:rPr>
        <w:t xml:space="preserve">n </w:t>
      </w:r>
      <w:r w:rsidRPr="00FB2612">
        <w:rPr>
          <w:i/>
          <w:iCs/>
          <w:sz w:val="20"/>
          <w:szCs w:val="20"/>
        </w:rPr>
        <w:t>Theories of Translation: An Anthology of Essays from Dryden to Derrida</w:t>
      </w:r>
      <w:r w:rsidRPr="00FB2612">
        <w:rPr>
          <w:sz w:val="20"/>
          <w:szCs w:val="20"/>
        </w:rPr>
        <w:t xml:space="preserve">, </w:t>
      </w:r>
      <w:r>
        <w:rPr>
          <w:sz w:val="20"/>
          <w:szCs w:val="20"/>
        </w:rPr>
        <w:t>eds.</w:t>
      </w:r>
      <w:r w:rsidRPr="00FB2612">
        <w:rPr>
          <w:sz w:val="20"/>
          <w:szCs w:val="20"/>
        </w:rPr>
        <w:t xml:space="preserve"> John </w:t>
      </w:r>
      <w:proofErr w:type="spellStart"/>
      <w:r w:rsidRPr="00FB2612">
        <w:rPr>
          <w:sz w:val="20"/>
          <w:szCs w:val="20"/>
        </w:rPr>
        <w:t>Biguenet</w:t>
      </w:r>
      <w:proofErr w:type="spellEnd"/>
      <w:r w:rsidRPr="00FB2612">
        <w:rPr>
          <w:sz w:val="20"/>
          <w:szCs w:val="20"/>
        </w:rPr>
        <w:t xml:space="preserve"> and Rainer Schulte, 71–82 </w:t>
      </w:r>
      <w:r>
        <w:rPr>
          <w:sz w:val="20"/>
          <w:szCs w:val="20"/>
        </w:rPr>
        <w:t>(</w:t>
      </w:r>
      <w:r w:rsidRPr="00FB2612">
        <w:rPr>
          <w:sz w:val="20"/>
          <w:szCs w:val="20"/>
        </w:rPr>
        <w:t>Chicago: The University of Chicago Press, 1992</w:t>
      </w:r>
      <w:r>
        <w:rPr>
          <w:sz w:val="20"/>
          <w:szCs w:val="20"/>
        </w:rPr>
        <w:t>)</w:t>
      </w:r>
      <w:r w:rsidRPr="00FB2612">
        <w:rPr>
          <w:sz w:val="20"/>
          <w:szCs w:val="20"/>
        </w:rPr>
        <w:t>.</w:t>
      </w:r>
    </w:p>
  </w:footnote>
  <w:footnote w:id="102">
    <w:p w14:paraId="747A8AF2" w14:textId="3F97CC0B" w:rsidR="008F6401" w:rsidRDefault="008F6401">
      <w:pPr>
        <w:pStyle w:val="FootnoteText"/>
      </w:pPr>
      <w:r>
        <w:rPr>
          <w:rStyle w:val="FootnoteReference"/>
        </w:rPr>
        <w:footnoteRef/>
      </w:r>
      <w:r>
        <w:t xml:space="preserve"> </w:t>
      </w:r>
      <w:r w:rsidRPr="008F6401">
        <w:rPr>
          <w:sz w:val="20"/>
          <w:szCs w:val="20"/>
        </w:rPr>
        <w:t xml:space="preserve">Johan Heilbron, “Books Translations as a Cultural World System,” in </w:t>
      </w:r>
      <w:r w:rsidRPr="008F6401">
        <w:rPr>
          <w:i/>
          <w:iCs/>
          <w:sz w:val="20"/>
          <w:szCs w:val="20"/>
        </w:rPr>
        <w:t>Critical Readings in Translation Studies</w:t>
      </w:r>
      <w:r w:rsidRPr="008F6401">
        <w:rPr>
          <w:sz w:val="20"/>
          <w:szCs w:val="20"/>
        </w:rPr>
        <w:t>, ed. Mona Baker, 304–16 (New York, NY: Routledge, 2010).</w:t>
      </w:r>
    </w:p>
  </w:footnote>
  <w:footnote w:id="103">
    <w:p w14:paraId="51C5E546" w14:textId="5CBE5E11" w:rsidR="008E0D5A" w:rsidRDefault="008E0D5A">
      <w:pPr>
        <w:pStyle w:val="FootnoteText"/>
      </w:pPr>
      <w:r>
        <w:rPr>
          <w:rStyle w:val="FootnoteReference"/>
        </w:rPr>
        <w:footnoteRef/>
      </w:r>
      <w:r>
        <w:t xml:space="preserve"> </w:t>
      </w:r>
      <w:r w:rsidRPr="008E0D5A">
        <w:rPr>
          <w:sz w:val="20"/>
          <w:szCs w:val="20"/>
        </w:rPr>
        <w:t xml:space="preserve">Grossman, </w:t>
      </w:r>
      <w:r w:rsidRPr="008E0D5A">
        <w:rPr>
          <w:i/>
          <w:iCs/>
          <w:sz w:val="20"/>
          <w:szCs w:val="20"/>
        </w:rPr>
        <w:t>Why Translation Matters</w:t>
      </w:r>
      <w:r w:rsidRPr="008E0D5A">
        <w:rPr>
          <w:sz w:val="20"/>
          <w:szCs w:val="20"/>
        </w:rPr>
        <w:t>, 58.</w:t>
      </w:r>
    </w:p>
  </w:footnote>
  <w:footnote w:id="104">
    <w:p w14:paraId="05D84DC9" w14:textId="77777777" w:rsidR="00CD5A58" w:rsidRDefault="00CD5A58" w:rsidP="00F407CF">
      <w:pPr>
        <w:pStyle w:val="Footnote"/>
      </w:pPr>
      <w:r>
        <w:rPr>
          <w:rStyle w:val="FootnoteReference"/>
        </w:rPr>
        <w:footnoteRef/>
      </w:r>
      <w:r>
        <w:t xml:space="preserve"> </w:t>
      </w:r>
      <w:r w:rsidRPr="00974A6F">
        <w:t>https://www.mehtapublishinghouse.com/book-details/GIRLS-OF-RIYADH/665.aspx</w:t>
      </w:r>
    </w:p>
  </w:footnote>
  <w:footnote w:id="105">
    <w:p w14:paraId="45054AAB" w14:textId="7E2591A9" w:rsidR="00974A6F" w:rsidRDefault="00974A6F">
      <w:pPr>
        <w:pStyle w:val="FootnoteText"/>
      </w:pPr>
      <w:r>
        <w:rPr>
          <w:rStyle w:val="FootnoteReference"/>
        </w:rPr>
        <w:footnoteRef/>
      </w:r>
      <w:r>
        <w:t xml:space="preserve"> </w:t>
      </w:r>
      <w:r w:rsidRPr="00974A6F">
        <w:rPr>
          <w:sz w:val="20"/>
          <w:szCs w:val="20"/>
        </w:rPr>
        <w:t xml:space="preserve">Heekyoung Cho, </w:t>
      </w:r>
      <w:r w:rsidRPr="00974A6F">
        <w:rPr>
          <w:i/>
          <w:iCs/>
          <w:sz w:val="20"/>
          <w:szCs w:val="20"/>
        </w:rPr>
        <w:t>Translation’s Forgotten History: Russian Literature, Japanese Mediation, and the Formation of Modern Korean Literature</w:t>
      </w:r>
      <w:r w:rsidRPr="00974A6F">
        <w:rPr>
          <w:sz w:val="20"/>
          <w:szCs w:val="20"/>
        </w:rPr>
        <w:t xml:space="preserve"> (Harvard University Asia Center, 2016).</w:t>
      </w:r>
    </w:p>
  </w:footnote>
  <w:footnote w:id="106">
    <w:p w14:paraId="562CC700" w14:textId="3377D523" w:rsidR="00CD5A58" w:rsidRDefault="00CD5A58" w:rsidP="00F407CF">
      <w:pPr>
        <w:pStyle w:val="Footnote"/>
      </w:pPr>
      <w:r>
        <w:rPr>
          <w:rStyle w:val="FootnoteReference"/>
        </w:rPr>
        <w:footnoteRef/>
      </w:r>
      <w:r>
        <w:t xml:space="preserve"> </w:t>
      </w:r>
      <w:r w:rsidRPr="00FB5042">
        <w:rPr>
          <w:i w:val="0"/>
          <w:iCs w:val="0"/>
        </w:rPr>
        <w:t xml:space="preserve">As of </w:t>
      </w:r>
      <w:r w:rsidR="00FB5042">
        <w:rPr>
          <w:i w:val="0"/>
          <w:iCs w:val="0"/>
        </w:rPr>
        <w:t>February</w:t>
      </w:r>
      <w:r w:rsidRPr="00FB5042">
        <w:rPr>
          <w:i w:val="0"/>
          <w:iCs w:val="0"/>
        </w:rPr>
        <w:t xml:space="preserve"> 202</w:t>
      </w:r>
      <w:r w:rsidR="00FB5042">
        <w:rPr>
          <w:i w:val="0"/>
          <w:iCs w:val="0"/>
        </w:rPr>
        <w:t>4</w:t>
      </w:r>
      <w:r w:rsidRPr="00FB5042">
        <w:rPr>
          <w:i w:val="0"/>
          <w:iCs w:val="0"/>
        </w:rPr>
        <w:t>: https://www.jarir.com/sa-en/arabic-books-287362.html.</w:t>
      </w:r>
      <w:r>
        <w:t xml:space="preserve"> </w:t>
      </w:r>
    </w:p>
  </w:footnote>
  <w:footnote w:id="107">
    <w:p w14:paraId="6F84DF97" w14:textId="4E3FAFB7" w:rsidR="00385577" w:rsidRDefault="00385577">
      <w:pPr>
        <w:pStyle w:val="FootnoteText"/>
      </w:pPr>
      <w:r>
        <w:rPr>
          <w:rStyle w:val="FootnoteReference"/>
        </w:rPr>
        <w:footnoteRef/>
      </w:r>
      <w:r>
        <w:t xml:space="preserve"> </w:t>
      </w:r>
      <w:r w:rsidRPr="00385577">
        <w:rPr>
          <w:sz w:val="20"/>
          <w:szCs w:val="20"/>
        </w:rPr>
        <w:t>Booth, “‘The Muslim Woman,’” 171.</w:t>
      </w:r>
    </w:p>
  </w:footnote>
  <w:footnote w:id="108">
    <w:p w14:paraId="0771645C" w14:textId="7F178E04" w:rsidR="008E21C5" w:rsidRDefault="008E21C5">
      <w:pPr>
        <w:pStyle w:val="FootnoteText"/>
      </w:pPr>
      <w:r>
        <w:rPr>
          <w:rStyle w:val="FootnoteReference"/>
        </w:rPr>
        <w:footnoteRef/>
      </w:r>
      <w:r>
        <w:t xml:space="preserve"> </w:t>
      </w:r>
      <w:r w:rsidRPr="008E21C5">
        <w:rPr>
          <w:sz w:val="20"/>
          <w:szCs w:val="20"/>
        </w:rPr>
        <w:t>van Wyke, “Translation and Ethics,” 557–558; van Wyke, “Ethics and Translation,” 114–115.</w:t>
      </w:r>
    </w:p>
  </w:footnote>
  <w:footnote w:id="109">
    <w:p w14:paraId="24191498" w14:textId="08AF597E" w:rsidR="008E21C5" w:rsidRDefault="008E21C5">
      <w:pPr>
        <w:pStyle w:val="FootnoteText"/>
      </w:pPr>
      <w:r>
        <w:rPr>
          <w:rStyle w:val="FootnoteReference"/>
        </w:rPr>
        <w:footnoteRef/>
      </w:r>
      <w:r>
        <w:t xml:space="preserve"> </w:t>
      </w:r>
      <w:r w:rsidRPr="008E21C5">
        <w:rPr>
          <w:sz w:val="20"/>
          <w:szCs w:val="20"/>
        </w:rPr>
        <w:t xml:space="preserve">Donald Kiraly, </w:t>
      </w:r>
      <w:r w:rsidRPr="008E21C5">
        <w:rPr>
          <w:i/>
          <w:iCs/>
          <w:sz w:val="20"/>
          <w:szCs w:val="20"/>
        </w:rPr>
        <w:t>A Social Constructivist Approach to Translator Education: Empowerment from Theory to Practice</w:t>
      </w:r>
      <w:r w:rsidRPr="008E21C5">
        <w:rPr>
          <w:sz w:val="20"/>
          <w:szCs w:val="20"/>
        </w:rPr>
        <w:t xml:space="preserve"> (Manchester, UK: St. Jerome Publishing, 2000), 63–64.</w:t>
      </w:r>
    </w:p>
  </w:footnote>
  <w:footnote w:id="110">
    <w:p w14:paraId="4C1E03F8" w14:textId="1A82E811" w:rsidR="00A64E52" w:rsidRDefault="00A64E52">
      <w:pPr>
        <w:pStyle w:val="FootnoteText"/>
      </w:pPr>
      <w:r>
        <w:rPr>
          <w:rStyle w:val="FootnoteReference"/>
        </w:rPr>
        <w:footnoteRef/>
      </w:r>
      <w:r>
        <w:t xml:space="preserve"> </w:t>
      </w:r>
      <w:r w:rsidRPr="00A64E52">
        <w:rPr>
          <w:sz w:val="20"/>
          <w:szCs w:val="20"/>
        </w:rPr>
        <w:t xml:space="preserve">Carol Maier, “Toward a Theoretical Practice for Cross-Cultural Translation,” in </w:t>
      </w:r>
      <w:r w:rsidRPr="00A64E52">
        <w:rPr>
          <w:i/>
          <w:iCs/>
          <w:sz w:val="20"/>
          <w:szCs w:val="20"/>
        </w:rPr>
        <w:t>Between Languages and Cultures: Translation and Cross-Cultural Texts</w:t>
      </w:r>
      <w:r w:rsidRPr="00A64E52">
        <w:rPr>
          <w:sz w:val="20"/>
          <w:szCs w:val="20"/>
        </w:rPr>
        <w:t xml:space="preserve">, eds. Anuradha </w:t>
      </w:r>
      <w:proofErr w:type="spellStart"/>
      <w:r w:rsidRPr="00A64E52">
        <w:rPr>
          <w:sz w:val="20"/>
          <w:szCs w:val="20"/>
        </w:rPr>
        <w:t>Dingwaney</w:t>
      </w:r>
      <w:proofErr w:type="spellEnd"/>
      <w:r w:rsidRPr="00A64E52">
        <w:rPr>
          <w:sz w:val="20"/>
          <w:szCs w:val="20"/>
        </w:rPr>
        <w:t xml:space="preserve"> and Caro Maier, 21–38 (Pittsburgh: University of Pittsburgh Press, 1995), 31.</w:t>
      </w:r>
    </w:p>
  </w:footnote>
  <w:footnote w:id="111">
    <w:p w14:paraId="703B2434" w14:textId="735030F6" w:rsidR="00A64E52" w:rsidRDefault="00A64E52">
      <w:pPr>
        <w:pStyle w:val="FootnoteText"/>
      </w:pPr>
      <w:r>
        <w:rPr>
          <w:rStyle w:val="FootnoteReference"/>
        </w:rPr>
        <w:footnoteRef/>
      </w:r>
      <w:r>
        <w:t xml:space="preserve"> </w:t>
      </w:r>
      <w:r w:rsidRPr="00A64E52">
        <w:rPr>
          <w:sz w:val="20"/>
          <w:szCs w:val="20"/>
        </w:rPr>
        <w:t xml:space="preserve">Manfred </w:t>
      </w:r>
      <w:proofErr w:type="spellStart"/>
      <w:r w:rsidRPr="00A64E52">
        <w:rPr>
          <w:sz w:val="20"/>
          <w:szCs w:val="20"/>
        </w:rPr>
        <w:t>Beller</w:t>
      </w:r>
      <w:proofErr w:type="spellEnd"/>
      <w:r w:rsidRPr="00A64E52">
        <w:rPr>
          <w:sz w:val="20"/>
          <w:szCs w:val="20"/>
        </w:rPr>
        <w:t xml:space="preserve">, “Perception, Image, Imagology,” in </w:t>
      </w:r>
      <w:r w:rsidRPr="00A64E52">
        <w:rPr>
          <w:i/>
          <w:iCs/>
          <w:sz w:val="20"/>
          <w:szCs w:val="20"/>
        </w:rPr>
        <w:t xml:space="preserve">Imagology </w:t>
      </w:r>
      <w:proofErr w:type="gramStart"/>
      <w:r w:rsidRPr="00A64E52">
        <w:rPr>
          <w:i/>
          <w:iCs/>
          <w:sz w:val="20"/>
          <w:szCs w:val="20"/>
        </w:rPr>
        <w:t>The</w:t>
      </w:r>
      <w:proofErr w:type="gramEnd"/>
      <w:r w:rsidRPr="00A64E52">
        <w:rPr>
          <w:i/>
          <w:iCs/>
          <w:sz w:val="20"/>
          <w:szCs w:val="20"/>
        </w:rPr>
        <w:t xml:space="preserve"> Cultural Construction and Literary Representation of National Characters. A Critical Survey</w:t>
      </w:r>
      <w:r w:rsidRPr="00A64E52">
        <w:rPr>
          <w:sz w:val="20"/>
          <w:szCs w:val="20"/>
        </w:rPr>
        <w:t xml:space="preserve">, eds. Manfred </w:t>
      </w:r>
      <w:proofErr w:type="spellStart"/>
      <w:r w:rsidRPr="00A64E52">
        <w:rPr>
          <w:sz w:val="20"/>
          <w:szCs w:val="20"/>
        </w:rPr>
        <w:t>Beller</w:t>
      </w:r>
      <w:proofErr w:type="spellEnd"/>
      <w:r w:rsidRPr="00A64E52">
        <w:rPr>
          <w:sz w:val="20"/>
          <w:szCs w:val="20"/>
        </w:rPr>
        <w:t xml:space="preserve"> and Joep </w:t>
      </w:r>
      <w:proofErr w:type="spellStart"/>
      <w:r w:rsidRPr="00A64E52">
        <w:rPr>
          <w:sz w:val="20"/>
          <w:szCs w:val="20"/>
        </w:rPr>
        <w:t>Leerssen</w:t>
      </w:r>
      <w:proofErr w:type="spellEnd"/>
      <w:r w:rsidRPr="00A64E52">
        <w:rPr>
          <w:sz w:val="20"/>
          <w:szCs w:val="20"/>
        </w:rPr>
        <w:t>, 1–16 (Leiden, The Netherlands: Brill, 2007), 12.</w:t>
      </w:r>
    </w:p>
  </w:footnote>
  <w:footnote w:id="112">
    <w:p w14:paraId="25183951" w14:textId="021723AB" w:rsidR="00E8780C" w:rsidRDefault="00E8780C">
      <w:pPr>
        <w:pStyle w:val="FootnoteText"/>
      </w:pPr>
      <w:r>
        <w:rPr>
          <w:rStyle w:val="FootnoteReference"/>
        </w:rPr>
        <w:footnoteRef/>
      </w:r>
      <w:r>
        <w:t xml:space="preserve"> </w:t>
      </w:r>
      <w:r w:rsidRPr="00E8780C">
        <w:rPr>
          <w:sz w:val="20"/>
          <w:szCs w:val="20"/>
        </w:rPr>
        <w:t xml:space="preserve">David Damrosch, </w:t>
      </w:r>
      <w:r w:rsidRPr="00E8780C">
        <w:rPr>
          <w:i/>
          <w:iCs/>
          <w:sz w:val="20"/>
          <w:szCs w:val="20"/>
        </w:rPr>
        <w:t>Around the World in 80 Books</w:t>
      </w:r>
      <w:r w:rsidRPr="00E8780C">
        <w:rPr>
          <w:sz w:val="20"/>
          <w:szCs w:val="20"/>
        </w:rPr>
        <w:t xml:space="preserve"> (New York: Penguin Press, 2021), xviii.</w:t>
      </w:r>
    </w:p>
  </w:footnote>
  <w:footnote w:id="113">
    <w:p w14:paraId="7452F733" w14:textId="31F7C007" w:rsidR="00396E2B" w:rsidRDefault="00396E2B" w:rsidP="00F407CF">
      <w:pPr>
        <w:pStyle w:val="Footnote"/>
      </w:pPr>
      <w:r>
        <w:rPr>
          <w:rStyle w:val="FootnoteReference"/>
        </w:rPr>
        <w:footnoteRef/>
      </w:r>
      <w:r>
        <w:t xml:space="preserve"> </w:t>
      </w:r>
      <w:r w:rsidRPr="00F407CF">
        <w:rPr>
          <w:i w:val="0"/>
          <w:iCs w:val="0"/>
        </w:rPr>
        <w:t>Jean Delisle and Judith Woodsworth,</w:t>
      </w:r>
      <w:r w:rsidRPr="00245346">
        <w:t xml:space="preserve"> “Preface,” in Translators through History, </w:t>
      </w:r>
      <w:r w:rsidRPr="00F407CF">
        <w:rPr>
          <w:i w:val="0"/>
          <w:iCs w:val="0"/>
        </w:rPr>
        <w:t>eds. Jean Delisle and Judith Woodsworth, Revised edition, xix–xxii (Amsterdam, The Netherlands: John Benjamins Publishing Company, 2012), xix.</w:t>
      </w:r>
    </w:p>
  </w:footnote>
  <w:footnote w:id="114">
    <w:p w14:paraId="32CC17DC" w14:textId="37F539AF" w:rsidR="002F2E0D" w:rsidRPr="00245346" w:rsidRDefault="002F2E0D">
      <w:pPr>
        <w:pStyle w:val="FootnoteText"/>
        <w:rPr>
          <w:sz w:val="20"/>
          <w:szCs w:val="20"/>
        </w:rPr>
      </w:pPr>
      <w:r>
        <w:rPr>
          <w:rStyle w:val="FootnoteReference"/>
        </w:rPr>
        <w:footnoteRef/>
      </w:r>
      <w:r>
        <w:t xml:space="preserve"> </w:t>
      </w:r>
      <w:r w:rsidRPr="00245346">
        <w:rPr>
          <w:sz w:val="20"/>
          <w:szCs w:val="20"/>
        </w:rPr>
        <w:t xml:space="preserve">Michael Allan, </w:t>
      </w:r>
      <w:r w:rsidRPr="00245346">
        <w:rPr>
          <w:i/>
          <w:iCs/>
          <w:sz w:val="20"/>
          <w:szCs w:val="20"/>
        </w:rPr>
        <w:t>In the Shadow of World Literature: Sites of Reading in Colonial Egypt</w:t>
      </w:r>
      <w:r w:rsidRPr="00245346">
        <w:rPr>
          <w:sz w:val="20"/>
          <w:szCs w:val="20"/>
        </w:rPr>
        <w:t xml:space="preserve"> (Princeton: Princeton University Press, 2016), 133–134.</w:t>
      </w:r>
    </w:p>
  </w:footnote>
  <w:footnote w:id="115">
    <w:p w14:paraId="7FB99B82" w14:textId="60004FD0" w:rsidR="00AE7EA3" w:rsidRDefault="00AE7EA3">
      <w:pPr>
        <w:pStyle w:val="FootnoteText"/>
      </w:pPr>
      <w:r>
        <w:rPr>
          <w:rStyle w:val="FootnoteReference"/>
        </w:rPr>
        <w:footnoteRef/>
      </w:r>
      <w:r>
        <w:t xml:space="preserve"> </w:t>
      </w:r>
      <w:r w:rsidRPr="00473C85">
        <w:rPr>
          <w:sz w:val="20"/>
          <w:szCs w:val="20"/>
        </w:rPr>
        <w:t>Ibid., 116.</w:t>
      </w:r>
    </w:p>
  </w:footnote>
  <w:footnote w:id="116">
    <w:p w14:paraId="42169CBE" w14:textId="2B8B7BFC" w:rsidR="00AE7EA3" w:rsidRDefault="00AE7EA3">
      <w:pPr>
        <w:pStyle w:val="FootnoteText"/>
      </w:pPr>
      <w:r>
        <w:rPr>
          <w:rStyle w:val="FootnoteReference"/>
        </w:rPr>
        <w:footnoteRef/>
      </w:r>
      <w:r>
        <w:t xml:space="preserve"> </w:t>
      </w:r>
      <w:r w:rsidRPr="009B1EC6">
        <w:rPr>
          <w:sz w:val="20"/>
          <w:szCs w:val="20"/>
        </w:rPr>
        <w:t xml:space="preserve">Maria Tymoczko, </w:t>
      </w:r>
      <w:r w:rsidRPr="009B1EC6">
        <w:rPr>
          <w:i/>
          <w:iCs/>
          <w:sz w:val="20"/>
          <w:szCs w:val="20"/>
        </w:rPr>
        <w:t>Enlarging Translation, Empowering Translators</w:t>
      </w:r>
      <w:r w:rsidRPr="009B1EC6">
        <w:rPr>
          <w:sz w:val="20"/>
          <w:szCs w:val="20"/>
        </w:rPr>
        <w:t>, 2</w:t>
      </w:r>
      <w:r w:rsidRPr="009B1EC6">
        <w:rPr>
          <w:sz w:val="20"/>
          <w:szCs w:val="20"/>
          <w:vertAlign w:val="superscript"/>
        </w:rPr>
        <w:t>nd</w:t>
      </w:r>
      <w:r w:rsidRPr="009B1EC6">
        <w:rPr>
          <w:sz w:val="20"/>
          <w:szCs w:val="20"/>
        </w:rPr>
        <w:t xml:space="preserve"> ed. (New York: Routledge, 2010).</w:t>
      </w:r>
    </w:p>
  </w:footnote>
  <w:footnote w:id="117">
    <w:p w14:paraId="0F2C9974" w14:textId="77777777" w:rsidR="00071F60" w:rsidRDefault="00071F60" w:rsidP="00071F60">
      <w:pPr>
        <w:pStyle w:val="Footnote"/>
      </w:pPr>
      <w:r>
        <w:rPr>
          <w:rStyle w:val="FootnoteReference"/>
        </w:rPr>
        <w:footnoteRef/>
      </w:r>
      <w:r>
        <w:t xml:space="preserve"> </w:t>
      </w:r>
      <w:r w:rsidRPr="00F407CF">
        <w:rPr>
          <w:i w:val="0"/>
          <w:iCs w:val="0"/>
        </w:rPr>
        <w:t>Tarek Shamma</w:t>
      </w:r>
      <w:r>
        <w:t xml:space="preserve">, “Translation and Colonialism,” </w:t>
      </w:r>
      <w:r w:rsidRPr="00F407CF">
        <w:rPr>
          <w:i w:val="0"/>
          <w:iCs w:val="0"/>
        </w:rPr>
        <w:t>in</w:t>
      </w:r>
      <w:r>
        <w:t xml:space="preserve"> The Routledge Handbook of Translation and Culture, </w:t>
      </w:r>
      <w:r w:rsidRPr="00F407CF">
        <w:rPr>
          <w:i w:val="0"/>
          <w:iCs w:val="0"/>
        </w:rPr>
        <w:t xml:space="preserve">eds, Sue-Ann Harding, </w:t>
      </w:r>
      <w:proofErr w:type="spellStart"/>
      <w:r w:rsidRPr="00F407CF">
        <w:rPr>
          <w:i w:val="0"/>
          <w:iCs w:val="0"/>
        </w:rPr>
        <w:t>Ovidi</w:t>
      </w:r>
      <w:proofErr w:type="spellEnd"/>
      <w:r w:rsidRPr="00F407CF">
        <w:rPr>
          <w:i w:val="0"/>
          <w:iCs w:val="0"/>
        </w:rPr>
        <w:t xml:space="preserve"> </w:t>
      </w:r>
      <w:proofErr w:type="spellStart"/>
      <w:r w:rsidRPr="00F407CF">
        <w:rPr>
          <w:i w:val="0"/>
          <w:iCs w:val="0"/>
        </w:rPr>
        <w:t>Carbonell</w:t>
      </w:r>
      <w:proofErr w:type="spellEnd"/>
      <w:r w:rsidRPr="00F407CF">
        <w:rPr>
          <w:i w:val="0"/>
          <w:iCs w:val="0"/>
        </w:rPr>
        <w:t xml:space="preserve"> Cortés, 279-295 (New York: Routledge, 2018)</w:t>
      </w:r>
      <w:r>
        <w:rPr>
          <w:i w:val="0"/>
          <w:iCs w:val="0"/>
        </w:rPr>
        <w:t xml:space="preserve"> 279</w:t>
      </w:r>
      <w:r w:rsidRPr="00F407CF">
        <w:rPr>
          <w:i w:val="0"/>
          <w:iCs w:val="0"/>
        </w:rPr>
        <w:t>.</w:t>
      </w:r>
    </w:p>
  </w:footnote>
  <w:footnote w:id="118">
    <w:p w14:paraId="72834581" w14:textId="3AA2854C" w:rsidR="00AE7EA3" w:rsidRDefault="00AE7EA3" w:rsidP="00F407CF">
      <w:pPr>
        <w:pStyle w:val="Footnote"/>
      </w:pPr>
      <w:r>
        <w:rPr>
          <w:rStyle w:val="FootnoteReference"/>
        </w:rPr>
        <w:footnoteRef/>
      </w:r>
      <w:r>
        <w:t xml:space="preserve"> </w:t>
      </w:r>
      <w:r w:rsidRPr="009B1EC6">
        <w:t>Berman, Toward a Translation Criticism, 49.</w:t>
      </w:r>
    </w:p>
  </w:footnote>
  <w:footnote w:id="119">
    <w:p w14:paraId="3FD3EAE0" w14:textId="26058824" w:rsidR="00AE7EA3" w:rsidRDefault="00AE7EA3">
      <w:pPr>
        <w:pStyle w:val="FootnoteText"/>
      </w:pPr>
      <w:r>
        <w:rPr>
          <w:rStyle w:val="FootnoteReference"/>
        </w:rPr>
        <w:footnoteRef/>
      </w:r>
      <w:r>
        <w:t xml:space="preserve"> </w:t>
      </w:r>
      <w:r w:rsidRPr="009B1EC6">
        <w:rPr>
          <w:sz w:val="20"/>
          <w:szCs w:val="20"/>
        </w:rPr>
        <w:t xml:space="preserve">Anthony Pym, “Rebranding Translation, a Lecture by Anthony Pym,” </w:t>
      </w:r>
      <w:r w:rsidRPr="009B1EC6">
        <w:rPr>
          <w:i/>
          <w:iCs/>
          <w:sz w:val="20"/>
          <w:szCs w:val="20"/>
        </w:rPr>
        <w:t>YouTube</w:t>
      </w:r>
      <w:r w:rsidRPr="009B1EC6">
        <w:rPr>
          <w:sz w:val="20"/>
          <w:szCs w:val="20"/>
        </w:rPr>
        <w:t>, 2022. https://www.youtube.com/watch?v=_Zhm9FQmZ2g&amp;t=2859s.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D17"/>
    <w:multiLevelType w:val="hybridMultilevel"/>
    <w:tmpl w:val="95E2792E"/>
    <w:lvl w:ilvl="0" w:tplc="8B14EB42">
      <w:start w:val="1"/>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9553B"/>
    <w:multiLevelType w:val="multilevel"/>
    <w:tmpl w:val="54FCD650"/>
    <w:lvl w:ilvl="0">
      <w:start w:val="1"/>
      <w:numFmt w:val="upperRoman"/>
      <w:lvlText w:val="%1."/>
      <w:lvlJc w:val="left"/>
      <w:pPr>
        <w:ind w:left="3600" w:firstLine="0"/>
      </w:pPr>
      <w:rPr>
        <w:rFonts w:hint="default"/>
      </w:rPr>
    </w:lvl>
    <w:lvl w:ilvl="1">
      <w:start w:val="1"/>
      <w:numFmt w:val="upperLetter"/>
      <w:lvlText w:val="%2."/>
      <w:lvlJc w:val="left"/>
      <w:pPr>
        <w:ind w:left="4320" w:firstLine="0"/>
      </w:pPr>
      <w:rPr>
        <w:rFonts w:hint="default"/>
      </w:rPr>
    </w:lvl>
    <w:lvl w:ilvl="2">
      <w:start w:val="1"/>
      <w:numFmt w:val="decimal"/>
      <w:lvlText w:val="%3."/>
      <w:lvlJc w:val="left"/>
      <w:pPr>
        <w:ind w:left="5040" w:firstLine="0"/>
      </w:pPr>
      <w:rPr>
        <w:rFonts w:hint="default"/>
      </w:rPr>
    </w:lvl>
    <w:lvl w:ilvl="3">
      <w:start w:val="1"/>
      <w:numFmt w:val="lowerLetter"/>
      <w:lvlText w:val="%4)"/>
      <w:lvlJc w:val="left"/>
      <w:pPr>
        <w:ind w:left="5760" w:firstLine="0"/>
      </w:pPr>
      <w:rPr>
        <w:rFonts w:hint="default"/>
      </w:rPr>
    </w:lvl>
    <w:lvl w:ilvl="4">
      <w:start w:val="1"/>
      <w:numFmt w:val="decimal"/>
      <w:lvlText w:val="(%5)"/>
      <w:lvlJc w:val="left"/>
      <w:pPr>
        <w:ind w:left="6480" w:firstLine="0"/>
      </w:pPr>
      <w:rPr>
        <w:rFonts w:hint="default"/>
      </w:rPr>
    </w:lvl>
    <w:lvl w:ilvl="5">
      <w:start w:val="1"/>
      <w:numFmt w:val="lowerLetter"/>
      <w:pStyle w:val="Heading6"/>
      <w:lvlText w:val="(%6)"/>
      <w:lvlJc w:val="left"/>
      <w:pPr>
        <w:ind w:left="7200" w:firstLine="0"/>
      </w:pPr>
      <w:rPr>
        <w:rFonts w:hint="default"/>
      </w:rPr>
    </w:lvl>
    <w:lvl w:ilvl="6">
      <w:start w:val="1"/>
      <w:numFmt w:val="lowerRoman"/>
      <w:pStyle w:val="Heading7"/>
      <w:lvlText w:val="(%7)"/>
      <w:lvlJc w:val="left"/>
      <w:pPr>
        <w:ind w:left="7920" w:firstLine="0"/>
      </w:pPr>
      <w:rPr>
        <w:rFonts w:hint="default"/>
      </w:rPr>
    </w:lvl>
    <w:lvl w:ilvl="7">
      <w:start w:val="1"/>
      <w:numFmt w:val="lowerLetter"/>
      <w:pStyle w:val="Heading8"/>
      <w:lvlText w:val="(%8)"/>
      <w:lvlJc w:val="left"/>
      <w:pPr>
        <w:ind w:left="8640" w:firstLine="0"/>
      </w:pPr>
      <w:rPr>
        <w:rFonts w:hint="default"/>
      </w:rPr>
    </w:lvl>
    <w:lvl w:ilvl="8">
      <w:start w:val="1"/>
      <w:numFmt w:val="lowerRoman"/>
      <w:pStyle w:val="Heading9"/>
      <w:lvlText w:val="(%9)"/>
      <w:lvlJc w:val="left"/>
      <w:pPr>
        <w:ind w:left="9360" w:firstLine="0"/>
      </w:pPr>
      <w:rPr>
        <w:rFonts w:hint="default"/>
      </w:rPr>
    </w:lvl>
  </w:abstractNum>
  <w:abstractNum w:abstractNumId="2" w15:restartNumberingAfterBreak="0">
    <w:nsid w:val="0A994F71"/>
    <w:multiLevelType w:val="hybridMultilevel"/>
    <w:tmpl w:val="CCDA3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FF70E0"/>
    <w:multiLevelType w:val="hybridMultilevel"/>
    <w:tmpl w:val="131C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C50E0"/>
    <w:multiLevelType w:val="hybridMultilevel"/>
    <w:tmpl w:val="9A40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92F43"/>
    <w:multiLevelType w:val="multilevel"/>
    <w:tmpl w:val="662874F4"/>
    <w:lvl w:ilvl="0">
      <w:start w:val="1"/>
      <w:numFmt w:val="decimal"/>
      <w:suff w:val="space"/>
      <w:lvlText w:val="Chapter %1"/>
      <w:lvlJc w:val="left"/>
      <w:pPr>
        <w:ind w:left="0" w:firstLine="0"/>
      </w:pPr>
      <w:rPr>
        <w:rFonts w:ascii="Georgia" w:hAnsi="Georgia" w:hint="default"/>
        <w:b/>
        <w:i w:val="0"/>
        <w:sz w:val="24"/>
        <w:u w:color="000000" w:themeColor="text1"/>
      </w:rPr>
    </w:lvl>
    <w:lvl w:ilvl="1">
      <w:start w:val="1"/>
      <w:numFmt w:val="decimal"/>
      <w:suff w:val="space"/>
      <w:lvlText w:val="%1.%2."/>
      <w:lvlJc w:val="left"/>
      <w:pPr>
        <w:ind w:left="79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224"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455FBC"/>
    <w:multiLevelType w:val="hybridMultilevel"/>
    <w:tmpl w:val="F586B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0C1EEE"/>
    <w:multiLevelType w:val="hybridMultilevel"/>
    <w:tmpl w:val="0D40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C4340"/>
    <w:multiLevelType w:val="hybridMultilevel"/>
    <w:tmpl w:val="7CFC5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766591"/>
    <w:multiLevelType w:val="hybridMultilevel"/>
    <w:tmpl w:val="6432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F023F6"/>
    <w:multiLevelType w:val="hybridMultilevel"/>
    <w:tmpl w:val="AAB45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A95BD9"/>
    <w:multiLevelType w:val="hybridMultilevel"/>
    <w:tmpl w:val="DE7E3C30"/>
    <w:lvl w:ilvl="0" w:tplc="38429B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075DE"/>
    <w:multiLevelType w:val="hybridMultilevel"/>
    <w:tmpl w:val="0BC8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FA5C82"/>
    <w:multiLevelType w:val="hybridMultilevel"/>
    <w:tmpl w:val="01DE12D0"/>
    <w:lvl w:ilvl="0" w:tplc="09B60F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D36710"/>
    <w:multiLevelType w:val="multilevel"/>
    <w:tmpl w:val="584A739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486C2B"/>
    <w:multiLevelType w:val="hybridMultilevel"/>
    <w:tmpl w:val="6DC21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C824A1"/>
    <w:multiLevelType w:val="hybridMultilevel"/>
    <w:tmpl w:val="6764C304"/>
    <w:lvl w:ilvl="0" w:tplc="84ECBD7A">
      <w:start w:val="3"/>
      <w:numFmt w:val="bullet"/>
      <w:lvlText w:val="-"/>
      <w:lvlJc w:val="left"/>
      <w:pPr>
        <w:ind w:left="1800" w:hanging="360"/>
      </w:pPr>
      <w:rPr>
        <w:rFonts w:ascii="Georgia" w:eastAsiaTheme="minorHAnsi" w:hAnsi="Georg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5693C76"/>
    <w:multiLevelType w:val="multilevel"/>
    <w:tmpl w:val="0734945E"/>
    <w:lvl w:ilvl="0">
      <w:start w:val="1"/>
      <w:numFmt w:val="decimal"/>
      <w:pStyle w:val="Heading1"/>
      <w:suff w:val="space"/>
      <w:lvlText w:val="Chapter %1"/>
      <w:lvlJc w:val="left"/>
      <w:pPr>
        <w:ind w:left="0" w:firstLine="0"/>
      </w:pPr>
      <w:rPr>
        <w:rFonts w:ascii="Georgia" w:hAnsi="Georgia" w:hint="default"/>
        <w:b/>
        <w:i w:val="0"/>
        <w:sz w:val="24"/>
        <w:u w:color="000000" w:themeColor="text1"/>
      </w:rPr>
    </w:lvl>
    <w:lvl w:ilvl="1">
      <w:start w:val="1"/>
      <w:numFmt w:val="decimal"/>
      <w:suff w:val="space"/>
      <w:lvlText w:val="%1.%2."/>
      <w:lvlJc w:val="left"/>
      <w:pPr>
        <w:ind w:left="79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224" w:hanging="504"/>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92151B1"/>
    <w:multiLevelType w:val="hybridMultilevel"/>
    <w:tmpl w:val="DD84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431A3E"/>
    <w:multiLevelType w:val="hybridMultilevel"/>
    <w:tmpl w:val="8ECA5F60"/>
    <w:lvl w:ilvl="0" w:tplc="D3061298">
      <w:numFmt w:val="bullet"/>
      <w:lvlText w:val="-"/>
      <w:lvlJc w:val="left"/>
      <w:pPr>
        <w:ind w:left="720" w:hanging="360"/>
      </w:pPr>
      <w:rPr>
        <w:rFonts w:ascii="Georgia" w:eastAsiaTheme="minorHAnsi" w:hAnsi="Georg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662F6"/>
    <w:multiLevelType w:val="hybridMultilevel"/>
    <w:tmpl w:val="F994243E"/>
    <w:lvl w:ilvl="0" w:tplc="62E8DF96">
      <w:start w:val="1"/>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457D7"/>
    <w:multiLevelType w:val="hybridMultilevel"/>
    <w:tmpl w:val="4B8A3DD2"/>
    <w:lvl w:ilvl="0" w:tplc="31BC4DD2">
      <w:start w:val="3"/>
      <w:numFmt w:val="bullet"/>
      <w:lvlText w:val="-"/>
      <w:lvlJc w:val="left"/>
      <w:pPr>
        <w:ind w:left="720" w:hanging="360"/>
      </w:pPr>
      <w:rPr>
        <w:rFonts w:ascii="Georgia" w:eastAsiaTheme="minorHAnsi" w:hAnsi="Georgia" w:cstheme="minorBidi" w:hint="default"/>
      </w:rPr>
    </w:lvl>
    <w:lvl w:ilvl="1" w:tplc="C6E27F24" w:tentative="1">
      <w:start w:val="1"/>
      <w:numFmt w:val="bullet"/>
      <w:lvlText w:val="o"/>
      <w:lvlJc w:val="left"/>
      <w:pPr>
        <w:ind w:left="1440" w:hanging="360"/>
      </w:pPr>
      <w:rPr>
        <w:rFonts w:ascii="Courier New" w:hAnsi="Courier New" w:cs="Courier New" w:hint="default"/>
      </w:rPr>
    </w:lvl>
    <w:lvl w:ilvl="2" w:tplc="F31E8674" w:tentative="1">
      <w:start w:val="1"/>
      <w:numFmt w:val="bullet"/>
      <w:lvlText w:val=""/>
      <w:lvlJc w:val="left"/>
      <w:pPr>
        <w:ind w:left="2160" w:hanging="360"/>
      </w:pPr>
      <w:rPr>
        <w:rFonts w:ascii="Wingdings" w:hAnsi="Wingdings" w:hint="default"/>
      </w:rPr>
    </w:lvl>
    <w:lvl w:ilvl="3" w:tplc="A85A3304" w:tentative="1">
      <w:start w:val="1"/>
      <w:numFmt w:val="bullet"/>
      <w:lvlText w:val=""/>
      <w:lvlJc w:val="left"/>
      <w:pPr>
        <w:ind w:left="2880" w:hanging="360"/>
      </w:pPr>
      <w:rPr>
        <w:rFonts w:ascii="Symbol" w:hAnsi="Symbol" w:hint="default"/>
      </w:rPr>
    </w:lvl>
    <w:lvl w:ilvl="4" w:tplc="854A034A" w:tentative="1">
      <w:start w:val="1"/>
      <w:numFmt w:val="bullet"/>
      <w:lvlText w:val="o"/>
      <w:lvlJc w:val="left"/>
      <w:pPr>
        <w:ind w:left="3600" w:hanging="360"/>
      </w:pPr>
      <w:rPr>
        <w:rFonts w:ascii="Courier New" w:hAnsi="Courier New" w:cs="Courier New" w:hint="default"/>
      </w:rPr>
    </w:lvl>
    <w:lvl w:ilvl="5" w:tplc="AB52F73E" w:tentative="1">
      <w:start w:val="1"/>
      <w:numFmt w:val="bullet"/>
      <w:lvlText w:val=""/>
      <w:lvlJc w:val="left"/>
      <w:pPr>
        <w:ind w:left="4320" w:hanging="360"/>
      </w:pPr>
      <w:rPr>
        <w:rFonts w:ascii="Wingdings" w:hAnsi="Wingdings" w:hint="default"/>
      </w:rPr>
    </w:lvl>
    <w:lvl w:ilvl="6" w:tplc="C6A2C138" w:tentative="1">
      <w:start w:val="1"/>
      <w:numFmt w:val="bullet"/>
      <w:lvlText w:val=""/>
      <w:lvlJc w:val="left"/>
      <w:pPr>
        <w:ind w:left="5040" w:hanging="360"/>
      </w:pPr>
      <w:rPr>
        <w:rFonts w:ascii="Symbol" w:hAnsi="Symbol" w:hint="default"/>
      </w:rPr>
    </w:lvl>
    <w:lvl w:ilvl="7" w:tplc="FD72AF16" w:tentative="1">
      <w:start w:val="1"/>
      <w:numFmt w:val="bullet"/>
      <w:lvlText w:val="o"/>
      <w:lvlJc w:val="left"/>
      <w:pPr>
        <w:ind w:left="5760" w:hanging="360"/>
      </w:pPr>
      <w:rPr>
        <w:rFonts w:ascii="Courier New" w:hAnsi="Courier New" w:cs="Courier New" w:hint="default"/>
      </w:rPr>
    </w:lvl>
    <w:lvl w:ilvl="8" w:tplc="8CF417D4" w:tentative="1">
      <w:start w:val="1"/>
      <w:numFmt w:val="bullet"/>
      <w:lvlText w:val=""/>
      <w:lvlJc w:val="left"/>
      <w:pPr>
        <w:ind w:left="6480" w:hanging="360"/>
      </w:pPr>
      <w:rPr>
        <w:rFonts w:ascii="Wingdings" w:hAnsi="Wingdings" w:hint="default"/>
      </w:rPr>
    </w:lvl>
  </w:abstractNum>
  <w:abstractNum w:abstractNumId="22" w15:restartNumberingAfterBreak="0">
    <w:nsid w:val="7DF159C7"/>
    <w:multiLevelType w:val="hybridMultilevel"/>
    <w:tmpl w:val="F51E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998249">
    <w:abstractNumId w:val="21"/>
  </w:num>
  <w:num w:numId="2" w16cid:durableId="122189062">
    <w:abstractNumId w:val="20"/>
  </w:num>
  <w:num w:numId="3" w16cid:durableId="499930365">
    <w:abstractNumId w:val="14"/>
  </w:num>
  <w:num w:numId="4" w16cid:durableId="1712419608">
    <w:abstractNumId w:val="1"/>
  </w:num>
  <w:num w:numId="5" w16cid:durableId="198863571">
    <w:abstractNumId w:val="17"/>
  </w:num>
  <w:num w:numId="6" w16cid:durableId="7560525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9054358">
    <w:abstractNumId w:val="22"/>
  </w:num>
  <w:num w:numId="8" w16cid:durableId="2137871471">
    <w:abstractNumId w:val="7"/>
  </w:num>
  <w:num w:numId="9" w16cid:durableId="1414929707">
    <w:abstractNumId w:val="9"/>
  </w:num>
  <w:num w:numId="10" w16cid:durableId="1177764780">
    <w:abstractNumId w:val="4"/>
  </w:num>
  <w:num w:numId="11" w16cid:durableId="466703593">
    <w:abstractNumId w:val="15"/>
  </w:num>
  <w:num w:numId="12" w16cid:durableId="1857498436">
    <w:abstractNumId w:val="8"/>
  </w:num>
  <w:num w:numId="13" w16cid:durableId="1291127704">
    <w:abstractNumId w:val="18"/>
  </w:num>
  <w:num w:numId="14" w16cid:durableId="336418935">
    <w:abstractNumId w:val="10"/>
  </w:num>
  <w:num w:numId="15" w16cid:durableId="1069426296">
    <w:abstractNumId w:val="16"/>
  </w:num>
  <w:num w:numId="16" w16cid:durableId="1959674436">
    <w:abstractNumId w:val="19"/>
  </w:num>
  <w:num w:numId="17" w16cid:durableId="815954663">
    <w:abstractNumId w:val="0"/>
  </w:num>
  <w:num w:numId="18" w16cid:durableId="1495678954">
    <w:abstractNumId w:val="6"/>
  </w:num>
  <w:num w:numId="19" w16cid:durableId="579608331">
    <w:abstractNumId w:val="11"/>
  </w:num>
  <w:num w:numId="20" w16cid:durableId="1111315694">
    <w:abstractNumId w:val="13"/>
  </w:num>
  <w:num w:numId="21" w16cid:durableId="661542988">
    <w:abstractNumId w:val="5"/>
  </w:num>
  <w:num w:numId="22" w16cid:durableId="352149782">
    <w:abstractNumId w:val="12"/>
  </w:num>
  <w:num w:numId="23" w16cid:durableId="1951471784">
    <w:abstractNumId w:val="2"/>
  </w:num>
  <w:num w:numId="24" w16cid:durableId="533928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6"/>
    <w:rsid w:val="00000EED"/>
    <w:rsid w:val="00002F73"/>
    <w:rsid w:val="00003C38"/>
    <w:rsid w:val="0000537C"/>
    <w:rsid w:val="00005670"/>
    <w:rsid w:val="00005D1F"/>
    <w:rsid w:val="00005F61"/>
    <w:rsid w:val="000062AA"/>
    <w:rsid w:val="00006E11"/>
    <w:rsid w:val="00007D81"/>
    <w:rsid w:val="0001421E"/>
    <w:rsid w:val="000210D6"/>
    <w:rsid w:val="0002152D"/>
    <w:rsid w:val="0002168E"/>
    <w:rsid w:val="0002212E"/>
    <w:rsid w:val="00023190"/>
    <w:rsid w:val="00026994"/>
    <w:rsid w:val="00026C99"/>
    <w:rsid w:val="0002725D"/>
    <w:rsid w:val="000303C0"/>
    <w:rsid w:val="000343D0"/>
    <w:rsid w:val="00037BC9"/>
    <w:rsid w:val="00040192"/>
    <w:rsid w:val="00042CA7"/>
    <w:rsid w:val="00046064"/>
    <w:rsid w:val="00053363"/>
    <w:rsid w:val="00053E94"/>
    <w:rsid w:val="00056CEE"/>
    <w:rsid w:val="000577DD"/>
    <w:rsid w:val="000659BE"/>
    <w:rsid w:val="00066484"/>
    <w:rsid w:val="00066CD6"/>
    <w:rsid w:val="00070AA0"/>
    <w:rsid w:val="000718D5"/>
    <w:rsid w:val="000719A7"/>
    <w:rsid w:val="00071F60"/>
    <w:rsid w:val="00075DD5"/>
    <w:rsid w:val="00077072"/>
    <w:rsid w:val="00081234"/>
    <w:rsid w:val="000812A2"/>
    <w:rsid w:val="00086E00"/>
    <w:rsid w:val="00087E85"/>
    <w:rsid w:val="000907E9"/>
    <w:rsid w:val="00090819"/>
    <w:rsid w:val="000966AC"/>
    <w:rsid w:val="00097AA9"/>
    <w:rsid w:val="000A37A3"/>
    <w:rsid w:val="000A65E3"/>
    <w:rsid w:val="000A6DAE"/>
    <w:rsid w:val="000B015E"/>
    <w:rsid w:val="000B4668"/>
    <w:rsid w:val="000B66FE"/>
    <w:rsid w:val="000C1386"/>
    <w:rsid w:val="000C1EA8"/>
    <w:rsid w:val="000C2D26"/>
    <w:rsid w:val="000C406F"/>
    <w:rsid w:val="000C4E3F"/>
    <w:rsid w:val="000C5938"/>
    <w:rsid w:val="000D3412"/>
    <w:rsid w:val="000D5F8C"/>
    <w:rsid w:val="000D6C10"/>
    <w:rsid w:val="000D7B00"/>
    <w:rsid w:val="000E10DC"/>
    <w:rsid w:val="000E3C82"/>
    <w:rsid w:val="000E433D"/>
    <w:rsid w:val="000F5677"/>
    <w:rsid w:val="000F64C8"/>
    <w:rsid w:val="000F7E03"/>
    <w:rsid w:val="001024C4"/>
    <w:rsid w:val="00102B2D"/>
    <w:rsid w:val="00103658"/>
    <w:rsid w:val="00103DE6"/>
    <w:rsid w:val="0010656B"/>
    <w:rsid w:val="00110641"/>
    <w:rsid w:val="00111DFE"/>
    <w:rsid w:val="00111E22"/>
    <w:rsid w:val="001130F5"/>
    <w:rsid w:val="001173E1"/>
    <w:rsid w:val="0011759D"/>
    <w:rsid w:val="00132E2D"/>
    <w:rsid w:val="00132FE8"/>
    <w:rsid w:val="0013651E"/>
    <w:rsid w:val="00140BDE"/>
    <w:rsid w:val="0014155A"/>
    <w:rsid w:val="00144FC1"/>
    <w:rsid w:val="00145172"/>
    <w:rsid w:val="001458F6"/>
    <w:rsid w:val="00146852"/>
    <w:rsid w:val="00151C63"/>
    <w:rsid w:val="00151CFD"/>
    <w:rsid w:val="001523B2"/>
    <w:rsid w:val="0015321A"/>
    <w:rsid w:val="00155053"/>
    <w:rsid w:val="00157B91"/>
    <w:rsid w:val="0016156C"/>
    <w:rsid w:val="00161ABF"/>
    <w:rsid w:val="00162477"/>
    <w:rsid w:val="00163268"/>
    <w:rsid w:val="00166496"/>
    <w:rsid w:val="0017011D"/>
    <w:rsid w:val="00170AE9"/>
    <w:rsid w:val="0017229C"/>
    <w:rsid w:val="00173EB5"/>
    <w:rsid w:val="00176740"/>
    <w:rsid w:val="001818FC"/>
    <w:rsid w:val="0018272A"/>
    <w:rsid w:val="00182F45"/>
    <w:rsid w:val="00184C5F"/>
    <w:rsid w:val="00185281"/>
    <w:rsid w:val="00187703"/>
    <w:rsid w:val="00191829"/>
    <w:rsid w:val="00191D0A"/>
    <w:rsid w:val="00193BAB"/>
    <w:rsid w:val="001945B9"/>
    <w:rsid w:val="00194AB5"/>
    <w:rsid w:val="001950C3"/>
    <w:rsid w:val="00195518"/>
    <w:rsid w:val="00196916"/>
    <w:rsid w:val="00197476"/>
    <w:rsid w:val="001A098E"/>
    <w:rsid w:val="001A2E73"/>
    <w:rsid w:val="001A6EB6"/>
    <w:rsid w:val="001A7030"/>
    <w:rsid w:val="001A71F2"/>
    <w:rsid w:val="001B06AC"/>
    <w:rsid w:val="001B3834"/>
    <w:rsid w:val="001B47F6"/>
    <w:rsid w:val="001B50C3"/>
    <w:rsid w:val="001B5D00"/>
    <w:rsid w:val="001B6A3A"/>
    <w:rsid w:val="001B77B7"/>
    <w:rsid w:val="001B7A16"/>
    <w:rsid w:val="001C4CE1"/>
    <w:rsid w:val="001C549E"/>
    <w:rsid w:val="001C6E47"/>
    <w:rsid w:val="001D5C20"/>
    <w:rsid w:val="001E24AA"/>
    <w:rsid w:val="001E40F4"/>
    <w:rsid w:val="001F0F54"/>
    <w:rsid w:val="001F1A14"/>
    <w:rsid w:val="001F2108"/>
    <w:rsid w:val="001F4CC5"/>
    <w:rsid w:val="001F4D9B"/>
    <w:rsid w:val="001F5C32"/>
    <w:rsid w:val="001F68EF"/>
    <w:rsid w:val="001F7B80"/>
    <w:rsid w:val="002013E4"/>
    <w:rsid w:val="00202472"/>
    <w:rsid w:val="00203866"/>
    <w:rsid w:val="00205156"/>
    <w:rsid w:val="00210299"/>
    <w:rsid w:val="002118A8"/>
    <w:rsid w:val="00214013"/>
    <w:rsid w:val="00220C76"/>
    <w:rsid w:val="0022195F"/>
    <w:rsid w:val="00222A98"/>
    <w:rsid w:val="00222DA3"/>
    <w:rsid w:val="0022557A"/>
    <w:rsid w:val="002264F8"/>
    <w:rsid w:val="00227B6F"/>
    <w:rsid w:val="002300C4"/>
    <w:rsid w:val="00231A55"/>
    <w:rsid w:val="002324D1"/>
    <w:rsid w:val="00236C05"/>
    <w:rsid w:val="00236DB8"/>
    <w:rsid w:val="00243EC0"/>
    <w:rsid w:val="00245346"/>
    <w:rsid w:val="0024553C"/>
    <w:rsid w:val="002518A0"/>
    <w:rsid w:val="00252FB3"/>
    <w:rsid w:val="00256192"/>
    <w:rsid w:val="002611E3"/>
    <w:rsid w:val="00261AA2"/>
    <w:rsid w:val="00262942"/>
    <w:rsid w:val="002643DF"/>
    <w:rsid w:val="00264C54"/>
    <w:rsid w:val="002661D6"/>
    <w:rsid w:val="002718CF"/>
    <w:rsid w:val="00274F56"/>
    <w:rsid w:val="00275588"/>
    <w:rsid w:val="00276BF5"/>
    <w:rsid w:val="00282C2C"/>
    <w:rsid w:val="00284EF1"/>
    <w:rsid w:val="0028622D"/>
    <w:rsid w:val="00293002"/>
    <w:rsid w:val="00295E4D"/>
    <w:rsid w:val="00296DF4"/>
    <w:rsid w:val="002A22DD"/>
    <w:rsid w:val="002A4748"/>
    <w:rsid w:val="002A4FA1"/>
    <w:rsid w:val="002A6D89"/>
    <w:rsid w:val="002B05AF"/>
    <w:rsid w:val="002B63EA"/>
    <w:rsid w:val="002B6F38"/>
    <w:rsid w:val="002C0153"/>
    <w:rsid w:val="002C6C82"/>
    <w:rsid w:val="002C7FFA"/>
    <w:rsid w:val="002D07F6"/>
    <w:rsid w:val="002D1EE8"/>
    <w:rsid w:val="002D616F"/>
    <w:rsid w:val="002E0430"/>
    <w:rsid w:val="002E0D5C"/>
    <w:rsid w:val="002E1D3F"/>
    <w:rsid w:val="002E2598"/>
    <w:rsid w:val="002E76C6"/>
    <w:rsid w:val="002F0A3D"/>
    <w:rsid w:val="002F233F"/>
    <w:rsid w:val="002F2E0D"/>
    <w:rsid w:val="002F5A1C"/>
    <w:rsid w:val="002F71E6"/>
    <w:rsid w:val="00303B9F"/>
    <w:rsid w:val="003068FB"/>
    <w:rsid w:val="00307FE5"/>
    <w:rsid w:val="00311794"/>
    <w:rsid w:val="003141BF"/>
    <w:rsid w:val="00315D58"/>
    <w:rsid w:val="00320046"/>
    <w:rsid w:val="0032285B"/>
    <w:rsid w:val="003238AD"/>
    <w:rsid w:val="0033108B"/>
    <w:rsid w:val="003317AC"/>
    <w:rsid w:val="003332D5"/>
    <w:rsid w:val="003363E7"/>
    <w:rsid w:val="00342A6B"/>
    <w:rsid w:val="00343786"/>
    <w:rsid w:val="00344117"/>
    <w:rsid w:val="003447C0"/>
    <w:rsid w:val="00347C1D"/>
    <w:rsid w:val="00351714"/>
    <w:rsid w:val="003551D1"/>
    <w:rsid w:val="003559C1"/>
    <w:rsid w:val="003613E5"/>
    <w:rsid w:val="00362146"/>
    <w:rsid w:val="0036457C"/>
    <w:rsid w:val="003646F4"/>
    <w:rsid w:val="003647E2"/>
    <w:rsid w:val="00366F6D"/>
    <w:rsid w:val="003672AA"/>
    <w:rsid w:val="003708F5"/>
    <w:rsid w:val="00371725"/>
    <w:rsid w:val="0037217E"/>
    <w:rsid w:val="0037672D"/>
    <w:rsid w:val="003823FC"/>
    <w:rsid w:val="00382543"/>
    <w:rsid w:val="00382C2E"/>
    <w:rsid w:val="00385577"/>
    <w:rsid w:val="003874D8"/>
    <w:rsid w:val="00391857"/>
    <w:rsid w:val="003969CF"/>
    <w:rsid w:val="00396E2B"/>
    <w:rsid w:val="003A0344"/>
    <w:rsid w:val="003A1FA5"/>
    <w:rsid w:val="003A723E"/>
    <w:rsid w:val="003B1359"/>
    <w:rsid w:val="003B16AB"/>
    <w:rsid w:val="003B688A"/>
    <w:rsid w:val="003B733E"/>
    <w:rsid w:val="003C1CC0"/>
    <w:rsid w:val="003C3DF6"/>
    <w:rsid w:val="003C54BA"/>
    <w:rsid w:val="003D15C9"/>
    <w:rsid w:val="003D207F"/>
    <w:rsid w:val="003D4E31"/>
    <w:rsid w:val="003E0682"/>
    <w:rsid w:val="003E30EA"/>
    <w:rsid w:val="003E3F9B"/>
    <w:rsid w:val="003E72E9"/>
    <w:rsid w:val="003E758F"/>
    <w:rsid w:val="003F4422"/>
    <w:rsid w:val="003F5ED0"/>
    <w:rsid w:val="00401A63"/>
    <w:rsid w:val="00405086"/>
    <w:rsid w:val="004105DC"/>
    <w:rsid w:val="00411F83"/>
    <w:rsid w:val="00413340"/>
    <w:rsid w:val="0041434B"/>
    <w:rsid w:val="004152B3"/>
    <w:rsid w:val="00417B2F"/>
    <w:rsid w:val="0042055B"/>
    <w:rsid w:val="00421326"/>
    <w:rsid w:val="00423494"/>
    <w:rsid w:val="00425D8F"/>
    <w:rsid w:val="00427F5F"/>
    <w:rsid w:val="00431DD1"/>
    <w:rsid w:val="00434C81"/>
    <w:rsid w:val="00435676"/>
    <w:rsid w:val="00435F08"/>
    <w:rsid w:val="004443E8"/>
    <w:rsid w:val="00460DDD"/>
    <w:rsid w:val="00462ABB"/>
    <w:rsid w:val="004636C9"/>
    <w:rsid w:val="004646D3"/>
    <w:rsid w:val="00466A43"/>
    <w:rsid w:val="00467AE6"/>
    <w:rsid w:val="00471F16"/>
    <w:rsid w:val="00473C85"/>
    <w:rsid w:val="00477AB6"/>
    <w:rsid w:val="00481D0B"/>
    <w:rsid w:val="004838F8"/>
    <w:rsid w:val="0048711D"/>
    <w:rsid w:val="00493ADD"/>
    <w:rsid w:val="004949B4"/>
    <w:rsid w:val="00496DFB"/>
    <w:rsid w:val="004A16FB"/>
    <w:rsid w:val="004A3B77"/>
    <w:rsid w:val="004B095C"/>
    <w:rsid w:val="004B3487"/>
    <w:rsid w:val="004B35B7"/>
    <w:rsid w:val="004B39C5"/>
    <w:rsid w:val="004B44E4"/>
    <w:rsid w:val="004B6757"/>
    <w:rsid w:val="004C0A74"/>
    <w:rsid w:val="004C0C09"/>
    <w:rsid w:val="004C3A36"/>
    <w:rsid w:val="004C4535"/>
    <w:rsid w:val="004C4CBB"/>
    <w:rsid w:val="004C687E"/>
    <w:rsid w:val="004D0BF2"/>
    <w:rsid w:val="004D7059"/>
    <w:rsid w:val="004D74E3"/>
    <w:rsid w:val="004D7F6A"/>
    <w:rsid w:val="004E21AB"/>
    <w:rsid w:val="004E44ED"/>
    <w:rsid w:val="004F0214"/>
    <w:rsid w:val="004F20F7"/>
    <w:rsid w:val="004F6062"/>
    <w:rsid w:val="0050283C"/>
    <w:rsid w:val="005073F4"/>
    <w:rsid w:val="0051359B"/>
    <w:rsid w:val="00514DF7"/>
    <w:rsid w:val="00514F90"/>
    <w:rsid w:val="005151F3"/>
    <w:rsid w:val="005220B9"/>
    <w:rsid w:val="00522EC5"/>
    <w:rsid w:val="005236A0"/>
    <w:rsid w:val="0052716D"/>
    <w:rsid w:val="0053031C"/>
    <w:rsid w:val="00532231"/>
    <w:rsid w:val="005339E1"/>
    <w:rsid w:val="00533BDE"/>
    <w:rsid w:val="00535AAC"/>
    <w:rsid w:val="005407E7"/>
    <w:rsid w:val="00540B5B"/>
    <w:rsid w:val="00551A11"/>
    <w:rsid w:val="00552DD5"/>
    <w:rsid w:val="00553477"/>
    <w:rsid w:val="00555024"/>
    <w:rsid w:val="0056031C"/>
    <w:rsid w:val="00560B53"/>
    <w:rsid w:val="00560D1A"/>
    <w:rsid w:val="00566C95"/>
    <w:rsid w:val="005709CC"/>
    <w:rsid w:val="00570C7B"/>
    <w:rsid w:val="00571923"/>
    <w:rsid w:val="00572A52"/>
    <w:rsid w:val="00576B87"/>
    <w:rsid w:val="0057755F"/>
    <w:rsid w:val="00581409"/>
    <w:rsid w:val="0058189C"/>
    <w:rsid w:val="005856E6"/>
    <w:rsid w:val="00590C9C"/>
    <w:rsid w:val="005927AD"/>
    <w:rsid w:val="00596A40"/>
    <w:rsid w:val="005A13C0"/>
    <w:rsid w:val="005A5A86"/>
    <w:rsid w:val="005A7BDF"/>
    <w:rsid w:val="005B31E9"/>
    <w:rsid w:val="005B3732"/>
    <w:rsid w:val="005C2F1A"/>
    <w:rsid w:val="005D00A1"/>
    <w:rsid w:val="005D1F0E"/>
    <w:rsid w:val="005D213B"/>
    <w:rsid w:val="005E59DD"/>
    <w:rsid w:val="005F077E"/>
    <w:rsid w:val="005F0F2A"/>
    <w:rsid w:val="005F1043"/>
    <w:rsid w:val="005F2856"/>
    <w:rsid w:val="005F6058"/>
    <w:rsid w:val="00604FD7"/>
    <w:rsid w:val="0060584B"/>
    <w:rsid w:val="0060606A"/>
    <w:rsid w:val="006063F9"/>
    <w:rsid w:val="00612C49"/>
    <w:rsid w:val="006167F4"/>
    <w:rsid w:val="00620932"/>
    <w:rsid w:val="00620CE5"/>
    <w:rsid w:val="00625397"/>
    <w:rsid w:val="00631D52"/>
    <w:rsid w:val="00632D70"/>
    <w:rsid w:val="006333B6"/>
    <w:rsid w:val="00633991"/>
    <w:rsid w:val="006348CF"/>
    <w:rsid w:val="00634976"/>
    <w:rsid w:val="00634BAA"/>
    <w:rsid w:val="00636311"/>
    <w:rsid w:val="00637EE4"/>
    <w:rsid w:val="00642DA1"/>
    <w:rsid w:val="00643AD7"/>
    <w:rsid w:val="00644C51"/>
    <w:rsid w:val="00650E1E"/>
    <w:rsid w:val="00653D0A"/>
    <w:rsid w:val="00657777"/>
    <w:rsid w:val="00662EF4"/>
    <w:rsid w:val="006632AB"/>
    <w:rsid w:val="006637D3"/>
    <w:rsid w:val="00663D86"/>
    <w:rsid w:val="006643DA"/>
    <w:rsid w:val="006646F1"/>
    <w:rsid w:val="006734EA"/>
    <w:rsid w:val="00673BEF"/>
    <w:rsid w:val="0067499B"/>
    <w:rsid w:val="00674DD1"/>
    <w:rsid w:val="00676B24"/>
    <w:rsid w:val="00677E5C"/>
    <w:rsid w:val="006820B1"/>
    <w:rsid w:val="00683727"/>
    <w:rsid w:val="00692CBB"/>
    <w:rsid w:val="006961F5"/>
    <w:rsid w:val="006A0288"/>
    <w:rsid w:val="006A329A"/>
    <w:rsid w:val="006B228B"/>
    <w:rsid w:val="006B29C2"/>
    <w:rsid w:val="006B3F37"/>
    <w:rsid w:val="006B4C55"/>
    <w:rsid w:val="006B4E08"/>
    <w:rsid w:val="006B5AD1"/>
    <w:rsid w:val="006B6125"/>
    <w:rsid w:val="006B7E5A"/>
    <w:rsid w:val="006C142C"/>
    <w:rsid w:val="006C4970"/>
    <w:rsid w:val="006C4DCF"/>
    <w:rsid w:val="006D0ADA"/>
    <w:rsid w:val="006E2E7F"/>
    <w:rsid w:val="006E4643"/>
    <w:rsid w:val="006E604B"/>
    <w:rsid w:val="00702D8C"/>
    <w:rsid w:val="00704365"/>
    <w:rsid w:val="00710509"/>
    <w:rsid w:val="00711D38"/>
    <w:rsid w:val="00713C8B"/>
    <w:rsid w:val="0071440A"/>
    <w:rsid w:val="00715E07"/>
    <w:rsid w:val="00716DC6"/>
    <w:rsid w:val="00720E5D"/>
    <w:rsid w:val="00721508"/>
    <w:rsid w:val="00721A8E"/>
    <w:rsid w:val="00722113"/>
    <w:rsid w:val="007323BD"/>
    <w:rsid w:val="00732E2F"/>
    <w:rsid w:val="00733971"/>
    <w:rsid w:val="00734235"/>
    <w:rsid w:val="007351E9"/>
    <w:rsid w:val="00736BDF"/>
    <w:rsid w:val="00740C55"/>
    <w:rsid w:val="00741CD2"/>
    <w:rsid w:val="007433F2"/>
    <w:rsid w:val="007434A1"/>
    <w:rsid w:val="00744BE7"/>
    <w:rsid w:val="00745115"/>
    <w:rsid w:val="00747662"/>
    <w:rsid w:val="007504DD"/>
    <w:rsid w:val="00750A59"/>
    <w:rsid w:val="007561DF"/>
    <w:rsid w:val="00760BD9"/>
    <w:rsid w:val="00762936"/>
    <w:rsid w:val="00762D6F"/>
    <w:rsid w:val="00770BCF"/>
    <w:rsid w:val="00772802"/>
    <w:rsid w:val="00774508"/>
    <w:rsid w:val="007761FA"/>
    <w:rsid w:val="00780EF1"/>
    <w:rsid w:val="0078323A"/>
    <w:rsid w:val="00786E86"/>
    <w:rsid w:val="007877D5"/>
    <w:rsid w:val="00795D54"/>
    <w:rsid w:val="007975B4"/>
    <w:rsid w:val="00797D04"/>
    <w:rsid w:val="007A0279"/>
    <w:rsid w:val="007A21A6"/>
    <w:rsid w:val="007A400C"/>
    <w:rsid w:val="007B029F"/>
    <w:rsid w:val="007B55F0"/>
    <w:rsid w:val="007B7AFF"/>
    <w:rsid w:val="007C122B"/>
    <w:rsid w:val="007C292A"/>
    <w:rsid w:val="007E01BF"/>
    <w:rsid w:val="007E1EAF"/>
    <w:rsid w:val="007E63F7"/>
    <w:rsid w:val="007E69D1"/>
    <w:rsid w:val="007E6A17"/>
    <w:rsid w:val="007F3E11"/>
    <w:rsid w:val="007F46C0"/>
    <w:rsid w:val="007F6095"/>
    <w:rsid w:val="008007C3"/>
    <w:rsid w:val="00801A03"/>
    <w:rsid w:val="00802553"/>
    <w:rsid w:val="00803652"/>
    <w:rsid w:val="0080392F"/>
    <w:rsid w:val="008112B0"/>
    <w:rsid w:val="008113AC"/>
    <w:rsid w:val="0081510D"/>
    <w:rsid w:val="0082079D"/>
    <w:rsid w:val="00822A68"/>
    <w:rsid w:val="00822DDA"/>
    <w:rsid w:val="00823145"/>
    <w:rsid w:val="00827E71"/>
    <w:rsid w:val="008302C6"/>
    <w:rsid w:val="00830570"/>
    <w:rsid w:val="00833E18"/>
    <w:rsid w:val="00834331"/>
    <w:rsid w:val="00844B75"/>
    <w:rsid w:val="00845B65"/>
    <w:rsid w:val="00852A52"/>
    <w:rsid w:val="0085436C"/>
    <w:rsid w:val="00857258"/>
    <w:rsid w:val="0085755E"/>
    <w:rsid w:val="0086129B"/>
    <w:rsid w:val="00862F95"/>
    <w:rsid w:val="008640FE"/>
    <w:rsid w:val="00865A6D"/>
    <w:rsid w:val="00874339"/>
    <w:rsid w:val="00876712"/>
    <w:rsid w:val="00876BEC"/>
    <w:rsid w:val="00877748"/>
    <w:rsid w:val="0088045F"/>
    <w:rsid w:val="008807FD"/>
    <w:rsid w:val="008829D0"/>
    <w:rsid w:val="00882C3F"/>
    <w:rsid w:val="00885275"/>
    <w:rsid w:val="00886102"/>
    <w:rsid w:val="00890718"/>
    <w:rsid w:val="008966FC"/>
    <w:rsid w:val="008A313A"/>
    <w:rsid w:val="008A44D1"/>
    <w:rsid w:val="008A4C8A"/>
    <w:rsid w:val="008A6076"/>
    <w:rsid w:val="008B1469"/>
    <w:rsid w:val="008B27DA"/>
    <w:rsid w:val="008B3F46"/>
    <w:rsid w:val="008C009F"/>
    <w:rsid w:val="008C3712"/>
    <w:rsid w:val="008C4214"/>
    <w:rsid w:val="008D1021"/>
    <w:rsid w:val="008D3DD6"/>
    <w:rsid w:val="008D5D38"/>
    <w:rsid w:val="008D6302"/>
    <w:rsid w:val="008E057F"/>
    <w:rsid w:val="008E0D5A"/>
    <w:rsid w:val="008E16C4"/>
    <w:rsid w:val="008E1845"/>
    <w:rsid w:val="008E21C5"/>
    <w:rsid w:val="008E3D12"/>
    <w:rsid w:val="008E4CEF"/>
    <w:rsid w:val="008E4E79"/>
    <w:rsid w:val="008F05F7"/>
    <w:rsid w:val="008F2878"/>
    <w:rsid w:val="008F3582"/>
    <w:rsid w:val="008F497E"/>
    <w:rsid w:val="008F6401"/>
    <w:rsid w:val="008F690F"/>
    <w:rsid w:val="009016A5"/>
    <w:rsid w:val="00902828"/>
    <w:rsid w:val="00904478"/>
    <w:rsid w:val="00905A44"/>
    <w:rsid w:val="00906A78"/>
    <w:rsid w:val="0091039B"/>
    <w:rsid w:val="00913CC9"/>
    <w:rsid w:val="009149A9"/>
    <w:rsid w:val="0091659C"/>
    <w:rsid w:val="00917790"/>
    <w:rsid w:val="00922658"/>
    <w:rsid w:val="00926FE6"/>
    <w:rsid w:val="00927716"/>
    <w:rsid w:val="00927AC9"/>
    <w:rsid w:val="00932415"/>
    <w:rsid w:val="009330CE"/>
    <w:rsid w:val="00935EEA"/>
    <w:rsid w:val="00936047"/>
    <w:rsid w:val="0094193E"/>
    <w:rsid w:val="00941948"/>
    <w:rsid w:val="00941A44"/>
    <w:rsid w:val="00942E2F"/>
    <w:rsid w:val="00952FA5"/>
    <w:rsid w:val="00957A6A"/>
    <w:rsid w:val="00960CD5"/>
    <w:rsid w:val="0096241D"/>
    <w:rsid w:val="00962797"/>
    <w:rsid w:val="00974A6F"/>
    <w:rsid w:val="00980AC0"/>
    <w:rsid w:val="009814E3"/>
    <w:rsid w:val="00982194"/>
    <w:rsid w:val="009861AD"/>
    <w:rsid w:val="00987BFE"/>
    <w:rsid w:val="00990E7E"/>
    <w:rsid w:val="009938C5"/>
    <w:rsid w:val="00994EFB"/>
    <w:rsid w:val="009A030B"/>
    <w:rsid w:val="009A1445"/>
    <w:rsid w:val="009A2980"/>
    <w:rsid w:val="009A4215"/>
    <w:rsid w:val="009A67EC"/>
    <w:rsid w:val="009A740A"/>
    <w:rsid w:val="009B1EC6"/>
    <w:rsid w:val="009B2D79"/>
    <w:rsid w:val="009B3364"/>
    <w:rsid w:val="009B6CA4"/>
    <w:rsid w:val="009B6E15"/>
    <w:rsid w:val="009C075E"/>
    <w:rsid w:val="009C0C48"/>
    <w:rsid w:val="009C3801"/>
    <w:rsid w:val="009C48B9"/>
    <w:rsid w:val="009C55D6"/>
    <w:rsid w:val="009C5A20"/>
    <w:rsid w:val="009C7105"/>
    <w:rsid w:val="009C7235"/>
    <w:rsid w:val="009C75B1"/>
    <w:rsid w:val="009D0269"/>
    <w:rsid w:val="009D058C"/>
    <w:rsid w:val="009D710A"/>
    <w:rsid w:val="009E1278"/>
    <w:rsid w:val="009E66D9"/>
    <w:rsid w:val="009E7B53"/>
    <w:rsid w:val="009F387E"/>
    <w:rsid w:val="009F50CC"/>
    <w:rsid w:val="009F54DB"/>
    <w:rsid w:val="009F5E47"/>
    <w:rsid w:val="009F636E"/>
    <w:rsid w:val="009F6C16"/>
    <w:rsid w:val="009F6DAE"/>
    <w:rsid w:val="00A0019F"/>
    <w:rsid w:val="00A01B59"/>
    <w:rsid w:val="00A14620"/>
    <w:rsid w:val="00A175FE"/>
    <w:rsid w:val="00A20613"/>
    <w:rsid w:val="00A22EB8"/>
    <w:rsid w:val="00A26ABD"/>
    <w:rsid w:val="00A26D8C"/>
    <w:rsid w:val="00A27400"/>
    <w:rsid w:val="00A30DCF"/>
    <w:rsid w:val="00A329DD"/>
    <w:rsid w:val="00A33A83"/>
    <w:rsid w:val="00A33FA8"/>
    <w:rsid w:val="00A34CC4"/>
    <w:rsid w:val="00A36422"/>
    <w:rsid w:val="00A433CE"/>
    <w:rsid w:val="00A43CBC"/>
    <w:rsid w:val="00A4425D"/>
    <w:rsid w:val="00A51D99"/>
    <w:rsid w:val="00A52E5F"/>
    <w:rsid w:val="00A54807"/>
    <w:rsid w:val="00A55A84"/>
    <w:rsid w:val="00A5609C"/>
    <w:rsid w:val="00A621C0"/>
    <w:rsid w:val="00A64E52"/>
    <w:rsid w:val="00A659BD"/>
    <w:rsid w:val="00A741BE"/>
    <w:rsid w:val="00A75F76"/>
    <w:rsid w:val="00A81227"/>
    <w:rsid w:val="00A840C6"/>
    <w:rsid w:val="00A853F8"/>
    <w:rsid w:val="00A8580C"/>
    <w:rsid w:val="00A86BD2"/>
    <w:rsid w:val="00A8705D"/>
    <w:rsid w:val="00A901B9"/>
    <w:rsid w:val="00A90378"/>
    <w:rsid w:val="00A90AE8"/>
    <w:rsid w:val="00A938AC"/>
    <w:rsid w:val="00A95A38"/>
    <w:rsid w:val="00A9699C"/>
    <w:rsid w:val="00AA035D"/>
    <w:rsid w:val="00AA20DF"/>
    <w:rsid w:val="00AA2CD6"/>
    <w:rsid w:val="00AA530E"/>
    <w:rsid w:val="00AA5C36"/>
    <w:rsid w:val="00AB601D"/>
    <w:rsid w:val="00AC256F"/>
    <w:rsid w:val="00AC3C5A"/>
    <w:rsid w:val="00AD12DC"/>
    <w:rsid w:val="00AD1EB3"/>
    <w:rsid w:val="00AD217D"/>
    <w:rsid w:val="00AD3B58"/>
    <w:rsid w:val="00AD3DDD"/>
    <w:rsid w:val="00AD458E"/>
    <w:rsid w:val="00AD608F"/>
    <w:rsid w:val="00AE0E85"/>
    <w:rsid w:val="00AE2699"/>
    <w:rsid w:val="00AE6384"/>
    <w:rsid w:val="00AE7EA3"/>
    <w:rsid w:val="00AF055A"/>
    <w:rsid w:val="00AF1DAA"/>
    <w:rsid w:val="00AF7325"/>
    <w:rsid w:val="00B0103C"/>
    <w:rsid w:val="00B02103"/>
    <w:rsid w:val="00B02F34"/>
    <w:rsid w:val="00B04C1E"/>
    <w:rsid w:val="00B11295"/>
    <w:rsid w:val="00B13704"/>
    <w:rsid w:val="00B152C7"/>
    <w:rsid w:val="00B160D9"/>
    <w:rsid w:val="00B22F6A"/>
    <w:rsid w:val="00B248E2"/>
    <w:rsid w:val="00B25FC8"/>
    <w:rsid w:val="00B300DD"/>
    <w:rsid w:val="00B32C1D"/>
    <w:rsid w:val="00B35004"/>
    <w:rsid w:val="00B35679"/>
    <w:rsid w:val="00B35C8B"/>
    <w:rsid w:val="00B367B2"/>
    <w:rsid w:val="00B40253"/>
    <w:rsid w:val="00B445EA"/>
    <w:rsid w:val="00B46FD4"/>
    <w:rsid w:val="00B47BC1"/>
    <w:rsid w:val="00B511B1"/>
    <w:rsid w:val="00B52292"/>
    <w:rsid w:val="00B53C5A"/>
    <w:rsid w:val="00B54C26"/>
    <w:rsid w:val="00B55C1A"/>
    <w:rsid w:val="00B55D72"/>
    <w:rsid w:val="00B56521"/>
    <w:rsid w:val="00B56C38"/>
    <w:rsid w:val="00B6259D"/>
    <w:rsid w:val="00B66B88"/>
    <w:rsid w:val="00B80768"/>
    <w:rsid w:val="00B81E31"/>
    <w:rsid w:val="00B8334B"/>
    <w:rsid w:val="00B8366C"/>
    <w:rsid w:val="00B87466"/>
    <w:rsid w:val="00B911AE"/>
    <w:rsid w:val="00B92D7A"/>
    <w:rsid w:val="00B97694"/>
    <w:rsid w:val="00B97F31"/>
    <w:rsid w:val="00BA2D26"/>
    <w:rsid w:val="00BA571F"/>
    <w:rsid w:val="00BA7983"/>
    <w:rsid w:val="00BB209B"/>
    <w:rsid w:val="00BB730C"/>
    <w:rsid w:val="00BC0085"/>
    <w:rsid w:val="00BC0704"/>
    <w:rsid w:val="00BC1CD6"/>
    <w:rsid w:val="00BC1E15"/>
    <w:rsid w:val="00BC26A9"/>
    <w:rsid w:val="00BC342C"/>
    <w:rsid w:val="00BC504C"/>
    <w:rsid w:val="00BC52B4"/>
    <w:rsid w:val="00BC530D"/>
    <w:rsid w:val="00BC7424"/>
    <w:rsid w:val="00BD3023"/>
    <w:rsid w:val="00BD37A8"/>
    <w:rsid w:val="00BD484D"/>
    <w:rsid w:val="00BD4D6D"/>
    <w:rsid w:val="00BD71D8"/>
    <w:rsid w:val="00BE11EC"/>
    <w:rsid w:val="00BE35FB"/>
    <w:rsid w:val="00BE5C12"/>
    <w:rsid w:val="00BE657E"/>
    <w:rsid w:val="00BE77F4"/>
    <w:rsid w:val="00BE7F37"/>
    <w:rsid w:val="00BF0B71"/>
    <w:rsid w:val="00BF2E29"/>
    <w:rsid w:val="00BF44AF"/>
    <w:rsid w:val="00BF6BF8"/>
    <w:rsid w:val="00BF7701"/>
    <w:rsid w:val="00C0181E"/>
    <w:rsid w:val="00C057A5"/>
    <w:rsid w:val="00C12C50"/>
    <w:rsid w:val="00C1336F"/>
    <w:rsid w:val="00C13A24"/>
    <w:rsid w:val="00C13AE8"/>
    <w:rsid w:val="00C17FEE"/>
    <w:rsid w:val="00C21B84"/>
    <w:rsid w:val="00C34394"/>
    <w:rsid w:val="00C371A6"/>
    <w:rsid w:val="00C40425"/>
    <w:rsid w:val="00C41505"/>
    <w:rsid w:val="00C43BC2"/>
    <w:rsid w:val="00C468CF"/>
    <w:rsid w:val="00C47C4A"/>
    <w:rsid w:val="00C47E99"/>
    <w:rsid w:val="00C515B2"/>
    <w:rsid w:val="00C5616D"/>
    <w:rsid w:val="00C604F5"/>
    <w:rsid w:val="00C614E5"/>
    <w:rsid w:val="00C64848"/>
    <w:rsid w:val="00C662EE"/>
    <w:rsid w:val="00C67BBA"/>
    <w:rsid w:val="00C700DC"/>
    <w:rsid w:val="00C704B3"/>
    <w:rsid w:val="00C71F52"/>
    <w:rsid w:val="00C8092C"/>
    <w:rsid w:val="00C819E7"/>
    <w:rsid w:val="00C822ED"/>
    <w:rsid w:val="00C85F56"/>
    <w:rsid w:val="00C86074"/>
    <w:rsid w:val="00C869AB"/>
    <w:rsid w:val="00C875B7"/>
    <w:rsid w:val="00C91846"/>
    <w:rsid w:val="00C919A4"/>
    <w:rsid w:val="00C93991"/>
    <w:rsid w:val="00CA25EA"/>
    <w:rsid w:val="00CA314C"/>
    <w:rsid w:val="00CA507A"/>
    <w:rsid w:val="00CA5D3D"/>
    <w:rsid w:val="00CA79E1"/>
    <w:rsid w:val="00CB0F9B"/>
    <w:rsid w:val="00CB10A3"/>
    <w:rsid w:val="00CB27A1"/>
    <w:rsid w:val="00CB337E"/>
    <w:rsid w:val="00CB6361"/>
    <w:rsid w:val="00CB6B21"/>
    <w:rsid w:val="00CB6D27"/>
    <w:rsid w:val="00CB75D9"/>
    <w:rsid w:val="00CC069A"/>
    <w:rsid w:val="00CC0D01"/>
    <w:rsid w:val="00CC2D3C"/>
    <w:rsid w:val="00CC4004"/>
    <w:rsid w:val="00CC4832"/>
    <w:rsid w:val="00CC5A22"/>
    <w:rsid w:val="00CD0990"/>
    <w:rsid w:val="00CD113B"/>
    <w:rsid w:val="00CD136A"/>
    <w:rsid w:val="00CD535C"/>
    <w:rsid w:val="00CD5A58"/>
    <w:rsid w:val="00CD6ECD"/>
    <w:rsid w:val="00CE3A0E"/>
    <w:rsid w:val="00CE4069"/>
    <w:rsid w:val="00CE4C0B"/>
    <w:rsid w:val="00CE5CC1"/>
    <w:rsid w:val="00CE71A7"/>
    <w:rsid w:val="00CE7328"/>
    <w:rsid w:val="00CF3BAD"/>
    <w:rsid w:val="00D002A9"/>
    <w:rsid w:val="00D04D5B"/>
    <w:rsid w:val="00D064D1"/>
    <w:rsid w:val="00D12461"/>
    <w:rsid w:val="00D125B7"/>
    <w:rsid w:val="00D1648D"/>
    <w:rsid w:val="00D16D45"/>
    <w:rsid w:val="00D17015"/>
    <w:rsid w:val="00D23B65"/>
    <w:rsid w:val="00D24047"/>
    <w:rsid w:val="00D2560B"/>
    <w:rsid w:val="00D26A7A"/>
    <w:rsid w:val="00D30428"/>
    <w:rsid w:val="00D33DE2"/>
    <w:rsid w:val="00D342C4"/>
    <w:rsid w:val="00D372DC"/>
    <w:rsid w:val="00D40E23"/>
    <w:rsid w:val="00D41DE2"/>
    <w:rsid w:val="00D434E6"/>
    <w:rsid w:val="00D53F20"/>
    <w:rsid w:val="00D53F56"/>
    <w:rsid w:val="00D5577C"/>
    <w:rsid w:val="00D55BDC"/>
    <w:rsid w:val="00D6655D"/>
    <w:rsid w:val="00D67C13"/>
    <w:rsid w:val="00D711C1"/>
    <w:rsid w:val="00D727B4"/>
    <w:rsid w:val="00D73BA6"/>
    <w:rsid w:val="00D7600F"/>
    <w:rsid w:val="00D77798"/>
    <w:rsid w:val="00D82102"/>
    <w:rsid w:val="00D82705"/>
    <w:rsid w:val="00D82ABF"/>
    <w:rsid w:val="00D8403D"/>
    <w:rsid w:val="00D84BFD"/>
    <w:rsid w:val="00D864FD"/>
    <w:rsid w:val="00D910E8"/>
    <w:rsid w:val="00D920AA"/>
    <w:rsid w:val="00D927A6"/>
    <w:rsid w:val="00D93F17"/>
    <w:rsid w:val="00D9672E"/>
    <w:rsid w:val="00D96737"/>
    <w:rsid w:val="00DA199D"/>
    <w:rsid w:val="00DB0EAD"/>
    <w:rsid w:val="00DB13F6"/>
    <w:rsid w:val="00DB3024"/>
    <w:rsid w:val="00DC01AB"/>
    <w:rsid w:val="00DC096A"/>
    <w:rsid w:val="00DC10DE"/>
    <w:rsid w:val="00DC522F"/>
    <w:rsid w:val="00DC52A5"/>
    <w:rsid w:val="00DD1F2B"/>
    <w:rsid w:val="00DD3FE7"/>
    <w:rsid w:val="00DD4DA3"/>
    <w:rsid w:val="00DD53DA"/>
    <w:rsid w:val="00DD65F5"/>
    <w:rsid w:val="00DD6AA1"/>
    <w:rsid w:val="00DE105D"/>
    <w:rsid w:val="00DE256D"/>
    <w:rsid w:val="00DE2984"/>
    <w:rsid w:val="00DE3593"/>
    <w:rsid w:val="00DE4A4E"/>
    <w:rsid w:val="00DE60E0"/>
    <w:rsid w:val="00DE7D70"/>
    <w:rsid w:val="00DF18C0"/>
    <w:rsid w:val="00DF68F2"/>
    <w:rsid w:val="00DF6D69"/>
    <w:rsid w:val="00DF74AF"/>
    <w:rsid w:val="00E02634"/>
    <w:rsid w:val="00E02D90"/>
    <w:rsid w:val="00E038A3"/>
    <w:rsid w:val="00E04902"/>
    <w:rsid w:val="00E05FFF"/>
    <w:rsid w:val="00E062EA"/>
    <w:rsid w:val="00E069A1"/>
    <w:rsid w:val="00E06DDB"/>
    <w:rsid w:val="00E0778C"/>
    <w:rsid w:val="00E12096"/>
    <w:rsid w:val="00E1325D"/>
    <w:rsid w:val="00E15062"/>
    <w:rsid w:val="00E1616A"/>
    <w:rsid w:val="00E16F5D"/>
    <w:rsid w:val="00E17008"/>
    <w:rsid w:val="00E17BCF"/>
    <w:rsid w:val="00E23D61"/>
    <w:rsid w:val="00E25551"/>
    <w:rsid w:val="00E2556D"/>
    <w:rsid w:val="00E265BD"/>
    <w:rsid w:val="00E266F3"/>
    <w:rsid w:val="00E26711"/>
    <w:rsid w:val="00E30D63"/>
    <w:rsid w:val="00E335EE"/>
    <w:rsid w:val="00E33C38"/>
    <w:rsid w:val="00E37381"/>
    <w:rsid w:val="00E43175"/>
    <w:rsid w:val="00E443BF"/>
    <w:rsid w:val="00E444F5"/>
    <w:rsid w:val="00E45DD5"/>
    <w:rsid w:val="00E462C1"/>
    <w:rsid w:val="00E46C4D"/>
    <w:rsid w:val="00E502CC"/>
    <w:rsid w:val="00E50FD9"/>
    <w:rsid w:val="00E53AF0"/>
    <w:rsid w:val="00E57CCE"/>
    <w:rsid w:val="00E6487E"/>
    <w:rsid w:val="00E72966"/>
    <w:rsid w:val="00E737BC"/>
    <w:rsid w:val="00E766E3"/>
    <w:rsid w:val="00E77299"/>
    <w:rsid w:val="00E81C32"/>
    <w:rsid w:val="00E86C33"/>
    <w:rsid w:val="00E8780C"/>
    <w:rsid w:val="00E8795D"/>
    <w:rsid w:val="00E9078A"/>
    <w:rsid w:val="00E921DB"/>
    <w:rsid w:val="00E930AC"/>
    <w:rsid w:val="00E937B6"/>
    <w:rsid w:val="00E93D8A"/>
    <w:rsid w:val="00E95580"/>
    <w:rsid w:val="00E957C3"/>
    <w:rsid w:val="00EA2E14"/>
    <w:rsid w:val="00EA3FD1"/>
    <w:rsid w:val="00EA481A"/>
    <w:rsid w:val="00EA4B5D"/>
    <w:rsid w:val="00EA5113"/>
    <w:rsid w:val="00EB44B0"/>
    <w:rsid w:val="00EB6BB3"/>
    <w:rsid w:val="00EC26C9"/>
    <w:rsid w:val="00EC3D87"/>
    <w:rsid w:val="00EC560B"/>
    <w:rsid w:val="00EC71F0"/>
    <w:rsid w:val="00ED00E7"/>
    <w:rsid w:val="00ED17C2"/>
    <w:rsid w:val="00ED2807"/>
    <w:rsid w:val="00ED5EF0"/>
    <w:rsid w:val="00ED60B1"/>
    <w:rsid w:val="00ED6C4F"/>
    <w:rsid w:val="00ED6DB1"/>
    <w:rsid w:val="00EE5F46"/>
    <w:rsid w:val="00EE622A"/>
    <w:rsid w:val="00EE7C50"/>
    <w:rsid w:val="00EE7FC6"/>
    <w:rsid w:val="00EF0422"/>
    <w:rsid w:val="00EF1675"/>
    <w:rsid w:val="00EF5BFE"/>
    <w:rsid w:val="00F024D7"/>
    <w:rsid w:val="00F05494"/>
    <w:rsid w:val="00F05FE4"/>
    <w:rsid w:val="00F106E1"/>
    <w:rsid w:val="00F12548"/>
    <w:rsid w:val="00F1406F"/>
    <w:rsid w:val="00F202E9"/>
    <w:rsid w:val="00F219C4"/>
    <w:rsid w:val="00F21E16"/>
    <w:rsid w:val="00F226D5"/>
    <w:rsid w:val="00F2296B"/>
    <w:rsid w:val="00F260A5"/>
    <w:rsid w:val="00F275C1"/>
    <w:rsid w:val="00F308E9"/>
    <w:rsid w:val="00F3518D"/>
    <w:rsid w:val="00F35364"/>
    <w:rsid w:val="00F37861"/>
    <w:rsid w:val="00F407CF"/>
    <w:rsid w:val="00F41845"/>
    <w:rsid w:val="00F4744B"/>
    <w:rsid w:val="00F476AD"/>
    <w:rsid w:val="00F5206B"/>
    <w:rsid w:val="00F5470D"/>
    <w:rsid w:val="00F6088F"/>
    <w:rsid w:val="00F6090E"/>
    <w:rsid w:val="00F61B2C"/>
    <w:rsid w:val="00F63AF5"/>
    <w:rsid w:val="00F64156"/>
    <w:rsid w:val="00F64B65"/>
    <w:rsid w:val="00F67BE5"/>
    <w:rsid w:val="00F72163"/>
    <w:rsid w:val="00F728AA"/>
    <w:rsid w:val="00F72FAD"/>
    <w:rsid w:val="00F736F5"/>
    <w:rsid w:val="00F75352"/>
    <w:rsid w:val="00F756FA"/>
    <w:rsid w:val="00F75944"/>
    <w:rsid w:val="00F76E6E"/>
    <w:rsid w:val="00F77B19"/>
    <w:rsid w:val="00F80BEB"/>
    <w:rsid w:val="00F83812"/>
    <w:rsid w:val="00F84599"/>
    <w:rsid w:val="00F917CA"/>
    <w:rsid w:val="00F927BA"/>
    <w:rsid w:val="00F96C9C"/>
    <w:rsid w:val="00FA0CEC"/>
    <w:rsid w:val="00FA1CF4"/>
    <w:rsid w:val="00FA3CFC"/>
    <w:rsid w:val="00FA4D1C"/>
    <w:rsid w:val="00FA52E9"/>
    <w:rsid w:val="00FA547D"/>
    <w:rsid w:val="00FA74EF"/>
    <w:rsid w:val="00FB2612"/>
    <w:rsid w:val="00FB4D24"/>
    <w:rsid w:val="00FB5042"/>
    <w:rsid w:val="00FB638B"/>
    <w:rsid w:val="00FD1896"/>
    <w:rsid w:val="00FD3C68"/>
    <w:rsid w:val="00FD5080"/>
    <w:rsid w:val="00FD5F4E"/>
    <w:rsid w:val="00FD6A26"/>
    <w:rsid w:val="00FE7209"/>
    <w:rsid w:val="00FF2158"/>
    <w:rsid w:val="00FF3114"/>
    <w:rsid w:val="00FF4D7E"/>
    <w:rsid w:val="00FF564D"/>
    <w:rsid w:val="00FF6A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06E5"/>
  <w15:chartTrackingRefBased/>
  <w15:docId w15:val="{76921DD7-81F9-C54F-A73A-17B70FDE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8F6"/>
    <w:pPr>
      <w:spacing w:after="120" w:line="480" w:lineRule="auto"/>
      <w:ind w:firstLine="720"/>
      <w:jc w:val="both"/>
    </w:pPr>
    <w:rPr>
      <w:rFonts w:ascii="Georgia" w:hAnsi="Georgia"/>
    </w:rPr>
  </w:style>
  <w:style w:type="paragraph" w:styleId="Heading1">
    <w:name w:val="heading 1"/>
    <w:basedOn w:val="Normal"/>
    <w:next w:val="Normal"/>
    <w:link w:val="Heading1Char"/>
    <w:autoRedefine/>
    <w:uiPriority w:val="9"/>
    <w:qFormat/>
    <w:rsid w:val="00103DE6"/>
    <w:pPr>
      <w:keepNext/>
      <w:keepLines/>
      <w:numPr>
        <w:numId w:val="6"/>
      </w:numPr>
      <w:spacing w:after="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1458F6"/>
    <w:pPr>
      <w:keepNext/>
      <w:keepLines/>
      <w:spacing w:after="0"/>
      <w:ind w:firstLine="0"/>
      <w:outlineLvl w:val="1"/>
    </w:pPr>
    <w:rPr>
      <w:rFonts w:eastAsiaTheme="majorEastAsia" w:cstheme="majorBidi"/>
      <w:b/>
      <w:i/>
      <w:color w:val="000000" w:themeColor="text1"/>
      <w:szCs w:val="26"/>
    </w:rPr>
  </w:style>
  <w:style w:type="paragraph" w:styleId="Heading3">
    <w:name w:val="heading 3"/>
    <w:basedOn w:val="Heading2"/>
    <w:next w:val="Normal"/>
    <w:link w:val="Heading3Char"/>
    <w:uiPriority w:val="9"/>
    <w:unhideWhenUsed/>
    <w:qFormat/>
    <w:rsid w:val="006961F5"/>
    <w:pPr>
      <w:numPr>
        <w:ilvl w:val="2"/>
      </w:numPr>
      <w:outlineLvl w:val="2"/>
    </w:pPr>
  </w:style>
  <w:style w:type="paragraph" w:styleId="Heading4">
    <w:name w:val="heading 4"/>
    <w:basedOn w:val="Heading3"/>
    <w:next w:val="Normal"/>
    <w:link w:val="Heading4Char"/>
    <w:uiPriority w:val="9"/>
    <w:unhideWhenUsed/>
    <w:qFormat/>
    <w:rsid w:val="001458F6"/>
    <w:pPr>
      <w:numPr>
        <w:ilvl w:val="3"/>
      </w:numPr>
      <w:outlineLvl w:val="3"/>
    </w:pPr>
  </w:style>
  <w:style w:type="paragraph" w:styleId="Heading5">
    <w:name w:val="heading 5"/>
    <w:basedOn w:val="Normal"/>
    <w:next w:val="Normal"/>
    <w:link w:val="Heading5Char"/>
    <w:uiPriority w:val="9"/>
    <w:semiHidden/>
    <w:unhideWhenUsed/>
    <w:qFormat/>
    <w:rsid w:val="001458F6"/>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458F6"/>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58F6"/>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58F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58F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DE6"/>
    <w:rPr>
      <w:rFonts w:ascii="Georgia" w:eastAsiaTheme="majorEastAsia" w:hAnsi="Georgia" w:cstheme="majorBidi"/>
      <w:b/>
      <w:color w:val="000000" w:themeColor="text1"/>
      <w:szCs w:val="32"/>
    </w:rPr>
  </w:style>
  <w:style w:type="character" w:customStyle="1" w:styleId="Heading2Char">
    <w:name w:val="Heading 2 Char"/>
    <w:basedOn w:val="DefaultParagraphFont"/>
    <w:link w:val="Heading2"/>
    <w:uiPriority w:val="9"/>
    <w:rsid w:val="001458F6"/>
    <w:rPr>
      <w:rFonts w:ascii="Georgia" w:eastAsiaTheme="majorEastAsia" w:hAnsi="Georgia" w:cstheme="majorBidi"/>
      <w:b/>
      <w:i/>
      <w:color w:val="000000" w:themeColor="text1"/>
      <w:szCs w:val="26"/>
    </w:rPr>
  </w:style>
  <w:style w:type="character" w:customStyle="1" w:styleId="Heading3Char">
    <w:name w:val="Heading 3 Char"/>
    <w:basedOn w:val="DefaultParagraphFont"/>
    <w:link w:val="Heading3"/>
    <w:uiPriority w:val="9"/>
    <w:rsid w:val="006961F5"/>
    <w:rPr>
      <w:rFonts w:ascii="Georgia" w:eastAsiaTheme="majorEastAsia" w:hAnsi="Georgia" w:cstheme="majorBidi"/>
      <w:b/>
      <w:i/>
      <w:color w:val="000000" w:themeColor="text1"/>
      <w:szCs w:val="26"/>
    </w:rPr>
  </w:style>
  <w:style w:type="character" w:customStyle="1" w:styleId="Heading4Char">
    <w:name w:val="Heading 4 Char"/>
    <w:basedOn w:val="DefaultParagraphFont"/>
    <w:link w:val="Heading4"/>
    <w:uiPriority w:val="9"/>
    <w:rsid w:val="001458F6"/>
    <w:rPr>
      <w:rFonts w:ascii="Georgia" w:eastAsiaTheme="majorEastAsia" w:hAnsi="Georgia" w:cstheme="majorBidi"/>
      <w:i/>
      <w:color w:val="000000" w:themeColor="text1"/>
      <w:szCs w:val="26"/>
    </w:rPr>
  </w:style>
  <w:style w:type="character" w:customStyle="1" w:styleId="Heading5Char">
    <w:name w:val="Heading 5 Char"/>
    <w:basedOn w:val="DefaultParagraphFont"/>
    <w:link w:val="Heading5"/>
    <w:uiPriority w:val="9"/>
    <w:semiHidden/>
    <w:rsid w:val="001458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458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458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458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58F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458F6"/>
    <w:pPr>
      <w:tabs>
        <w:tab w:val="center" w:pos="4320"/>
        <w:tab w:val="right" w:pos="8640"/>
      </w:tabs>
    </w:pPr>
    <w:rPr>
      <w:sz w:val="22"/>
      <w:szCs w:val="22"/>
    </w:rPr>
  </w:style>
  <w:style w:type="character" w:customStyle="1" w:styleId="HeaderChar">
    <w:name w:val="Header Char"/>
    <w:basedOn w:val="DefaultParagraphFont"/>
    <w:link w:val="Header"/>
    <w:uiPriority w:val="99"/>
    <w:rsid w:val="001458F6"/>
    <w:rPr>
      <w:rFonts w:ascii="Georgia" w:hAnsi="Georgia"/>
      <w:sz w:val="22"/>
      <w:szCs w:val="22"/>
    </w:rPr>
  </w:style>
  <w:style w:type="paragraph" w:styleId="NoSpacing">
    <w:name w:val="No Spacing"/>
    <w:link w:val="NoSpacingChar"/>
    <w:uiPriority w:val="1"/>
    <w:qFormat/>
    <w:rsid w:val="001458F6"/>
    <w:rPr>
      <w:rFonts w:eastAsiaTheme="minorEastAsia"/>
      <w:sz w:val="22"/>
      <w:szCs w:val="22"/>
    </w:rPr>
  </w:style>
  <w:style w:type="character" w:customStyle="1" w:styleId="NoSpacingChar">
    <w:name w:val="No Spacing Char"/>
    <w:basedOn w:val="DefaultParagraphFont"/>
    <w:link w:val="NoSpacing"/>
    <w:uiPriority w:val="1"/>
    <w:rsid w:val="001458F6"/>
    <w:rPr>
      <w:rFonts w:eastAsiaTheme="minorEastAsia"/>
      <w:sz w:val="22"/>
      <w:szCs w:val="22"/>
    </w:rPr>
  </w:style>
  <w:style w:type="table" w:styleId="TableGrid">
    <w:name w:val="Table Grid"/>
    <w:basedOn w:val="TableNormal"/>
    <w:uiPriority w:val="39"/>
    <w:rsid w:val="001458F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458F6"/>
    <w:pPr>
      <w:numPr>
        <w:ilvl w:val="1"/>
      </w:numPr>
      <w:spacing w:after="160"/>
      <w:ind w:firstLine="72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458F6"/>
    <w:rPr>
      <w:rFonts w:ascii="Georgia" w:eastAsiaTheme="minorEastAsia" w:hAnsi="Georgia"/>
      <w:color w:val="5A5A5A" w:themeColor="text1" w:themeTint="A5"/>
      <w:spacing w:val="15"/>
      <w:sz w:val="22"/>
      <w:szCs w:val="22"/>
    </w:rPr>
  </w:style>
  <w:style w:type="paragraph" w:styleId="TOCHeading">
    <w:name w:val="TOC Heading"/>
    <w:basedOn w:val="Heading1"/>
    <w:next w:val="Normal"/>
    <w:uiPriority w:val="39"/>
    <w:unhideWhenUsed/>
    <w:qFormat/>
    <w:rsid w:val="001458F6"/>
    <w:pPr>
      <w:spacing w:before="480" w:line="276" w:lineRule="auto"/>
      <w:outlineLvl w:val="9"/>
    </w:pPr>
    <w:rPr>
      <w:b w:val="0"/>
      <w:bCs/>
      <w:sz w:val="28"/>
      <w:szCs w:val="28"/>
    </w:rPr>
  </w:style>
  <w:style w:type="paragraph" w:styleId="TOC1">
    <w:name w:val="toc 1"/>
    <w:basedOn w:val="Normal"/>
    <w:next w:val="Normal"/>
    <w:autoRedefine/>
    <w:uiPriority w:val="39"/>
    <w:unhideWhenUsed/>
    <w:rsid w:val="001458F6"/>
    <w:pPr>
      <w:tabs>
        <w:tab w:val="right" w:leader="dot" w:pos="9350"/>
      </w:tabs>
      <w:spacing w:before="120" w:after="0" w:line="360" w:lineRule="auto"/>
      <w:ind w:left="-720"/>
      <w:jc w:val="left"/>
    </w:pPr>
    <w:rPr>
      <w:rFonts w:cstheme="minorHAnsi"/>
      <w:b/>
      <w:bCs/>
      <w:iCs/>
      <w:szCs w:val="28"/>
    </w:rPr>
  </w:style>
  <w:style w:type="character" w:styleId="Hyperlink">
    <w:name w:val="Hyperlink"/>
    <w:basedOn w:val="DefaultParagraphFont"/>
    <w:uiPriority w:val="99"/>
    <w:unhideWhenUsed/>
    <w:rsid w:val="001458F6"/>
    <w:rPr>
      <w:color w:val="0563C1" w:themeColor="hyperlink"/>
      <w:u w:val="single"/>
    </w:rPr>
  </w:style>
  <w:style w:type="paragraph" w:styleId="TOC2">
    <w:name w:val="toc 2"/>
    <w:basedOn w:val="Normal"/>
    <w:next w:val="Normal"/>
    <w:autoRedefine/>
    <w:uiPriority w:val="39"/>
    <w:unhideWhenUsed/>
    <w:rsid w:val="001458F6"/>
    <w:pPr>
      <w:spacing w:after="0" w:line="360" w:lineRule="auto"/>
      <w:ind w:left="-720"/>
      <w:jc w:val="left"/>
    </w:pPr>
    <w:rPr>
      <w:rFonts w:cstheme="minorHAnsi"/>
      <w:bCs/>
      <w:szCs w:val="26"/>
    </w:rPr>
  </w:style>
  <w:style w:type="paragraph" w:styleId="TOC3">
    <w:name w:val="toc 3"/>
    <w:basedOn w:val="Normal"/>
    <w:next w:val="Normal"/>
    <w:autoRedefine/>
    <w:uiPriority w:val="39"/>
    <w:unhideWhenUsed/>
    <w:rsid w:val="001458F6"/>
    <w:pPr>
      <w:spacing w:after="0" w:line="360" w:lineRule="auto"/>
      <w:ind w:left="-288"/>
      <w:jc w:val="left"/>
    </w:pPr>
    <w:rPr>
      <w:rFonts w:cstheme="minorHAnsi"/>
    </w:rPr>
  </w:style>
  <w:style w:type="paragraph" w:styleId="TOC4">
    <w:name w:val="toc 4"/>
    <w:basedOn w:val="Normal"/>
    <w:next w:val="Normal"/>
    <w:autoRedefine/>
    <w:uiPriority w:val="39"/>
    <w:unhideWhenUsed/>
    <w:rsid w:val="001458F6"/>
    <w:pPr>
      <w:spacing w:after="0" w:line="360" w:lineRule="auto"/>
      <w:jc w:val="left"/>
    </w:pPr>
    <w:rPr>
      <w:rFonts w:cstheme="minorHAnsi"/>
    </w:rPr>
  </w:style>
  <w:style w:type="paragraph" w:styleId="TOC5">
    <w:name w:val="toc 5"/>
    <w:basedOn w:val="Normal"/>
    <w:next w:val="Normal"/>
    <w:autoRedefine/>
    <w:uiPriority w:val="39"/>
    <w:semiHidden/>
    <w:unhideWhenUsed/>
    <w:rsid w:val="001458F6"/>
    <w:pPr>
      <w:spacing w:after="0"/>
      <w:ind w:left="96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1458F6"/>
    <w:pPr>
      <w:spacing w:after="0"/>
      <w:ind w:left="120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1458F6"/>
    <w:pPr>
      <w:spacing w:after="0"/>
      <w:ind w:left="144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1458F6"/>
    <w:pPr>
      <w:spacing w:after="0"/>
      <w:ind w:left="168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1458F6"/>
    <w:pPr>
      <w:spacing w:after="0"/>
      <w:ind w:left="1920"/>
      <w:jc w:val="left"/>
    </w:pPr>
    <w:rPr>
      <w:rFonts w:asciiTheme="minorHAnsi" w:hAnsiTheme="minorHAnsi" w:cstheme="minorHAnsi"/>
      <w:sz w:val="20"/>
    </w:rPr>
  </w:style>
  <w:style w:type="paragraph" w:styleId="FootnoteText">
    <w:name w:val="footnote text"/>
    <w:basedOn w:val="Normal"/>
    <w:link w:val="FootnoteTextChar"/>
    <w:uiPriority w:val="99"/>
    <w:unhideWhenUsed/>
    <w:rsid w:val="001458F6"/>
    <w:pPr>
      <w:spacing w:line="240" w:lineRule="auto"/>
      <w:ind w:firstLine="0"/>
    </w:pPr>
  </w:style>
  <w:style w:type="character" w:customStyle="1" w:styleId="FootnoteTextChar">
    <w:name w:val="Footnote Text Char"/>
    <w:basedOn w:val="DefaultParagraphFont"/>
    <w:link w:val="FootnoteText"/>
    <w:uiPriority w:val="99"/>
    <w:rsid w:val="001458F6"/>
    <w:rPr>
      <w:rFonts w:ascii="Georgia" w:hAnsi="Georgia"/>
    </w:rPr>
  </w:style>
  <w:style w:type="character" w:styleId="FootnoteReference">
    <w:name w:val="footnote reference"/>
    <w:basedOn w:val="DefaultParagraphFont"/>
    <w:uiPriority w:val="99"/>
    <w:unhideWhenUsed/>
    <w:rsid w:val="001458F6"/>
    <w:rPr>
      <w:vertAlign w:val="superscript"/>
    </w:rPr>
  </w:style>
  <w:style w:type="character" w:styleId="EndnoteReference">
    <w:name w:val="endnote reference"/>
    <w:basedOn w:val="DefaultParagraphFont"/>
    <w:uiPriority w:val="99"/>
    <w:semiHidden/>
    <w:unhideWhenUsed/>
    <w:rsid w:val="001458F6"/>
    <w:rPr>
      <w:vertAlign w:val="superscript"/>
    </w:rPr>
  </w:style>
  <w:style w:type="character" w:customStyle="1" w:styleId="UnresolvedMention1">
    <w:name w:val="Unresolved Mention1"/>
    <w:basedOn w:val="DefaultParagraphFont"/>
    <w:uiPriority w:val="99"/>
    <w:rsid w:val="001458F6"/>
    <w:rPr>
      <w:color w:val="605E5C"/>
      <w:shd w:val="clear" w:color="auto" w:fill="E1DFDD"/>
    </w:rPr>
  </w:style>
  <w:style w:type="paragraph" w:styleId="ListParagraph">
    <w:name w:val="List Paragraph"/>
    <w:basedOn w:val="Normal"/>
    <w:uiPriority w:val="34"/>
    <w:qFormat/>
    <w:rsid w:val="001458F6"/>
    <w:pPr>
      <w:ind w:left="720"/>
      <w:contextualSpacing/>
    </w:pPr>
  </w:style>
  <w:style w:type="paragraph" w:styleId="Footer">
    <w:name w:val="footer"/>
    <w:basedOn w:val="Normal"/>
    <w:link w:val="FooterChar"/>
    <w:uiPriority w:val="99"/>
    <w:unhideWhenUsed/>
    <w:rsid w:val="001458F6"/>
    <w:pPr>
      <w:tabs>
        <w:tab w:val="center" w:pos="4680"/>
        <w:tab w:val="right" w:pos="9360"/>
      </w:tabs>
    </w:pPr>
  </w:style>
  <w:style w:type="character" w:customStyle="1" w:styleId="FooterChar">
    <w:name w:val="Footer Char"/>
    <w:basedOn w:val="DefaultParagraphFont"/>
    <w:link w:val="Footer"/>
    <w:uiPriority w:val="99"/>
    <w:rsid w:val="001458F6"/>
    <w:rPr>
      <w:rFonts w:ascii="Georgia" w:hAnsi="Georgia"/>
    </w:rPr>
  </w:style>
  <w:style w:type="character" w:styleId="PageNumber">
    <w:name w:val="page number"/>
    <w:basedOn w:val="DefaultParagraphFont"/>
    <w:uiPriority w:val="99"/>
    <w:semiHidden/>
    <w:unhideWhenUsed/>
    <w:rsid w:val="001458F6"/>
  </w:style>
  <w:style w:type="character" w:styleId="SubtleEmphasis">
    <w:name w:val="Subtle Emphasis"/>
    <w:basedOn w:val="DefaultParagraphFont"/>
    <w:uiPriority w:val="19"/>
    <w:qFormat/>
    <w:rsid w:val="001458F6"/>
    <w:rPr>
      <w:i/>
      <w:iCs/>
      <w:color w:val="404040" w:themeColor="text1" w:themeTint="BF"/>
    </w:rPr>
  </w:style>
  <w:style w:type="paragraph" w:styleId="Title">
    <w:name w:val="Title"/>
    <w:basedOn w:val="Normal"/>
    <w:next w:val="Normal"/>
    <w:link w:val="TitleChar"/>
    <w:uiPriority w:val="10"/>
    <w:qFormat/>
    <w:rsid w:val="001458F6"/>
    <w:pPr>
      <w:spacing w:after="0"/>
      <w:ind w:firstLine="0"/>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1458F6"/>
    <w:rPr>
      <w:rFonts w:ascii="Georgia" w:eastAsiaTheme="majorEastAsia" w:hAnsi="Georgia" w:cstheme="majorBidi"/>
      <w:b/>
      <w:spacing w:val="-10"/>
      <w:kern w:val="28"/>
      <w:szCs w:val="56"/>
    </w:rPr>
  </w:style>
  <w:style w:type="character" w:styleId="Emphasis">
    <w:name w:val="Emphasis"/>
    <w:basedOn w:val="DefaultParagraphFont"/>
    <w:uiPriority w:val="20"/>
    <w:qFormat/>
    <w:rsid w:val="001458F6"/>
    <w:rPr>
      <w:i/>
      <w:iCs/>
    </w:rPr>
  </w:style>
  <w:style w:type="character" w:styleId="CommentReference">
    <w:name w:val="annotation reference"/>
    <w:basedOn w:val="DefaultParagraphFont"/>
    <w:uiPriority w:val="99"/>
    <w:semiHidden/>
    <w:unhideWhenUsed/>
    <w:rsid w:val="001458F6"/>
    <w:rPr>
      <w:sz w:val="16"/>
      <w:szCs w:val="16"/>
    </w:rPr>
  </w:style>
  <w:style w:type="paragraph" w:styleId="CommentText">
    <w:name w:val="annotation text"/>
    <w:basedOn w:val="Normal"/>
    <w:link w:val="CommentTextChar"/>
    <w:uiPriority w:val="99"/>
    <w:semiHidden/>
    <w:unhideWhenUsed/>
    <w:rsid w:val="001458F6"/>
    <w:rPr>
      <w:sz w:val="20"/>
      <w:szCs w:val="20"/>
    </w:rPr>
  </w:style>
  <w:style w:type="character" w:customStyle="1" w:styleId="CommentTextChar">
    <w:name w:val="Comment Text Char"/>
    <w:basedOn w:val="DefaultParagraphFont"/>
    <w:link w:val="CommentText"/>
    <w:uiPriority w:val="99"/>
    <w:semiHidden/>
    <w:rsid w:val="001458F6"/>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1458F6"/>
    <w:rPr>
      <w:b/>
      <w:bCs/>
    </w:rPr>
  </w:style>
  <w:style w:type="character" w:customStyle="1" w:styleId="CommentSubjectChar">
    <w:name w:val="Comment Subject Char"/>
    <w:basedOn w:val="CommentTextChar"/>
    <w:link w:val="CommentSubject"/>
    <w:uiPriority w:val="99"/>
    <w:semiHidden/>
    <w:rsid w:val="001458F6"/>
    <w:rPr>
      <w:rFonts w:ascii="Georgia" w:hAnsi="Georgia"/>
      <w:b/>
      <w:bCs/>
      <w:sz w:val="20"/>
      <w:szCs w:val="20"/>
    </w:rPr>
  </w:style>
  <w:style w:type="paragraph" w:styleId="BalloonText">
    <w:name w:val="Balloon Text"/>
    <w:basedOn w:val="Normal"/>
    <w:link w:val="BalloonTextChar"/>
    <w:uiPriority w:val="99"/>
    <w:semiHidden/>
    <w:unhideWhenUsed/>
    <w:rsid w:val="0014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8F6"/>
    <w:rPr>
      <w:rFonts w:ascii="Segoe UI" w:hAnsi="Segoe UI" w:cs="Segoe UI"/>
      <w:sz w:val="18"/>
      <w:szCs w:val="18"/>
    </w:rPr>
  </w:style>
  <w:style w:type="paragraph" w:styleId="Revision">
    <w:name w:val="Revision"/>
    <w:hidden/>
    <w:uiPriority w:val="99"/>
    <w:semiHidden/>
    <w:rsid w:val="001458F6"/>
  </w:style>
  <w:style w:type="numbering" w:styleId="111111">
    <w:name w:val="Outline List 2"/>
    <w:basedOn w:val="NoList"/>
    <w:uiPriority w:val="99"/>
    <w:semiHidden/>
    <w:unhideWhenUsed/>
    <w:rsid w:val="001458F6"/>
    <w:pPr>
      <w:numPr>
        <w:numId w:val="3"/>
      </w:numPr>
    </w:pPr>
  </w:style>
  <w:style w:type="table" w:styleId="TableGridLight">
    <w:name w:val="Grid Table Light"/>
    <w:basedOn w:val="TableNormal"/>
    <w:uiPriority w:val="40"/>
    <w:rsid w:val="001458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458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458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458F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458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458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458F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458F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1458F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458F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1458F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1458F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4">
    <w:name w:val="Grid Table 2 Accent 4"/>
    <w:basedOn w:val="TableNormal"/>
    <w:uiPriority w:val="47"/>
    <w:rsid w:val="001458F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1458F6"/>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1458F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1458F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1458F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1458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1458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1458F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5">
    <w:name w:val="Grid Table 3 Accent 5"/>
    <w:basedOn w:val="TableNormal"/>
    <w:uiPriority w:val="48"/>
    <w:rsid w:val="001458F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4">
    <w:name w:val="Grid Table 3 Accent 4"/>
    <w:basedOn w:val="TableNormal"/>
    <w:uiPriority w:val="48"/>
    <w:rsid w:val="001458F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3">
    <w:name w:val="Grid Table 3 Accent 3"/>
    <w:basedOn w:val="TableNormal"/>
    <w:uiPriority w:val="48"/>
    <w:rsid w:val="001458F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1">
    <w:name w:val="Grid Table 3 Accent 1"/>
    <w:basedOn w:val="TableNormal"/>
    <w:uiPriority w:val="48"/>
    <w:rsid w:val="001458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3">
    <w:name w:val="Grid Table 6 Colorful Accent 3"/>
    <w:basedOn w:val="TableNormal"/>
    <w:uiPriority w:val="51"/>
    <w:rsid w:val="001458F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2">
    <w:name w:val="Grid Table 6 Colorful Accent 2"/>
    <w:basedOn w:val="TableNormal"/>
    <w:uiPriority w:val="51"/>
    <w:rsid w:val="001458F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1">
    <w:name w:val="Grid Table 6 Colorful Accent 1"/>
    <w:basedOn w:val="TableNormal"/>
    <w:uiPriority w:val="51"/>
    <w:rsid w:val="001458F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
    <w:name w:val="Grid Table 6 Colorful"/>
    <w:basedOn w:val="TableNormal"/>
    <w:uiPriority w:val="51"/>
    <w:rsid w:val="001458F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5">
    <w:name w:val="Grid Table 6 Colorful Accent 5"/>
    <w:basedOn w:val="TableNormal"/>
    <w:uiPriority w:val="51"/>
    <w:rsid w:val="001458F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1458F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1458F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1458F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2">
    <w:name w:val="Grid Table 5 Dark Accent 2"/>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Accent4">
    <w:name w:val="Grid Table 6 Colorful Accent 4"/>
    <w:basedOn w:val="TableNormal"/>
    <w:uiPriority w:val="51"/>
    <w:rsid w:val="001458F6"/>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7Colorful-Accent3">
    <w:name w:val="Grid Table 7 Colorful Accent 3"/>
    <w:basedOn w:val="TableNormal"/>
    <w:uiPriority w:val="52"/>
    <w:rsid w:val="001458F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2">
    <w:name w:val="Grid Table 7 Colorful Accent 2"/>
    <w:basedOn w:val="TableNormal"/>
    <w:uiPriority w:val="52"/>
    <w:rsid w:val="001458F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1">
    <w:name w:val="Grid Table 7 Colorful Accent 1"/>
    <w:basedOn w:val="TableNormal"/>
    <w:uiPriority w:val="52"/>
    <w:rsid w:val="001458F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
    <w:name w:val="Grid Table 7 Colorful"/>
    <w:basedOn w:val="TableNormal"/>
    <w:uiPriority w:val="52"/>
    <w:rsid w:val="001458F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Accent6">
    <w:name w:val="Grid Table 6 Colorful Accent 6"/>
    <w:basedOn w:val="TableNormal"/>
    <w:uiPriority w:val="51"/>
    <w:rsid w:val="001458F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5">
    <w:name w:val="Grid Table 7 Colorful Accent 5"/>
    <w:basedOn w:val="TableNormal"/>
    <w:uiPriority w:val="52"/>
    <w:rsid w:val="001458F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4">
    <w:name w:val="Grid Table 7 Colorful Accent 4"/>
    <w:basedOn w:val="TableNormal"/>
    <w:uiPriority w:val="52"/>
    <w:rsid w:val="001458F6"/>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4-Accent1">
    <w:name w:val="List Table 4 Accent 1"/>
    <w:basedOn w:val="TableNormal"/>
    <w:uiPriority w:val="49"/>
    <w:rsid w:val="001458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6">
    <w:name w:val="List Table 3 Accent 6"/>
    <w:basedOn w:val="TableNormal"/>
    <w:uiPriority w:val="48"/>
    <w:rsid w:val="001458F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1458F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4">
    <w:name w:val="List Table 3 Accent 4"/>
    <w:basedOn w:val="TableNormal"/>
    <w:uiPriority w:val="48"/>
    <w:rsid w:val="001458F6"/>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2">
    <w:name w:val="List Table 4 Accent 2"/>
    <w:basedOn w:val="TableNormal"/>
    <w:uiPriority w:val="49"/>
    <w:rsid w:val="001458F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5Dark-Accent1">
    <w:name w:val="List Table 5 Dark Accent 1"/>
    <w:basedOn w:val="TableNormal"/>
    <w:uiPriority w:val="50"/>
    <w:rsid w:val="001458F6"/>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1458F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1458F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5">
    <w:name w:val="List Table 4 Accent 5"/>
    <w:basedOn w:val="TableNormal"/>
    <w:uiPriority w:val="49"/>
    <w:rsid w:val="001458F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4">
    <w:name w:val="List Table 4 Accent 4"/>
    <w:basedOn w:val="TableNormal"/>
    <w:uiPriority w:val="49"/>
    <w:rsid w:val="001458F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4">
    <w:name w:val="List Table 6 Colorful Accent 4"/>
    <w:basedOn w:val="TableNormal"/>
    <w:uiPriority w:val="51"/>
    <w:rsid w:val="001458F6"/>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3">
    <w:name w:val="List Table 6 Colorful Accent 3"/>
    <w:basedOn w:val="TableNormal"/>
    <w:uiPriority w:val="51"/>
    <w:rsid w:val="001458F6"/>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1">
    <w:name w:val="List Table 6 Colorful Accent 1"/>
    <w:basedOn w:val="TableNormal"/>
    <w:uiPriority w:val="51"/>
    <w:rsid w:val="001458F6"/>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
    <w:name w:val="List Table 6 Colorful"/>
    <w:basedOn w:val="TableNormal"/>
    <w:uiPriority w:val="51"/>
    <w:rsid w:val="001458F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1458F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458F6"/>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458F6"/>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458F6"/>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1458F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1458F6"/>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1458F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1458F6"/>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1458F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6">
    <w:name w:val="List Table 2 Accent 6"/>
    <w:basedOn w:val="TableNormal"/>
    <w:uiPriority w:val="47"/>
    <w:rsid w:val="001458F6"/>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1">
    <w:name w:val="List Table 1 Light Accent 1"/>
    <w:basedOn w:val="TableNormal"/>
    <w:uiPriority w:val="46"/>
    <w:rsid w:val="001458F6"/>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1458F6"/>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1458F6"/>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1458F6"/>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
    <w:name w:val="List Table 2"/>
    <w:basedOn w:val="TableNormal"/>
    <w:uiPriority w:val="47"/>
    <w:rsid w:val="001458F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2">
    <w:name w:val="List Table 1 Light Accent 2"/>
    <w:basedOn w:val="TableNormal"/>
    <w:uiPriority w:val="46"/>
    <w:rsid w:val="001458F6"/>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
    <w:name w:val="List Table 1 Light"/>
    <w:basedOn w:val="TableNormal"/>
    <w:uiPriority w:val="46"/>
    <w:rsid w:val="001458F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1458F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4">
    <w:name w:val="List Table 2 Accent 4"/>
    <w:basedOn w:val="TableNormal"/>
    <w:uiPriority w:val="47"/>
    <w:rsid w:val="001458F6"/>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3">
    <w:name w:val="List Table 2 Accent 3"/>
    <w:basedOn w:val="TableNormal"/>
    <w:uiPriority w:val="47"/>
    <w:rsid w:val="001458F6"/>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B300DD"/>
    <w:pPr>
      <w:spacing w:after="360" w:line="240" w:lineRule="auto"/>
      <w:jc w:val="center"/>
    </w:pPr>
    <w:rPr>
      <w:bCs/>
      <w:i/>
      <w:color w:val="000000" w:themeColor="text1"/>
      <w:sz w:val="22"/>
      <w:szCs w:val="22"/>
    </w:rPr>
  </w:style>
  <w:style w:type="paragraph" w:customStyle="1" w:styleId="Footnote">
    <w:name w:val="Footnote"/>
    <w:basedOn w:val="FootnoteText"/>
    <w:link w:val="FootnoteChar"/>
    <w:qFormat/>
    <w:rsid w:val="00F407CF"/>
    <w:rPr>
      <w:i/>
      <w:iCs/>
      <w:sz w:val="20"/>
      <w:szCs w:val="20"/>
    </w:rPr>
  </w:style>
  <w:style w:type="character" w:customStyle="1" w:styleId="FootnoteChar">
    <w:name w:val="Footnote Char"/>
    <w:basedOn w:val="FootnoteTextChar"/>
    <w:link w:val="Footnote"/>
    <w:rsid w:val="00F407CF"/>
    <w:rPr>
      <w:rFonts w:ascii="Georgia" w:hAnsi="Georgia"/>
      <w:i/>
      <w:iCs/>
      <w:sz w:val="20"/>
      <w:szCs w:val="20"/>
    </w:rPr>
  </w:style>
  <w:style w:type="table" w:styleId="ListTable2-Accent1">
    <w:name w:val="List Table 2 Accent 1"/>
    <w:basedOn w:val="TableNormal"/>
    <w:uiPriority w:val="47"/>
    <w:rsid w:val="001458F6"/>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1458F6"/>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6">
    <w:name w:val="Grid Table 7 Colorful Accent 6"/>
    <w:basedOn w:val="TableNormal"/>
    <w:uiPriority w:val="52"/>
    <w:rsid w:val="001458F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7Colorful-Accent4">
    <w:name w:val="List Table 7 Colorful Accent 4"/>
    <w:basedOn w:val="TableNormal"/>
    <w:uiPriority w:val="52"/>
    <w:rsid w:val="001458F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458F6"/>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2">
    <w:name w:val="List Table 6 Colorful Accent 2"/>
    <w:basedOn w:val="TableNormal"/>
    <w:uiPriority w:val="51"/>
    <w:rsid w:val="001458F6"/>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
    <w:name w:val="Grid Table 5 Dark"/>
    <w:basedOn w:val="TableNormal"/>
    <w:uiPriority w:val="50"/>
    <w:rsid w:val="00145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1Light-Accent6">
    <w:name w:val="List Table 1 Light Accent 6"/>
    <w:basedOn w:val="TableNormal"/>
    <w:uiPriority w:val="46"/>
    <w:rsid w:val="001458F6"/>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
    <w:name w:val="List Table 4"/>
    <w:basedOn w:val="TableNormal"/>
    <w:uiPriority w:val="49"/>
    <w:rsid w:val="001458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3">
    <w:name w:val="List Table 5 Dark Accent 3"/>
    <w:basedOn w:val="TableNormal"/>
    <w:uiPriority w:val="50"/>
    <w:rsid w:val="001458F6"/>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458F6"/>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ewordsTable">
    <w:name w:val="Kewords Table"/>
    <w:basedOn w:val="TableNormal"/>
    <w:uiPriority w:val="99"/>
    <w:rsid w:val="001458F6"/>
    <w:tblPr/>
  </w:style>
  <w:style w:type="table" w:styleId="GridTable2-Accent2">
    <w:name w:val="Grid Table 2 Accent 2"/>
    <w:basedOn w:val="TableNormal"/>
    <w:uiPriority w:val="47"/>
    <w:rsid w:val="001458F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1458F6"/>
    <w:rPr>
      <w:color w:val="605E5C"/>
      <w:shd w:val="clear" w:color="auto" w:fill="E1DFDD"/>
    </w:rPr>
  </w:style>
  <w:style w:type="character" w:styleId="FollowedHyperlink">
    <w:name w:val="FollowedHyperlink"/>
    <w:basedOn w:val="DefaultParagraphFont"/>
    <w:uiPriority w:val="99"/>
    <w:semiHidden/>
    <w:unhideWhenUsed/>
    <w:rsid w:val="001458F6"/>
    <w:rPr>
      <w:color w:val="954F72" w:themeColor="followedHyperlink"/>
      <w:u w:val="single"/>
    </w:rPr>
  </w:style>
  <w:style w:type="paragraph" w:styleId="NormalWeb">
    <w:name w:val="Normal (Web)"/>
    <w:basedOn w:val="Normal"/>
    <w:uiPriority w:val="99"/>
    <w:semiHidden/>
    <w:unhideWhenUsed/>
    <w:rsid w:val="001458F6"/>
    <w:rPr>
      <w:rFonts w:ascii="Times New Roman" w:hAnsi="Times New Roman" w:cs="Times New Roman"/>
    </w:rPr>
  </w:style>
  <w:style w:type="character" w:customStyle="1" w:styleId="css-901oao">
    <w:name w:val="css-901oao"/>
    <w:basedOn w:val="DefaultParagraphFont"/>
    <w:rsid w:val="001458F6"/>
  </w:style>
  <w:style w:type="paragraph" w:styleId="TableofFigures">
    <w:name w:val="table of figures"/>
    <w:basedOn w:val="Normal"/>
    <w:next w:val="Normal"/>
    <w:uiPriority w:val="99"/>
    <w:unhideWhenUsed/>
    <w:rsid w:val="001458F6"/>
    <w:pPr>
      <w:spacing w:after="0"/>
      <w:ind w:left="-720"/>
    </w:pPr>
  </w:style>
  <w:style w:type="character" w:styleId="PlaceholderText">
    <w:name w:val="Placeholder Text"/>
    <w:basedOn w:val="DefaultParagraphFont"/>
    <w:uiPriority w:val="99"/>
    <w:semiHidden/>
    <w:rsid w:val="00E062EA"/>
    <w:rPr>
      <w:color w:val="808080"/>
    </w:rPr>
  </w:style>
  <w:style w:type="paragraph" w:styleId="IntenseQuote">
    <w:name w:val="Intense Quote"/>
    <w:basedOn w:val="Normal"/>
    <w:next w:val="Normal"/>
    <w:link w:val="IntenseQuoteChar"/>
    <w:uiPriority w:val="30"/>
    <w:qFormat/>
    <w:rsid w:val="00BC504C"/>
    <w:pPr>
      <w:ind w:left="720" w:firstLine="0"/>
    </w:pPr>
    <w:rPr>
      <w:color w:val="000000" w:themeColor="text1"/>
    </w:rPr>
  </w:style>
  <w:style w:type="character" w:customStyle="1" w:styleId="IntenseQuoteChar">
    <w:name w:val="Intense Quote Char"/>
    <w:basedOn w:val="DefaultParagraphFont"/>
    <w:link w:val="IntenseQuote"/>
    <w:uiPriority w:val="30"/>
    <w:rsid w:val="00BC504C"/>
    <w:rPr>
      <w:rFonts w:ascii="Georgia" w:hAnsi="Georgia"/>
      <w:color w:val="000000" w:themeColor="text1"/>
    </w:rPr>
  </w:style>
  <w:style w:type="paragraph" w:customStyle="1" w:styleId="BodyNoIndent">
    <w:name w:val="Body No Indent"/>
    <w:basedOn w:val="Normal"/>
    <w:rsid w:val="005E59DD"/>
    <w:pPr>
      <w:spacing w:after="0"/>
      <w:ind w:firstLine="0"/>
      <w:jc w:val="left"/>
    </w:pPr>
    <w:rPr>
      <w:rFonts w:ascii="Times New Roman" w:eastAsiaTheme="minorEastAsia" w:hAnsi="Times New Roman" w:cs="Times New Roman"/>
      <w:lang w:eastAsia="ja-JP"/>
    </w:rPr>
  </w:style>
  <w:style w:type="paragraph" w:customStyle="1" w:styleId="References">
    <w:name w:val="References"/>
    <w:basedOn w:val="BodyNoIndent"/>
    <w:qFormat/>
    <w:rsid w:val="005E59DD"/>
    <w:pPr>
      <w:keepLines/>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9589">
      <w:bodyDiv w:val="1"/>
      <w:marLeft w:val="0"/>
      <w:marRight w:val="0"/>
      <w:marTop w:val="0"/>
      <w:marBottom w:val="0"/>
      <w:divBdr>
        <w:top w:val="none" w:sz="0" w:space="0" w:color="auto"/>
        <w:left w:val="none" w:sz="0" w:space="0" w:color="auto"/>
        <w:bottom w:val="none" w:sz="0" w:space="0" w:color="auto"/>
        <w:right w:val="none" w:sz="0" w:space="0" w:color="auto"/>
      </w:divBdr>
    </w:div>
    <w:div w:id="45574259">
      <w:bodyDiv w:val="1"/>
      <w:marLeft w:val="0"/>
      <w:marRight w:val="0"/>
      <w:marTop w:val="0"/>
      <w:marBottom w:val="0"/>
      <w:divBdr>
        <w:top w:val="none" w:sz="0" w:space="0" w:color="auto"/>
        <w:left w:val="none" w:sz="0" w:space="0" w:color="auto"/>
        <w:bottom w:val="none" w:sz="0" w:space="0" w:color="auto"/>
        <w:right w:val="none" w:sz="0" w:space="0" w:color="auto"/>
      </w:divBdr>
    </w:div>
    <w:div w:id="142092044">
      <w:bodyDiv w:val="1"/>
      <w:marLeft w:val="0"/>
      <w:marRight w:val="0"/>
      <w:marTop w:val="0"/>
      <w:marBottom w:val="0"/>
      <w:divBdr>
        <w:top w:val="none" w:sz="0" w:space="0" w:color="auto"/>
        <w:left w:val="none" w:sz="0" w:space="0" w:color="auto"/>
        <w:bottom w:val="none" w:sz="0" w:space="0" w:color="auto"/>
        <w:right w:val="none" w:sz="0" w:space="0" w:color="auto"/>
      </w:divBdr>
    </w:div>
    <w:div w:id="197862416">
      <w:bodyDiv w:val="1"/>
      <w:marLeft w:val="0"/>
      <w:marRight w:val="0"/>
      <w:marTop w:val="0"/>
      <w:marBottom w:val="0"/>
      <w:divBdr>
        <w:top w:val="none" w:sz="0" w:space="0" w:color="auto"/>
        <w:left w:val="none" w:sz="0" w:space="0" w:color="auto"/>
        <w:bottom w:val="none" w:sz="0" w:space="0" w:color="auto"/>
        <w:right w:val="none" w:sz="0" w:space="0" w:color="auto"/>
      </w:divBdr>
      <w:divsChild>
        <w:div w:id="242878471">
          <w:marLeft w:val="480"/>
          <w:marRight w:val="0"/>
          <w:marTop w:val="0"/>
          <w:marBottom w:val="0"/>
          <w:divBdr>
            <w:top w:val="none" w:sz="0" w:space="0" w:color="auto"/>
            <w:left w:val="none" w:sz="0" w:space="0" w:color="auto"/>
            <w:bottom w:val="none" w:sz="0" w:space="0" w:color="auto"/>
            <w:right w:val="none" w:sz="0" w:space="0" w:color="auto"/>
          </w:divBdr>
        </w:div>
        <w:div w:id="169300717">
          <w:marLeft w:val="480"/>
          <w:marRight w:val="0"/>
          <w:marTop w:val="0"/>
          <w:marBottom w:val="0"/>
          <w:divBdr>
            <w:top w:val="none" w:sz="0" w:space="0" w:color="auto"/>
            <w:left w:val="none" w:sz="0" w:space="0" w:color="auto"/>
            <w:bottom w:val="none" w:sz="0" w:space="0" w:color="auto"/>
            <w:right w:val="none" w:sz="0" w:space="0" w:color="auto"/>
          </w:divBdr>
        </w:div>
        <w:div w:id="2129011156">
          <w:marLeft w:val="480"/>
          <w:marRight w:val="0"/>
          <w:marTop w:val="0"/>
          <w:marBottom w:val="0"/>
          <w:divBdr>
            <w:top w:val="none" w:sz="0" w:space="0" w:color="auto"/>
            <w:left w:val="none" w:sz="0" w:space="0" w:color="auto"/>
            <w:bottom w:val="none" w:sz="0" w:space="0" w:color="auto"/>
            <w:right w:val="none" w:sz="0" w:space="0" w:color="auto"/>
          </w:divBdr>
        </w:div>
        <w:div w:id="1144086137">
          <w:marLeft w:val="480"/>
          <w:marRight w:val="0"/>
          <w:marTop w:val="0"/>
          <w:marBottom w:val="0"/>
          <w:divBdr>
            <w:top w:val="none" w:sz="0" w:space="0" w:color="auto"/>
            <w:left w:val="none" w:sz="0" w:space="0" w:color="auto"/>
            <w:bottom w:val="none" w:sz="0" w:space="0" w:color="auto"/>
            <w:right w:val="none" w:sz="0" w:space="0" w:color="auto"/>
          </w:divBdr>
        </w:div>
        <w:div w:id="1820997995">
          <w:marLeft w:val="480"/>
          <w:marRight w:val="0"/>
          <w:marTop w:val="0"/>
          <w:marBottom w:val="0"/>
          <w:divBdr>
            <w:top w:val="none" w:sz="0" w:space="0" w:color="auto"/>
            <w:left w:val="none" w:sz="0" w:space="0" w:color="auto"/>
            <w:bottom w:val="none" w:sz="0" w:space="0" w:color="auto"/>
            <w:right w:val="none" w:sz="0" w:space="0" w:color="auto"/>
          </w:divBdr>
        </w:div>
        <w:div w:id="1224289845">
          <w:marLeft w:val="480"/>
          <w:marRight w:val="0"/>
          <w:marTop w:val="0"/>
          <w:marBottom w:val="0"/>
          <w:divBdr>
            <w:top w:val="none" w:sz="0" w:space="0" w:color="auto"/>
            <w:left w:val="none" w:sz="0" w:space="0" w:color="auto"/>
            <w:bottom w:val="none" w:sz="0" w:space="0" w:color="auto"/>
            <w:right w:val="none" w:sz="0" w:space="0" w:color="auto"/>
          </w:divBdr>
        </w:div>
        <w:div w:id="1209224660">
          <w:marLeft w:val="480"/>
          <w:marRight w:val="0"/>
          <w:marTop w:val="0"/>
          <w:marBottom w:val="0"/>
          <w:divBdr>
            <w:top w:val="none" w:sz="0" w:space="0" w:color="auto"/>
            <w:left w:val="none" w:sz="0" w:space="0" w:color="auto"/>
            <w:bottom w:val="none" w:sz="0" w:space="0" w:color="auto"/>
            <w:right w:val="none" w:sz="0" w:space="0" w:color="auto"/>
          </w:divBdr>
        </w:div>
        <w:div w:id="1702631323">
          <w:marLeft w:val="480"/>
          <w:marRight w:val="0"/>
          <w:marTop w:val="0"/>
          <w:marBottom w:val="0"/>
          <w:divBdr>
            <w:top w:val="none" w:sz="0" w:space="0" w:color="auto"/>
            <w:left w:val="none" w:sz="0" w:space="0" w:color="auto"/>
            <w:bottom w:val="none" w:sz="0" w:space="0" w:color="auto"/>
            <w:right w:val="none" w:sz="0" w:space="0" w:color="auto"/>
          </w:divBdr>
        </w:div>
        <w:div w:id="310259413">
          <w:marLeft w:val="480"/>
          <w:marRight w:val="0"/>
          <w:marTop w:val="0"/>
          <w:marBottom w:val="0"/>
          <w:divBdr>
            <w:top w:val="none" w:sz="0" w:space="0" w:color="auto"/>
            <w:left w:val="none" w:sz="0" w:space="0" w:color="auto"/>
            <w:bottom w:val="none" w:sz="0" w:space="0" w:color="auto"/>
            <w:right w:val="none" w:sz="0" w:space="0" w:color="auto"/>
          </w:divBdr>
        </w:div>
        <w:div w:id="706880043">
          <w:marLeft w:val="480"/>
          <w:marRight w:val="0"/>
          <w:marTop w:val="0"/>
          <w:marBottom w:val="0"/>
          <w:divBdr>
            <w:top w:val="none" w:sz="0" w:space="0" w:color="auto"/>
            <w:left w:val="none" w:sz="0" w:space="0" w:color="auto"/>
            <w:bottom w:val="none" w:sz="0" w:space="0" w:color="auto"/>
            <w:right w:val="none" w:sz="0" w:space="0" w:color="auto"/>
          </w:divBdr>
        </w:div>
        <w:div w:id="1504278987">
          <w:marLeft w:val="480"/>
          <w:marRight w:val="0"/>
          <w:marTop w:val="0"/>
          <w:marBottom w:val="0"/>
          <w:divBdr>
            <w:top w:val="none" w:sz="0" w:space="0" w:color="auto"/>
            <w:left w:val="none" w:sz="0" w:space="0" w:color="auto"/>
            <w:bottom w:val="none" w:sz="0" w:space="0" w:color="auto"/>
            <w:right w:val="none" w:sz="0" w:space="0" w:color="auto"/>
          </w:divBdr>
        </w:div>
        <w:div w:id="385180408">
          <w:marLeft w:val="480"/>
          <w:marRight w:val="0"/>
          <w:marTop w:val="0"/>
          <w:marBottom w:val="0"/>
          <w:divBdr>
            <w:top w:val="none" w:sz="0" w:space="0" w:color="auto"/>
            <w:left w:val="none" w:sz="0" w:space="0" w:color="auto"/>
            <w:bottom w:val="none" w:sz="0" w:space="0" w:color="auto"/>
            <w:right w:val="none" w:sz="0" w:space="0" w:color="auto"/>
          </w:divBdr>
        </w:div>
        <w:div w:id="1542666803">
          <w:marLeft w:val="480"/>
          <w:marRight w:val="0"/>
          <w:marTop w:val="0"/>
          <w:marBottom w:val="0"/>
          <w:divBdr>
            <w:top w:val="none" w:sz="0" w:space="0" w:color="auto"/>
            <w:left w:val="none" w:sz="0" w:space="0" w:color="auto"/>
            <w:bottom w:val="none" w:sz="0" w:space="0" w:color="auto"/>
            <w:right w:val="none" w:sz="0" w:space="0" w:color="auto"/>
          </w:divBdr>
        </w:div>
        <w:div w:id="1303080512">
          <w:marLeft w:val="480"/>
          <w:marRight w:val="0"/>
          <w:marTop w:val="0"/>
          <w:marBottom w:val="0"/>
          <w:divBdr>
            <w:top w:val="none" w:sz="0" w:space="0" w:color="auto"/>
            <w:left w:val="none" w:sz="0" w:space="0" w:color="auto"/>
            <w:bottom w:val="none" w:sz="0" w:space="0" w:color="auto"/>
            <w:right w:val="none" w:sz="0" w:space="0" w:color="auto"/>
          </w:divBdr>
        </w:div>
        <w:div w:id="1059717710">
          <w:marLeft w:val="480"/>
          <w:marRight w:val="0"/>
          <w:marTop w:val="0"/>
          <w:marBottom w:val="0"/>
          <w:divBdr>
            <w:top w:val="none" w:sz="0" w:space="0" w:color="auto"/>
            <w:left w:val="none" w:sz="0" w:space="0" w:color="auto"/>
            <w:bottom w:val="none" w:sz="0" w:space="0" w:color="auto"/>
            <w:right w:val="none" w:sz="0" w:space="0" w:color="auto"/>
          </w:divBdr>
        </w:div>
        <w:div w:id="1866864144">
          <w:marLeft w:val="480"/>
          <w:marRight w:val="0"/>
          <w:marTop w:val="0"/>
          <w:marBottom w:val="0"/>
          <w:divBdr>
            <w:top w:val="none" w:sz="0" w:space="0" w:color="auto"/>
            <w:left w:val="none" w:sz="0" w:space="0" w:color="auto"/>
            <w:bottom w:val="none" w:sz="0" w:space="0" w:color="auto"/>
            <w:right w:val="none" w:sz="0" w:space="0" w:color="auto"/>
          </w:divBdr>
        </w:div>
        <w:div w:id="1923446207">
          <w:marLeft w:val="480"/>
          <w:marRight w:val="0"/>
          <w:marTop w:val="0"/>
          <w:marBottom w:val="0"/>
          <w:divBdr>
            <w:top w:val="none" w:sz="0" w:space="0" w:color="auto"/>
            <w:left w:val="none" w:sz="0" w:space="0" w:color="auto"/>
            <w:bottom w:val="none" w:sz="0" w:space="0" w:color="auto"/>
            <w:right w:val="none" w:sz="0" w:space="0" w:color="auto"/>
          </w:divBdr>
        </w:div>
        <w:div w:id="1359282448">
          <w:marLeft w:val="480"/>
          <w:marRight w:val="0"/>
          <w:marTop w:val="0"/>
          <w:marBottom w:val="0"/>
          <w:divBdr>
            <w:top w:val="none" w:sz="0" w:space="0" w:color="auto"/>
            <w:left w:val="none" w:sz="0" w:space="0" w:color="auto"/>
            <w:bottom w:val="none" w:sz="0" w:space="0" w:color="auto"/>
            <w:right w:val="none" w:sz="0" w:space="0" w:color="auto"/>
          </w:divBdr>
        </w:div>
        <w:div w:id="1520508137">
          <w:marLeft w:val="480"/>
          <w:marRight w:val="0"/>
          <w:marTop w:val="0"/>
          <w:marBottom w:val="0"/>
          <w:divBdr>
            <w:top w:val="none" w:sz="0" w:space="0" w:color="auto"/>
            <w:left w:val="none" w:sz="0" w:space="0" w:color="auto"/>
            <w:bottom w:val="none" w:sz="0" w:space="0" w:color="auto"/>
            <w:right w:val="none" w:sz="0" w:space="0" w:color="auto"/>
          </w:divBdr>
        </w:div>
        <w:div w:id="660432105">
          <w:marLeft w:val="480"/>
          <w:marRight w:val="0"/>
          <w:marTop w:val="0"/>
          <w:marBottom w:val="0"/>
          <w:divBdr>
            <w:top w:val="none" w:sz="0" w:space="0" w:color="auto"/>
            <w:left w:val="none" w:sz="0" w:space="0" w:color="auto"/>
            <w:bottom w:val="none" w:sz="0" w:space="0" w:color="auto"/>
            <w:right w:val="none" w:sz="0" w:space="0" w:color="auto"/>
          </w:divBdr>
        </w:div>
        <w:div w:id="1828203853">
          <w:marLeft w:val="480"/>
          <w:marRight w:val="0"/>
          <w:marTop w:val="0"/>
          <w:marBottom w:val="0"/>
          <w:divBdr>
            <w:top w:val="none" w:sz="0" w:space="0" w:color="auto"/>
            <w:left w:val="none" w:sz="0" w:space="0" w:color="auto"/>
            <w:bottom w:val="none" w:sz="0" w:space="0" w:color="auto"/>
            <w:right w:val="none" w:sz="0" w:space="0" w:color="auto"/>
          </w:divBdr>
        </w:div>
        <w:div w:id="8878971">
          <w:marLeft w:val="480"/>
          <w:marRight w:val="0"/>
          <w:marTop w:val="0"/>
          <w:marBottom w:val="0"/>
          <w:divBdr>
            <w:top w:val="none" w:sz="0" w:space="0" w:color="auto"/>
            <w:left w:val="none" w:sz="0" w:space="0" w:color="auto"/>
            <w:bottom w:val="none" w:sz="0" w:space="0" w:color="auto"/>
            <w:right w:val="none" w:sz="0" w:space="0" w:color="auto"/>
          </w:divBdr>
        </w:div>
        <w:div w:id="1317220269">
          <w:marLeft w:val="480"/>
          <w:marRight w:val="0"/>
          <w:marTop w:val="0"/>
          <w:marBottom w:val="0"/>
          <w:divBdr>
            <w:top w:val="none" w:sz="0" w:space="0" w:color="auto"/>
            <w:left w:val="none" w:sz="0" w:space="0" w:color="auto"/>
            <w:bottom w:val="none" w:sz="0" w:space="0" w:color="auto"/>
            <w:right w:val="none" w:sz="0" w:space="0" w:color="auto"/>
          </w:divBdr>
        </w:div>
        <w:div w:id="244075606">
          <w:marLeft w:val="480"/>
          <w:marRight w:val="0"/>
          <w:marTop w:val="0"/>
          <w:marBottom w:val="0"/>
          <w:divBdr>
            <w:top w:val="none" w:sz="0" w:space="0" w:color="auto"/>
            <w:left w:val="none" w:sz="0" w:space="0" w:color="auto"/>
            <w:bottom w:val="none" w:sz="0" w:space="0" w:color="auto"/>
            <w:right w:val="none" w:sz="0" w:space="0" w:color="auto"/>
          </w:divBdr>
        </w:div>
        <w:div w:id="683173106">
          <w:marLeft w:val="480"/>
          <w:marRight w:val="0"/>
          <w:marTop w:val="0"/>
          <w:marBottom w:val="0"/>
          <w:divBdr>
            <w:top w:val="none" w:sz="0" w:space="0" w:color="auto"/>
            <w:left w:val="none" w:sz="0" w:space="0" w:color="auto"/>
            <w:bottom w:val="none" w:sz="0" w:space="0" w:color="auto"/>
            <w:right w:val="none" w:sz="0" w:space="0" w:color="auto"/>
          </w:divBdr>
        </w:div>
        <w:div w:id="1350718249">
          <w:marLeft w:val="480"/>
          <w:marRight w:val="0"/>
          <w:marTop w:val="0"/>
          <w:marBottom w:val="0"/>
          <w:divBdr>
            <w:top w:val="none" w:sz="0" w:space="0" w:color="auto"/>
            <w:left w:val="none" w:sz="0" w:space="0" w:color="auto"/>
            <w:bottom w:val="none" w:sz="0" w:space="0" w:color="auto"/>
            <w:right w:val="none" w:sz="0" w:space="0" w:color="auto"/>
          </w:divBdr>
        </w:div>
        <w:div w:id="1737390520">
          <w:marLeft w:val="480"/>
          <w:marRight w:val="0"/>
          <w:marTop w:val="0"/>
          <w:marBottom w:val="0"/>
          <w:divBdr>
            <w:top w:val="none" w:sz="0" w:space="0" w:color="auto"/>
            <w:left w:val="none" w:sz="0" w:space="0" w:color="auto"/>
            <w:bottom w:val="none" w:sz="0" w:space="0" w:color="auto"/>
            <w:right w:val="none" w:sz="0" w:space="0" w:color="auto"/>
          </w:divBdr>
        </w:div>
        <w:div w:id="745810955">
          <w:marLeft w:val="480"/>
          <w:marRight w:val="0"/>
          <w:marTop w:val="0"/>
          <w:marBottom w:val="0"/>
          <w:divBdr>
            <w:top w:val="none" w:sz="0" w:space="0" w:color="auto"/>
            <w:left w:val="none" w:sz="0" w:space="0" w:color="auto"/>
            <w:bottom w:val="none" w:sz="0" w:space="0" w:color="auto"/>
            <w:right w:val="none" w:sz="0" w:space="0" w:color="auto"/>
          </w:divBdr>
        </w:div>
        <w:div w:id="663824859">
          <w:marLeft w:val="480"/>
          <w:marRight w:val="0"/>
          <w:marTop w:val="0"/>
          <w:marBottom w:val="0"/>
          <w:divBdr>
            <w:top w:val="none" w:sz="0" w:space="0" w:color="auto"/>
            <w:left w:val="none" w:sz="0" w:space="0" w:color="auto"/>
            <w:bottom w:val="none" w:sz="0" w:space="0" w:color="auto"/>
            <w:right w:val="none" w:sz="0" w:space="0" w:color="auto"/>
          </w:divBdr>
        </w:div>
        <w:div w:id="1456413838">
          <w:marLeft w:val="480"/>
          <w:marRight w:val="0"/>
          <w:marTop w:val="0"/>
          <w:marBottom w:val="0"/>
          <w:divBdr>
            <w:top w:val="none" w:sz="0" w:space="0" w:color="auto"/>
            <w:left w:val="none" w:sz="0" w:space="0" w:color="auto"/>
            <w:bottom w:val="none" w:sz="0" w:space="0" w:color="auto"/>
            <w:right w:val="none" w:sz="0" w:space="0" w:color="auto"/>
          </w:divBdr>
        </w:div>
        <w:div w:id="1997218890">
          <w:marLeft w:val="480"/>
          <w:marRight w:val="0"/>
          <w:marTop w:val="0"/>
          <w:marBottom w:val="0"/>
          <w:divBdr>
            <w:top w:val="none" w:sz="0" w:space="0" w:color="auto"/>
            <w:left w:val="none" w:sz="0" w:space="0" w:color="auto"/>
            <w:bottom w:val="none" w:sz="0" w:space="0" w:color="auto"/>
            <w:right w:val="none" w:sz="0" w:space="0" w:color="auto"/>
          </w:divBdr>
        </w:div>
        <w:div w:id="812259536">
          <w:marLeft w:val="480"/>
          <w:marRight w:val="0"/>
          <w:marTop w:val="0"/>
          <w:marBottom w:val="0"/>
          <w:divBdr>
            <w:top w:val="none" w:sz="0" w:space="0" w:color="auto"/>
            <w:left w:val="none" w:sz="0" w:space="0" w:color="auto"/>
            <w:bottom w:val="none" w:sz="0" w:space="0" w:color="auto"/>
            <w:right w:val="none" w:sz="0" w:space="0" w:color="auto"/>
          </w:divBdr>
        </w:div>
        <w:div w:id="1754162555">
          <w:marLeft w:val="480"/>
          <w:marRight w:val="0"/>
          <w:marTop w:val="0"/>
          <w:marBottom w:val="0"/>
          <w:divBdr>
            <w:top w:val="none" w:sz="0" w:space="0" w:color="auto"/>
            <w:left w:val="none" w:sz="0" w:space="0" w:color="auto"/>
            <w:bottom w:val="none" w:sz="0" w:space="0" w:color="auto"/>
            <w:right w:val="none" w:sz="0" w:space="0" w:color="auto"/>
          </w:divBdr>
        </w:div>
        <w:div w:id="1410729483">
          <w:marLeft w:val="480"/>
          <w:marRight w:val="0"/>
          <w:marTop w:val="0"/>
          <w:marBottom w:val="0"/>
          <w:divBdr>
            <w:top w:val="none" w:sz="0" w:space="0" w:color="auto"/>
            <w:left w:val="none" w:sz="0" w:space="0" w:color="auto"/>
            <w:bottom w:val="none" w:sz="0" w:space="0" w:color="auto"/>
            <w:right w:val="none" w:sz="0" w:space="0" w:color="auto"/>
          </w:divBdr>
        </w:div>
        <w:div w:id="1501695214">
          <w:marLeft w:val="480"/>
          <w:marRight w:val="0"/>
          <w:marTop w:val="0"/>
          <w:marBottom w:val="0"/>
          <w:divBdr>
            <w:top w:val="none" w:sz="0" w:space="0" w:color="auto"/>
            <w:left w:val="none" w:sz="0" w:space="0" w:color="auto"/>
            <w:bottom w:val="none" w:sz="0" w:space="0" w:color="auto"/>
            <w:right w:val="none" w:sz="0" w:space="0" w:color="auto"/>
          </w:divBdr>
        </w:div>
        <w:div w:id="392970689">
          <w:marLeft w:val="480"/>
          <w:marRight w:val="0"/>
          <w:marTop w:val="0"/>
          <w:marBottom w:val="0"/>
          <w:divBdr>
            <w:top w:val="none" w:sz="0" w:space="0" w:color="auto"/>
            <w:left w:val="none" w:sz="0" w:space="0" w:color="auto"/>
            <w:bottom w:val="none" w:sz="0" w:space="0" w:color="auto"/>
            <w:right w:val="none" w:sz="0" w:space="0" w:color="auto"/>
          </w:divBdr>
        </w:div>
        <w:div w:id="495998055">
          <w:marLeft w:val="480"/>
          <w:marRight w:val="0"/>
          <w:marTop w:val="0"/>
          <w:marBottom w:val="0"/>
          <w:divBdr>
            <w:top w:val="none" w:sz="0" w:space="0" w:color="auto"/>
            <w:left w:val="none" w:sz="0" w:space="0" w:color="auto"/>
            <w:bottom w:val="none" w:sz="0" w:space="0" w:color="auto"/>
            <w:right w:val="none" w:sz="0" w:space="0" w:color="auto"/>
          </w:divBdr>
        </w:div>
        <w:div w:id="425152236">
          <w:marLeft w:val="480"/>
          <w:marRight w:val="0"/>
          <w:marTop w:val="0"/>
          <w:marBottom w:val="0"/>
          <w:divBdr>
            <w:top w:val="none" w:sz="0" w:space="0" w:color="auto"/>
            <w:left w:val="none" w:sz="0" w:space="0" w:color="auto"/>
            <w:bottom w:val="none" w:sz="0" w:space="0" w:color="auto"/>
            <w:right w:val="none" w:sz="0" w:space="0" w:color="auto"/>
          </w:divBdr>
        </w:div>
        <w:div w:id="1296788876">
          <w:marLeft w:val="480"/>
          <w:marRight w:val="0"/>
          <w:marTop w:val="0"/>
          <w:marBottom w:val="0"/>
          <w:divBdr>
            <w:top w:val="none" w:sz="0" w:space="0" w:color="auto"/>
            <w:left w:val="none" w:sz="0" w:space="0" w:color="auto"/>
            <w:bottom w:val="none" w:sz="0" w:space="0" w:color="auto"/>
            <w:right w:val="none" w:sz="0" w:space="0" w:color="auto"/>
          </w:divBdr>
        </w:div>
        <w:div w:id="897744711">
          <w:marLeft w:val="480"/>
          <w:marRight w:val="0"/>
          <w:marTop w:val="0"/>
          <w:marBottom w:val="0"/>
          <w:divBdr>
            <w:top w:val="none" w:sz="0" w:space="0" w:color="auto"/>
            <w:left w:val="none" w:sz="0" w:space="0" w:color="auto"/>
            <w:bottom w:val="none" w:sz="0" w:space="0" w:color="auto"/>
            <w:right w:val="none" w:sz="0" w:space="0" w:color="auto"/>
          </w:divBdr>
        </w:div>
        <w:div w:id="45839743">
          <w:marLeft w:val="480"/>
          <w:marRight w:val="0"/>
          <w:marTop w:val="0"/>
          <w:marBottom w:val="0"/>
          <w:divBdr>
            <w:top w:val="none" w:sz="0" w:space="0" w:color="auto"/>
            <w:left w:val="none" w:sz="0" w:space="0" w:color="auto"/>
            <w:bottom w:val="none" w:sz="0" w:space="0" w:color="auto"/>
            <w:right w:val="none" w:sz="0" w:space="0" w:color="auto"/>
          </w:divBdr>
        </w:div>
        <w:div w:id="1019309350">
          <w:marLeft w:val="480"/>
          <w:marRight w:val="0"/>
          <w:marTop w:val="0"/>
          <w:marBottom w:val="0"/>
          <w:divBdr>
            <w:top w:val="none" w:sz="0" w:space="0" w:color="auto"/>
            <w:left w:val="none" w:sz="0" w:space="0" w:color="auto"/>
            <w:bottom w:val="none" w:sz="0" w:space="0" w:color="auto"/>
            <w:right w:val="none" w:sz="0" w:space="0" w:color="auto"/>
          </w:divBdr>
        </w:div>
        <w:div w:id="1628004763">
          <w:marLeft w:val="480"/>
          <w:marRight w:val="0"/>
          <w:marTop w:val="0"/>
          <w:marBottom w:val="0"/>
          <w:divBdr>
            <w:top w:val="none" w:sz="0" w:space="0" w:color="auto"/>
            <w:left w:val="none" w:sz="0" w:space="0" w:color="auto"/>
            <w:bottom w:val="none" w:sz="0" w:space="0" w:color="auto"/>
            <w:right w:val="none" w:sz="0" w:space="0" w:color="auto"/>
          </w:divBdr>
        </w:div>
        <w:div w:id="754400469">
          <w:marLeft w:val="480"/>
          <w:marRight w:val="0"/>
          <w:marTop w:val="0"/>
          <w:marBottom w:val="0"/>
          <w:divBdr>
            <w:top w:val="none" w:sz="0" w:space="0" w:color="auto"/>
            <w:left w:val="none" w:sz="0" w:space="0" w:color="auto"/>
            <w:bottom w:val="none" w:sz="0" w:space="0" w:color="auto"/>
            <w:right w:val="none" w:sz="0" w:space="0" w:color="auto"/>
          </w:divBdr>
        </w:div>
        <w:div w:id="1673607899">
          <w:marLeft w:val="480"/>
          <w:marRight w:val="0"/>
          <w:marTop w:val="0"/>
          <w:marBottom w:val="0"/>
          <w:divBdr>
            <w:top w:val="none" w:sz="0" w:space="0" w:color="auto"/>
            <w:left w:val="none" w:sz="0" w:space="0" w:color="auto"/>
            <w:bottom w:val="none" w:sz="0" w:space="0" w:color="auto"/>
            <w:right w:val="none" w:sz="0" w:space="0" w:color="auto"/>
          </w:divBdr>
        </w:div>
        <w:div w:id="2103530845">
          <w:marLeft w:val="480"/>
          <w:marRight w:val="0"/>
          <w:marTop w:val="0"/>
          <w:marBottom w:val="0"/>
          <w:divBdr>
            <w:top w:val="none" w:sz="0" w:space="0" w:color="auto"/>
            <w:left w:val="none" w:sz="0" w:space="0" w:color="auto"/>
            <w:bottom w:val="none" w:sz="0" w:space="0" w:color="auto"/>
            <w:right w:val="none" w:sz="0" w:space="0" w:color="auto"/>
          </w:divBdr>
        </w:div>
        <w:div w:id="1605578057">
          <w:marLeft w:val="480"/>
          <w:marRight w:val="0"/>
          <w:marTop w:val="0"/>
          <w:marBottom w:val="0"/>
          <w:divBdr>
            <w:top w:val="none" w:sz="0" w:space="0" w:color="auto"/>
            <w:left w:val="none" w:sz="0" w:space="0" w:color="auto"/>
            <w:bottom w:val="none" w:sz="0" w:space="0" w:color="auto"/>
            <w:right w:val="none" w:sz="0" w:space="0" w:color="auto"/>
          </w:divBdr>
        </w:div>
        <w:div w:id="1572422853">
          <w:marLeft w:val="480"/>
          <w:marRight w:val="0"/>
          <w:marTop w:val="0"/>
          <w:marBottom w:val="0"/>
          <w:divBdr>
            <w:top w:val="none" w:sz="0" w:space="0" w:color="auto"/>
            <w:left w:val="none" w:sz="0" w:space="0" w:color="auto"/>
            <w:bottom w:val="none" w:sz="0" w:space="0" w:color="auto"/>
            <w:right w:val="none" w:sz="0" w:space="0" w:color="auto"/>
          </w:divBdr>
        </w:div>
        <w:div w:id="1744596233">
          <w:marLeft w:val="480"/>
          <w:marRight w:val="0"/>
          <w:marTop w:val="0"/>
          <w:marBottom w:val="0"/>
          <w:divBdr>
            <w:top w:val="none" w:sz="0" w:space="0" w:color="auto"/>
            <w:left w:val="none" w:sz="0" w:space="0" w:color="auto"/>
            <w:bottom w:val="none" w:sz="0" w:space="0" w:color="auto"/>
            <w:right w:val="none" w:sz="0" w:space="0" w:color="auto"/>
          </w:divBdr>
        </w:div>
        <w:div w:id="406071360">
          <w:marLeft w:val="480"/>
          <w:marRight w:val="0"/>
          <w:marTop w:val="0"/>
          <w:marBottom w:val="0"/>
          <w:divBdr>
            <w:top w:val="none" w:sz="0" w:space="0" w:color="auto"/>
            <w:left w:val="none" w:sz="0" w:space="0" w:color="auto"/>
            <w:bottom w:val="none" w:sz="0" w:space="0" w:color="auto"/>
            <w:right w:val="none" w:sz="0" w:space="0" w:color="auto"/>
          </w:divBdr>
        </w:div>
        <w:div w:id="995106982">
          <w:marLeft w:val="480"/>
          <w:marRight w:val="0"/>
          <w:marTop w:val="0"/>
          <w:marBottom w:val="0"/>
          <w:divBdr>
            <w:top w:val="none" w:sz="0" w:space="0" w:color="auto"/>
            <w:left w:val="none" w:sz="0" w:space="0" w:color="auto"/>
            <w:bottom w:val="none" w:sz="0" w:space="0" w:color="auto"/>
            <w:right w:val="none" w:sz="0" w:space="0" w:color="auto"/>
          </w:divBdr>
        </w:div>
        <w:div w:id="495146574">
          <w:marLeft w:val="480"/>
          <w:marRight w:val="0"/>
          <w:marTop w:val="0"/>
          <w:marBottom w:val="0"/>
          <w:divBdr>
            <w:top w:val="none" w:sz="0" w:space="0" w:color="auto"/>
            <w:left w:val="none" w:sz="0" w:space="0" w:color="auto"/>
            <w:bottom w:val="none" w:sz="0" w:space="0" w:color="auto"/>
            <w:right w:val="none" w:sz="0" w:space="0" w:color="auto"/>
          </w:divBdr>
        </w:div>
        <w:div w:id="471950862">
          <w:marLeft w:val="480"/>
          <w:marRight w:val="0"/>
          <w:marTop w:val="0"/>
          <w:marBottom w:val="0"/>
          <w:divBdr>
            <w:top w:val="none" w:sz="0" w:space="0" w:color="auto"/>
            <w:left w:val="none" w:sz="0" w:space="0" w:color="auto"/>
            <w:bottom w:val="none" w:sz="0" w:space="0" w:color="auto"/>
            <w:right w:val="none" w:sz="0" w:space="0" w:color="auto"/>
          </w:divBdr>
        </w:div>
        <w:div w:id="1358653409">
          <w:marLeft w:val="480"/>
          <w:marRight w:val="0"/>
          <w:marTop w:val="0"/>
          <w:marBottom w:val="0"/>
          <w:divBdr>
            <w:top w:val="none" w:sz="0" w:space="0" w:color="auto"/>
            <w:left w:val="none" w:sz="0" w:space="0" w:color="auto"/>
            <w:bottom w:val="none" w:sz="0" w:space="0" w:color="auto"/>
            <w:right w:val="none" w:sz="0" w:space="0" w:color="auto"/>
          </w:divBdr>
        </w:div>
        <w:div w:id="1218082599">
          <w:marLeft w:val="480"/>
          <w:marRight w:val="0"/>
          <w:marTop w:val="0"/>
          <w:marBottom w:val="0"/>
          <w:divBdr>
            <w:top w:val="none" w:sz="0" w:space="0" w:color="auto"/>
            <w:left w:val="none" w:sz="0" w:space="0" w:color="auto"/>
            <w:bottom w:val="none" w:sz="0" w:space="0" w:color="auto"/>
            <w:right w:val="none" w:sz="0" w:space="0" w:color="auto"/>
          </w:divBdr>
        </w:div>
        <w:div w:id="927344906">
          <w:marLeft w:val="480"/>
          <w:marRight w:val="0"/>
          <w:marTop w:val="0"/>
          <w:marBottom w:val="0"/>
          <w:divBdr>
            <w:top w:val="none" w:sz="0" w:space="0" w:color="auto"/>
            <w:left w:val="none" w:sz="0" w:space="0" w:color="auto"/>
            <w:bottom w:val="none" w:sz="0" w:space="0" w:color="auto"/>
            <w:right w:val="none" w:sz="0" w:space="0" w:color="auto"/>
          </w:divBdr>
        </w:div>
        <w:div w:id="98179540">
          <w:marLeft w:val="480"/>
          <w:marRight w:val="0"/>
          <w:marTop w:val="0"/>
          <w:marBottom w:val="0"/>
          <w:divBdr>
            <w:top w:val="none" w:sz="0" w:space="0" w:color="auto"/>
            <w:left w:val="none" w:sz="0" w:space="0" w:color="auto"/>
            <w:bottom w:val="none" w:sz="0" w:space="0" w:color="auto"/>
            <w:right w:val="none" w:sz="0" w:space="0" w:color="auto"/>
          </w:divBdr>
        </w:div>
        <w:div w:id="1497498432">
          <w:marLeft w:val="480"/>
          <w:marRight w:val="0"/>
          <w:marTop w:val="0"/>
          <w:marBottom w:val="0"/>
          <w:divBdr>
            <w:top w:val="none" w:sz="0" w:space="0" w:color="auto"/>
            <w:left w:val="none" w:sz="0" w:space="0" w:color="auto"/>
            <w:bottom w:val="none" w:sz="0" w:space="0" w:color="auto"/>
            <w:right w:val="none" w:sz="0" w:space="0" w:color="auto"/>
          </w:divBdr>
        </w:div>
        <w:div w:id="1052146578">
          <w:marLeft w:val="480"/>
          <w:marRight w:val="0"/>
          <w:marTop w:val="0"/>
          <w:marBottom w:val="0"/>
          <w:divBdr>
            <w:top w:val="none" w:sz="0" w:space="0" w:color="auto"/>
            <w:left w:val="none" w:sz="0" w:space="0" w:color="auto"/>
            <w:bottom w:val="none" w:sz="0" w:space="0" w:color="auto"/>
            <w:right w:val="none" w:sz="0" w:space="0" w:color="auto"/>
          </w:divBdr>
        </w:div>
        <w:div w:id="1040320949">
          <w:marLeft w:val="480"/>
          <w:marRight w:val="0"/>
          <w:marTop w:val="0"/>
          <w:marBottom w:val="0"/>
          <w:divBdr>
            <w:top w:val="none" w:sz="0" w:space="0" w:color="auto"/>
            <w:left w:val="none" w:sz="0" w:space="0" w:color="auto"/>
            <w:bottom w:val="none" w:sz="0" w:space="0" w:color="auto"/>
            <w:right w:val="none" w:sz="0" w:space="0" w:color="auto"/>
          </w:divBdr>
        </w:div>
        <w:div w:id="1733116867">
          <w:marLeft w:val="480"/>
          <w:marRight w:val="0"/>
          <w:marTop w:val="0"/>
          <w:marBottom w:val="0"/>
          <w:divBdr>
            <w:top w:val="none" w:sz="0" w:space="0" w:color="auto"/>
            <w:left w:val="none" w:sz="0" w:space="0" w:color="auto"/>
            <w:bottom w:val="none" w:sz="0" w:space="0" w:color="auto"/>
            <w:right w:val="none" w:sz="0" w:space="0" w:color="auto"/>
          </w:divBdr>
        </w:div>
        <w:div w:id="448475387">
          <w:marLeft w:val="480"/>
          <w:marRight w:val="0"/>
          <w:marTop w:val="0"/>
          <w:marBottom w:val="0"/>
          <w:divBdr>
            <w:top w:val="none" w:sz="0" w:space="0" w:color="auto"/>
            <w:left w:val="none" w:sz="0" w:space="0" w:color="auto"/>
            <w:bottom w:val="none" w:sz="0" w:space="0" w:color="auto"/>
            <w:right w:val="none" w:sz="0" w:space="0" w:color="auto"/>
          </w:divBdr>
        </w:div>
        <w:div w:id="405342203">
          <w:marLeft w:val="480"/>
          <w:marRight w:val="0"/>
          <w:marTop w:val="0"/>
          <w:marBottom w:val="0"/>
          <w:divBdr>
            <w:top w:val="none" w:sz="0" w:space="0" w:color="auto"/>
            <w:left w:val="none" w:sz="0" w:space="0" w:color="auto"/>
            <w:bottom w:val="none" w:sz="0" w:space="0" w:color="auto"/>
            <w:right w:val="none" w:sz="0" w:space="0" w:color="auto"/>
          </w:divBdr>
        </w:div>
        <w:div w:id="1119687875">
          <w:marLeft w:val="480"/>
          <w:marRight w:val="0"/>
          <w:marTop w:val="0"/>
          <w:marBottom w:val="0"/>
          <w:divBdr>
            <w:top w:val="none" w:sz="0" w:space="0" w:color="auto"/>
            <w:left w:val="none" w:sz="0" w:space="0" w:color="auto"/>
            <w:bottom w:val="none" w:sz="0" w:space="0" w:color="auto"/>
            <w:right w:val="none" w:sz="0" w:space="0" w:color="auto"/>
          </w:divBdr>
        </w:div>
        <w:div w:id="2009212926">
          <w:marLeft w:val="480"/>
          <w:marRight w:val="0"/>
          <w:marTop w:val="0"/>
          <w:marBottom w:val="0"/>
          <w:divBdr>
            <w:top w:val="none" w:sz="0" w:space="0" w:color="auto"/>
            <w:left w:val="none" w:sz="0" w:space="0" w:color="auto"/>
            <w:bottom w:val="none" w:sz="0" w:space="0" w:color="auto"/>
            <w:right w:val="none" w:sz="0" w:space="0" w:color="auto"/>
          </w:divBdr>
        </w:div>
        <w:div w:id="1396776100">
          <w:marLeft w:val="480"/>
          <w:marRight w:val="0"/>
          <w:marTop w:val="0"/>
          <w:marBottom w:val="0"/>
          <w:divBdr>
            <w:top w:val="none" w:sz="0" w:space="0" w:color="auto"/>
            <w:left w:val="none" w:sz="0" w:space="0" w:color="auto"/>
            <w:bottom w:val="none" w:sz="0" w:space="0" w:color="auto"/>
            <w:right w:val="none" w:sz="0" w:space="0" w:color="auto"/>
          </w:divBdr>
        </w:div>
        <w:div w:id="1321928319">
          <w:marLeft w:val="480"/>
          <w:marRight w:val="0"/>
          <w:marTop w:val="0"/>
          <w:marBottom w:val="0"/>
          <w:divBdr>
            <w:top w:val="none" w:sz="0" w:space="0" w:color="auto"/>
            <w:left w:val="none" w:sz="0" w:space="0" w:color="auto"/>
            <w:bottom w:val="none" w:sz="0" w:space="0" w:color="auto"/>
            <w:right w:val="none" w:sz="0" w:space="0" w:color="auto"/>
          </w:divBdr>
        </w:div>
        <w:div w:id="1363743925">
          <w:marLeft w:val="480"/>
          <w:marRight w:val="0"/>
          <w:marTop w:val="0"/>
          <w:marBottom w:val="0"/>
          <w:divBdr>
            <w:top w:val="none" w:sz="0" w:space="0" w:color="auto"/>
            <w:left w:val="none" w:sz="0" w:space="0" w:color="auto"/>
            <w:bottom w:val="none" w:sz="0" w:space="0" w:color="auto"/>
            <w:right w:val="none" w:sz="0" w:space="0" w:color="auto"/>
          </w:divBdr>
        </w:div>
        <w:div w:id="1771581794">
          <w:marLeft w:val="480"/>
          <w:marRight w:val="0"/>
          <w:marTop w:val="0"/>
          <w:marBottom w:val="0"/>
          <w:divBdr>
            <w:top w:val="none" w:sz="0" w:space="0" w:color="auto"/>
            <w:left w:val="none" w:sz="0" w:space="0" w:color="auto"/>
            <w:bottom w:val="none" w:sz="0" w:space="0" w:color="auto"/>
            <w:right w:val="none" w:sz="0" w:space="0" w:color="auto"/>
          </w:divBdr>
        </w:div>
        <w:div w:id="314916320">
          <w:marLeft w:val="480"/>
          <w:marRight w:val="0"/>
          <w:marTop w:val="0"/>
          <w:marBottom w:val="0"/>
          <w:divBdr>
            <w:top w:val="none" w:sz="0" w:space="0" w:color="auto"/>
            <w:left w:val="none" w:sz="0" w:space="0" w:color="auto"/>
            <w:bottom w:val="none" w:sz="0" w:space="0" w:color="auto"/>
            <w:right w:val="none" w:sz="0" w:space="0" w:color="auto"/>
          </w:divBdr>
        </w:div>
        <w:div w:id="1427112542">
          <w:marLeft w:val="480"/>
          <w:marRight w:val="0"/>
          <w:marTop w:val="0"/>
          <w:marBottom w:val="0"/>
          <w:divBdr>
            <w:top w:val="none" w:sz="0" w:space="0" w:color="auto"/>
            <w:left w:val="none" w:sz="0" w:space="0" w:color="auto"/>
            <w:bottom w:val="none" w:sz="0" w:space="0" w:color="auto"/>
            <w:right w:val="none" w:sz="0" w:space="0" w:color="auto"/>
          </w:divBdr>
        </w:div>
        <w:div w:id="1263105874">
          <w:marLeft w:val="480"/>
          <w:marRight w:val="0"/>
          <w:marTop w:val="0"/>
          <w:marBottom w:val="0"/>
          <w:divBdr>
            <w:top w:val="none" w:sz="0" w:space="0" w:color="auto"/>
            <w:left w:val="none" w:sz="0" w:space="0" w:color="auto"/>
            <w:bottom w:val="none" w:sz="0" w:space="0" w:color="auto"/>
            <w:right w:val="none" w:sz="0" w:space="0" w:color="auto"/>
          </w:divBdr>
        </w:div>
        <w:div w:id="682979310">
          <w:marLeft w:val="480"/>
          <w:marRight w:val="0"/>
          <w:marTop w:val="0"/>
          <w:marBottom w:val="0"/>
          <w:divBdr>
            <w:top w:val="none" w:sz="0" w:space="0" w:color="auto"/>
            <w:left w:val="none" w:sz="0" w:space="0" w:color="auto"/>
            <w:bottom w:val="none" w:sz="0" w:space="0" w:color="auto"/>
            <w:right w:val="none" w:sz="0" w:space="0" w:color="auto"/>
          </w:divBdr>
        </w:div>
        <w:div w:id="539173602">
          <w:marLeft w:val="480"/>
          <w:marRight w:val="0"/>
          <w:marTop w:val="0"/>
          <w:marBottom w:val="0"/>
          <w:divBdr>
            <w:top w:val="none" w:sz="0" w:space="0" w:color="auto"/>
            <w:left w:val="none" w:sz="0" w:space="0" w:color="auto"/>
            <w:bottom w:val="none" w:sz="0" w:space="0" w:color="auto"/>
            <w:right w:val="none" w:sz="0" w:space="0" w:color="auto"/>
          </w:divBdr>
        </w:div>
        <w:div w:id="1231385020">
          <w:marLeft w:val="480"/>
          <w:marRight w:val="0"/>
          <w:marTop w:val="0"/>
          <w:marBottom w:val="0"/>
          <w:divBdr>
            <w:top w:val="none" w:sz="0" w:space="0" w:color="auto"/>
            <w:left w:val="none" w:sz="0" w:space="0" w:color="auto"/>
            <w:bottom w:val="none" w:sz="0" w:space="0" w:color="auto"/>
            <w:right w:val="none" w:sz="0" w:space="0" w:color="auto"/>
          </w:divBdr>
        </w:div>
        <w:div w:id="1839733412">
          <w:marLeft w:val="480"/>
          <w:marRight w:val="0"/>
          <w:marTop w:val="0"/>
          <w:marBottom w:val="0"/>
          <w:divBdr>
            <w:top w:val="none" w:sz="0" w:space="0" w:color="auto"/>
            <w:left w:val="none" w:sz="0" w:space="0" w:color="auto"/>
            <w:bottom w:val="none" w:sz="0" w:space="0" w:color="auto"/>
            <w:right w:val="none" w:sz="0" w:space="0" w:color="auto"/>
          </w:divBdr>
        </w:div>
        <w:div w:id="337974780">
          <w:marLeft w:val="480"/>
          <w:marRight w:val="0"/>
          <w:marTop w:val="0"/>
          <w:marBottom w:val="0"/>
          <w:divBdr>
            <w:top w:val="none" w:sz="0" w:space="0" w:color="auto"/>
            <w:left w:val="none" w:sz="0" w:space="0" w:color="auto"/>
            <w:bottom w:val="none" w:sz="0" w:space="0" w:color="auto"/>
            <w:right w:val="none" w:sz="0" w:space="0" w:color="auto"/>
          </w:divBdr>
        </w:div>
        <w:div w:id="2100247009">
          <w:marLeft w:val="480"/>
          <w:marRight w:val="0"/>
          <w:marTop w:val="0"/>
          <w:marBottom w:val="0"/>
          <w:divBdr>
            <w:top w:val="none" w:sz="0" w:space="0" w:color="auto"/>
            <w:left w:val="none" w:sz="0" w:space="0" w:color="auto"/>
            <w:bottom w:val="none" w:sz="0" w:space="0" w:color="auto"/>
            <w:right w:val="none" w:sz="0" w:space="0" w:color="auto"/>
          </w:divBdr>
        </w:div>
      </w:divsChild>
    </w:div>
    <w:div w:id="208346008">
      <w:bodyDiv w:val="1"/>
      <w:marLeft w:val="0"/>
      <w:marRight w:val="0"/>
      <w:marTop w:val="0"/>
      <w:marBottom w:val="0"/>
      <w:divBdr>
        <w:top w:val="none" w:sz="0" w:space="0" w:color="auto"/>
        <w:left w:val="none" w:sz="0" w:space="0" w:color="auto"/>
        <w:bottom w:val="none" w:sz="0" w:space="0" w:color="auto"/>
        <w:right w:val="none" w:sz="0" w:space="0" w:color="auto"/>
      </w:divBdr>
    </w:div>
    <w:div w:id="404646478">
      <w:bodyDiv w:val="1"/>
      <w:marLeft w:val="0"/>
      <w:marRight w:val="0"/>
      <w:marTop w:val="0"/>
      <w:marBottom w:val="0"/>
      <w:divBdr>
        <w:top w:val="none" w:sz="0" w:space="0" w:color="auto"/>
        <w:left w:val="none" w:sz="0" w:space="0" w:color="auto"/>
        <w:bottom w:val="none" w:sz="0" w:space="0" w:color="auto"/>
        <w:right w:val="none" w:sz="0" w:space="0" w:color="auto"/>
      </w:divBdr>
    </w:div>
    <w:div w:id="522283893">
      <w:bodyDiv w:val="1"/>
      <w:marLeft w:val="0"/>
      <w:marRight w:val="0"/>
      <w:marTop w:val="0"/>
      <w:marBottom w:val="0"/>
      <w:divBdr>
        <w:top w:val="none" w:sz="0" w:space="0" w:color="auto"/>
        <w:left w:val="none" w:sz="0" w:space="0" w:color="auto"/>
        <w:bottom w:val="none" w:sz="0" w:space="0" w:color="auto"/>
        <w:right w:val="none" w:sz="0" w:space="0" w:color="auto"/>
      </w:divBdr>
    </w:div>
    <w:div w:id="632634914">
      <w:bodyDiv w:val="1"/>
      <w:marLeft w:val="0"/>
      <w:marRight w:val="0"/>
      <w:marTop w:val="0"/>
      <w:marBottom w:val="0"/>
      <w:divBdr>
        <w:top w:val="none" w:sz="0" w:space="0" w:color="auto"/>
        <w:left w:val="none" w:sz="0" w:space="0" w:color="auto"/>
        <w:bottom w:val="none" w:sz="0" w:space="0" w:color="auto"/>
        <w:right w:val="none" w:sz="0" w:space="0" w:color="auto"/>
      </w:divBdr>
      <w:divsChild>
        <w:div w:id="706684487">
          <w:marLeft w:val="0"/>
          <w:marRight w:val="240"/>
          <w:marTop w:val="0"/>
          <w:marBottom w:val="0"/>
          <w:divBdr>
            <w:top w:val="none" w:sz="0" w:space="0" w:color="auto"/>
            <w:left w:val="none" w:sz="0" w:space="0" w:color="auto"/>
            <w:bottom w:val="none" w:sz="0" w:space="0" w:color="auto"/>
            <w:right w:val="none" w:sz="0" w:space="0" w:color="auto"/>
          </w:divBdr>
          <w:divsChild>
            <w:div w:id="1886603941">
              <w:marLeft w:val="0"/>
              <w:marRight w:val="0"/>
              <w:marTop w:val="0"/>
              <w:marBottom w:val="0"/>
              <w:divBdr>
                <w:top w:val="none" w:sz="0" w:space="0" w:color="auto"/>
                <w:left w:val="none" w:sz="0" w:space="0" w:color="auto"/>
                <w:bottom w:val="none" w:sz="0" w:space="0" w:color="auto"/>
                <w:right w:val="none" w:sz="0" w:space="0" w:color="auto"/>
              </w:divBdr>
              <w:divsChild>
                <w:div w:id="772213313">
                  <w:marLeft w:val="0"/>
                  <w:marRight w:val="0"/>
                  <w:marTop w:val="0"/>
                  <w:marBottom w:val="0"/>
                  <w:divBdr>
                    <w:top w:val="none" w:sz="0" w:space="0" w:color="auto"/>
                    <w:left w:val="none" w:sz="0" w:space="0" w:color="auto"/>
                    <w:bottom w:val="none" w:sz="0" w:space="0" w:color="auto"/>
                    <w:right w:val="none" w:sz="0" w:space="0" w:color="auto"/>
                  </w:divBdr>
                  <w:divsChild>
                    <w:div w:id="748844602">
                      <w:marLeft w:val="0"/>
                      <w:marRight w:val="0"/>
                      <w:marTop w:val="0"/>
                      <w:marBottom w:val="0"/>
                      <w:divBdr>
                        <w:top w:val="none" w:sz="0" w:space="0" w:color="auto"/>
                        <w:left w:val="none" w:sz="0" w:space="0" w:color="auto"/>
                        <w:bottom w:val="none" w:sz="0" w:space="0" w:color="auto"/>
                        <w:right w:val="none" w:sz="0" w:space="0" w:color="auto"/>
                      </w:divBdr>
                      <w:divsChild>
                        <w:div w:id="1187865251">
                          <w:marLeft w:val="0"/>
                          <w:marRight w:val="0"/>
                          <w:marTop w:val="0"/>
                          <w:marBottom w:val="0"/>
                          <w:divBdr>
                            <w:top w:val="none" w:sz="0" w:space="0" w:color="auto"/>
                            <w:left w:val="none" w:sz="0" w:space="0" w:color="auto"/>
                            <w:bottom w:val="none" w:sz="0" w:space="0" w:color="auto"/>
                            <w:right w:val="none" w:sz="0" w:space="0" w:color="auto"/>
                          </w:divBdr>
                          <w:divsChild>
                            <w:div w:id="888028089">
                              <w:marLeft w:val="0"/>
                              <w:marRight w:val="0"/>
                              <w:marTop w:val="0"/>
                              <w:marBottom w:val="0"/>
                              <w:divBdr>
                                <w:top w:val="none" w:sz="0" w:space="0" w:color="auto"/>
                                <w:left w:val="none" w:sz="0" w:space="0" w:color="auto"/>
                                <w:bottom w:val="none" w:sz="0" w:space="0" w:color="auto"/>
                                <w:right w:val="none" w:sz="0" w:space="0" w:color="auto"/>
                              </w:divBdr>
                              <w:divsChild>
                                <w:div w:id="1271399119">
                                  <w:marLeft w:val="0"/>
                                  <w:marRight w:val="0"/>
                                  <w:marTop w:val="0"/>
                                  <w:marBottom w:val="0"/>
                                  <w:divBdr>
                                    <w:top w:val="none" w:sz="0" w:space="0" w:color="auto"/>
                                    <w:left w:val="none" w:sz="0" w:space="0" w:color="auto"/>
                                    <w:bottom w:val="none" w:sz="0" w:space="0" w:color="auto"/>
                                    <w:right w:val="none" w:sz="0" w:space="0" w:color="auto"/>
                                  </w:divBdr>
                                </w:div>
                                <w:div w:id="1315794469">
                                  <w:marLeft w:val="0"/>
                                  <w:marRight w:val="0"/>
                                  <w:marTop w:val="0"/>
                                  <w:marBottom w:val="0"/>
                                  <w:divBdr>
                                    <w:top w:val="none" w:sz="0" w:space="0" w:color="auto"/>
                                    <w:left w:val="none" w:sz="0" w:space="0" w:color="auto"/>
                                    <w:bottom w:val="none" w:sz="0" w:space="0" w:color="auto"/>
                                    <w:right w:val="none" w:sz="0" w:space="0" w:color="auto"/>
                                  </w:divBdr>
                                  <w:divsChild>
                                    <w:div w:id="10350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370647">
          <w:marLeft w:val="0"/>
          <w:marRight w:val="0"/>
          <w:marTop w:val="0"/>
          <w:marBottom w:val="0"/>
          <w:divBdr>
            <w:top w:val="none" w:sz="0" w:space="0" w:color="auto"/>
            <w:left w:val="none" w:sz="0" w:space="0" w:color="auto"/>
            <w:bottom w:val="none" w:sz="0" w:space="0" w:color="auto"/>
            <w:right w:val="none" w:sz="0" w:space="0" w:color="auto"/>
          </w:divBdr>
        </w:div>
      </w:divsChild>
    </w:div>
    <w:div w:id="763570942">
      <w:bodyDiv w:val="1"/>
      <w:marLeft w:val="0"/>
      <w:marRight w:val="0"/>
      <w:marTop w:val="0"/>
      <w:marBottom w:val="0"/>
      <w:divBdr>
        <w:top w:val="none" w:sz="0" w:space="0" w:color="auto"/>
        <w:left w:val="none" w:sz="0" w:space="0" w:color="auto"/>
        <w:bottom w:val="none" w:sz="0" w:space="0" w:color="auto"/>
        <w:right w:val="none" w:sz="0" w:space="0" w:color="auto"/>
      </w:divBdr>
    </w:div>
    <w:div w:id="842672528">
      <w:bodyDiv w:val="1"/>
      <w:marLeft w:val="0"/>
      <w:marRight w:val="0"/>
      <w:marTop w:val="0"/>
      <w:marBottom w:val="0"/>
      <w:divBdr>
        <w:top w:val="none" w:sz="0" w:space="0" w:color="auto"/>
        <w:left w:val="none" w:sz="0" w:space="0" w:color="auto"/>
        <w:bottom w:val="none" w:sz="0" w:space="0" w:color="auto"/>
        <w:right w:val="none" w:sz="0" w:space="0" w:color="auto"/>
      </w:divBdr>
    </w:div>
    <w:div w:id="937059619">
      <w:bodyDiv w:val="1"/>
      <w:marLeft w:val="0"/>
      <w:marRight w:val="0"/>
      <w:marTop w:val="0"/>
      <w:marBottom w:val="0"/>
      <w:divBdr>
        <w:top w:val="none" w:sz="0" w:space="0" w:color="auto"/>
        <w:left w:val="none" w:sz="0" w:space="0" w:color="auto"/>
        <w:bottom w:val="none" w:sz="0" w:space="0" w:color="auto"/>
        <w:right w:val="none" w:sz="0" w:space="0" w:color="auto"/>
      </w:divBdr>
    </w:div>
    <w:div w:id="1104496794">
      <w:bodyDiv w:val="1"/>
      <w:marLeft w:val="0"/>
      <w:marRight w:val="0"/>
      <w:marTop w:val="0"/>
      <w:marBottom w:val="0"/>
      <w:divBdr>
        <w:top w:val="none" w:sz="0" w:space="0" w:color="auto"/>
        <w:left w:val="none" w:sz="0" w:space="0" w:color="auto"/>
        <w:bottom w:val="none" w:sz="0" w:space="0" w:color="auto"/>
        <w:right w:val="none" w:sz="0" w:space="0" w:color="auto"/>
      </w:divBdr>
    </w:div>
    <w:div w:id="1109618361">
      <w:bodyDiv w:val="1"/>
      <w:marLeft w:val="0"/>
      <w:marRight w:val="0"/>
      <w:marTop w:val="0"/>
      <w:marBottom w:val="0"/>
      <w:divBdr>
        <w:top w:val="none" w:sz="0" w:space="0" w:color="auto"/>
        <w:left w:val="none" w:sz="0" w:space="0" w:color="auto"/>
        <w:bottom w:val="none" w:sz="0" w:space="0" w:color="auto"/>
        <w:right w:val="none" w:sz="0" w:space="0" w:color="auto"/>
      </w:divBdr>
    </w:div>
    <w:div w:id="1111556444">
      <w:bodyDiv w:val="1"/>
      <w:marLeft w:val="0"/>
      <w:marRight w:val="0"/>
      <w:marTop w:val="0"/>
      <w:marBottom w:val="0"/>
      <w:divBdr>
        <w:top w:val="none" w:sz="0" w:space="0" w:color="auto"/>
        <w:left w:val="none" w:sz="0" w:space="0" w:color="auto"/>
        <w:bottom w:val="none" w:sz="0" w:space="0" w:color="auto"/>
        <w:right w:val="none" w:sz="0" w:space="0" w:color="auto"/>
      </w:divBdr>
      <w:divsChild>
        <w:div w:id="1440829442">
          <w:marLeft w:val="480"/>
          <w:marRight w:val="0"/>
          <w:marTop w:val="0"/>
          <w:marBottom w:val="0"/>
          <w:divBdr>
            <w:top w:val="none" w:sz="0" w:space="0" w:color="auto"/>
            <w:left w:val="none" w:sz="0" w:space="0" w:color="auto"/>
            <w:bottom w:val="none" w:sz="0" w:space="0" w:color="auto"/>
            <w:right w:val="none" w:sz="0" w:space="0" w:color="auto"/>
          </w:divBdr>
        </w:div>
        <w:div w:id="13970539">
          <w:marLeft w:val="480"/>
          <w:marRight w:val="0"/>
          <w:marTop w:val="0"/>
          <w:marBottom w:val="0"/>
          <w:divBdr>
            <w:top w:val="none" w:sz="0" w:space="0" w:color="auto"/>
            <w:left w:val="none" w:sz="0" w:space="0" w:color="auto"/>
            <w:bottom w:val="none" w:sz="0" w:space="0" w:color="auto"/>
            <w:right w:val="none" w:sz="0" w:space="0" w:color="auto"/>
          </w:divBdr>
        </w:div>
        <w:div w:id="243800765">
          <w:marLeft w:val="480"/>
          <w:marRight w:val="0"/>
          <w:marTop w:val="0"/>
          <w:marBottom w:val="0"/>
          <w:divBdr>
            <w:top w:val="none" w:sz="0" w:space="0" w:color="auto"/>
            <w:left w:val="none" w:sz="0" w:space="0" w:color="auto"/>
            <w:bottom w:val="none" w:sz="0" w:space="0" w:color="auto"/>
            <w:right w:val="none" w:sz="0" w:space="0" w:color="auto"/>
          </w:divBdr>
        </w:div>
        <w:div w:id="1391001668">
          <w:marLeft w:val="480"/>
          <w:marRight w:val="0"/>
          <w:marTop w:val="0"/>
          <w:marBottom w:val="0"/>
          <w:divBdr>
            <w:top w:val="none" w:sz="0" w:space="0" w:color="auto"/>
            <w:left w:val="none" w:sz="0" w:space="0" w:color="auto"/>
            <w:bottom w:val="none" w:sz="0" w:space="0" w:color="auto"/>
            <w:right w:val="none" w:sz="0" w:space="0" w:color="auto"/>
          </w:divBdr>
        </w:div>
        <w:div w:id="998577491">
          <w:marLeft w:val="480"/>
          <w:marRight w:val="0"/>
          <w:marTop w:val="0"/>
          <w:marBottom w:val="0"/>
          <w:divBdr>
            <w:top w:val="none" w:sz="0" w:space="0" w:color="auto"/>
            <w:left w:val="none" w:sz="0" w:space="0" w:color="auto"/>
            <w:bottom w:val="none" w:sz="0" w:space="0" w:color="auto"/>
            <w:right w:val="none" w:sz="0" w:space="0" w:color="auto"/>
          </w:divBdr>
        </w:div>
        <w:div w:id="369382309">
          <w:marLeft w:val="480"/>
          <w:marRight w:val="0"/>
          <w:marTop w:val="0"/>
          <w:marBottom w:val="0"/>
          <w:divBdr>
            <w:top w:val="none" w:sz="0" w:space="0" w:color="auto"/>
            <w:left w:val="none" w:sz="0" w:space="0" w:color="auto"/>
            <w:bottom w:val="none" w:sz="0" w:space="0" w:color="auto"/>
            <w:right w:val="none" w:sz="0" w:space="0" w:color="auto"/>
          </w:divBdr>
        </w:div>
        <w:div w:id="190338713">
          <w:marLeft w:val="480"/>
          <w:marRight w:val="0"/>
          <w:marTop w:val="0"/>
          <w:marBottom w:val="0"/>
          <w:divBdr>
            <w:top w:val="none" w:sz="0" w:space="0" w:color="auto"/>
            <w:left w:val="none" w:sz="0" w:space="0" w:color="auto"/>
            <w:bottom w:val="none" w:sz="0" w:space="0" w:color="auto"/>
            <w:right w:val="none" w:sz="0" w:space="0" w:color="auto"/>
          </w:divBdr>
        </w:div>
        <w:div w:id="1352564025">
          <w:marLeft w:val="480"/>
          <w:marRight w:val="0"/>
          <w:marTop w:val="0"/>
          <w:marBottom w:val="0"/>
          <w:divBdr>
            <w:top w:val="none" w:sz="0" w:space="0" w:color="auto"/>
            <w:left w:val="none" w:sz="0" w:space="0" w:color="auto"/>
            <w:bottom w:val="none" w:sz="0" w:space="0" w:color="auto"/>
            <w:right w:val="none" w:sz="0" w:space="0" w:color="auto"/>
          </w:divBdr>
        </w:div>
        <w:div w:id="530339111">
          <w:marLeft w:val="480"/>
          <w:marRight w:val="0"/>
          <w:marTop w:val="0"/>
          <w:marBottom w:val="0"/>
          <w:divBdr>
            <w:top w:val="none" w:sz="0" w:space="0" w:color="auto"/>
            <w:left w:val="none" w:sz="0" w:space="0" w:color="auto"/>
            <w:bottom w:val="none" w:sz="0" w:space="0" w:color="auto"/>
            <w:right w:val="none" w:sz="0" w:space="0" w:color="auto"/>
          </w:divBdr>
        </w:div>
        <w:div w:id="1757165224">
          <w:marLeft w:val="480"/>
          <w:marRight w:val="0"/>
          <w:marTop w:val="0"/>
          <w:marBottom w:val="0"/>
          <w:divBdr>
            <w:top w:val="none" w:sz="0" w:space="0" w:color="auto"/>
            <w:left w:val="none" w:sz="0" w:space="0" w:color="auto"/>
            <w:bottom w:val="none" w:sz="0" w:space="0" w:color="auto"/>
            <w:right w:val="none" w:sz="0" w:space="0" w:color="auto"/>
          </w:divBdr>
        </w:div>
        <w:div w:id="1417826914">
          <w:marLeft w:val="480"/>
          <w:marRight w:val="0"/>
          <w:marTop w:val="0"/>
          <w:marBottom w:val="0"/>
          <w:divBdr>
            <w:top w:val="none" w:sz="0" w:space="0" w:color="auto"/>
            <w:left w:val="none" w:sz="0" w:space="0" w:color="auto"/>
            <w:bottom w:val="none" w:sz="0" w:space="0" w:color="auto"/>
            <w:right w:val="none" w:sz="0" w:space="0" w:color="auto"/>
          </w:divBdr>
        </w:div>
        <w:div w:id="164126142">
          <w:marLeft w:val="480"/>
          <w:marRight w:val="0"/>
          <w:marTop w:val="0"/>
          <w:marBottom w:val="0"/>
          <w:divBdr>
            <w:top w:val="none" w:sz="0" w:space="0" w:color="auto"/>
            <w:left w:val="none" w:sz="0" w:space="0" w:color="auto"/>
            <w:bottom w:val="none" w:sz="0" w:space="0" w:color="auto"/>
            <w:right w:val="none" w:sz="0" w:space="0" w:color="auto"/>
          </w:divBdr>
        </w:div>
        <w:div w:id="1533376538">
          <w:marLeft w:val="480"/>
          <w:marRight w:val="0"/>
          <w:marTop w:val="0"/>
          <w:marBottom w:val="0"/>
          <w:divBdr>
            <w:top w:val="none" w:sz="0" w:space="0" w:color="auto"/>
            <w:left w:val="none" w:sz="0" w:space="0" w:color="auto"/>
            <w:bottom w:val="none" w:sz="0" w:space="0" w:color="auto"/>
            <w:right w:val="none" w:sz="0" w:space="0" w:color="auto"/>
          </w:divBdr>
        </w:div>
        <w:div w:id="871112617">
          <w:marLeft w:val="480"/>
          <w:marRight w:val="0"/>
          <w:marTop w:val="0"/>
          <w:marBottom w:val="0"/>
          <w:divBdr>
            <w:top w:val="none" w:sz="0" w:space="0" w:color="auto"/>
            <w:left w:val="none" w:sz="0" w:space="0" w:color="auto"/>
            <w:bottom w:val="none" w:sz="0" w:space="0" w:color="auto"/>
            <w:right w:val="none" w:sz="0" w:space="0" w:color="auto"/>
          </w:divBdr>
        </w:div>
        <w:div w:id="566497785">
          <w:marLeft w:val="480"/>
          <w:marRight w:val="0"/>
          <w:marTop w:val="0"/>
          <w:marBottom w:val="0"/>
          <w:divBdr>
            <w:top w:val="none" w:sz="0" w:space="0" w:color="auto"/>
            <w:left w:val="none" w:sz="0" w:space="0" w:color="auto"/>
            <w:bottom w:val="none" w:sz="0" w:space="0" w:color="auto"/>
            <w:right w:val="none" w:sz="0" w:space="0" w:color="auto"/>
          </w:divBdr>
        </w:div>
        <w:div w:id="205874520">
          <w:marLeft w:val="480"/>
          <w:marRight w:val="0"/>
          <w:marTop w:val="0"/>
          <w:marBottom w:val="0"/>
          <w:divBdr>
            <w:top w:val="none" w:sz="0" w:space="0" w:color="auto"/>
            <w:left w:val="none" w:sz="0" w:space="0" w:color="auto"/>
            <w:bottom w:val="none" w:sz="0" w:space="0" w:color="auto"/>
            <w:right w:val="none" w:sz="0" w:space="0" w:color="auto"/>
          </w:divBdr>
        </w:div>
        <w:div w:id="2071733960">
          <w:marLeft w:val="480"/>
          <w:marRight w:val="0"/>
          <w:marTop w:val="0"/>
          <w:marBottom w:val="0"/>
          <w:divBdr>
            <w:top w:val="none" w:sz="0" w:space="0" w:color="auto"/>
            <w:left w:val="none" w:sz="0" w:space="0" w:color="auto"/>
            <w:bottom w:val="none" w:sz="0" w:space="0" w:color="auto"/>
            <w:right w:val="none" w:sz="0" w:space="0" w:color="auto"/>
          </w:divBdr>
        </w:div>
        <w:div w:id="1300770861">
          <w:marLeft w:val="480"/>
          <w:marRight w:val="0"/>
          <w:marTop w:val="0"/>
          <w:marBottom w:val="0"/>
          <w:divBdr>
            <w:top w:val="none" w:sz="0" w:space="0" w:color="auto"/>
            <w:left w:val="none" w:sz="0" w:space="0" w:color="auto"/>
            <w:bottom w:val="none" w:sz="0" w:space="0" w:color="auto"/>
            <w:right w:val="none" w:sz="0" w:space="0" w:color="auto"/>
          </w:divBdr>
        </w:div>
        <w:div w:id="1222910369">
          <w:marLeft w:val="480"/>
          <w:marRight w:val="0"/>
          <w:marTop w:val="0"/>
          <w:marBottom w:val="0"/>
          <w:divBdr>
            <w:top w:val="none" w:sz="0" w:space="0" w:color="auto"/>
            <w:left w:val="none" w:sz="0" w:space="0" w:color="auto"/>
            <w:bottom w:val="none" w:sz="0" w:space="0" w:color="auto"/>
            <w:right w:val="none" w:sz="0" w:space="0" w:color="auto"/>
          </w:divBdr>
        </w:div>
        <w:div w:id="732314180">
          <w:marLeft w:val="480"/>
          <w:marRight w:val="0"/>
          <w:marTop w:val="0"/>
          <w:marBottom w:val="0"/>
          <w:divBdr>
            <w:top w:val="none" w:sz="0" w:space="0" w:color="auto"/>
            <w:left w:val="none" w:sz="0" w:space="0" w:color="auto"/>
            <w:bottom w:val="none" w:sz="0" w:space="0" w:color="auto"/>
            <w:right w:val="none" w:sz="0" w:space="0" w:color="auto"/>
          </w:divBdr>
        </w:div>
        <w:div w:id="1387409802">
          <w:marLeft w:val="480"/>
          <w:marRight w:val="0"/>
          <w:marTop w:val="0"/>
          <w:marBottom w:val="0"/>
          <w:divBdr>
            <w:top w:val="none" w:sz="0" w:space="0" w:color="auto"/>
            <w:left w:val="none" w:sz="0" w:space="0" w:color="auto"/>
            <w:bottom w:val="none" w:sz="0" w:space="0" w:color="auto"/>
            <w:right w:val="none" w:sz="0" w:space="0" w:color="auto"/>
          </w:divBdr>
        </w:div>
        <w:div w:id="355280017">
          <w:marLeft w:val="480"/>
          <w:marRight w:val="0"/>
          <w:marTop w:val="0"/>
          <w:marBottom w:val="0"/>
          <w:divBdr>
            <w:top w:val="none" w:sz="0" w:space="0" w:color="auto"/>
            <w:left w:val="none" w:sz="0" w:space="0" w:color="auto"/>
            <w:bottom w:val="none" w:sz="0" w:space="0" w:color="auto"/>
            <w:right w:val="none" w:sz="0" w:space="0" w:color="auto"/>
          </w:divBdr>
        </w:div>
        <w:div w:id="1949048795">
          <w:marLeft w:val="480"/>
          <w:marRight w:val="0"/>
          <w:marTop w:val="0"/>
          <w:marBottom w:val="0"/>
          <w:divBdr>
            <w:top w:val="none" w:sz="0" w:space="0" w:color="auto"/>
            <w:left w:val="none" w:sz="0" w:space="0" w:color="auto"/>
            <w:bottom w:val="none" w:sz="0" w:space="0" w:color="auto"/>
            <w:right w:val="none" w:sz="0" w:space="0" w:color="auto"/>
          </w:divBdr>
        </w:div>
        <w:div w:id="814881218">
          <w:marLeft w:val="480"/>
          <w:marRight w:val="0"/>
          <w:marTop w:val="0"/>
          <w:marBottom w:val="0"/>
          <w:divBdr>
            <w:top w:val="none" w:sz="0" w:space="0" w:color="auto"/>
            <w:left w:val="none" w:sz="0" w:space="0" w:color="auto"/>
            <w:bottom w:val="none" w:sz="0" w:space="0" w:color="auto"/>
            <w:right w:val="none" w:sz="0" w:space="0" w:color="auto"/>
          </w:divBdr>
        </w:div>
        <w:div w:id="770783740">
          <w:marLeft w:val="480"/>
          <w:marRight w:val="0"/>
          <w:marTop w:val="0"/>
          <w:marBottom w:val="0"/>
          <w:divBdr>
            <w:top w:val="none" w:sz="0" w:space="0" w:color="auto"/>
            <w:left w:val="none" w:sz="0" w:space="0" w:color="auto"/>
            <w:bottom w:val="none" w:sz="0" w:space="0" w:color="auto"/>
            <w:right w:val="none" w:sz="0" w:space="0" w:color="auto"/>
          </w:divBdr>
        </w:div>
        <w:div w:id="355355156">
          <w:marLeft w:val="480"/>
          <w:marRight w:val="0"/>
          <w:marTop w:val="0"/>
          <w:marBottom w:val="0"/>
          <w:divBdr>
            <w:top w:val="none" w:sz="0" w:space="0" w:color="auto"/>
            <w:left w:val="none" w:sz="0" w:space="0" w:color="auto"/>
            <w:bottom w:val="none" w:sz="0" w:space="0" w:color="auto"/>
            <w:right w:val="none" w:sz="0" w:space="0" w:color="auto"/>
          </w:divBdr>
        </w:div>
        <w:div w:id="1909195125">
          <w:marLeft w:val="480"/>
          <w:marRight w:val="0"/>
          <w:marTop w:val="0"/>
          <w:marBottom w:val="0"/>
          <w:divBdr>
            <w:top w:val="none" w:sz="0" w:space="0" w:color="auto"/>
            <w:left w:val="none" w:sz="0" w:space="0" w:color="auto"/>
            <w:bottom w:val="none" w:sz="0" w:space="0" w:color="auto"/>
            <w:right w:val="none" w:sz="0" w:space="0" w:color="auto"/>
          </w:divBdr>
        </w:div>
        <w:div w:id="1680889369">
          <w:marLeft w:val="480"/>
          <w:marRight w:val="0"/>
          <w:marTop w:val="0"/>
          <w:marBottom w:val="0"/>
          <w:divBdr>
            <w:top w:val="none" w:sz="0" w:space="0" w:color="auto"/>
            <w:left w:val="none" w:sz="0" w:space="0" w:color="auto"/>
            <w:bottom w:val="none" w:sz="0" w:space="0" w:color="auto"/>
            <w:right w:val="none" w:sz="0" w:space="0" w:color="auto"/>
          </w:divBdr>
        </w:div>
        <w:div w:id="326979079">
          <w:marLeft w:val="480"/>
          <w:marRight w:val="0"/>
          <w:marTop w:val="0"/>
          <w:marBottom w:val="0"/>
          <w:divBdr>
            <w:top w:val="none" w:sz="0" w:space="0" w:color="auto"/>
            <w:left w:val="none" w:sz="0" w:space="0" w:color="auto"/>
            <w:bottom w:val="none" w:sz="0" w:space="0" w:color="auto"/>
            <w:right w:val="none" w:sz="0" w:space="0" w:color="auto"/>
          </w:divBdr>
        </w:div>
        <w:div w:id="88935396">
          <w:marLeft w:val="480"/>
          <w:marRight w:val="0"/>
          <w:marTop w:val="0"/>
          <w:marBottom w:val="0"/>
          <w:divBdr>
            <w:top w:val="none" w:sz="0" w:space="0" w:color="auto"/>
            <w:left w:val="none" w:sz="0" w:space="0" w:color="auto"/>
            <w:bottom w:val="none" w:sz="0" w:space="0" w:color="auto"/>
            <w:right w:val="none" w:sz="0" w:space="0" w:color="auto"/>
          </w:divBdr>
        </w:div>
        <w:div w:id="586234278">
          <w:marLeft w:val="480"/>
          <w:marRight w:val="0"/>
          <w:marTop w:val="0"/>
          <w:marBottom w:val="0"/>
          <w:divBdr>
            <w:top w:val="none" w:sz="0" w:space="0" w:color="auto"/>
            <w:left w:val="none" w:sz="0" w:space="0" w:color="auto"/>
            <w:bottom w:val="none" w:sz="0" w:space="0" w:color="auto"/>
            <w:right w:val="none" w:sz="0" w:space="0" w:color="auto"/>
          </w:divBdr>
        </w:div>
        <w:div w:id="765224318">
          <w:marLeft w:val="480"/>
          <w:marRight w:val="0"/>
          <w:marTop w:val="0"/>
          <w:marBottom w:val="0"/>
          <w:divBdr>
            <w:top w:val="none" w:sz="0" w:space="0" w:color="auto"/>
            <w:left w:val="none" w:sz="0" w:space="0" w:color="auto"/>
            <w:bottom w:val="none" w:sz="0" w:space="0" w:color="auto"/>
            <w:right w:val="none" w:sz="0" w:space="0" w:color="auto"/>
          </w:divBdr>
        </w:div>
        <w:div w:id="1160080353">
          <w:marLeft w:val="480"/>
          <w:marRight w:val="0"/>
          <w:marTop w:val="0"/>
          <w:marBottom w:val="0"/>
          <w:divBdr>
            <w:top w:val="none" w:sz="0" w:space="0" w:color="auto"/>
            <w:left w:val="none" w:sz="0" w:space="0" w:color="auto"/>
            <w:bottom w:val="none" w:sz="0" w:space="0" w:color="auto"/>
            <w:right w:val="none" w:sz="0" w:space="0" w:color="auto"/>
          </w:divBdr>
        </w:div>
        <w:div w:id="956838277">
          <w:marLeft w:val="480"/>
          <w:marRight w:val="0"/>
          <w:marTop w:val="0"/>
          <w:marBottom w:val="0"/>
          <w:divBdr>
            <w:top w:val="none" w:sz="0" w:space="0" w:color="auto"/>
            <w:left w:val="none" w:sz="0" w:space="0" w:color="auto"/>
            <w:bottom w:val="none" w:sz="0" w:space="0" w:color="auto"/>
            <w:right w:val="none" w:sz="0" w:space="0" w:color="auto"/>
          </w:divBdr>
        </w:div>
        <w:div w:id="1061365408">
          <w:marLeft w:val="480"/>
          <w:marRight w:val="0"/>
          <w:marTop w:val="0"/>
          <w:marBottom w:val="0"/>
          <w:divBdr>
            <w:top w:val="none" w:sz="0" w:space="0" w:color="auto"/>
            <w:left w:val="none" w:sz="0" w:space="0" w:color="auto"/>
            <w:bottom w:val="none" w:sz="0" w:space="0" w:color="auto"/>
            <w:right w:val="none" w:sz="0" w:space="0" w:color="auto"/>
          </w:divBdr>
        </w:div>
        <w:div w:id="1753887844">
          <w:marLeft w:val="480"/>
          <w:marRight w:val="0"/>
          <w:marTop w:val="0"/>
          <w:marBottom w:val="0"/>
          <w:divBdr>
            <w:top w:val="none" w:sz="0" w:space="0" w:color="auto"/>
            <w:left w:val="none" w:sz="0" w:space="0" w:color="auto"/>
            <w:bottom w:val="none" w:sz="0" w:space="0" w:color="auto"/>
            <w:right w:val="none" w:sz="0" w:space="0" w:color="auto"/>
          </w:divBdr>
        </w:div>
        <w:div w:id="1820418327">
          <w:marLeft w:val="480"/>
          <w:marRight w:val="0"/>
          <w:marTop w:val="0"/>
          <w:marBottom w:val="0"/>
          <w:divBdr>
            <w:top w:val="none" w:sz="0" w:space="0" w:color="auto"/>
            <w:left w:val="none" w:sz="0" w:space="0" w:color="auto"/>
            <w:bottom w:val="none" w:sz="0" w:space="0" w:color="auto"/>
            <w:right w:val="none" w:sz="0" w:space="0" w:color="auto"/>
          </w:divBdr>
        </w:div>
        <w:div w:id="1206869309">
          <w:marLeft w:val="480"/>
          <w:marRight w:val="0"/>
          <w:marTop w:val="0"/>
          <w:marBottom w:val="0"/>
          <w:divBdr>
            <w:top w:val="none" w:sz="0" w:space="0" w:color="auto"/>
            <w:left w:val="none" w:sz="0" w:space="0" w:color="auto"/>
            <w:bottom w:val="none" w:sz="0" w:space="0" w:color="auto"/>
            <w:right w:val="none" w:sz="0" w:space="0" w:color="auto"/>
          </w:divBdr>
        </w:div>
        <w:div w:id="261228617">
          <w:marLeft w:val="480"/>
          <w:marRight w:val="0"/>
          <w:marTop w:val="0"/>
          <w:marBottom w:val="0"/>
          <w:divBdr>
            <w:top w:val="none" w:sz="0" w:space="0" w:color="auto"/>
            <w:left w:val="none" w:sz="0" w:space="0" w:color="auto"/>
            <w:bottom w:val="none" w:sz="0" w:space="0" w:color="auto"/>
            <w:right w:val="none" w:sz="0" w:space="0" w:color="auto"/>
          </w:divBdr>
        </w:div>
        <w:div w:id="1426731772">
          <w:marLeft w:val="480"/>
          <w:marRight w:val="0"/>
          <w:marTop w:val="0"/>
          <w:marBottom w:val="0"/>
          <w:divBdr>
            <w:top w:val="none" w:sz="0" w:space="0" w:color="auto"/>
            <w:left w:val="none" w:sz="0" w:space="0" w:color="auto"/>
            <w:bottom w:val="none" w:sz="0" w:space="0" w:color="auto"/>
            <w:right w:val="none" w:sz="0" w:space="0" w:color="auto"/>
          </w:divBdr>
        </w:div>
        <w:div w:id="2133546468">
          <w:marLeft w:val="480"/>
          <w:marRight w:val="0"/>
          <w:marTop w:val="0"/>
          <w:marBottom w:val="0"/>
          <w:divBdr>
            <w:top w:val="none" w:sz="0" w:space="0" w:color="auto"/>
            <w:left w:val="none" w:sz="0" w:space="0" w:color="auto"/>
            <w:bottom w:val="none" w:sz="0" w:space="0" w:color="auto"/>
            <w:right w:val="none" w:sz="0" w:space="0" w:color="auto"/>
          </w:divBdr>
        </w:div>
        <w:div w:id="939265188">
          <w:marLeft w:val="480"/>
          <w:marRight w:val="0"/>
          <w:marTop w:val="0"/>
          <w:marBottom w:val="0"/>
          <w:divBdr>
            <w:top w:val="none" w:sz="0" w:space="0" w:color="auto"/>
            <w:left w:val="none" w:sz="0" w:space="0" w:color="auto"/>
            <w:bottom w:val="none" w:sz="0" w:space="0" w:color="auto"/>
            <w:right w:val="none" w:sz="0" w:space="0" w:color="auto"/>
          </w:divBdr>
        </w:div>
        <w:div w:id="2121683276">
          <w:marLeft w:val="480"/>
          <w:marRight w:val="0"/>
          <w:marTop w:val="0"/>
          <w:marBottom w:val="0"/>
          <w:divBdr>
            <w:top w:val="none" w:sz="0" w:space="0" w:color="auto"/>
            <w:left w:val="none" w:sz="0" w:space="0" w:color="auto"/>
            <w:bottom w:val="none" w:sz="0" w:space="0" w:color="auto"/>
            <w:right w:val="none" w:sz="0" w:space="0" w:color="auto"/>
          </w:divBdr>
        </w:div>
        <w:div w:id="2061517882">
          <w:marLeft w:val="480"/>
          <w:marRight w:val="0"/>
          <w:marTop w:val="0"/>
          <w:marBottom w:val="0"/>
          <w:divBdr>
            <w:top w:val="none" w:sz="0" w:space="0" w:color="auto"/>
            <w:left w:val="none" w:sz="0" w:space="0" w:color="auto"/>
            <w:bottom w:val="none" w:sz="0" w:space="0" w:color="auto"/>
            <w:right w:val="none" w:sz="0" w:space="0" w:color="auto"/>
          </w:divBdr>
        </w:div>
        <w:div w:id="1969706175">
          <w:marLeft w:val="480"/>
          <w:marRight w:val="0"/>
          <w:marTop w:val="0"/>
          <w:marBottom w:val="0"/>
          <w:divBdr>
            <w:top w:val="none" w:sz="0" w:space="0" w:color="auto"/>
            <w:left w:val="none" w:sz="0" w:space="0" w:color="auto"/>
            <w:bottom w:val="none" w:sz="0" w:space="0" w:color="auto"/>
            <w:right w:val="none" w:sz="0" w:space="0" w:color="auto"/>
          </w:divBdr>
        </w:div>
        <w:div w:id="1013531926">
          <w:marLeft w:val="480"/>
          <w:marRight w:val="0"/>
          <w:marTop w:val="0"/>
          <w:marBottom w:val="0"/>
          <w:divBdr>
            <w:top w:val="none" w:sz="0" w:space="0" w:color="auto"/>
            <w:left w:val="none" w:sz="0" w:space="0" w:color="auto"/>
            <w:bottom w:val="none" w:sz="0" w:space="0" w:color="auto"/>
            <w:right w:val="none" w:sz="0" w:space="0" w:color="auto"/>
          </w:divBdr>
        </w:div>
        <w:div w:id="1936478948">
          <w:marLeft w:val="480"/>
          <w:marRight w:val="0"/>
          <w:marTop w:val="0"/>
          <w:marBottom w:val="0"/>
          <w:divBdr>
            <w:top w:val="none" w:sz="0" w:space="0" w:color="auto"/>
            <w:left w:val="none" w:sz="0" w:space="0" w:color="auto"/>
            <w:bottom w:val="none" w:sz="0" w:space="0" w:color="auto"/>
            <w:right w:val="none" w:sz="0" w:space="0" w:color="auto"/>
          </w:divBdr>
        </w:div>
        <w:div w:id="436097347">
          <w:marLeft w:val="480"/>
          <w:marRight w:val="0"/>
          <w:marTop w:val="0"/>
          <w:marBottom w:val="0"/>
          <w:divBdr>
            <w:top w:val="none" w:sz="0" w:space="0" w:color="auto"/>
            <w:left w:val="none" w:sz="0" w:space="0" w:color="auto"/>
            <w:bottom w:val="none" w:sz="0" w:space="0" w:color="auto"/>
            <w:right w:val="none" w:sz="0" w:space="0" w:color="auto"/>
          </w:divBdr>
        </w:div>
        <w:div w:id="147015088">
          <w:marLeft w:val="480"/>
          <w:marRight w:val="0"/>
          <w:marTop w:val="0"/>
          <w:marBottom w:val="0"/>
          <w:divBdr>
            <w:top w:val="none" w:sz="0" w:space="0" w:color="auto"/>
            <w:left w:val="none" w:sz="0" w:space="0" w:color="auto"/>
            <w:bottom w:val="none" w:sz="0" w:space="0" w:color="auto"/>
            <w:right w:val="none" w:sz="0" w:space="0" w:color="auto"/>
          </w:divBdr>
        </w:div>
        <w:div w:id="201481798">
          <w:marLeft w:val="480"/>
          <w:marRight w:val="0"/>
          <w:marTop w:val="0"/>
          <w:marBottom w:val="0"/>
          <w:divBdr>
            <w:top w:val="none" w:sz="0" w:space="0" w:color="auto"/>
            <w:left w:val="none" w:sz="0" w:space="0" w:color="auto"/>
            <w:bottom w:val="none" w:sz="0" w:space="0" w:color="auto"/>
            <w:right w:val="none" w:sz="0" w:space="0" w:color="auto"/>
          </w:divBdr>
        </w:div>
        <w:div w:id="913590317">
          <w:marLeft w:val="480"/>
          <w:marRight w:val="0"/>
          <w:marTop w:val="0"/>
          <w:marBottom w:val="0"/>
          <w:divBdr>
            <w:top w:val="none" w:sz="0" w:space="0" w:color="auto"/>
            <w:left w:val="none" w:sz="0" w:space="0" w:color="auto"/>
            <w:bottom w:val="none" w:sz="0" w:space="0" w:color="auto"/>
            <w:right w:val="none" w:sz="0" w:space="0" w:color="auto"/>
          </w:divBdr>
        </w:div>
        <w:div w:id="190345100">
          <w:marLeft w:val="480"/>
          <w:marRight w:val="0"/>
          <w:marTop w:val="0"/>
          <w:marBottom w:val="0"/>
          <w:divBdr>
            <w:top w:val="none" w:sz="0" w:space="0" w:color="auto"/>
            <w:left w:val="none" w:sz="0" w:space="0" w:color="auto"/>
            <w:bottom w:val="none" w:sz="0" w:space="0" w:color="auto"/>
            <w:right w:val="none" w:sz="0" w:space="0" w:color="auto"/>
          </w:divBdr>
        </w:div>
        <w:div w:id="1786072348">
          <w:marLeft w:val="480"/>
          <w:marRight w:val="0"/>
          <w:marTop w:val="0"/>
          <w:marBottom w:val="0"/>
          <w:divBdr>
            <w:top w:val="none" w:sz="0" w:space="0" w:color="auto"/>
            <w:left w:val="none" w:sz="0" w:space="0" w:color="auto"/>
            <w:bottom w:val="none" w:sz="0" w:space="0" w:color="auto"/>
            <w:right w:val="none" w:sz="0" w:space="0" w:color="auto"/>
          </w:divBdr>
        </w:div>
        <w:div w:id="1557425984">
          <w:marLeft w:val="480"/>
          <w:marRight w:val="0"/>
          <w:marTop w:val="0"/>
          <w:marBottom w:val="0"/>
          <w:divBdr>
            <w:top w:val="none" w:sz="0" w:space="0" w:color="auto"/>
            <w:left w:val="none" w:sz="0" w:space="0" w:color="auto"/>
            <w:bottom w:val="none" w:sz="0" w:space="0" w:color="auto"/>
            <w:right w:val="none" w:sz="0" w:space="0" w:color="auto"/>
          </w:divBdr>
        </w:div>
        <w:div w:id="133959201">
          <w:marLeft w:val="480"/>
          <w:marRight w:val="0"/>
          <w:marTop w:val="0"/>
          <w:marBottom w:val="0"/>
          <w:divBdr>
            <w:top w:val="none" w:sz="0" w:space="0" w:color="auto"/>
            <w:left w:val="none" w:sz="0" w:space="0" w:color="auto"/>
            <w:bottom w:val="none" w:sz="0" w:space="0" w:color="auto"/>
            <w:right w:val="none" w:sz="0" w:space="0" w:color="auto"/>
          </w:divBdr>
        </w:div>
        <w:div w:id="160657678">
          <w:marLeft w:val="480"/>
          <w:marRight w:val="0"/>
          <w:marTop w:val="0"/>
          <w:marBottom w:val="0"/>
          <w:divBdr>
            <w:top w:val="none" w:sz="0" w:space="0" w:color="auto"/>
            <w:left w:val="none" w:sz="0" w:space="0" w:color="auto"/>
            <w:bottom w:val="none" w:sz="0" w:space="0" w:color="auto"/>
            <w:right w:val="none" w:sz="0" w:space="0" w:color="auto"/>
          </w:divBdr>
        </w:div>
        <w:div w:id="1459178346">
          <w:marLeft w:val="480"/>
          <w:marRight w:val="0"/>
          <w:marTop w:val="0"/>
          <w:marBottom w:val="0"/>
          <w:divBdr>
            <w:top w:val="none" w:sz="0" w:space="0" w:color="auto"/>
            <w:left w:val="none" w:sz="0" w:space="0" w:color="auto"/>
            <w:bottom w:val="none" w:sz="0" w:space="0" w:color="auto"/>
            <w:right w:val="none" w:sz="0" w:space="0" w:color="auto"/>
          </w:divBdr>
        </w:div>
      </w:divsChild>
    </w:div>
    <w:div w:id="1158424111">
      <w:bodyDiv w:val="1"/>
      <w:marLeft w:val="0"/>
      <w:marRight w:val="0"/>
      <w:marTop w:val="0"/>
      <w:marBottom w:val="0"/>
      <w:divBdr>
        <w:top w:val="none" w:sz="0" w:space="0" w:color="auto"/>
        <w:left w:val="none" w:sz="0" w:space="0" w:color="auto"/>
        <w:bottom w:val="none" w:sz="0" w:space="0" w:color="auto"/>
        <w:right w:val="none" w:sz="0" w:space="0" w:color="auto"/>
      </w:divBdr>
    </w:div>
    <w:div w:id="1201891787">
      <w:bodyDiv w:val="1"/>
      <w:marLeft w:val="0"/>
      <w:marRight w:val="0"/>
      <w:marTop w:val="0"/>
      <w:marBottom w:val="0"/>
      <w:divBdr>
        <w:top w:val="none" w:sz="0" w:space="0" w:color="auto"/>
        <w:left w:val="none" w:sz="0" w:space="0" w:color="auto"/>
        <w:bottom w:val="none" w:sz="0" w:space="0" w:color="auto"/>
        <w:right w:val="none" w:sz="0" w:space="0" w:color="auto"/>
      </w:divBdr>
    </w:div>
    <w:div w:id="1272129274">
      <w:bodyDiv w:val="1"/>
      <w:marLeft w:val="0"/>
      <w:marRight w:val="0"/>
      <w:marTop w:val="0"/>
      <w:marBottom w:val="0"/>
      <w:divBdr>
        <w:top w:val="none" w:sz="0" w:space="0" w:color="auto"/>
        <w:left w:val="none" w:sz="0" w:space="0" w:color="auto"/>
        <w:bottom w:val="none" w:sz="0" w:space="0" w:color="auto"/>
        <w:right w:val="none" w:sz="0" w:space="0" w:color="auto"/>
      </w:divBdr>
    </w:div>
    <w:div w:id="1277327431">
      <w:bodyDiv w:val="1"/>
      <w:marLeft w:val="0"/>
      <w:marRight w:val="0"/>
      <w:marTop w:val="0"/>
      <w:marBottom w:val="0"/>
      <w:divBdr>
        <w:top w:val="none" w:sz="0" w:space="0" w:color="auto"/>
        <w:left w:val="none" w:sz="0" w:space="0" w:color="auto"/>
        <w:bottom w:val="none" w:sz="0" w:space="0" w:color="auto"/>
        <w:right w:val="none" w:sz="0" w:space="0" w:color="auto"/>
      </w:divBdr>
      <w:divsChild>
        <w:div w:id="343169683">
          <w:marLeft w:val="480"/>
          <w:marRight w:val="0"/>
          <w:marTop w:val="0"/>
          <w:marBottom w:val="0"/>
          <w:divBdr>
            <w:top w:val="none" w:sz="0" w:space="0" w:color="auto"/>
            <w:left w:val="none" w:sz="0" w:space="0" w:color="auto"/>
            <w:bottom w:val="none" w:sz="0" w:space="0" w:color="auto"/>
            <w:right w:val="none" w:sz="0" w:space="0" w:color="auto"/>
          </w:divBdr>
        </w:div>
        <w:div w:id="1293172856">
          <w:marLeft w:val="480"/>
          <w:marRight w:val="0"/>
          <w:marTop w:val="0"/>
          <w:marBottom w:val="0"/>
          <w:divBdr>
            <w:top w:val="none" w:sz="0" w:space="0" w:color="auto"/>
            <w:left w:val="none" w:sz="0" w:space="0" w:color="auto"/>
            <w:bottom w:val="none" w:sz="0" w:space="0" w:color="auto"/>
            <w:right w:val="none" w:sz="0" w:space="0" w:color="auto"/>
          </w:divBdr>
        </w:div>
        <w:div w:id="1219125685">
          <w:marLeft w:val="480"/>
          <w:marRight w:val="0"/>
          <w:marTop w:val="0"/>
          <w:marBottom w:val="0"/>
          <w:divBdr>
            <w:top w:val="none" w:sz="0" w:space="0" w:color="auto"/>
            <w:left w:val="none" w:sz="0" w:space="0" w:color="auto"/>
            <w:bottom w:val="none" w:sz="0" w:space="0" w:color="auto"/>
            <w:right w:val="none" w:sz="0" w:space="0" w:color="auto"/>
          </w:divBdr>
        </w:div>
        <w:div w:id="129592936">
          <w:marLeft w:val="480"/>
          <w:marRight w:val="0"/>
          <w:marTop w:val="0"/>
          <w:marBottom w:val="0"/>
          <w:divBdr>
            <w:top w:val="none" w:sz="0" w:space="0" w:color="auto"/>
            <w:left w:val="none" w:sz="0" w:space="0" w:color="auto"/>
            <w:bottom w:val="none" w:sz="0" w:space="0" w:color="auto"/>
            <w:right w:val="none" w:sz="0" w:space="0" w:color="auto"/>
          </w:divBdr>
        </w:div>
        <w:div w:id="893077704">
          <w:marLeft w:val="480"/>
          <w:marRight w:val="0"/>
          <w:marTop w:val="0"/>
          <w:marBottom w:val="0"/>
          <w:divBdr>
            <w:top w:val="none" w:sz="0" w:space="0" w:color="auto"/>
            <w:left w:val="none" w:sz="0" w:space="0" w:color="auto"/>
            <w:bottom w:val="none" w:sz="0" w:space="0" w:color="auto"/>
            <w:right w:val="none" w:sz="0" w:space="0" w:color="auto"/>
          </w:divBdr>
        </w:div>
        <w:div w:id="1169953597">
          <w:marLeft w:val="480"/>
          <w:marRight w:val="0"/>
          <w:marTop w:val="0"/>
          <w:marBottom w:val="0"/>
          <w:divBdr>
            <w:top w:val="none" w:sz="0" w:space="0" w:color="auto"/>
            <w:left w:val="none" w:sz="0" w:space="0" w:color="auto"/>
            <w:bottom w:val="none" w:sz="0" w:space="0" w:color="auto"/>
            <w:right w:val="none" w:sz="0" w:space="0" w:color="auto"/>
          </w:divBdr>
        </w:div>
        <w:div w:id="292488430">
          <w:marLeft w:val="480"/>
          <w:marRight w:val="0"/>
          <w:marTop w:val="0"/>
          <w:marBottom w:val="0"/>
          <w:divBdr>
            <w:top w:val="none" w:sz="0" w:space="0" w:color="auto"/>
            <w:left w:val="none" w:sz="0" w:space="0" w:color="auto"/>
            <w:bottom w:val="none" w:sz="0" w:space="0" w:color="auto"/>
            <w:right w:val="none" w:sz="0" w:space="0" w:color="auto"/>
          </w:divBdr>
        </w:div>
        <w:div w:id="876233888">
          <w:marLeft w:val="480"/>
          <w:marRight w:val="0"/>
          <w:marTop w:val="0"/>
          <w:marBottom w:val="0"/>
          <w:divBdr>
            <w:top w:val="none" w:sz="0" w:space="0" w:color="auto"/>
            <w:left w:val="none" w:sz="0" w:space="0" w:color="auto"/>
            <w:bottom w:val="none" w:sz="0" w:space="0" w:color="auto"/>
            <w:right w:val="none" w:sz="0" w:space="0" w:color="auto"/>
          </w:divBdr>
        </w:div>
        <w:div w:id="961888205">
          <w:marLeft w:val="480"/>
          <w:marRight w:val="0"/>
          <w:marTop w:val="0"/>
          <w:marBottom w:val="0"/>
          <w:divBdr>
            <w:top w:val="none" w:sz="0" w:space="0" w:color="auto"/>
            <w:left w:val="none" w:sz="0" w:space="0" w:color="auto"/>
            <w:bottom w:val="none" w:sz="0" w:space="0" w:color="auto"/>
            <w:right w:val="none" w:sz="0" w:space="0" w:color="auto"/>
          </w:divBdr>
        </w:div>
        <w:div w:id="1131050732">
          <w:marLeft w:val="480"/>
          <w:marRight w:val="0"/>
          <w:marTop w:val="0"/>
          <w:marBottom w:val="0"/>
          <w:divBdr>
            <w:top w:val="none" w:sz="0" w:space="0" w:color="auto"/>
            <w:left w:val="none" w:sz="0" w:space="0" w:color="auto"/>
            <w:bottom w:val="none" w:sz="0" w:space="0" w:color="auto"/>
            <w:right w:val="none" w:sz="0" w:space="0" w:color="auto"/>
          </w:divBdr>
        </w:div>
        <w:div w:id="1718048013">
          <w:marLeft w:val="480"/>
          <w:marRight w:val="0"/>
          <w:marTop w:val="0"/>
          <w:marBottom w:val="0"/>
          <w:divBdr>
            <w:top w:val="none" w:sz="0" w:space="0" w:color="auto"/>
            <w:left w:val="none" w:sz="0" w:space="0" w:color="auto"/>
            <w:bottom w:val="none" w:sz="0" w:space="0" w:color="auto"/>
            <w:right w:val="none" w:sz="0" w:space="0" w:color="auto"/>
          </w:divBdr>
        </w:div>
        <w:div w:id="2008289935">
          <w:marLeft w:val="480"/>
          <w:marRight w:val="0"/>
          <w:marTop w:val="0"/>
          <w:marBottom w:val="0"/>
          <w:divBdr>
            <w:top w:val="none" w:sz="0" w:space="0" w:color="auto"/>
            <w:left w:val="none" w:sz="0" w:space="0" w:color="auto"/>
            <w:bottom w:val="none" w:sz="0" w:space="0" w:color="auto"/>
            <w:right w:val="none" w:sz="0" w:space="0" w:color="auto"/>
          </w:divBdr>
        </w:div>
        <w:div w:id="56756367">
          <w:marLeft w:val="480"/>
          <w:marRight w:val="0"/>
          <w:marTop w:val="0"/>
          <w:marBottom w:val="0"/>
          <w:divBdr>
            <w:top w:val="none" w:sz="0" w:space="0" w:color="auto"/>
            <w:left w:val="none" w:sz="0" w:space="0" w:color="auto"/>
            <w:bottom w:val="none" w:sz="0" w:space="0" w:color="auto"/>
            <w:right w:val="none" w:sz="0" w:space="0" w:color="auto"/>
          </w:divBdr>
        </w:div>
        <w:div w:id="1665236332">
          <w:marLeft w:val="480"/>
          <w:marRight w:val="0"/>
          <w:marTop w:val="0"/>
          <w:marBottom w:val="0"/>
          <w:divBdr>
            <w:top w:val="none" w:sz="0" w:space="0" w:color="auto"/>
            <w:left w:val="none" w:sz="0" w:space="0" w:color="auto"/>
            <w:bottom w:val="none" w:sz="0" w:space="0" w:color="auto"/>
            <w:right w:val="none" w:sz="0" w:space="0" w:color="auto"/>
          </w:divBdr>
        </w:div>
        <w:div w:id="1073821042">
          <w:marLeft w:val="480"/>
          <w:marRight w:val="0"/>
          <w:marTop w:val="0"/>
          <w:marBottom w:val="0"/>
          <w:divBdr>
            <w:top w:val="none" w:sz="0" w:space="0" w:color="auto"/>
            <w:left w:val="none" w:sz="0" w:space="0" w:color="auto"/>
            <w:bottom w:val="none" w:sz="0" w:space="0" w:color="auto"/>
            <w:right w:val="none" w:sz="0" w:space="0" w:color="auto"/>
          </w:divBdr>
        </w:div>
        <w:div w:id="2020348891">
          <w:marLeft w:val="480"/>
          <w:marRight w:val="0"/>
          <w:marTop w:val="0"/>
          <w:marBottom w:val="0"/>
          <w:divBdr>
            <w:top w:val="none" w:sz="0" w:space="0" w:color="auto"/>
            <w:left w:val="none" w:sz="0" w:space="0" w:color="auto"/>
            <w:bottom w:val="none" w:sz="0" w:space="0" w:color="auto"/>
            <w:right w:val="none" w:sz="0" w:space="0" w:color="auto"/>
          </w:divBdr>
        </w:div>
        <w:div w:id="926500733">
          <w:marLeft w:val="480"/>
          <w:marRight w:val="0"/>
          <w:marTop w:val="0"/>
          <w:marBottom w:val="0"/>
          <w:divBdr>
            <w:top w:val="none" w:sz="0" w:space="0" w:color="auto"/>
            <w:left w:val="none" w:sz="0" w:space="0" w:color="auto"/>
            <w:bottom w:val="none" w:sz="0" w:space="0" w:color="auto"/>
            <w:right w:val="none" w:sz="0" w:space="0" w:color="auto"/>
          </w:divBdr>
        </w:div>
        <w:div w:id="676082734">
          <w:marLeft w:val="480"/>
          <w:marRight w:val="0"/>
          <w:marTop w:val="0"/>
          <w:marBottom w:val="0"/>
          <w:divBdr>
            <w:top w:val="none" w:sz="0" w:space="0" w:color="auto"/>
            <w:left w:val="none" w:sz="0" w:space="0" w:color="auto"/>
            <w:bottom w:val="none" w:sz="0" w:space="0" w:color="auto"/>
            <w:right w:val="none" w:sz="0" w:space="0" w:color="auto"/>
          </w:divBdr>
        </w:div>
        <w:div w:id="1881622018">
          <w:marLeft w:val="480"/>
          <w:marRight w:val="0"/>
          <w:marTop w:val="0"/>
          <w:marBottom w:val="0"/>
          <w:divBdr>
            <w:top w:val="none" w:sz="0" w:space="0" w:color="auto"/>
            <w:left w:val="none" w:sz="0" w:space="0" w:color="auto"/>
            <w:bottom w:val="none" w:sz="0" w:space="0" w:color="auto"/>
            <w:right w:val="none" w:sz="0" w:space="0" w:color="auto"/>
          </w:divBdr>
        </w:div>
        <w:div w:id="1561671562">
          <w:marLeft w:val="480"/>
          <w:marRight w:val="0"/>
          <w:marTop w:val="0"/>
          <w:marBottom w:val="0"/>
          <w:divBdr>
            <w:top w:val="none" w:sz="0" w:space="0" w:color="auto"/>
            <w:left w:val="none" w:sz="0" w:space="0" w:color="auto"/>
            <w:bottom w:val="none" w:sz="0" w:space="0" w:color="auto"/>
            <w:right w:val="none" w:sz="0" w:space="0" w:color="auto"/>
          </w:divBdr>
        </w:div>
        <w:div w:id="782530727">
          <w:marLeft w:val="480"/>
          <w:marRight w:val="0"/>
          <w:marTop w:val="0"/>
          <w:marBottom w:val="0"/>
          <w:divBdr>
            <w:top w:val="none" w:sz="0" w:space="0" w:color="auto"/>
            <w:left w:val="none" w:sz="0" w:space="0" w:color="auto"/>
            <w:bottom w:val="none" w:sz="0" w:space="0" w:color="auto"/>
            <w:right w:val="none" w:sz="0" w:space="0" w:color="auto"/>
          </w:divBdr>
        </w:div>
        <w:div w:id="1499929918">
          <w:marLeft w:val="480"/>
          <w:marRight w:val="0"/>
          <w:marTop w:val="0"/>
          <w:marBottom w:val="0"/>
          <w:divBdr>
            <w:top w:val="none" w:sz="0" w:space="0" w:color="auto"/>
            <w:left w:val="none" w:sz="0" w:space="0" w:color="auto"/>
            <w:bottom w:val="none" w:sz="0" w:space="0" w:color="auto"/>
            <w:right w:val="none" w:sz="0" w:space="0" w:color="auto"/>
          </w:divBdr>
        </w:div>
        <w:div w:id="1395547798">
          <w:marLeft w:val="480"/>
          <w:marRight w:val="0"/>
          <w:marTop w:val="0"/>
          <w:marBottom w:val="0"/>
          <w:divBdr>
            <w:top w:val="none" w:sz="0" w:space="0" w:color="auto"/>
            <w:left w:val="none" w:sz="0" w:space="0" w:color="auto"/>
            <w:bottom w:val="none" w:sz="0" w:space="0" w:color="auto"/>
            <w:right w:val="none" w:sz="0" w:space="0" w:color="auto"/>
          </w:divBdr>
        </w:div>
        <w:div w:id="1405227243">
          <w:marLeft w:val="480"/>
          <w:marRight w:val="0"/>
          <w:marTop w:val="0"/>
          <w:marBottom w:val="0"/>
          <w:divBdr>
            <w:top w:val="none" w:sz="0" w:space="0" w:color="auto"/>
            <w:left w:val="none" w:sz="0" w:space="0" w:color="auto"/>
            <w:bottom w:val="none" w:sz="0" w:space="0" w:color="auto"/>
            <w:right w:val="none" w:sz="0" w:space="0" w:color="auto"/>
          </w:divBdr>
        </w:div>
        <w:div w:id="143669620">
          <w:marLeft w:val="480"/>
          <w:marRight w:val="0"/>
          <w:marTop w:val="0"/>
          <w:marBottom w:val="0"/>
          <w:divBdr>
            <w:top w:val="none" w:sz="0" w:space="0" w:color="auto"/>
            <w:left w:val="none" w:sz="0" w:space="0" w:color="auto"/>
            <w:bottom w:val="none" w:sz="0" w:space="0" w:color="auto"/>
            <w:right w:val="none" w:sz="0" w:space="0" w:color="auto"/>
          </w:divBdr>
        </w:div>
        <w:div w:id="708919154">
          <w:marLeft w:val="480"/>
          <w:marRight w:val="0"/>
          <w:marTop w:val="0"/>
          <w:marBottom w:val="0"/>
          <w:divBdr>
            <w:top w:val="none" w:sz="0" w:space="0" w:color="auto"/>
            <w:left w:val="none" w:sz="0" w:space="0" w:color="auto"/>
            <w:bottom w:val="none" w:sz="0" w:space="0" w:color="auto"/>
            <w:right w:val="none" w:sz="0" w:space="0" w:color="auto"/>
          </w:divBdr>
        </w:div>
        <w:div w:id="40524388">
          <w:marLeft w:val="480"/>
          <w:marRight w:val="0"/>
          <w:marTop w:val="0"/>
          <w:marBottom w:val="0"/>
          <w:divBdr>
            <w:top w:val="none" w:sz="0" w:space="0" w:color="auto"/>
            <w:left w:val="none" w:sz="0" w:space="0" w:color="auto"/>
            <w:bottom w:val="none" w:sz="0" w:space="0" w:color="auto"/>
            <w:right w:val="none" w:sz="0" w:space="0" w:color="auto"/>
          </w:divBdr>
        </w:div>
        <w:div w:id="1321346775">
          <w:marLeft w:val="480"/>
          <w:marRight w:val="0"/>
          <w:marTop w:val="0"/>
          <w:marBottom w:val="0"/>
          <w:divBdr>
            <w:top w:val="none" w:sz="0" w:space="0" w:color="auto"/>
            <w:left w:val="none" w:sz="0" w:space="0" w:color="auto"/>
            <w:bottom w:val="none" w:sz="0" w:space="0" w:color="auto"/>
            <w:right w:val="none" w:sz="0" w:space="0" w:color="auto"/>
          </w:divBdr>
        </w:div>
        <w:div w:id="745107288">
          <w:marLeft w:val="480"/>
          <w:marRight w:val="0"/>
          <w:marTop w:val="0"/>
          <w:marBottom w:val="0"/>
          <w:divBdr>
            <w:top w:val="none" w:sz="0" w:space="0" w:color="auto"/>
            <w:left w:val="none" w:sz="0" w:space="0" w:color="auto"/>
            <w:bottom w:val="none" w:sz="0" w:space="0" w:color="auto"/>
            <w:right w:val="none" w:sz="0" w:space="0" w:color="auto"/>
          </w:divBdr>
        </w:div>
        <w:div w:id="827938111">
          <w:marLeft w:val="480"/>
          <w:marRight w:val="0"/>
          <w:marTop w:val="0"/>
          <w:marBottom w:val="0"/>
          <w:divBdr>
            <w:top w:val="none" w:sz="0" w:space="0" w:color="auto"/>
            <w:left w:val="none" w:sz="0" w:space="0" w:color="auto"/>
            <w:bottom w:val="none" w:sz="0" w:space="0" w:color="auto"/>
            <w:right w:val="none" w:sz="0" w:space="0" w:color="auto"/>
          </w:divBdr>
        </w:div>
        <w:div w:id="1737319634">
          <w:marLeft w:val="480"/>
          <w:marRight w:val="0"/>
          <w:marTop w:val="0"/>
          <w:marBottom w:val="0"/>
          <w:divBdr>
            <w:top w:val="none" w:sz="0" w:space="0" w:color="auto"/>
            <w:left w:val="none" w:sz="0" w:space="0" w:color="auto"/>
            <w:bottom w:val="none" w:sz="0" w:space="0" w:color="auto"/>
            <w:right w:val="none" w:sz="0" w:space="0" w:color="auto"/>
          </w:divBdr>
        </w:div>
        <w:div w:id="2130317842">
          <w:marLeft w:val="480"/>
          <w:marRight w:val="0"/>
          <w:marTop w:val="0"/>
          <w:marBottom w:val="0"/>
          <w:divBdr>
            <w:top w:val="none" w:sz="0" w:space="0" w:color="auto"/>
            <w:left w:val="none" w:sz="0" w:space="0" w:color="auto"/>
            <w:bottom w:val="none" w:sz="0" w:space="0" w:color="auto"/>
            <w:right w:val="none" w:sz="0" w:space="0" w:color="auto"/>
          </w:divBdr>
        </w:div>
        <w:div w:id="1065252499">
          <w:marLeft w:val="480"/>
          <w:marRight w:val="0"/>
          <w:marTop w:val="0"/>
          <w:marBottom w:val="0"/>
          <w:divBdr>
            <w:top w:val="none" w:sz="0" w:space="0" w:color="auto"/>
            <w:left w:val="none" w:sz="0" w:space="0" w:color="auto"/>
            <w:bottom w:val="none" w:sz="0" w:space="0" w:color="auto"/>
            <w:right w:val="none" w:sz="0" w:space="0" w:color="auto"/>
          </w:divBdr>
        </w:div>
        <w:div w:id="171338691">
          <w:marLeft w:val="480"/>
          <w:marRight w:val="0"/>
          <w:marTop w:val="0"/>
          <w:marBottom w:val="0"/>
          <w:divBdr>
            <w:top w:val="none" w:sz="0" w:space="0" w:color="auto"/>
            <w:left w:val="none" w:sz="0" w:space="0" w:color="auto"/>
            <w:bottom w:val="none" w:sz="0" w:space="0" w:color="auto"/>
            <w:right w:val="none" w:sz="0" w:space="0" w:color="auto"/>
          </w:divBdr>
        </w:div>
        <w:div w:id="1360742987">
          <w:marLeft w:val="480"/>
          <w:marRight w:val="0"/>
          <w:marTop w:val="0"/>
          <w:marBottom w:val="0"/>
          <w:divBdr>
            <w:top w:val="none" w:sz="0" w:space="0" w:color="auto"/>
            <w:left w:val="none" w:sz="0" w:space="0" w:color="auto"/>
            <w:bottom w:val="none" w:sz="0" w:space="0" w:color="auto"/>
            <w:right w:val="none" w:sz="0" w:space="0" w:color="auto"/>
          </w:divBdr>
        </w:div>
      </w:divsChild>
    </w:div>
    <w:div w:id="1441607261">
      <w:bodyDiv w:val="1"/>
      <w:marLeft w:val="0"/>
      <w:marRight w:val="0"/>
      <w:marTop w:val="0"/>
      <w:marBottom w:val="0"/>
      <w:divBdr>
        <w:top w:val="none" w:sz="0" w:space="0" w:color="auto"/>
        <w:left w:val="none" w:sz="0" w:space="0" w:color="auto"/>
        <w:bottom w:val="none" w:sz="0" w:space="0" w:color="auto"/>
        <w:right w:val="none" w:sz="0" w:space="0" w:color="auto"/>
      </w:divBdr>
      <w:divsChild>
        <w:div w:id="742678368">
          <w:marLeft w:val="480"/>
          <w:marRight w:val="0"/>
          <w:marTop w:val="0"/>
          <w:marBottom w:val="0"/>
          <w:divBdr>
            <w:top w:val="none" w:sz="0" w:space="0" w:color="auto"/>
            <w:left w:val="none" w:sz="0" w:space="0" w:color="auto"/>
            <w:bottom w:val="none" w:sz="0" w:space="0" w:color="auto"/>
            <w:right w:val="none" w:sz="0" w:space="0" w:color="auto"/>
          </w:divBdr>
        </w:div>
        <w:div w:id="364449559">
          <w:marLeft w:val="480"/>
          <w:marRight w:val="0"/>
          <w:marTop w:val="0"/>
          <w:marBottom w:val="0"/>
          <w:divBdr>
            <w:top w:val="none" w:sz="0" w:space="0" w:color="auto"/>
            <w:left w:val="none" w:sz="0" w:space="0" w:color="auto"/>
            <w:bottom w:val="none" w:sz="0" w:space="0" w:color="auto"/>
            <w:right w:val="none" w:sz="0" w:space="0" w:color="auto"/>
          </w:divBdr>
        </w:div>
        <w:div w:id="1833523203">
          <w:marLeft w:val="480"/>
          <w:marRight w:val="0"/>
          <w:marTop w:val="0"/>
          <w:marBottom w:val="0"/>
          <w:divBdr>
            <w:top w:val="none" w:sz="0" w:space="0" w:color="auto"/>
            <w:left w:val="none" w:sz="0" w:space="0" w:color="auto"/>
            <w:bottom w:val="none" w:sz="0" w:space="0" w:color="auto"/>
            <w:right w:val="none" w:sz="0" w:space="0" w:color="auto"/>
          </w:divBdr>
        </w:div>
        <w:div w:id="132333249">
          <w:marLeft w:val="480"/>
          <w:marRight w:val="0"/>
          <w:marTop w:val="0"/>
          <w:marBottom w:val="0"/>
          <w:divBdr>
            <w:top w:val="none" w:sz="0" w:space="0" w:color="auto"/>
            <w:left w:val="none" w:sz="0" w:space="0" w:color="auto"/>
            <w:bottom w:val="none" w:sz="0" w:space="0" w:color="auto"/>
            <w:right w:val="none" w:sz="0" w:space="0" w:color="auto"/>
          </w:divBdr>
        </w:div>
        <w:div w:id="16472811">
          <w:marLeft w:val="480"/>
          <w:marRight w:val="0"/>
          <w:marTop w:val="0"/>
          <w:marBottom w:val="0"/>
          <w:divBdr>
            <w:top w:val="none" w:sz="0" w:space="0" w:color="auto"/>
            <w:left w:val="none" w:sz="0" w:space="0" w:color="auto"/>
            <w:bottom w:val="none" w:sz="0" w:space="0" w:color="auto"/>
            <w:right w:val="none" w:sz="0" w:space="0" w:color="auto"/>
          </w:divBdr>
        </w:div>
        <w:div w:id="512888853">
          <w:marLeft w:val="480"/>
          <w:marRight w:val="0"/>
          <w:marTop w:val="0"/>
          <w:marBottom w:val="0"/>
          <w:divBdr>
            <w:top w:val="none" w:sz="0" w:space="0" w:color="auto"/>
            <w:left w:val="none" w:sz="0" w:space="0" w:color="auto"/>
            <w:bottom w:val="none" w:sz="0" w:space="0" w:color="auto"/>
            <w:right w:val="none" w:sz="0" w:space="0" w:color="auto"/>
          </w:divBdr>
        </w:div>
        <w:div w:id="135535238">
          <w:marLeft w:val="480"/>
          <w:marRight w:val="0"/>
          <w:marTop w:val="0"/>
          <w:marBottom w:val="0"/>
          <w:divBdr>
            <w:top w:val="none" w:sz="0" w:space="0" w:color="auto"/>
            <w:left w:val="none" w:sz="0" w:space="0" w:color="auto"/>
            <w:bottom w:val="none" w:sz="0" w:space="0" w:color="auto"/>
            <w:right w:val="none" w:sz="0" w:space="0" w:color="auto"/>
          </w:divBdr>
        </w:div>
        <w:div w:id="109319328">
          <w:marLeft w:val="480"/>
          <w:marRight w:val="0"/>
          <w:marTop w:val="0"/>
          <w:marBottom w:val="0"/>
          <w:divBdr>
            <w:top w:val="none" w:sz="0" w:space="0" w:color="auto"/>
            <w:left w:val="none" w:sz="0" w:space="0" w:color="auto"/>
            <w:bottom w:val="none" w:sz="0" w:space="0" w:color="auto"/>
            <w:right w:val="none" w:sz="0" w:space="0" w:color="auto"/>
          </w:divBdr>
        </w:div>
        <w:div w:id="1067724528">
          <w:marLeft w:val="480"/>
          <w:marRight w:val="0"/>
          <w:marTop w:val="0"/>
          <w:marBottom w:val="0"/>
          <w:divBdr>
            <w:top w:val="none" w:sz="0" w:space="0" w:color="auto"/>
            <w:left w:val="none" w:sz="0" w:space="0" w:color="auto"/>
            <w:bottom w:val="none" w:sz="0" w:space="0" w:color="auto"/>
            <w:right w:val="none" w:sz="0" w:space="0" w:color="auto"/>
          </w:divBdr>
        </w:div>
        <w:div w:id="1051459708">
          <w:marLeft w:val="480"/>
          <w:marRight w:val="0"/>
          <w:marTop w:val="0"/>
          <w:marBottom w:val="0"/>
          <w:divBdr>
            <w:top w:val="none" w:sz="0" w:space="0" w:color="auto"/>
            <w:left w:val="none" w:sz="0" w:space="0" w:color="auto"/>
            <w:bottom w:val="none" w:sz="0" w:space="0" w:color="auto"/>
            <w:right w:val="none" w:sz="0" w:space="0" w:color="auto"/>
          </w:divBdr>
        </w:div>
        <w:div w:id="696195716">
          <w:marLeft w:val="480"/>
          <w:marRight w:val="0"/>
          <w:marTop w:val="0"/>
          <w:marBottom w:val="0"/>
          <w:divBdr>
            <w:top w:val="none" w:sz="0" w:space="0" w:color="auto"/>
            <w:left w:val="none" w:sz="0" w:space="0" w:color="auto"/>
            <w:bottom w:val="none" w:sz="0" w:space="0" w:color="auto"/>
            <w:right w:val="none" w:sz="0" w:space="0" w:color="auto"/>
          </w:divBdr>
        </w:div>
        <w:div w:id="1326587765">
          <w:marLeft w:val="480"/>
          <w:marRight w:val="0"/>
          <w:marTop w:val="0"/>
          <w:marBottom w:val="0"/>
          <w:divBdr>
            <w:top w:val="none" w:sz="0" w:space="0" w:color="auto"/>
            <w:left w:val="none" w:sz="0" w:space="0" w:color="auto"/>
            <w:bottom w:val="none" w:sz="0" w:space="0" w:color="auto"/>
            <w:right w:val="none" w:sz="0" w:space="0" w:color="auto"/>
          </w:divBdr>
        </w:div>
        <w:div w:id="1848252043">
          <w:marLeft w:val="480"/>
          <w:marRight w:val="0"/>
          <w:marTop w:val="0"/>
          <w:marBottom w:val="0"/>
          <w:divBdr>
            <w:top w:val="none" w:sz="0" w:space="0" w:color="auto"/>
            <w:left w:val="none" w:sz="0" w:space="0" w:color="auto"/>
            <w:bottom w:val="none" w:sz="0" w:space="0" w:color="auto"/>
            <w:right w:val="none" w:sz="0" w:space="0" w:color="auto"/>
          </w:divBdr>
        </w:div>
        <w:div w:id="1599096294">
          <w:marLeft w:val="480"/>
          <w:marRight w:val="0"/>
          <w:marTop w:val="0"/>
          <w:marBottom w:val="0"/>
          <w:divBdr>
            <w:top w:val="none" w:sz="0" w:space="0" w:color="auto"/>
            <w:left w:val="none" w:sz="0" w:space="0" w:color="auto"/>
            <w:bottom w:val="none" w:sz="0" w:space="0" w:color="auto"/>
            <w:right w:val="none" w:sz="0" w:space="0" w:color="auto"/>
          </w:divBdr>
        </w:div>
        <w:div w:id="413860516">
          <w:marLeft w:val="480"/>
          <w:marRight w:val="0"/>
          <w:marTop w:val="0"/>
          <w:marBottom w:val="0"/>
          <w:divBdr>
            <w:top w:val="none" w:sz="0" w:space="0" w:color="auto"/>
            <w:left w:val="none" w:sz="0" w:space="0" w:color="auto"/>
            <w:bottom w:val="none" w:sz="0" w:space="0" w:color="auto"/>
            <w:right w:val="none" w:sz="0" w:space="0" w:color="auto"/>
          </w:divBdr>
        </w:div>
        <w:div w:id="1725567649">
          <w:marLeft w:val="480"/>
          <w:marRight w:val="0"/>
          <w:marTop w:val="0"/>
          <w:marBottom w:val="0"/>
          <w:divBdr>
            <w:top w:val="none" w:sz="0" w:space="0" w:color="auto"/>
            <w:left w:val="none" w:sz="0" w:space="0" w:color="auto"/>
            <w:bottom w:val="none" w:sz="0" w:space="0" w:color="auto"/>
            <w:right w:val="none" w:sz="0" w:space="0" w:color="auto"/>
          </w:divBdr>
        </w:div>
        <w:div w:id="1252930752">
          <w:marLeft w:val="480"/>
          <w:marRight w:val="0"/>
          <w:marTop w:val="0"/>
          <w:marBottom w:val="0"/>
          <w:divBdr>
            <w:top w:val="none" w:sz="0" w:space="0" w:color="auto"/>
            <w:left w:val="none" w:sz="0" w:space="0" w:color="auto"/>
            <w:bottom w:val="none" w:sz="0" w:space="0" w:color="auto"/>
            <w:right w:val="none" w:sz="0" w:space="0" w:color="auto"/>
          </w:divBdr>
        </w:div>
        <w:div w:id="1113356631">
          <w:marLeft w:val="480"/>
          <w:marRight w:val="0"/>
          <w:marTop w:val="0"/>
          <w:marBottom w:val="0"/>
          <w:divBdr>
            <w:top w:val="none" w:sz="0" w:space="0" w:color="auto"/>
            <w:left w:val="none" w:sz="0" w:space="0" w:color="auto"/>
            <w:bottom w:val="none" w:sz="0" w:space="0" w:color="auto"/>
            <w:right w:val="none" w:sz="0" w:space="0" w:color="auto"/>
          </w:divBdr>
        </w:div>
        <w:div w:id="608126448">
          <w:marLeft w:val="480"/>
          <w:marRight w:val="0"/>
          <w:marTop w:val="0"/>
          <w:marBottom w:val="0"/>
          <w:divBdr>
            <w:top w:val="none" w:sz="0" w:space="0" w:color="auto"/>
            <w:left w:val="none" w:sz="0" w:space="0" w:color="auto"/>
            <w:bottom w:val="none" w:sz="0" w:space="0" w:color="auto"/>
            <w:right w:val="none" w:sz="0" w:space="0" w:color="auto"/>
          </w:divBdr>
        </w:div>
        <w:div w:id="336929751">
          <w:marLeft w:val="480"/>
          <w:marRight w:val="0"/>
          <w:marTop w:val="0"/>
          <w:marBottom w:val="0"/>
          <w:divBdr>
            <w:top w:val="none" w:sz="0" w:space="0" w:color="auto"/>
            <w:left w:val="none" w:sz="0" w:space="0" w:color="auto"/>
            <w:bottom w:val="none" w:sz="0" w:space="0" w:color="auto"/>
            <w:right w:val="none" w:sz="0" w:space="0" w:color="auto"/>
          </w:divBdr>
        </w:div>
        <w:div w:id="2123304228">
          <w:marLeft w:val="480"/>
          <w:marRight w:val="0"/>
          <w:marTop w:val="0"/>
          <w:marBottom w:val="0"/>
          <w:divBdr>
            <w:top w:val="none" w:sz="0" w:space="0" w:color="auto"/>
            <w:left w:val="none" w:sz="0" w:space="0" w:color="auto"/>
            <w:bottom w:val="none" w:sz="0" w:space="0" w:color="auto"/>
            <w:right w:val="none" w:sz="0" w:space="0" w:color="auto"/>
          </w:divBdr>
        </w:div>
        <w:div w:id="747533198">
          <w:marLeft w:val="480"/>
          <w:marRight w:val="0"/>
          <w:marTop w:val="0"/>
          <w:marBottom w:val="0"/>
          <w:divBdr>
            <w:top w:val="none" w:sz="0" w:space="0" w:color="auto"/>
            <w:left w:val="none" w:sz="0" w:space="0" w:color="auto"/>
            <w:bottom w:val="none" w:sz="0" w:space="0" w:color="auto"/>
            <w:right w:val="none" w:sz="0" w:space="0" w:color="auto"/>
          </w:divBdr>
        </w:div>
        <w:div w:id="1117219840">
          <w:marLeft w:val="480"/>
          <w:marRight w:val="0"/>
          <w:marTop w:val="0"/>
          <w:marBottom w:val="0"/>
          <w:divBdr>
            <w:top w:val="none" w:sz="0" w:space="0" w:color="auto"/>
            <w:left w:val="none" w:sz="0" w:space="0" w:color="auto"/>
            <w:bottom w:val="none" w:sz="0" w:space="0" w:color="auto"/>
            <w:right w:val="none" w:sz="0" w:space="0" w:color="auto"/>
          </w:divBdr>
        </w:div>
        <w:div w:id="1635090351">
          <w:marLeft w:val="480"/>
          <w:marRight w:val="0"/>
          <w:marTop w:val="0"/>
          <w:marBottom w:val="0"/>
          <w:divBdr>
            <w:top w:val="none" w:sz="0" w:space="0" w:color="auto"/>
            <w:left w:val="none" w:sz="0" w:space="0" w:color="auto"/>
            <w:bottom w:val="none" w:sz="0" w:space="0" w:color="auto"/>
            <w:right w:val="none" w:sz="0" w:space="0" w:color="auto"/>
          </w:divBdr>
        </w:div>
        <w:div w:id="2029982636">
          <w:marLeft w:val="480"/>
          <w:marRight w:val="0"/>
          <w:marTop w:val="0"/>
          <w:marBottom w:val="0"/>
          <w:divBdr>
            <w:top w:val="none" w:sz="0" w:space="0" w:color="auto"/>
            <w:left w:val="none" w:sz="0" w:space="0" w:color="auto"/>
            <w:bottom w:val="none" w:sz="0" w:space="0" w:color="auto"/>
            <w:right w:val="none" w:sz="0" w:space="0" w:color="auto"/>
          </w:divBdr>
        </w:div>
        <w:div w:id="911353525">
          <w:marLeft w:val="480"/>
          <w:marRight w:val="0"/>
          <w:marTop w:val="0"/>
          <w:marBottom w:val="0"/>
          <w:divBdr>
            <w:top w:val="none" w:sz="0" w:space="0" w:color="auto"/>
            <w:left w:val="none" w:sz="0" w:space="0" w:color="auto"/>
            <w:bottom w:val="none" w:sz="0" w:space="0" w:color="auto"/>
            <w:right w:val="none" w:sz="0" w:space="0" w:color="auto"/>
          </w:divBdr>
        </w:div>
        <w:div w:id="1854566968">
          <w:marLeft w:val="480"/>
          <w:marRight w:val="0"/>
          <w:marTop w:val="0"/>
          <w:marBottom w:val="0"/>
          <w:divBdr>
            <w:top w:val="none" w:sz="0" w:space="0" w:color="auto"/>
            <w:left w:val="none" w:sz="0" w:space="0" w:color="auto"/>
            <w:bottom w:val="none" w:sz="0" w:space="0" w:color="auto"/>
            <w:right w:val="none" w:sz="0" w:space="0" w:color="auto"/>
          </w:divBdr>
        </w:div>
        <w:div w:id="44958704">
          <w:marLeft w:val="480"/>
          <w:marRight w:val="0"/>
          <w:marTop w:val="0"/>
          <w:marBottom w:val="0"/>
          <w:divBdr>
            <w:top w:val="none" w:sz="0" w:space="0" w:color="auto"/>
            <w:left w:val="none" w:sz="0" w:space="0" w:color="auto"/>
            <w:bottom w:val="none" w:sz="0" w:space="0" w:color="auto"/>
            <w:right w:val="none" w:sz="0" w:space="0" w:color="auto"/>
          </w:divBdr>
        </w:div>
        <w:div w:id="370305591">
          <w:marLeft w:val="480"/>
          <w:marRight w:val="0"/>
          <w:marTop w:val="0"/>
          <w:marBottom w:val="0"/>
          <w:divBdr>
            <w:top w:val="none" w:sz="0" w:space="0" w:color="auto"/>
            <w:left w:val="none" w:sz="0" w:space="0" w:color="auto"/>
            <w:bottom w:val="none" w:sz="0" w:space="0" w:color="auto"/>
            <w:right w:val="none" w:sz="0" w:space="0" w:color="auto"/>
          </w:divBdr>
        </w:div>
        <w:div w:id="1790316063">
          <w:marLeft w:val="480"/>
          <w:marRight w:val="0"/>
          <w:marTop w:val="0"/>
          <w:marBottom w:val="0"/>
          <w:divBdr>
            <w:top w:val="none" w:sz="0" w:space="0" w:color="auto"/>
            <w:left w:val="none" w:sz="0" w:space="0" w:color="auto"/>
            <w:bottom w:val="none" w:sz="0" w:space="0" w:color="auto"/>
            <w:right w:val="none" w:sz="0" w:space="0" w:color="auto"/>
          </w:divBdr>
        </w:div>
        <w:div w:id="1430352602">
          <w:marLeft w:val="480"/>
          <w:marRight w:val="0"/>
          <w:marTop w:val="0"/>
          <w:marBottom w:val="0"/>
          <w:divBdr>
            <w:top w:val="none" w:sz="0" w:space="0" w:color="auto"/>
            <w:left w:val="none" w:sz="0" w:space="0" w:color="auto"/>
            <w:bottom w:val="none" w:sz="0" w:space="0" w:color="auto"/>
            <w:right w:val="none" w:sz="0" w:space="0" w:color="auto"/>
          </w:divBdr>
        </w:div>
        <w:div w:id="1314336000">
          <w:marLeft w:val="480"/>
          <w:marRight w:val="0"/>
          <w:marTop w:val="0"/>
          <w:marBottom w:val="0"/>
          <w:divBdr>
            <w:top w:val="none" w:sz="0" w:space="0" w:color="auto"/>
            <w:left w:val="none" w:sz="0" w:space="0" w:color="auto"/>
            <w:bottom w:val="none" w:sz="0" w:space="0" w:color="auto"/>
            <w:right w:val="none" w:sz="0" w:space="0" w:color="auto"/>
          </w:divBdr>
        </w:div>
        <w:div w:id="1966422705">
          <w:marLeft w:val="480"/>
          <w:marRight w:val="0"/>
          <w:marTop w:val="0"/>
          <w:marBottom w:val="0"/>
          <w:divBdr>
            <w:top w:val="none" w:sz="0" w:space="0" w:color="auto"/>
            <w:left w:val="none" w:sz="0" w:space="0" w:color="auto"/>
            <w:bottom w:val="none" w:sz="0" w:space="0" w:color="auto"/>
            <w:right w:val="none" w:sz="0" w:space="0" w:color="auto"/>
          </w:divBdr>
        </w:div>
        <w:div w:id="572742648">
          <w:marLeft w:val="480"/>
          <w:marRight w:val="0"/>
          <w:marTop w:val="0"/>
          <w:marBottom w:val="0"/>
          <w:divBdr>
            <w:top w:val="none" w:sz="0" w:space="0" w:color="auto"/>
            <w:left w:val="none" w:sz="0" w:space="0" w:color="auto"/>
            <w:bottom w:val="none" w:sz="0" w:space="0" w:color="auto"/>
            <w:right w:val="none" w:sz="0" w:space="0" w:color="auto"/>
          </w:divBdr>
        </w:div>
        <w:div w:id="1260721020">
          <w:marLeft w:val="480"/>
          <w:marRight w:val="0"/>
          <w:marTop w:val="0"/>
          <w:marBottom w:val="0"/>
          <w:divBdr>
            <w:top w:val="none" w:sz="0" w:space="0" w:color="auto"/>
            <w:left w:val="none" w:sz="0" w:space="0" w:color="auto"/>
            <w:bottom w:val="none" w:sz="0" w:space="0" w:color="auto"/>
            <w:right w:val="none" w:sz="0" w:space="0" w:color="auto"/>
          </w:divBdr>
        </w:div>
        <w:div w:id="57288682">
          <w:marLeft w:val="480"/>
          <w:marRight w:val="0"/>
          <w:marTop w:val="0"/>
          <w:marBottom w:val="0"/>
          <w:divBdr>
            <w:top w:val="none" w:sz="0" w:space="0" w:color="auto"/>
            <w:left w:val="none" w:sz="0" w:space="0" w:color="auto"/>
            <w:bottom w:val="none" w:sz="0" w:space="0" w:color="auto"/>
            <w:right w:val="none" w:sz="0" w:space="0" w:color="auto"/>
          </w:divBdr>
        </w:div>
        <w:div w:id="1481457304">
          <w:marLeft w:val="480"/>
          <w:marRight w:val="0"/>
          <w:marTop w:val="0"/>
          <w:marBottom w:val="0"/>
          <w:divBdr>
            <w:top w:val="none" w:sz="0" w:space="0" w:color="auto"/>
            <w:left w:val="none" w:sz="0" w:space="0" w:color="auto"/>
            <w:bottom w:val="none" w:sz="0" w:space="0" w:color="auto"/>
            <w:right w:val="none" w:sz="0" w:space="0" w:color="auto"/>
          </w:divBdr>
        </w:div>
        <w:div w:id="1740253950">
          <w:marLeft w:val="480"/>
          <w:marRight w:val="0"/>
          <w:marTop w:val="0"/>
          <w:marBottom w:val="0"/>
          <w:divBdr>
            <w:top w:val="none" w:sz="0" w:space="0" w:color="auto"/>
            <w:left w:val="none" w:sz="0" w:space="0" w:color="auto"/>
            <w:bottom w:val="none" w:sz="0" w:space="0" w:color="auto"/>
            <w:right w:val="none" w:sz="0" w:space="0" w:color="auto"/>
          </w:divBdr>
        </w:div>
        <w:div w:id="1773084185">
          <w:marLeft w:val="480"/>
          <w:marRight w:val="0"/>
          <w:marTop w:val="0"/>
          <w:marBottom w:val="0"/>
          <w:divBdr>
            <w:top w:val="none" w:sz="0" w:space="0" w:color="auto"/>
            <w:left w:val="none" w:sz="0" w:space="0" w:color="auto"/>
            <w:bottom w:val="none" w:sz="0" w:space="0" w:color="auto"/>
            <w:right w:val="none" w:sz="0" w:space="0" w:color="auto"/>
          </w:divBdr>
        </w:div>
        <w:div w:id="979116491">
          <w:marLeft w:val="480"/>
          <w:marRight w:val="0"/>
          <w:marTop w:val="0"/>
          <w:marBottom w:val="0"/>
          <w:divBdr>
            <w:top w:val="none" w:sz="0" w:space="0" w:color="auto"/>
            <w:left w:val="none" w:sz="0" w:space="0" w:color="auto"/>
            <w:bottom w:val="none" w:sz="0" w:space="0" w:color="auto"/>
            <w:right w:val="none" w:sz="0" w:space="0" w:color="auto"/>
          </w:divBdr>
        </w:div>
        <w:div w:id="2008362778">
          <w:marLeft w:val="480"/>
          <w:marRight w:val="0"/>
          <w:marTop w:val="0"/>
          <w:marBottom w:val="0"/>
          <w:divBdr>
            <w:top w:val="none" w:sz="0" w:space="0" w:color="auto"/>
            <w:left w:val="none" w:sz="0" w:space="0" w:color="auto"/>
            <w:bottom w:val="none" w:sz="0" w:space="0" w:color="auto"/>
            <w:right w:val="none" w:sz="0" w:space="0" w:color="auto"/>
          </w:divBdr>
        </w:div>
        <w:div w:id="160123167">
          <w:marLeft w:val="480"/>
          <w:marRight w:val="0"/>
          <w:marTop w:val="0"/>
          <w:marBottom w:val="0"/>
          <w:divBdr>
            <w:top w:val="none" w:sz="0" w:space="0" w:color="auto"/>
            <w:left w:val="none" w:sz="0" w:space="0" w:color="auto"/>
            <w:bottom w:val="none" w:sz="0" w:space="0" w:color="auto"/>
            <w:right w:val="none" w:sz="0" w:space="0" w:color="auto"/>
          </w:divBdr>
        </w:div>
        <w:div w:id="1177843126">
          <w:marLeft w:val="480"/>
          <w:marRight w:val="0"/>
          <w:marTop w:val="0"/>
          <w:marBottom w:val="0"/>
          <w:divBdr>
            <w:top w:val="none" w:sz="0" w:space="0" w:color="auto"/>
            <w:left w:val="none" w:sz="0" w:space="0" w:color="auto"/>
            <w:bottom w:val="none" w:sz="0" w:space="0" w:color="auto"/>
            <w:right w:val="none" w:sz="0" w:space="0" w:color="auto"/>
          </w:divBdr>
        </w:div>
        <w:div w:id="24990729">
          <w:marLeft w:val="480"/>
          <w:marRight w:val="0"/>
          <w:marTop w:val="0"/>
          <w:marBottom w:val="0"/>
          <w:divBdr>
            <w:top w:val="none" w:sz="0" w:space="0" w:color="auto"/>
            <w:left w:val="none" w:sz="0" w:space="0" w:color="auto"/>
            <w:bottom w:val="none" w:sz="0" w:space="0" w:color="auto"/>
            <w:right w:val="none" w:sz="0" w:space="0" w:color="auto"/>
          </w:divBdr>
        </w:div>
        <w:div w:id="2093970092">
          <w:marLeft w:val="480"/>
          <w:marRight w:val="0"/>
          <w:marTop w:val="0"/>
          <w:marBottom w:val="0"/>
          <w:divBdr>
            <w:top w:val="none" w:sz="0" w:space="0" w:color="auto"/>
            <w:left w:val="none" w:sz="0" w:space="0" w:color="auto"/>
            <w:bottom w:val="none" w:sz="0" w:space="0" w:color="auto"/>
            <w:right w:val="none" w:sz="0" w:space="0" w:color="auto"/>
          </w:divBdr>
        </w:div>
        <w:div w:id="1554072417">
          <w:marLeft w:val="480"/>
          <w:marRight w:val="0"/>
          <w:marTop w:val="0"/>
          <w:marBottom w:val="0"/>
          <w:divBdr>
            <w:top w:val="none" w:sz="0" w:space="0" w:color="auto"/>
            <w:left w:val="none" w:sz="0" w:space="0" w:color="auto"/>
            <w:bottom w:val="none" w:sz="0" w:space="0" w:color="auto"/>
            <w:right w:val="none" w:sz="0" w:space="0" w:color="auto"/>
          </w:divBdr>
        </w:div>
        <w:div w:id="181668729">
          <w:marLeft w:val="480"/>
          <w:marRight w:val="0"/>
          <w:marTop w:val="0"/>
          <w:marBottom w:val="0"/>
          <w:divBdr>
            <w:top w:val="none" w:sz="0" w:space="0" w:color="auto"/>
            <w:left w:val="none" w:sz="0" w:space="0" w:color="auto"/>
            <w:bottom w:val="none" w:sz="0" w:space="0" w:color="auto"/>
            <w:right w:val="none" w:sz="0" w:space="0" w:color="auto"/>
          </w:divBdr>
        </w:div>
        <w:div w:id="559678120">
          <w:marLeft w:val="480"/>
          <w:marRight w:val="0"/>
          <w:marTop w:val="0"/>
          <w:marBottom w:val="0"/>
          <w:divBdr>
            <w:top w:val="none" w:sz="0" w:space="0" w:color="auto"/>
            <w:left w:val="none" w:sz="0" w:space="0" w:color="auto"/>
            <w:bottom w:val="none" w:sz="0" w:space="0" w:color="auto"/>
            <w:right w:val="none" w:sz="0" w:space="0" w:color="auto"/>
          </w:divBdr>
        </w:div>
        <w:div w:id="2011759475">
          <w:marLeft w:val="480"/>
          <w:marRight w:val="0"/>
          <w:marTop w:val="0"/>
          <w:marBottom w:val="0"/>
          <w:divBdr>
            <w:top w:val="none" w:sz="0" w:space="0" w:color="auto"/>
            <w:left w:val="none" w:sz="0" w:space="0" w:color="auto"/>
            <w:bottom w:val="none" w:sz="0" w:space="0" w:color="auto"/>
            <w:right w:val="none" w:sz="0" w:space="0" w:color="auto"/>
          </w:divBdr>
        </w:div>
        <w:div w:id="1666473453">
          <w:marLeft w:val="480"/>
          <w:marRight w:val="0"/>
          <w:marTop w:val="0"/>
          <w:marBottom w:val="0"/>
          <w:divBdr>
            <w:top w:val="none" w:sz="0" w:space="0" w:color="auto"/>
            <w:left w:val="none" w:sz="0" w:space="0" w:color="auto"/>
            <w:bottom w:val="none" w:sz="0" w:space="0" w:color="auto"/>
            <w:right w:val="none" w:sz="0" w:space="0" w:color="auto"/>
          </w:divBdr>
        </w:div>
        <w:div w:id="42297347">
          <w:marLeft w:val="480"/>
          <w:marRight w:val="0"/>
          <w:marTop w:val="0"/>
          <w:marBottom w:val="0"/>
          <w:divBdr>
            <w:top w:val="none" w:sz="0" w:space="0" w:color="auto"/>
            <w:left w:val="none" w:sz="0" w:space="0" w:color="auto"/>
            <w:bottom w:val="none" w:sz="0" w:space="0" w:color="auto"/>
            <w:right w:val="none" w:sz="0" w:space="0" w:color="auto"/>
          </w:divBdr>
        </w:div>
        <w:div w:id="1779642522">
          <w:marLeft w:val="480"/>
          <w:marRight w:val="0"/>
          <w:marTop w:val="0"/>
          <w:marBottom w:val="0"/>
          <w:divBdr>
            <w:top w:val="none" w:sz="0" w:space="0" w:color="auto"/>
            <w:left w:val="none" w:sz="0" w:space="0" w:color="auto"/>
            <w:bottom w:val="none" w:sz="0" w:space="0" w:color="auto"/>
            <w:right w:val="none" w:sz="0" w:space="0" w:color="auto"/>
          </w:divBdr>
        </w:div>
        <w:div w:id="397749430">
          <w:marLeft w:val="480"/>
          <w:marRight w:val="0"/>
          <w:marTop w:val="0"/>
          <w:marBottom w:val="0"/>
          <w:divBdr>
            <w:top w:val="none" w:sz="0" w:space="0" w:color="auto"/>
            <w:left w:val="none" w:sz="0" w:space="0" w:color="auto"/>
            <w:bottom w:val="none" w:sz="0" w:space="0" w:color="auto"/>
            <w:right w:val="none" w:sz="0" w:space="0" w:color="auto"/>
          </w:divBdr>
        </w:div>
        <w:div w:id="1347176060">
          <w:marLeft w:val="480"/>
          <w:marRight w:val="0"/>
          <w:marTop w:val="0"/>
          <w:marBottom w:val="0"/>
          <w:divBdr>
            <w:top w:val="none" w:sz="0" w:space="0" w:color="auto"/>
            <w:left w:val="none" w:sz="0" w:space="0" w:color="auto"/>
            <w:bottom w:val="none" w:sz="0" w:space="0" w:color="auto"/>
            <w:right w:val="none" w:sz="0" w:space="0" w:color="auto"/>
          </w:divBdr>
        </w:div>
        <w:div w:id="750008078">
          <w:marLeft w:val="480"/>
          <w:marRight w:val="0"/>
          <w:marTop w:val="0"/>
          <w:marBottom w:val="0"/>
          <w:divBdr>
            <w:top w:val="none" w:sz="0" w:space="0" w:color="auto"/>
            <w:left w:val="none" w:sz="0" w:space="0" w:color="auto"/>
            <w:bottom w:val="none" w:sz="0" w:space="0" w:color="auto"/>
            <w:right w:val="none" w:sz="0" w:space="0" w:color="auto"/>
          </w:divBdr>
        </w:div>
        <w:div w:id="954362985">
          <w:marLeft w:val="480"/>
          <w:marRight w:val="0"/>
          <w:marTop w:val="0"/>
          <w:marBottom w:val="0"/>
          <w:divBdr>
            <w:top w:val="none" w:sz="0" w:space="0" w:color="auto"/>
            <w:left w:val="none" w:sz="0" w:space="0" w:color="auto"/>
            <w:bottom w:val="none" w:sz="0" w:space="0" w:color="auto"/>
            <w:right w:val="none" w:sz="0" w:space="0" w:color="auto"/>
          </w:divBdr>
        </w:div>
        <w:div w:id="742340485">
          <w:marLeft w:val="480"/>
          <w:marRight w:val="0"/>
          <w:marTop w:val="0"/>
          <w:marBottom w:val="0"/>
          <w:divBdr>
            <w:top w:val="none" w:sz="0" w:space="0" w:color="auto"/>
            <w:left w:val="none" w:sz="0" w:space="0" w:color="auto"/>
            <w:bottom w:val="none" w:sz="0" w:space="0" w:color="auto"/>
            <w:right w:val="none" w:sz="0" w:space="0" w:color="auto"/>
          </w:divBdr>
        </w:div>
        <w:div w:id="98454378">
          <w:marLeft w:val="480"/>
          <w:marRight w:val="0"/>
          <w:marTop w:val="0"/>
          <w:marBottom w:val="0"/>
          <w:divBdr>
            <w:top w:val="none" w:sz="0" w:space="0" w:color="auto"/>
            <w:left w:val="none" w:sz="0" w:space="0" w:color="auto"/>
            <w:bottom w:val="none" w:sz="0" w:space="0" w:color="auto"/>
            <w:right w:val="none" w:sz="0" w:space="0" w:color="auto"/>
          </w:divBdr>
        </w:div>
        <w:div w:id="857473660">
          <w:marLeft w:val="480"/>
          <w:marRight w:val="0"/>
          <w:marTop w:val="0"/>
          <w:marBottom w:val="0"/>
          <w:divBdr>
            <w:top w:val="none" w:sz="0" w:space="0" w:color="auto"/>
            <w:left w:val="none" w:sz="0" w:space="0" w:color="auto"/>
            <w:bottom w:val="none" w:sz="0" w:space="0" w:color="auto"/>
            <w:right w:val="none" w:sz="0" w:space="0" w:color="auto"/>
          </w:divBdr>
        </w:div>
        <w:div w:id="1515611248">
          <w:marLeft w:val="480"/>
          <w:marRight w:val="0"/>
          <w:marTop w:val="0"/>
          <w:marBottom w:val="0"/>
          <w:divBdr>
            <w:top w:val="none" w:sz="0" w:space="0" w:color="auto"/>
            <w:left w:val="none" w:sz="0" w:space="0" w:color="auto"/>
            <w:bottom w:val="none" w:sz="0" w:space="0" w:color="auto"/>
            <w:right w:val="none" w:sz="0" w:space="0" w:color="auto"/>
          </w:divBdr>
        </w:div>
        <w:div w:id="1117212405">
          <w:marLeft w:val="480"/>
          <w:marRight w:val="0"/>
          <w:marTop w:val="0"/>
          <w:marBottom w:val="0"/>
          <w:divBdr>
            <w:top w:val="none" w:sz="0" w:space="0" w:color="auto"/>
            <w:left w:val="none" w:sz="0" w:space="0" w:color="auto"/>
            <w:bottom w:val="none" w:sz="0" w:space="0" w:color="auto"/>
            <w:right w:val="none" w:sz="0" w:space="0" w:color="auto"/>
          </w:divBdr>
        </w:div>
        <w:div w:id="460154350">
          <w:marLeft w:val="480"/>
          <w:marRight w:val="0"/>
          <w:marTop w:val="0"/>
          <w:marBottom w:val="0"/>
          <w:divBdr>
            <w:top w:val="none" w:sz="0" w:space="0" w:color="auto"/>
            <w:left w:val="none" w:sz="0" w:space="0" w:color="auto"/>
            <w:bottom w:val="none" w:sz="0" w:space="0" w:color="auto"/>
            <w:right w:val="none" w:sz="0" w:space="0" w:color="auto"/>
          </w:divBdr>
        </w:div>
        <w:div w:id="344944340">
          <w:marLeft w:val="480"/>
          <w:marRight w:val="0"/>
          <w:marTop w:val="0"/>
          <w:marBottom w:val="0"/>
          <w:divBdr>
            <w:top w:val="none" w:sz="0" w:space="0" w:color="auto"/>
            <w:left w:val="none" w:sz="0" w:space="0" w:color="auto"/>
            <w:bottom w:val="none" w:sz="0" w:space="0" w:color="auto"/>
            <w:right w:val="none" w:sz="0" w:space="0" w:color="auto"/>
          </w:divBdr>
        </w:div>
        <w:div w:id="1595090301">
          <w:marLeft w:val="480"/>
          <w:marRight w:val="0"/>
          <w:marTop w:val="0"/>
          <w:marBottom w:val="0"/>
          <w:divBdr>
            <w:top w:val="none" w:sz="0" w:space="0" w:color="auto"/>
            <w:left w:val="none" w:sz="0" w:space="0" w:color="auto"/>
            <w:bottom w:val="none" w:sz="0" w:space="0" w:color="auto"/>
            <w:right w:val="none" w:sz="0" w:space="0" w:color="auto"/>
          </w:divBdr>
        </w:div>
        <w:div w:id="957107087">
          <w:marLeft w:val="480"/>
          <w:marRight w:val="0"/>
          <w:marTop w:val="0"/>
          <w:marBottom w:val="0"/>
          <w:divBdr>
            <w:top w:val="none" w:sz="0" w:space="0" w:color="auto"/>
            <w:left w:val="none" w:sz="0" w:space="0" w:color="auto"/>
            <w:bottom w:val="none" w:sz="0" w:space="0" w:color="auto"/>
            <w:right w:val="none" w:sz="0" w:space="0" w:color="auto"/>
          </w:divBdr>
        </w:div>
        <w:div w:id="1072386245">
          <w:marLeft w:val="480"/>
          <w:marRight w:val="0"/>
          <w:marTop w:val="0"/>
          <w:marBottom w:val="0"/>
          <w:divBdr>
            <w:top w:val="none" w:sz="0" w:space="0" w:color="auto"/>
            <w:left w:val="none" w:sz="0" w:space="0" w:color="auto"/>
            <w:bottom w:val="none" w:sz="0" w:space="0" w:color="auto"/>
            <w:right w:val="none" w:sz="0" w:space="0" w:color="auto"/>
          </w:divBdr>
        </w:div>
        <w:div w:id="1196429100">
          <w:marLeft w:val="480"/>
          <w:marRight w:val="0"/>
          <w:marTop w:val="0"/>
          <w:marBottom w:val="0"/>
          <w:divBdr>
            <w:top w:val="none" w:sz="0" w:space="0" w:color="auto"/>
            <w:left w:val="none" w:sz="0" w:space="0" w:color="auto"/>
            <w:bottom w:val="none" w:sz="0" w:space="0" w:color="auto"/>
            <w:right w:val="none" w:sz="0" w:space="0" w:color="auto"/>
          </w:divBdr>
        </w:div>
        <w:div w:id="298851020">
          <w:marLeft w:val="480"/>
          <w:marRight w:val="0"/>
          <w:marTop w:val="0"/>
          <w:marBottom w:val="0"/>
          <w:divBdr>
            <w:top w:val="none" w:sz="0" w:space="0" w:color="auto"/>
            <w:left w:val="none" w:sz="0" w:space="0" w:color="auto"/>
            <w:bottom w:val="none" w:sz="0" w:space="0" w:color="auto"/>
            <w:right w:val="none" w:sz="0" w:space="0" w:color="auto"/>
          </w:divBdr>
        </w:div>
        <w:div w:id="492337618">
          <w:marLeft w:val="480"/>
          <w:marRight w:val="0"/>
          <w:marTop w:val="0"/>
          <w:marBottom w:val="0"/>
          <w:divBdr>
            <w:top w:val="none" w:sz="0" w:space="0" w:color="auto"/>
            <w:left w:val="none" w:sz="0" w:space="0" w:color="auto"/>
            <w:bottom w:val="none" w:sz="0" w:space="0" w:color="auto"/>
            <w:right w:val="none" w:sz="0" w:space="0" w:color="auto"/>
          </w:divBdr>
        </w:div>
        <w:div w:id="702948244">
          <w:marLeft w:val="480"/>
          <w:marRight w:val="0"/>
          <w:marTop w:val="0"/>
          <w:marBottom w:val="0"/>
          <w:divBdr>
            <w:top w:val="none" w:sz="0" w:space="0" w:color="auto"/>
            <w:left w:val="none" w:sz="0" w:space="0" w:color="auto"/>
            <w:bottom w:val="none" w:sz="0" w:space="0" w:color="auto"/>
            <w:right w:val="none" w:sz="0" w:space="0" w:color="auto"/>
          </w:divBdr>
        </w:div>
        <w:div w:id="1973365497">
          <w:marLeft w:val="480"/>
          <w:marRight w:val="0"/>
          <w:marTop w:val="0"/>
          <w:marBottom w:val="0"/>
          <w:divBdr>
            <w:top w:val="none" w:sz="0" w:space="0" w:color="auto"/>
            <w:left w:val="none" w:sz="0" w:space="0" w:color="auto"/>
            <w:bottom w:val="none" w:sz="0" w:space="0" w:color="auto"/>
            <w:right w:val="none" w:sz="0" w:space="0" w:color="auto"/>
          </w:divBdr>
        </w:div>
        <w:div w:id="392781472">
          <w:marLeft w:val="480"/>
          <w:marRight w:val="0"/>
          <w:marTop w:val="0"/>
          <w:marBottom w:val="0"/>
          <w:divBdr>
            <w:top w:val="none" w:sz="0" w:space="0" w:color="auto"/>
            <w:left w:val="none" w:sz="0" w:space="0" w:color="auto"/>
            <w:bottom w:val="none" w:sz="0" w:space="0" w:color="auto"/>
            <w:right w:val="none" w:sz="0" w:space="0" w:color="auto"/>
          </w:divBdr>
        </w:div>
        <w:div w:id="876552937">
          <w:marLeft w:val="480"/>
          <w:marRight w:val="0"/>
          <w:marTop w:val="0"/>
          <w:marBottom w:val="0"/>
          <w:divBdr>
            <w:top w:val="none" w:sz="0" w:space="0" w:color="auto"/>
            <w:left w:val="none" w:sz="0" w:space="0" w:color="auto"/>
            <w:bottom w:val="none" w:sz="0" w:space="0" w:color="auto"/>
            <w:right w:val="none" w:sz="0" w:space="0" w:color="auto"/>
          </w:divBdr>
        </w:div>
        <w:div w:id="1756824098">
          <w:marLeft w:val="480"/>
          <w:marRight w:val="0"/>
          <w:marTop w:val="0"/>
          <w:marBottom w:val="0"/>
          <w:divBdr>
            <w:top w:val="none" w:sz="0" w:space="0" w:color="auto"/>
            <w:left w:val="none" w:sz="0" w:space="0" w:color="auto"/>
            <w:bottom w:val="none" w:sz="0" w:space="0" w:color="auto"/>
            <w:right w:val="none" w:sz="0" w:space="0" w:color="auto"/>
          </w:divBdr>
        </w:div>
        <w:div w:id="1682967770">
          <w:marLeft w:val="480"/>
          <w:marRight w:val="0"/>
          <w:marTop w:val="0"/>
          <w:marBottom w:val="0"/>
          <w:divBdr>
            <w:top w:val="none" w:sz="0" w:space="0" w:color="auto"/>
            <w:left w:val="none" w:sz="0" w:space="0" w:color="auto"/>
            <w:bottom w:val="none" w:sz="0" w:space="0" w:color="auto"/>
            <w:right w:val="none" w:sz="0" w:space="0" w:color="auto"/>
          </w:divBdr>
        </w:div>
        <w:div w:id="594485938">
          <w:marLeft w:val="480"/>
          <w:marRight w:val="0"/>
          <w:marTop w:val="0"/>
          <w:marBottom w:val="0"/>
          <w:divBdr>
            <w:top w:val="none" w:sz="0" w:space="0" w:color="auto"/>
            <w:left w:val="none" w:sz="0" w:space="0" w:color="auto"/>
            <w:bottom w:val="none" w:sz="0" w:space="0" w:color="auto"/>
            <w:right w:val="none" w:sz="0" w:space="0" w:color="auto"/>
          </w:divBdr>
        </w:div>
        <w:div w:id="373426077">
          <w:marLeft w:val="480"/>
          <w:marRight w:val="0"/>
          <w:marTop w:val="0"/>
          <w:marBottom w:val="0"/>
          <w:divBdr>
            <w:top w:val="none" w:sz="0" w:space="0" w:color="auto"/>
            <w:left w:val="none" w:sz="0" w:space="0" w:color="auto"/>
            <w:bottom w:val="none" w:sz="0" w:space="0" w:color="auto"/>
            <w:right w:val="none" w:sz="0" w:space="0" w:color="auto"/>
          </w:divBdr>
        </w:div>
        <w:div w:id="181015559">
          <w:marLeft w:val="480"/>
          <w:marRight w:val="0"/>
          <w:marTop w:val="0"/>
          <w:marBottom w:val="0"/>
          <w:divBdr>
            <w:top w:val="none" w:sz="0" w:space="0" w:color="auto"/>
            <w:left w:val="none" w:sz="0" w:space="0" w:color="auto"/>
            <w:bottom w:val="none" w:sz="0" w:space="0" w:color="auto"/>
            <w:right w:val="none" w:sz="0" w:space="0" w:color="auto"/>
          </w:divBdr>
        </w:div>
      </w:divsChild>
    </w:div>
    <w:div w:id="1453087873">
      <w:bodyDiv w:val="1"/>
      <w:marLeft w:val="0"/>
      <w:marRight w:val="0"/>
      <w:marTop w:val="0"/>
      <w:marBottom w:val="0"/>
      <w:divBdr>
        <w:top w:val="none" w:sz="0" w:space="0" w:color="auto"/>
        <w:left w:val="none" w:sz="0" w:space="0" w:color="auto"/>
        <w:bottom w:val="none" w:sz="0" w:space="0" w:color="auto"/>
        <w:right w:val="none" w:sz="0" w:space="0" w:color="auto"/>
      </w:divBdr>
    </w:div>
    <w:div w:id="1786150103">
      <w:bodyDiv w:val="1"/>
      <w:marLeft w:val="0"/>
      <w:marRight w:val="0"/>
      <w:marTop w:val="0"/>
      <w:marBottom w:val="0"/>
      <w:divBdr>
        <w:top w:val="none" w:sz="0" w:space="0" w:color="auto"/>
        <w:left w:val="none" w:sz="0" w:space="0" w:color="auto"/>
        <w:bottom w:val="none" w:sz="0" w:space="0" w:color="auto"/>
        <w:right w:val="none" w:sz="0" w:space="0" w:color="auto"/>
      </w:divBdr>
    </w:div>
    <w:div w:id="1836336619">
      <w:bodyDiv w:val="1"/>
      <w:marLeft w:val="0"/>
      <w:marRight w:val="0"/>
      <w:marTop w:val="0"/>
      <w:marBottom w:val="0"/>
      <w:divBdr>
        <w:top w:val="none" w:sz="0" w:space="0" w:color="auto"/>
        <w:left w:val="none" w:sz="0" w:space="0" w:color="auto"/>
        <w:bottom w:val="none" w:sz="0" w:space="0" w:color="auto"/>
        <w:right w:val="none" w:sz="0" w:space="0" w:color="auto"/>
      </w:divBdr>
    </w:div>
    <w:div w:id="193273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dependent.co.uk/arts-entertainment/books/reviews/girls-of-riyadh-by-rajaa-alsanea-trans-marilyn-booth-5334374.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B598418A69DF419AA18F42C6C8AF78"/>
        <w:category>
          <w:name w:val="General"/>
          <w:gallery w:val="placeholder"/>
        </w:category>
        <w:types>
          <w:type w:val="bbPlcHdr"/>
        </w:types>
        <w:behaviors>
          <w:behavior w:val="content"/>
        </w:behaviors>
        <w:guid w:val="{6A917C65-FD7D-B64F-A1E3-4AF7AA62539D}"/>
      </w:docPartPr>
      <w:docPartBody>
        <w:p w:rsidR="009F3DB1" w:rsidRDefault="00704026" w:rsidP="00704026">
          <w:pPr>
            <w:pStyle w:val="D7B598418A69DF419AA18F42C6C8AF78"/>
          </w:pPr>
          <w:r w:rsidRPr="00172AA4">
            <w:rPr>
              <w:rStyle w:val="PlaceholderText"/>
            </w:rPr>
            <w:t>Click or tap here to enter text.</w:t>
          </w:r>
        </w:p>
      </w:docPartBody>
    </w:docPart>
    <w:docPart>
      <w:docPartPr>
        <w:name w:val="D6620B7357529E44B47CF054CCB615B7"/>
        <w:category>
          <w:name w:val="General"/>
          <w:gallery w:val="placeholder"/>
        </w:category>
        <w:types>
          <w:type w:val="bbPlcHdr"/>
        </w:types>
        <w:behaviors>
          <w:behavior w:val="content"/>
        </w:behaviors>
        <w:guid w:val="{AA1BA97D-705A-5D4A-B1A6-E3016110B2ED}"/>
      </w:docPartPr>
      <w:docPartBody>
        <w:p w:rsidR="009F3DB1" w:rsidRDefault="00704026" w:rsidP="00704026">
          <w:pPr>
            <w:pStyle w:val="D6620B7357529E44B47CF054CCB615B7"/>
          </w:pPr>
          <w:r w:rsidRPr="00172AA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F53"/>
    <w:rsid w:val="0002724E"/>
    <w:rsid w:val="00196D4A"/>
    <w:rsid w:val="001F1EB4"/>
    <w:rsid w:val="001F1F53"/>
    <w:rsid w:val="002473CD"/>
    <w:rsid w:val="0036157C"/>
    <w:rsid w:val="003A3727"/>
    <w:rsid w:val="003D28CD"/>
    <w:rsid w:val="004361EC"/>
    <w:rsid w:val="004E0820"/>
    <w:rsid w:val="004F775A"/>
    <w:rsid w:val="00550FDD"/>
    <w:rsid w:val="005903D8"/>
    <w:rsid w:val="005968DF"/>
    <w:rsid w:val="005C660A"/>
    <w:rsid w:val="006A26A4"/>
    <w:rsid w:val="006B7791"/>
    <w:rsid w:val="00704026"/>
    <w:rsid w:val="00751B4A"/>
    <w:rsid w:val="008A13B0"/>
    <w:rsid w:val="00987172"/>
    <w:rsid w:val="009F3DB1"/>
    <w:rsid w:val="00A556D5"/>
    <w:rsid w:val="00A73A8E"/>
    <w:rsid w:val="00AC7953"/>
    <w:rsid w:val="00CE4743"/>
    <w:rsid w:val="00D62046"/>
    <w:rsid w:val="00F820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4026"/>
    <w:rPr>
      <w:color w:val="808080"/>
    </w:rPr>
  </w:style>
  <w:style w:type="paragraph" w:customStyle="1" w:styleId="D7B598418A69DF419AA18F42C6C8AF78">
    <w:name w:val="D7B598418A69DF419AA18F42C6C8AF78"/>
    <w:rsid w:val="00704026"/>
  </w:style>
  <w:style w:type="paragraph" w:customStyle="1" w:styleId="D6620B7357529E44B47CF054CCB615B7">
    <w:name w:val="D6620B7357529E44B47CF054CCB615B7"/>
    <w:rsid w:val="007040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0C8B294-B9A5-E345-B477-3FF93EEF6F28}">
  <we:reference id="wa104382081" version="1.35.0.0" store="en-US" storeType="OMEX"/>
  <we:alternateReferences>
    <we:reference id="wa104382081" version="1.35.0.0" store="en-US" storeType="OMEX"/>
  </we:alternateReferences>
  <we:properties>
    <we:property name="MENDELEY_CITATIONS" value="[{&quot;citationID&quot;:&quot;MENDELEY_CITATION_4011dfe0-f43e-4013-af08-4365c66d9715&quot;,&quot;properties&quot;:{&quot;noteIndex&quot;:0},&quot;isEdited&quot;:true,&quot;manualOverride&quot;:{&quot;citeprocText&quot;:&quot;(2019, 193)&quot;,&quot;isManuallyOverridden&quot;:false,&quot;manualOverrideText&quot;:&quot;&quot;},&quot;citationTag&quot;:&quot;MENDELEY_CITATION_v3_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&quot;,&quot;citationItems&quot;:[{&quot;id&quot;:&quot;2ce64773-24db-3916-9361-c7147aac932f&quot;,&quot;itemData&quot;:{&quot;author&quot;:[{&quot;dropping-particle&quot;:&quot;&quot;,&quot;family&quot;:&quot;Allen&quot;,&quot;given&quot;:&quot;Roger&quot;,&quot;non-dropping-particle&quot;:&quot;&quot;,&quot;parse-names&quot;:false,&quot;suffix&quot;:&quot;&quot;}],&quot;id&quot;:&quot;2ce64773-24db-3916-9361-c7147aac932f&quot;,&quot;issued&quot;:{&quot;date-parts&quot;:[[&quot;2019&quot;]]},&quot;publisher&quot;:&quot;Lockwood Press&quot;,&quot;publisher-place&quot;:&quot;Atlanta, Georgia&quot;,&quot;title&quot;:&quot;Selected Studies in Modern Arabic Narrative: History, Genre, Translation&quot;,&quot;type&quot;:&quot;book&quot;,&quot;container-title-short&quot;:&quot;&quot;},&quot;locator&quot;:&quot;193&quot;,&quot;suppress-author&quot;:1,&quot;uris&quot;:[&quot;http://www.mendeley.com/documents/?uuid=2ce64773-24db-3916-9361-c7147aac932f&quot;],&quot;isTemporary&quot;:false,&quot;legacyDesktopId&quot;:&quot;2ce64773-24db-3916-9361-c7147aac932f&quot;}]},{&quot;citationID&quot;:&quot;MENDELEY_CITATION_efdc17fa-a8ad-466b-9e90-21e2a2a6c125&quot;,&quot;properties&quot;:{&quot;noteIndex&quot;:0},&quot;isEdited&quot;:false,&quot;manualOverride&quot;:{&quot;citeprocText&quot;:&quot;(Munday 2016; Emmerich 2013)&quot;,&quot;isManuallyOverridden&quot;:true,&quot;manualOverrideText&quot;:&quot;(e.g., Munday 2016; Emmerich 2013)&quot;},&quot;citationTag&quot;:&quot;MENDELEY_CITATION_v3_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&quot;,&quot;citationItems&quot;:[{&quot;id&quot;:&quot;ba76ee3c-0193-3d80-822c-f1b7678056ed&quot;,&quot;itemData&quot;:{&quot;DOI&quot;:&quot;10.4324/9781315691862&quot;,&quot;abstract&quot;:&quot;This introductory textbook provides an accessible overview of the key contributions to translation theory. Jeremy Munday explores each theory chapter-by-chapter and tests the different approaches by applying them to texts. The texts discussed are taken from a broad range of languages – English, French, German, Spanish, Italian, Punjabi, Portuguese and English translations are provided. A wide variety of text types are analyzed, including a tourist brochure, a children's cookery book, a Harry Potter novel, the Bible, literary reviews and translators' prefaces, film translation, a technical text and a European Parliament speech. Each chapter includes the following features: a table introducing key concepts an introduction outlining the translation theory or theories illustrative texts with translations a chapter summary discussion points and exercises. Including a general introduction, an extensive bibliography, and websites for further information, this is a practical, user-friendly textbook that gives a balanced and comprehensive insight into translation studies.&quot;,&quot;author&quot;:[{&quot;dropping-particle&quot;:&quot;&quot;,&quot;family&quot;:&quot;Munday&quot;,&quot;given&quot;:&quot;Jeremy&quot;,&quot;non-dropping-particle&quot;:&quot;&quot;,&quot;parse-names&quot;:false,&quot;suffix&quot;:&quot;&quot;}],&quot;edition&quot;:&quot;4&quot;,&quot;id&quot;:&quot;ba76ee3c-0193-3d80-822c-f1b7678056ed&quot;,&quot;issued&quot;:{&quot;date-parts&quot;:[[&quot;2016&quot;]]},&quot;publisher&quot;:&quot;Routeldge&quot;,&quot;title&quot;:&quot;Introducing Translation Studies: Theories and Applications&quot;,&quot;type&quot;:&quot;book&quot;,&quot;container-title-short&quot;:&quot;&quot;},&quot;uris&quot;:[&quot;http://www.mendeley.com/documents/?uuid=ba76ee3c-0193-3d80-822c-f1b7678056ed&quot;],&quot;isTemporary&quot;:false,&quot;legacyDesktopId&quot;:&quot;ba76ee3c-0193-3d80-822c-f1b7678056ed&quot;},{&quot;id&quot;:&quot;ff96126c-8379-34d4-ab17-e5baa74678e7&quot;,&quot;itemData&quot;:{&quot;DOI&quot;:&quot;10.1075/hts.4.vis1&quot;,&quot;author&quot;:[{&quot;dropping-particle&quot;:&quot;&quot;,&quot;family&quot;:&quot;Emmerich&quot;,&quot;given&quot;:&quot;Karen&quot;,&quot;non-dropping-particle&quot;:&quot;&quot;,&quot;parse-names&quot;:false,&quot;suffix&quot;:&quot;&quot;}],&quot;container-title&quot;:&quot;Handbook of Translation Studies: Volume 4&quot;,&quot;editor&quot;:[{&quot;dropping-particle&quot;:&quot;&quot;,&quot;family&quot;:&quot;Yves Gambier&quot;,&quot;given&quot;:&quot;&quot;,&quot;non-dropping-particle&quot;:&quot;&quot;,&quot;parse-names&quot;:false,&quot;suffix&quot;:&quot;&quot;},{&quot;dropping-particle&quot;:&quot;&quot;,&quot;family&quot;:&quot;Luc van Doorslaer&quot;,&quot;given&quot;:&quot;&quot;,&quot;non-dropping-particle&quot;:&quot;&quot;,&quot;parse-names&quot;:false,&quot;suffix&quot;:&quot;&quot;}],&quot;id&quot;:&quot;ff96126c-8379-34d4-ab17-e5baa74678e7&quot;,&quot;issued&quot;:{&quot;date-parts&quot;:[[&quot;2013&quot;]]},&quot;page&quot;:&quot;200-206&quot;,&quot;publisher&quot;:&quot;John Benjamins Publishing Company&quot;,&quot;title&quot;:&quot;Visibility (and invisibility)&quot;,&quot;type&quot;:&quot;chapter&quot;,&quot;container-title-short&quot;:&quot;&quot;},&quot;uris&quot;:[&quot;http://www.mendeley.com/documents/?uuid=ff96126c-8379-34d4-ab17-e5baa74678e7&quot;],&quot;isTemporary&quot;:false,&quot;legacyDesktopId&quot;:&quot;ff96126c-8379-34d4-ab17-e5baa74678e7&quot;}]},{&quot;citationID&quot;:&quot;MENDELEY_CITATION_2aff1067-f929-4219-9823-47687115b990&quot;,&quot;properties&quot;:{&quot;noteIndex&quot;:0},&quot;isEdited&quot;:false,&quot;manualOverride&quot;:{&quot;citeprocText&quot;:&quot;(Milton and Bandia 2009)&quot;,&quot;isManuallyOverridden&quot;:false,&quot;manualOverrideText&quot;:&quot;&quot;},&quot;citationTag&quot;:&quot;MENDELEY_CITATION_v3_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&quot;,&quot;citationItems&quot;:[{&quot;id&quot;:&quot;6319954d-0b6f-37da-b122-1d0fd23632f6&quot;,&quot;itemData&quot;:{&quot;DOI&quot;:&quot;10.1075/btl.81.01int&quot;,&quot;author&quot;:[{&quot;dropping-particle&quot;:&quot;&quot;,&quot;family&quot;:&quot;Milton&quot;,&quot;given&quot;:&quot;John&quot;,&quot;non-dropping-particle&quot;:&quot;&quot;,&quot;parse-names&quot;:false,&quot;suffix&quot;:&quot;&quot;},{&quot;dropping-particle&quot;:&quot;&quot;,&quot;family&quot;:&quot;Bandia&quot;,&quot;given&quot;:&quot;Paul&quot;,&quot;non-dropping-particle&quot;:&quot;&quot;,&quot;parse-names&quot;:false,&quot;suffix&quot;:&quot;&quot;}],&quot;container-title&quot;:&quot;Agents of Translation&quot;,&quot;editor&quot;:[{&quot;dropping-particle&quot;:&quot;&quot;,&quot;family&quot;:&quot;Milton&quot;,&quot;given&quot;:&quot;John&quot;,&quot;non-dropping-particle&quot;:&quot;&quot;,&quot;parse-names&quot;:false,&quot;suffix&quot;:&quot;&quot;},{&quot;dropping-particle&quot;:&quot;&quot;,&quot;family&quot;:&quot;Bandia&quot;,&quot;given&quot;:&quot;Paul&quot;,&quot;non-dropping-particle&quot;:&quot;&quot;,&quot;parse-names&quot;:false,&quot;suffix&quot;:&quot;&quot;}],&quot;id&quot;:&quot;6319954d-0b6f-37da-b122-1d0fd23632f6&quot;,&quot;issued&quot;:{&quot;date-parts&quot;:[[&quot;2009&quot;]]},&quot;page&quot;:&quot;1-18&quot;,&quot;publisher&quot;:&quot;ohn Benjamins Publishing Company&quot;,&quot;title&quot;:&quot;Introduction: Agents of translation and Translation Studies&quot;,&quot;type&quot;:&quot;chapter&quot;,&quot;container-title-short&quot;:&quot;&quot;},&quot;uris&quot;:[&quot;http://www.mendeley.com/documents/?uuid=6319954d-0b6f-37da-b122-1d0fd23632f6&quot;],&quot;isTemporary&quot;:false,&quot;legacyDesktopId&quot;:&quot;6319954d-0b6f-37da-b122-1d0fd23632f6&quot;}]},{&quot;citationID&quot;:&quot;MENDELEY_CITATION_c24cf66d-fddf-4faf-a3a1-345576832a2a&quot;,&quot;properties&quot;:{&quot;noteIndex&quot;:0},&quot;isEdited&quot;:false,&quot;manualOverride&quot;:{&quot;citeprocText&quot;:&quot;(Ismail 2015; Pierpont 2010; Altoma 2005; Guthrie and Buchler 2011; Hoyt 2015; Allen 2019; Khalifa and Elgindy 2014)&quot;,&quot;isManuallyOverridden&quot;:false,&quot;manualOverrideText&quot;:&quot;&quot;},&quot;citationTag&quot;:&quot;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&quot;,&quot;citationItems&quot;:[{&quot;id&quot;:&quot;56315d51-4221-392b-bc46-f98a6ef35c86&quot;,&quot;itemData&quot;:{&quot;DOI&quot;:&quot;10.1080/1369801X.2014.994546&quot;,&quot;author&quot;:[{&quot;dropping-particle&quot;:&quot;&quot;,&quot;family&quot;:&quot;Ismail&quot;,&quot;given&quot;:&quot;Sherif H&quot;,&quot;non-dropping-particle&quot;:&quot;&quot;,&quot;parse-names&quot;:false,&quot;suffix&quot;:&quot;&quot;}],&quot;container-title&quot;:&quot;Interventions&quot;,&quot;id&quot;:&quot;56315d51-4221-392b-bc46-f98a6ef35c86&quot;,&quot;issue&quot;:&quot;6&quot;,&quot;issued&quot;:{&quot;date-parts&quot;:[[&quot;2015&quot;,&quot;11&quot;,&quot;2&quot;]]},&quot;page&quot;:&quot;916-931&quot;,&quot;title&quot;:&quot;Arabic Literature into English&quot;,&quot;type&quot;:&quot;article-journal&quot;,&quot;volume&quot;:&quot;17&quot;,&quot;container-title-short&quot;:&quot;&quot;},&quot;uris&quot;:[&quot;http://www.mendeley.com/documents/?uuid=56315d51-4221-392b-bc46-f98a6ef35c86&quot;],&quot;isTemporary&quot;:false,&quot;legacyDesktopId&quot;:&quot;56315d51-4221-392b-bc46-f98a6ef35c86&quot;},{&quot;id&quot;:&quot;d0cf9857-02ea-3a44-9771-5eb0e2b9293f&quot;,&quot;itemData&quot;:{&quot;author&quot;:[{&quot;dropping-particle&quot;:&quot;&quot;,&quot;family&quot;:&quot;Pierpont&quot;,&quot;given&quot;:&quot;Claudia Roth&quot;,&quot;non-dropping-particle&quot;:&quot;&quot;,&quot;parse-names&quot;:false,&quot;suffix&quot;:&quot;&quot;}],&quot;container-title&quot;:&quot;The New Yorker&quot;,&quot;id&quot;:&quot;d0cf9857-02ea-3a44-9771-5eb0e2b9293f&quot;,&quot;issued&quot;:{&quot;date-parts&quot;:[[&quot;2010&quot;,&quot;1&quot;]]},&quot;title&quot;:&quot;Found in Translation&quot;,&quot;type&quot;:&quot;article-magazine&quot;,&quot;container-title-short&quot;:&quot;&quot;},&quot;uris&quot;:[&quot;http://www.mendeley.com/documents/?uuid=d0cf9857-02ea-3a44-9771-5eb0e2b9293f&quot;],&quot;isTemporary&quot;:false,&quot;legacyDesktopId&quot;:&quot;d0cf9857-02ea-3a44-9771-5eb0e2b9293f&quot;},{&quot;id&quot;:&quot;803ef619-36b0-303b-9bf4-864c21f078c0&quot;,&quot;itemData&quot;:{&quot;ISBN&quot;:&quot;9780863565977&quot;,&quot;abstract&quot;:&quot;1. Translating Najib Mahfuz : his place in American publications -- 2. Arabic fiction, 1947-2003 -- 3. Arabic fiction in English translation : a chronological bibliography, 1947-2003 -- 4. Arabic poetry : an overview of selected anthologies -- 5. Arabic poetry in international anthologies : a partial but positive representation -- 6. Arabic drama.&quot;,&quot;author&quot;:[{&quot;dropping-particle&quot;:&quot;&quot;,&quot;family&quot;:&quot;Altoma&quot;,&quot;given&quot;:&quot;Salih J.&quot;,&quot;non-dropping-particle&quot;:&quot;&quot;,&quot;parse-names&quot;:false,&quot;suffix&quot;:&quot;&quot;}],&quot;id&quot;:&quot;803ef619-36b0-303b-9bf4-864c21f078c0&quot;,&quot;issued&quot;:{&quot;date-parts&quot;:[[&quot;2005&quot;]]},&quot;publisher&quot;:&quot;Saqi &quot;,&quot;publisher-place&quot;:&quot;London&quot;,&quot;title&quot;:&quot;Modern Arabic Literature in Translation : A Companion&quot;,&quot;type&quot;:&quot;book&quot;,&quot;container-title-short&quot;:&quot;&quot;},&quot;uris&quot;:[&quot;http://www.mendeley.com/documents/?uuid=803ef619-36b0-303b-9bf4-864c21f078c0&quot;],&quot;isTemporary&quot;:false,&quot;legacyDesktopId&quot;:&quot;803ef619-36b0-303b-9bf4-864c21f078c0&quot;},{&quot;id&quot;:&quot;2bd92d73-96ec-3a59-a5ca-6a2d9610a36f&quot;,&quot;itemData&quot;:{&quot;author&quot;:[{&quot;dropping-particle&quot;:&quot;&quot;,&quot;family&quot;:&quot;Guthrie&quot;,&quot;given&quot;:&quot;Alice&quot;,&quot;non-dropping-particle&quot;:&quot;&quot;,&quot;parse-names&quot;:false,&quot;suffix&quot;:&quot;&quot;},{&quot;dropping-particle&quot;:&quot;&quot;,&quot;family&quot;:&quot;Buchler&quot;,&quot;given&quot;:&quot;Alexandra&quot;,&quot;non-dropping-particle&quot;:&quot;&quot;,&quot;parse-names&quot;:false,&quot;suffix&quot;:&quot;&quot;}],&quot;id&quot;:&quot;2bd92d73-96ec-3a59-a5ca-6a2d9610a36f&quot;,&quot;issued&quot;:{&quot;date-parts&quot;:[[&quot;2011&quot;]]},&quot;number-of-pages&quot;:&quot;147&quot;,&quot;publisher-place&quot;:&quot;Aberystwyth&quot;,&quot;title&quot;:&quot;Literary translation from Arabic into English in the United Kingdom and Ireland, 1990-2010 | Anna Lindh Foundation&quot;,&quot;type&quot;:&quot;report&quot;,&quot;container-title-short&quot;:&quot;&quot;},&quot;uris&quot;:[&quot;http://www.mendeley.com/documents/?uuid=2bd92d73-96ec-3a59-a5ca-6a2d9610a36f&quot;],&quot;isTemporary&quot;:false,&quot;legacyDesktopId&quot;:&quot;2bd92d73-96ec-3a59-a5ca-6a2d9610a36f&quot;},{&quot;id&quot;:&quot;0ddad3ff-5a60-37ad-aa24-fc4ced20104a&quot;,&quot;itemData&quot;:{&quot;author&quot;:[{&quot;dropping-particle&quot;:&quot;&quot;,&quot;family&quot;:&quot;Hoyt&quot;,&quot;given&quot;:&quot;Heather M.&quot;,&quot;non-dropping-particle&quot;:&quot;&quot;,&quot;parse-names&quot;:false,&quot;suffix&quot;:&quot;&quot;}],&quot;chapter-number&quot;:&quot;17&quot;,&quot;container-title&quot;:&quot;Edinburgh Companion to the Arab Novel in English&quot;,&quot;editor&quot;:[{&quot;dropping-particle&quot;:&quot;&quot;,&quot;family&quot;:&quot;Nouri Gana&quot;,&quot;given&quot;:&quot;&quot;,&quot;non-dropping-particle&quot;:&quot;&quot;,&quot;parse-names&quot;:false,&quot;suffix&quot;:&quot;&quot;}],&quot;id&quot;:&quot;0ddad3ff-5a60-37ad-aa24-fc4ced20104a&quot;,&quot;issued&quot;:{&quot;date-parts&quot;:[[&quot;2015&quot;]]},&quot;page&quot;:&quot;405-425&quot;,&quot;publisher&quot;:&quot;Edinburgh University Press&quot;,&quot;title&quot;:&quot;Teaching from Cover to Cover: Arab Women’s Novels in the Classroom&quot;,&quot;type&quot;:&quot;chapter&quot;,&quot;container-title-short&quot;:&quot;&quot;},&quot;uris&quot;:[&quot;http://www.mendeley.com/documents/?uuid=0ddad3ff-5a60-37ad-aa24-fc4ced20104a&quot;],&quot;isTemporary&quot;:false,&quot;legacyDesktopId&quot;:&quot;0ddad3ff-5a60-37ad-aa24-fc4ced20104a&quot;},{&quot;id&quot;:&quot;2ce64773-24db-3916-9361-c7147aac932f&quot;,&quot;itemData&quot;:{&quot;author&quot;:[{&quot;dropping-particle&quot;:&quot;&quot;,&quot;family&quot;:&quot;Allen&quot;,&quot;given&quot;:&quot;Roger&quot;,&quot;non-dropping-particle&quot;:&quot;&quot;,&quot;parse-names&quot;:false,&quot;suffix&quot;:&quot;&quot;}],&quot;id&quot;:&quot;2ce64773-24db-3916-9361-c7147aac932f&quot;,&quot;issued&quot;:{&quot;date-parts&quot;:[[&quot;2019&quot;]]},&quot;publisher&quot;:&quot;Lockwood Press&quot;,&quot;publisher-place&quot;:&quot;Atlanta, Georgia&quot;,&quot;title&quot;:&quot;Selected Studies in Modern Arabic Narrative: History, Genre, Translation&quot;,&quot;type&quot;:&quot;book&quot;,&quot;container-title-short&quot;:&quot;&quot;},&quot;uris&quot;:[&quot;http://www.mendeley.com/documents/?uuid=2ce64773-24db-3916-9361-c7147aac932f&quot;],&quot;isTemporary&quot;:false,&quot;legacyDesktopId&quot;:&quot;2ce64773-24db-3916-9361-c7147aac932f&quot;},{&quot;id&quot;:&quot;5d046790-597d-33be-9fed-d717e14a5e2c&quot;,&quot;itemData&quot;:{&quot;ISSN&quot;:&quot;2329-2210&quot;,&quot;abstract&quot;:&quot;English translations of texts associated with Arabic fiction remain largely unexplored from a sociological perspective. Drawing on Pierre Bourdieu’s sociology, this paper aims to examine the genesis of Arabic fiction translation into English as a socially situated activity. Works of Arabic fiction emerged in English translation in the early twentieth century. Since then, this intellectual field of activity has gone through three distinct, though overlapping, phases that have affected its structure, capital at stake, agents involved, modes of production, and the volume of activity. This paper also aims to argue for a fourth phase which could be referred to as ‘post 9/11 phase’ and will investigate its agents and dynamics. The field of Arabic fiction translation into English was subjected to both internal and external factors which formed and conditioned its structure and dynamics. In contrast to the linear understanding of the history of Arabic fiction translation, Bourdieu’s sociological concepts of field and capital will be used as analytical tools to both describe and interpret the translation activity in this field.&quot;,&quot;author&quot;:[{&quot;dropping-particle&quot;:&quot;&quot;,&quot;family&quot;:&quot;Khalifa&quot;,&quot;given&quot;:&quot;Abdel Wahab&quot;,&quot;non-dropping-particle&quot;:&quot;&quot;,&quot;parse-names&quot;:false,&quot;suffix&quot;:&quot;&quot;},{&quot;dropping-particle&quot;:&quot;&quot;,&quot;family&quot;:&quot;Elgindy&quot;,&quot;given&quot;:&quot;Ahmed&quot;,&quot;non-dropping-particle&quot;:&quot;&quot;,&quot;parse-names&quot;:false,&quot;suffix&quot;:&quot;&quot;}],&quot;container-title&quot;:&quot;International Journal of Society, Culture &amp; Language&quot;,&quot;id&quot;:&quot;5d046790-597d-33be-9fed-d717e14a5e2c&quot;,&quot;issue&quot;:&quot;Issue 2 (Special Issue on Translation, Society &amp; Culture)&quot;,&quot;issued&quot;:{&quot;date-parts&quot;:[[&quot;2014&quot;]]},&quot;page&quot;:&quot;41-56&quot;,&quot;title&quot;:&quot;The Reality of Arabic Fiction Translation into English: A Sociological Approach&quot;,&quot;type&quot;:&quot;article-journal&quot;,&quot;volume&quot;:&quot;2&quot;,&quot;container-title-short&quot;:&quot;&quot;},&quot;uris&quot;:[&quot;http://www.mendeley.com/documents/?uuid=9182b123-40a7-4548-ba5c-046dfdbab5bd&quot;],&quot;isTemporary&quot;:false,&quot;legacyDesktopId&quot;:&quot;9182b123-40a7-4548-ba5c-046dfdbab5bd&quot;}]},{&quot;citationID&quot;:&quot;MENDELEY_CITATION_69b289f4-b2bc-471a-a086-c1e11a685ca9&quot;,&quot;properties&quot;:{&quot;noteIndex&quot;:0},&quot;isEdited&quot;:true,&quot;manualOverride&quot;:{&quot;citeprocText&quot;:&quot;(1990)&quot;,&quot;isManuallyOverridden&quot;:false,&quot;manualOverrideText&quot;:&quot;&quot;},&quot;citationTag&quot;:&quot;MENDELEY_CITATION_v3_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&quot;,&quot;citationItems&quot;:[{&quot;id&quot;:&quot;40e335e9-fb67-391e-a21c-7e326fa675a6&quot;,&quot;itemData&quot;:{&quot;ISSN&quot;:&quot;00278378&quot;,&quot;author&quot;:[{&quot;dropping-particle&quot;:&quot;&quot;,&quot;family&quot;:&quot;Said&quot;,&quot;given&quot;:&quot;Edward&quot;,&quot;non-dropping-particle&quot;:&quot;&quot;,&quot;parse-names&quot;:false,&quot;suffix&quot;:&quot;&quot;}],&quot;id&quot;:&quot;40e335e9-fb67-391e-a21c-7e326fa675a6&quot;,&quot;issue&quot;:&quot;8&quot;,&quot;issued&quot;:{&quot;date-parts&quot;:[[&quot;1990&quot;,&quot;9&quot;,&quot;17&quot;]]},&quot;note&quot;:&quot;Accession Number: 10416956. Authors:Said, Edward W. ; Publication Information: First Produced: Nation Company, L. P.. Document Information: Article. Essay Last Updated: 20040412. Document Type: Article. Language: English&quot;,&quot;page&quot;:&quot;278-280&quot;,&quot;publisher&quot;:&quot;Nation Company, L. P.&quot;,&quot;title&quot;:&quot;Embargoed Literature.&quot;,&quot;type&quot;:&quot;article-journal&quot;,&quot;volume&quot;:&quot;251&quot;,&quot;container-title-short&quot;:&quot;&quot;},&quot;suppress-author&quot;:1,&quot;uris&quot;:[&quot;http://www.mendeley.com/documents/?uuid=2a2e20a9-8067-45a5-848c-2ce30f675e4b&quot;],&quot;isTemporary&quot;:false,&quot;legacyDesktopId&quot;:&quot;2a2e20a9-8067-45a5-848c-2ce30f675e4b&quot;}]},{&quot;citationID&quot;:&quot;MENDELEY_CITATION_be6c8a15-cbfa-49c6-9172-7e3b1866a3b0&quot;,&quot;properties&quot;:{&quot;noteIndex&quot;:0},&quot;isEdited&quot;:true,&quot;manualOverride&quot;:{&quot;citeprocText&quot;:&quot;(2010)&quot;,&quot;isManuallyOverridden&quot;:false,&quot;manualOverrideText&quot;:&quot;&quot;},&quot;citationTag&quot;:&quot;MENDELEY_CITATION_v3_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&quot;,&quot;citationItems&quot;:[{&quot;id&quot;:&quot;82d83e93-8a27-3e9f-bbdc-615ffa28a14e&quot;,&quot;itemData&quot;:{&quot;type&quot;:&quot;chapter&quot;,&quot;id&quot;:&quot;82d83e93-8a27-3e9f-bbdc-615ffa28a14e&quot;,&quot;title&quot;:&quot;Translation of Modern and Contemporary Literature in Arabic&quot;,&quot;author&quot;:[{&quot;family&quot;:&quot;Hibbard&quot;,&quot;given&quot;:&quot;Allen&quot;,&quot;parse-names&quot;:false,&quot;dropping-particle&quot;:&quot;&quot;,&quot;non-dropping-particle&quot;:&quot;&quot;}],&quot;container-title&quot;:&quot;Literature in Translation: teaching Issues and Reading Practices&quot;,&quot;accessed&quot;:{&quot;date-parts&quot;:[[2020,3,15]]},&quot;editor&quot;:[{&quot;family&quot;:&quot;Carol Maier&quot;,&quot;given&quot;:&quot;&quot;,&quot;parse-names&quot;:false,&quot;dropping-particle&quot;:&quot;&quot;,&quot;non-dropping-particle&quot;:&quot;&quot;},{&quot;family&quot;:&quot;Françoise Massardier-Kenney&quot;,&quot;given&quot;:&quot;&quot;,&quot;parse-names&quot;:false,&quot;dropping-particle&quot;:&quot;&quot;,&quot;non-dropping-particle&quot;:&quot;&quot;}],&quot;ISBN&quot;:&quot;9781606351086&quot;,&quot;issued&quot;:{&quot;date-parts&quot;:[[2010]]},&quot;publisher-place&quot;:&quot;Kent&quot;,&quot;page&quot;:&quot;218-234&quot;,&quot;publisher&quot;:&quot;Kent State University Press&quot;,&quot;container-title-short&quot;:&quot;&quot;},&quot;suppress-author&quot;:1,&quot;uris&quot;:[&quot;http://www.mendeley.com/documents/?uuid=82d83e93-8a27-3e9f-bbdc-615ffa28a14e&quot;],&quot;isTemporary&quot;:false,&quot;legacyDesktopId&quot;:&quot;82d83e93-8a27-3e9f-bbdc-615ffa28a14e&quot;}]},{&quot;citationID&quot;:&quot;MENDELEY_CITATION_01cc2038-3d57-4f9b-a0ca-ea29a6f493aa&quot;,&quot;properties&quot;:{&quot;noteIndex&quot;:0},&quot;isEdited&quot;:false,&quot;manualOverride&quot;:{&quot;isManuallyOverridden&quot;:true,&quot;citeprocText&quot;:&quot;(Charles 2021)&quot;,&quot;manualOverrideText&quot;:&quot;(Charles 2021). &quot;},&quot;citationTag&quot;:&quot;MENDELEY_CITATION_v3_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&quot;,&quot;citationItems&quot;:[{&quot;id&quot;:&quot;31786cfc-8cab-3be8-b4a2-5f8c1b69e032&quot;,&quot;itemData&quot;:{&quot;type&quot;:&quot;webpage&quot;,&quot;id&quot;:&quot;31786cfc-8cab-3be8-b4a2-5f8c1b69e032&quot;,&quot;title&quot;:&quot;13 Sept. 11 novels that changed the fiction landscape - The Washington Post&quot;,&quot;author&quot;:[{&quot;family&quot;:&quot;Charles&quot;,&quot;given&quot;:&quot;Ron&quot;,&quot;parse-names&quot;:false,&quot;dropping-particle&quot;:&quot;&quot;,&quot;non-dropping-particle&quot;:&quot;&quot;}],&quot;container-title&quot;:&quot;The Washington Post&quot;,&quot;accessed&quot;:{&quot;date-parts&quot;:[[2022,5,28]]},&quot;URL&quot;:&quot;https://www.washingtonpost.com/entertainment/books/sept-11-novels/2021/09/05/c6b3e5ba-0ce5-11ec-a6dd-296ba7fb2dce_story.html&quot;,&quot;issued&quot;:{&quot;date-parts&quot;:[[2021,9,7]]},&quot;container-title-short&quot;:&quot;Washington Post&quot;},&quot;isTemporary&quot;:false}]},{&quot;citationID&quot;:&quot;MENDELEY_CITATION_ff4b7559-3fd6-4264-babc-b04e83eec7cf&quot;,&quot;properties&quot;:{&quot;noteIndex&quot;:0},&quot;isEdited&quot;:true,&quot;manualOverride&quot;:{&quot;citeprocText&quot;:&quot;(2015, 419)&quot;,&quot;isManuallyOverridden&quot;:false,&quot;manualOverrideText&quot;:&quot;&quot;},&quot;citationTag&quot;:&quot;MENDELEY_CITATION_v3_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&quot;,&quot;citationItems&quot;:[{&quot;id&quot;:&quot;0ddad3ff-5a60-37ad-aa24-fc4ced20104a&quot;,&quot;itemData&quot;:{&quot;author&quot;:[{&quot;dropping-particle&quot;:&quot;&quot;,&quot;family&quot;:&quot;Hoyt&quot;,&quot;given&quot;:&quot;Heather M.&quot;,&quot;non-dropping-particle&quot;:&quot;&quot;,&quot;parse-names&quot;:false,&quot;suffix&quot;:&quot;&quot;}],&quot;chapter-number&quot;:&quot;17&quot;,&quot;container-title&quot;:&quot;Edinburgh Companion to the Arab Novel in English&quot;,&quot;editor&quot;:[{&quot;dropping-particle&quot;:&quot;&quot;,&quot;family&quot;:&quot;Nouri Gana&quot;,&quot;given&quot;:&quot;&quot;,&quot;non-dropping-particle&quot;:&quot;&quot;,&quot;parse-names&quot;:false,&quot;suffix&quot;:&quot;&quot;}],&quot;id&quot;:&quot;0ddad3ff-5a60-37ad-aa24-fc4ced20104a&quot;,&quot;issued&quot;:{&quot;date-parts&quot;:[[&quot;2015&quot;]]},&quot;page&quot;:&quot;405-425&quot;,&quot;publisher&quot;:&quot;Edinburgh University Press&quot;,&quot;title&quot;:&quot;Teaching from Cover to Cover: Arab Women’s Novels in the Classroom&quot;,&quot;type&quot;:&quot;chapter&quot;,&quot;container-title-short&quot;:&quot;&quot;},&quot;locator&quot;:&quot;419&quot;,&quot;suppress-author&quot;:1,&quot;uris&quot;:[&quot;http://www.mendeley.com/documents/?uuid=0ddad3ff-5a60-37ad-aa24-fc4ced20104a&quot;],&quot;isTemporary&quot;:false,&quot;legacyDesktopId&quot;:&quot;0ddad3ff-5a60-37ad-aa24-fc4ced20104a&quot;}]},{&quot;citationID&quot;:&quot;MENDELEY_CITATION_3efbaf73-7115-4b48-9752-553cc31b6536&quot;,&quot;properties&quot;:{&quot;noteIndex&quot;:0},&quot;isEdited&quot;:false,&quot;manualOverride&quot;:{&quot;isManuallyOverridden&quot;:false,&quot;citeprocText&quot;:&quot;(Abu-Lughod 2015, 87)&quot;,&quot;manualOverrideText&quot;:&quot;&quot;},&quot;citationTag&quot;:&quot;MENDELEY_CITATION_v3_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&quot;,&quot;citationItems&quot;:[{&quot;label&quot;:&quot;page&quot;,&quot;id&quot;:&quot;31fa20c7-2e7e-30d6-afc7-8ad91b2bbf10&quot;,&quot;itemData&quot;:{&quot;type&quot;:&quot;book&quot;,&quot;id&quot;:&quot;31fa20c7-2e7e-30d6-afc7-8ad91b2bbf10&quot;,&quot;title&quot;:&quot;Do Muslim Women Need Saving?&quot;,&quot;author&quot;:[{&quot;family&quot;:&quot;Abu-Lughod&quot;,&quot;given&quot;:&quot;Lila&quot;,&quot;parse-names&quot;:false,&quot;dropping-particle&quot;:&quot;&quot;,&quot;non-dropping-particle&quot;:&quot;&quot;}],&quot;accessed&quot;:{&quot;date-parts&quot;:[[2021,8,12]]},&quot;DOI&quot;:&quot;10.4159/9780674726338&quot;,&quot;issued&quot;:{&quot;date-parts&quot;:[[2015]]},&quot;publisher&quot;:&quot;Harvard University Press&quot;,&quot;container-title-short&quot;:&quot;&quot;},&quot;isTemporary&quot;:false,&quot;locator&quot;:&quot;87&quot;}]},{&quot;citationID&quot;:&quot;MENDELEY_CITATION_022b58dc-21d7-4533-8712-98082bf4028c&quot;,&quot;properties&quot;:{&quot;noteIndex&quot;:0},&quot;isEdited&quot;:false,&quot;manualOverride&quot;:{&quot;isManuallyOverridden&quot;:false,&quot;citeprocText&quot;:&quot;(Massad 2012)&quot;,&quot;manualOverrideText&quot;:&quot;&quot;},&quot;citationTag&quot;:&quot;MENDELEY_CITATION_v3_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&quot;,&quot;citationItems&quot;:[{&quot;id&quot;:&quot;b13c0c20-1e72-3be1-a3c8-614cf59d53f1&quot;,&quot;itemData&quot;:{&quot;type&quot;:&quot;webpage&quot;,&quot;id&quot;:&quot;b13c0c20-1e72-3be1-a3c8-614cf59d53f1&quot;,&quot;title&quot;:&quot;‘Homeland,’ Obama’s Show&quot;,&quot;author&quot;:[{&quot;family&quot;:&quot;Massad&quot;,&quot;given&quot;:&quot;Joseph&quot;,&quot;parse-names&quot;:false,&quot;dropping-particle&quot;:&quot;&quot;,&quot;non-dropping-particle&quot;:&quot;&quot;}],&quot;container-title&quot;:&quot;Aljazeera.com&quot;,&quot;accessed&quot;:{&quot;date-parts&quot;:[[2022,5,4]]},&quot;URL&quot;:&quot;https://www.aljazeera.com/opinions/2012/10/25/homeland-obamas-show/&quot;,&quot;issued&quot;:{&quot;date-parts&quot;:[[2012]]},&quot;container-title-short&quot;:&quot;&quot;},&quot;isTemporary&quot;:false}]},{&quot;citationID&quot;:&quot;MENDELEY_CITATION_da9fd52a-c3c4-43a1-86ba-6d9b78375a73&quot;,&quot;properties&quot;:{&quot;noteIndex&quot;:0},&quot;isEdited&quot;:false,&quot;manualOverride&quot;:{&quot;isManuallyOverridden&quot;:false,&quot;citeprocText&quot;:&quot;(Baker 2014, 16; Venuti 1995, 19)&quot;,&quot;manualOverrideText&quot;:&quot;&quot;},&quot;citationTag&quot;:&quot;MENDELEY_CITATION_v3_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&quot;,&quot;citationItems&quot;:[{&quot;label&quot;:&quot;page&quot;,&quot;id&quot;:&quot;a034ac73-ad9f-3022-8ff6-9e338c728a66&quot;,&quot;itemData&quot;:{&quot;type&quot;:&quot;chapter&quot;,&quot;id&quot;:&quot;a034ac73-ad9f-3022-8ff6-9e338c728a66&quot;,&quot;title&quot;:&quot;The Changing Landscape of Translation and Interpreting Studies&quot;,&quot;author&quot;:[{&quot;family&quot;:&quot;Baker&quot;,&quot;given&quot;:&quot;Mona&quot;,&quot;parse-names&quot;:false,&quot;dropping-particle&quot;:&quot;&quot;,&quot;non-dropping-particle&quot;:&quot;&quot;}],&quot;container-title&quot;:&quot;A Companion to Translation Studies&quot;,&quot;chapter-number&quot;:&quot;1&quot;,&quot;accessed&quot;:{&quot;date-parts&quot;:[[2020,3,20]]},&quot;editor&quot;:[{&quot;family&quot;:&quot;Bermann&quot;,&quot;given&quot;:&quot;Sandra&quot;,&quot;parse-names&quot;:false,&quot;dropping-particle&quot;:&quot;&quot;,&quot;non-dropping-particle&quot;:&quot;&quot;},{&quot;family&quot;:&quot;Porter&quot;,&quot;given&quot;:&quot;Catherine&quot;,&quot;parse-names&quot;:false,&quot;dropping-particle&quot;:&quot;&quot;,&quot;non-dropping-particle&quot;:&quot;&quot;}],&quot;issued&quot;:{&quot;date-parts&quot;:[[2014]]},&quot;publisher-place&quot;:&quot;Oxford, UK&quot;,&quot;page&quot;:&quot;13-27&quot;,&quot;abstract&quot;:&quot;Translation and interpreting studies is now a vast and growing area of scholarship. This essay offers a broad overview of some of its main concerns, focusing on a number of themes that have received growing attention in the 1990s and the early part of the twenty-first century. These are: representation; minority–majority relations; globalization, the global economy, and global resistance. The essay concludes with a brief discussion of future directions, including further engagement with questions of ethics and trust, and the impact of new media cultures and technologies.&quot;,&quot;publisher&quot;:&quot;John Wiley &amp; Sons, Ltd&quot;,&quot;container-title-short&quot;:&quot;&quot;},&quot;isTemporary&quot;:false,&quot;locator&quot;:&quot;16&quot;},{&quot;label&quot;:&quot;page&quot;,&quot;id&quot;:&quot;5484264e-6fdd-3ec1-ae95-367284003db2&quot;,&quot;itemData&quot;:{&quot;type&quot;:&quot;book&quot;,&quot;id&quot;:&quot;5484264e-6fdd-3ec1-ae95-367284003db2&quot;,&quot;title&quot;:&quot;The Translator's Invisibility: A History of Translation&quot;,&quot;author&quot;:[{&quot;family&quot;:&quot;Venuti&quot;,&quot;given&quot;:&quot;Lawrence&quot;,&quot;parse-names&quot;:false,&quot;dropping-particle&quot;:&quot;&quot;,&quot;non-dropping-particle&quot;:&quot;&quot;}],&quot;container-title&quot;:&quot;The Translator's Invisibility: A History of Translation&quot;,&quot;accessed&quot;:{&quot;date-parts&quot;:[[2018,10,1]]},&quot;DOI&quot;:&quot;10.4324/9781315098746&quot;,&quot;ISBN&quot;:&quot;9781351581035&quot;,&quot;issued&quot;:{&quot;date-parts&quot;:[[1995]]},&quot;abstract&quot;:&quot;Since publication over twenty years ago, The Translator's Invisibility has provoked debate and controversy within the field of translation and become a classic text. Providing a fascinating account of the history of translation from the seventeenth century to the present day, Venuti shows how fluency prevailed over other translation strategies to shape the canon of foreign literatures in English and investigates the cultural consequences of the receptor values which were simultaneously inscribed and masked in foreign texts during this period. Reissued with a new introduction, in which the author provides a clear, detailed account of key concepts and arguments in order to issue a counterblast against simplistic interpretations, The Translator's Invisibility takes its well-deserved place as part of the Routledge Translation Classics series. This book is essential reading for students of translation studies at all levels.&quot;,&quot;publisher&quot;:&quot;Routledge&quot;,&quot;container-title-short&quot;:&quot;&quot;},&quot;isTemporary&quot;:false,&quot;locator&quot;:&quot;19&quot;}]},{&quot;citationID&quot;:&quot;MENDELEY_CITATION_d10caa9b-434c-43cb-ae84-002bbf17433a&quot;,&quot;properties&quot;:{&quot;noteIndex&quot;:0},&quot;isEdited&quot;:true,&quot;manualOverride&quot;:{&quot;citeprocText&quot;:&quot;(Booth 2017, 115)&quot;,&quot;isManuallyOverridden&quot;:false,&quot;manualOverrideText&quot;:&quot;&quot;},&quot;citationTag&quot;:&quot;MENDELEY_CITATION_v3_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&quot;,&quot;citationItems&quot;:[{&quot;id&quot;:&quot;a848f423-57dc-3191-9dab-e64eac343401&quot;,&quot;itemData&quot;:{&quot;DOI&quot;:&quot;10.1109/JPROC.2006.884091&quot;,&quot;ISSN&quot;:&quot;0018-9219&quot;,&quot;abstract&quot;:&quot;Iris recognition is one of the most powerful techniques for biometric\\nidentification ever developed. Commercial systems based on the algorithms\\ndeveloped by John Daugman have been available since 1995 and have\\nbeen used in a variety of practical applications. However, all currently\\navailable systems impose substantial constraints on subject position\\nand motion during the recognition process. These constraints are\\nlargely driven by the image acquisition process, rather than the\\nparticular pattern-matching algorithm used for the recognition process.\\nIn this paper we present results of our efforts to substantially\\nreduce constraints on position and motion by means of a new image\\nacquisition system based on high-resolution cameras, video synchronized\\nstrobed illumination, and specularity based image segmentation. We\\ndiscuss the design tradeoffs we made in developing the system and\\nthe performance we have been able to achieve when the image acquisition\\nsystem is combined with a standard iris recognition algorithm. The\\nIris on the Move (IOM) system is the first system to enable capture\\nof iris images of sufficient quality for iris recognition while the\\nsubject is moving at a normal walking pace through a minimally confining\\nportal&quot;,&quot;author&quot;:[{&quot;dropping-particle&quot;:&quot;&quot;,&quot;family&quot;:&quot;Booth&quot;,&quot;given&quot;:&quot;Marilyn&quot;,&quot;non-dropping-particle&quot;:&quot;&quot;,&quot;parse-names&quot;:false,&quot;suffix&quot;:&quot;&quot;}],&quot;container-title&quot;:&quot;Translating Women: Different Voices and New Horizons&quot;,&quot;editor&quot;:[{&quot;dropping-particle&quot;:&quot;&quot;,&quot;family&quot;:&quot;Farahzad&quot;,&quot;given&quot;:&quot;F&quot;,&quot;non-dropping-particle&quot;:&quot;&quot;,&quot;parse-names&quot;:false,&quot;suffix&quot;:&quot;&quot;},{&quot;dropping-particle&quot;:&quot;&quot;,&quot;family&quot;:&quot;Flotow&quot;,&quot;given&quot;:&quot;L&quot;,&quot;non-dropping-particle&quot;:&quot;von&quot;,&quot;parse-names&quot;:false,&quot;suffix&quot;:&quot;&quot;}],&quot;id&quot;:&quot;a848f423-57dc-3191-9dab-e64eac343401&quot;,&quot;issued&quot;:{&quot;date-parts&quot;:[[&quot;2017&quot;]]},&quot;page&quot;:&quot;105-119&quot;,&quot;publisher&quot;:&quot;Routledge&quot;,&quot;publisher-place&quot;:&quot;New York, NY&quot;,&quot;title&quot;:&quot;Three's a Crowd: The Translator-Author-Publisher and the Engineering of ITALICS Girls of Riyadh for an Anglophone Readership&quot;,&quot;type&quot;:&quot;chapter&quot;,&quot;container-title-short&quot;:&quot;&quot;},&quot;locator&quot;:&quot;115&quot;,&quot;uris&quot;:[&quot;http://www.mendeley.com/documents/?uuid=47823363-f562-41f5-9990-d9902caf495b&quot;],&quot;isTemporary&quot;:false,&quot;legacyDesktopId&quot;:&quot;47823363-f562-41f5-9990-d9902caf495b&quot;}]},{&quot;citationID&quot;:&quot;MENDELEY_CITATION_48c9dda7-32b0-4057-90d7-32622941d9f7&quot;,&quot;properties&quot;:{&quot;noteIndex&quot;:0},&quot;isEdited&quot;:true,&quot;manualOverride&quot;:{&quot;citeprocText&quot;:&quot;(Amireh and Majaj 2000, 9)&quot;,&quot;isManuallyOverridden&quot;:false,&quot;manualOverrideText&quot;:&quot;&quot;},&quot;citationTag&quot;:&quot;MENDELEY_CITATION_v3_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&quot;,&quot;citationItems&quot;:[{&quot;id&quot;:&quot;924eef05-9cbc-3529-9497-f1ea9020e416&quot;,&quot;itemData&quot;:{&quot;editor&quot;:[{&quot;dropping-particle&quot;:&quot;&quot;,&quot;family&quot;:&quot;Amireh&quot;,&quot;given&quot;:&quot;Amal&quot;,&quot;non-dropping-particle&quot;:&quot;&quot;,&quot;parse-names&quot;:false,&quot;suffix&quot;:&quot;&quot;},{&quot;dropping-particle&quot;:&quot;&quot;,&quot;family&quot;:&quot;Majaj&quot;,&quot;given&quot;:&quot;Lisa Suhair&quot;,&quot;non-dropping-particle&quot;:&quot;&quot;,&quot;parse-names&quot;:false,&quot;suffix&quot;:&quot;&quot;}],&quot;id&quot;:&quot;924eef05-9cbc-3529-9497-f1ea9020e416&quot;,&quot;issued&quot;:{&quot;date-parts&quot;:[[&quot;2000&quot;]]},&quot;publisher&quot;:&quot;Routledge&quot;,&quot;publisher-place&quot;:&quot;New York, NY&quot;,&quot;title&quot;:&quot;Going Global: The Transnational Reception of Third World Women Writers &quot;,&quot;type&quot;:&quot;book&quot;,&quot;container-title-short&quot;:&quot;&quot;},&quot;locator&quot;:&quot;9&quot;,&quot;uris&quot;:[&quot;http://www.mendeley.com/documents/?uuid=924eef05-9cbc-3529-9497-f1ea9020e416&quot;],&quot;isTemporary&quot;:false,&quot;legacyDesktopId&quot;:&quot;924eef05-9cbc-3529-9497-f1ea9020e416&quot;}]},{&quot;citationID&quot;:&quot;MENDELEY_CITATION_c26db932-25ff-49a0-bb25-89065aacc367&quot;,&quot;properties&quot;:{&quot;noteIndex&quot;:0},&quot;isEdited&quot;:false,&quot;manualOverride&quot;:{&quot;isManuallyOverridden&quot;:false,&quot;citeprocText&quot;:&quot;(van Wyke 2013, 557)&quot;,&quot;manualOverrideText&quot;:&quot;&quot;},&quot;citationTag&quot;:&quot;MENDELEY_CITATION_v3_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&quot;,&quot;citationItems&quot;:[{&quot;label&quot;:&quot;page&quot;,&quot;id&quot;:&quot;77066a09-291d-3d78-bbf4-3585c7ee4b9a&quot;,&quot;itemData&quot;:{&quot;type&quot;:&quot;chapter&quot;,&quot;id&quot;:&quot;77066a09-291d-3d78-bbf4-3585c7ee4b9a&quot;,&quot;title&quot;:&quot;Translation and Ethics&quot;,&quot;author&quot;:[{&quot;family&quot;:&quot;Wyke&quot;,&quot;given&quot;:&quot;Ben&quot;,&quot;parse-names&quot;:false,&quot;dropping-particle&quot;:&quot;&quot;,&quot;non-dropping-particle&quot;:&quot;van&quot;}],&quot;container-title&quot;:&quot;The Routledge Handbook of Translation&quot;,&quot;chapter-number&quot;:&quot;40&quot;,&quot;accessed&quot;:{&quot;date-parts&quot;:[[2020,9,2]]},&quot;editor&quot;:[{&quot;family&quot;:&quot;Milan&quot;,&quot;given&quot;:&quot;Carman&quot;,&quot;parse-names&quot;:false,&quot;dropping-particle&quot;:&quot;&quot;,&quot;non-dropping-particle&quot;:&quot;&quot;},{&quot;family&quot;:&quot;Bartrina&quot;,&quot;given&quot;:&quot;Francesca&quot;,&quot;parse-names&quot;:false,&quot;dropping-particle&quot;:&quot;&quot;,&quot;non-dropping-particle&quot;:&quot;&quot;}],&quot;issued&quot;:{&quot;date-parts&quot;:[[2013]]},&quot;publisher-place&quot;:&quot;New York, NY&quot;,&quot;page&quot;:&quot;548-560&quot;,&quot;publisher&quot;:&quot;Routledge&quot;,&quot;container-title-short&quot;:&quot;&quot;},&quot;isTemporary&quot;:false,&quot;locator&quot;:&quot;557&quot;}]},{&quot;citationID&quot;:&quot;MENDELEY_CITATION_9a348032-077c-404b-82f4-d949d55ebb47&quot;,&quot;properties&quot;:{&quot;noteIndex&quot;:0},&quot;isEdited&quot;:false,&quot;manualOverride&quot;:{&quot;isManuallyOverridden&quot;:false,&quot;citeprocText&quot;:&quot;(Baer 2022, 5)&quot;,&quot;manualOverrideText&quot;:&quot;&quot;},&quot;citationTag&quot;:&quot;MENDELEY_CITATION_v3_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&quot;,&quot;citationItems&quot;:[{&quot;label&quot;:&quot;page&quot;,&quot;id&quot;:&quot;5e825eac-a850-3ab2-ae2d-eebba46e3cb0&quot;,&quot;itemData&quot;:{&quot;type&quot;:&quot;chapter&quot;,&quot;id&quot;:&quot;5e825eac-a850-3ab2-ae2d-eebba46e3cb0&quot;,&quot;title&quot;:&quot;Is There a Translation in This Class? A Crash Course in Translation Literacy&quot;,&quot;author&quot;:[{&quot;family&quot;:&quot;Baer&quot;,&quot;given&quot;:&quot;Brian James&quot;,&quot;parse-names&quot;:false,&quot;dropping-particle&quot;:&quot;&quot;,&quot;non-dropping-particle&quot;:&quot;&quot;}],&quot;container-title&quot;:&quot;Teaching Literature in Translation: Pedagogical Contexts and reading Practices&quot;,&quot;accessed&quot;:{&quot;date-parts&quot;:[[2022,8,19]]},&quot;editor&quot;:[{&quot;family&quot;:&quot;Baer&quot;,&quot;given&quot;:&quot;Brian James&quot;,&quot;parse-names&quot;:false,&quot;dropping-particle&quot;:&quot;&quot;,&quot;non-dropping-particle&quot;:&quot;&quot;},{&quot;family&quot;:&quot;Woods&quot;,&quot;given&quot;:&quot;Michelle&quot;,&quot;parse-names&quot;:false,&quot;dropping-particle&quot;:&quot;&quot;,&quot;non-dropping-particle&quot;:&quot;&quot;}],&quot;DOI&quot;:&quot;10.4324/9781003105220-2&quot;,&quot;ISBN&quot;:&quot;9781003105220&quot;,&quot;URL&quot;:&quot;https://www.taylorfrancis.com/chapters/edit/10.4324/9781003105220-2/translation-class-brian-james-baer&quot;,&quot;issued&quot;:{&quot;date-parts&quot;:[[2022,7,29]]},&quot;publisher-place&quot;:&quot;New York, NY&quot;,&quot;page&quot;:&quot;3-12&quot;,&quot;publisher&quot;:&quot;Routledge&quot;,&quot;container-title-short&quot;:&quot;&quot;},&quot;isTemporary&quot;:false,&quot;locator&quot;:&quot;5&quot;}]},{&quot;citationID&quot;:&quot;MENDELEY_CITATION_00437dac-79a1-4958-993f-873cd9a2c510&quot;,&quot;properties&quot;:{&quot;noteIndex&quot;:0},&quot;isEdited&quot;:false,&quot;manualOverride&quot;:{&quot;isManuallyOverridden&quot;:false,&quot;citeprocText&quot;:&quot;(Grossman 2010, 69)&quot;,&quot;manualOverrideText&quot;:&quot;&quot;},&quot;citationTag&quot;:&quot;MENDELEY_CITATION_v3_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&quot;,&quot;citationItems&quot;:[{&quot;label&quot;:&quot;page&quot;,&quot;id&quot;:&quot;11c253b6-3c8c-3f31-a4b5-c8eac4bd1ca8&quot;,&quot;itemData&quot;:{&quot;type&quot;:&quot;book&quot;,&quot;id&quot;:&quot;11c253b6-3c8c-3f31-a4b5-c8eac4bd1ca8&quot;,&quot;title&quot;:&quot;Why Translation Matters&quot;,&quot;author&quot;:[{&quot;family&quot;:&quot;Grossman&quot;,&quot;given&quot;:&quot;Edith&quot;,&quot;parse-names&quot;:false,&quot;dropping-particle&quot;:&quot;&quot;,&quot;non-dropping-particle&quot;:&quot;&quot;}],&quot;accessed&quot;:{&quot;date-parts&quot;:[[2022,7,19]]},&quot;issued&quot;:{&quot;date-parts&quot;:[[2010]]},&quot;publisher-place&quot;:&quot;Orwigsburg, Pennsylvania&quot;,&quot;publisher&quot;:&quot;Yale University Press&quot;,&quot;container-title-short&quot;:&quot;&quot;},&quot;isTemporary&quot;:false,&quot;locator&quot;:&quot;69&quot;}]},{&quot;citationID&quot;:&quot;MENDELEY_CITATION_31a244e4-ceeb-4f84-b977-4bfed3bbb7e3&quot;,&quot;properties&quot;:{&quot;noteIndex&quot;:0},&quot;isEdited&quot;:true,&quot;manualOverride&quot;:{&quot;citeprocText&quot;:&quot;(2005, 417)&quot;,&quot;isManuallyOverridden&quot;:false,&quot;manualOverrideText&quot;:&quot;&quot;},&quot;citationTag&quot;:&quot;MENDELEY_CITATION_v3_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&quot;,&quot;citationItems&quot;:[{&quot;id&quot;:&quot;25440e72-2f75-36ef-9dac-b1b235d9123f&quot;,&quot;itemData&quot;:{&quot;ISBN&quot;:&quot;978-1583332917&quot;,&quot;abstract&quot;:&quot;\&quot;How babies babble, words change meaning and languages live or die ...\&quot;--Jacket. Ranges from how children learn to read to what makes words rude or polite, from eyebrow flashes to whistling languages. Unlocking the secrets of communication in an accessible, entertaining way, this book sheds light on the endless mysteries we speak, write and read every day. Introducing language -- Spoken language -- Written language -- Sign language -- Language structure -- Discourse -- Dialects -- Languages -- Multilingualism -- Looking after language.&quot;,&quot;author&quot;:[{&quot;dropping-particle&quot;:&quot;&quot;,&quot;family&quot;:&quot;Crystal&quot;,&quot;given&quot;:&quot;David&quot;,&quot;non-dropping-particle&quot;:&quot;&quot;,&quot;parse-names&quot;:false,&quot;suffix&quot;:&quot;&quot;}],&quot;id&quot;:&quot;25440e72-2f75-36ef-9dac-b1b235d9123f&quot;,&quot;issued&quot;:{&quot;date-parts&quot;:[[&quot;2005&quot;]]},&quot;number-of-pages&quot;:&quot;500&quot;,&quot;publisher&quot;:&quot;Avery&quot;,&quot;publisher-place&quot;:&quot;New York&quot;,&quot;title&quot;:&quot;How language works&quot;,&quot;type&quot;:&quot;book&quot;,&quot;container-title-short&quot;:&quot;&quot;},&quot;locator&quot;:&quot;417&quot;,&quot;suppress-author&quot;:1,&quot;uris&quot;:[&quot;http://www.mendeley.com/documents/?uuid=25440e72-2f75-36ef-9dac-b1b235d9123f&quot;],&quot;isTemporary&quot;:false,&quot;legacyDesktopId&quot;:&quot;25440e72-2f75-36ef-9dac-b1b235d9123f&quot;}]},{&quot;citationID&quot;:&quot;MENDELEY_CITATION_8f3743d5-8310-4b81-beb3-b4ad24e3fe73&quot;,&quot;properties&quot;:{&quot;noteIndex&quot;:0},&quot;isEdited&quot;:true,&quot;manualOverride&quot;:{&quot;citeprocText&quot;:&quot;(Meyer 2016, 178)&quot;,&quot;isManuallyOverridden&quot;:false,&quot;manualOverrideText&quot;:&quot;&quot;},&quot;citationTag&quot;:&quot;MENDELEY_CITATION_v3_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&quot;,&quot;citationItems&quot;:[{&quot;id&quot;:&quot;58c8c80e-e3f3-3923-a214-e708862faa93&quot;,&quot;itemData&quot;:{&quot;ISBN&quot;:&quot;9780415732536&quot;,&quot;abstract&quot;:&quot;Introduction -- Part 1. Exploring translation and interpreting / Claudia V. Angelelli and Brian James Baer -- Part 2. Mapping the field. Agency and role / Sergey Tyulenev ; Bilingualism and multilingualism / Claudia V. Angelelli ; Cognitive processes / Erik Angelone, Maureen Ehrensberger-Dow and Gary Massey ; Collaborative and volunteer translation and interpreting / Miguel A. Jiménez-Crespo ; Fictional respresentations of translators and interpreters / Klaus Kaindl ; Gender and sexuality / Brian James Baer and Françoise Massardier-Kenney ; History and historiography / María Manuela Fernández Sánchez ; Translation and interpreting pedagogy / Sonia Colina and Claudia V. Angelelli ; Profession, identity, and status / Rakefet Sela-Sheffy ; Reader response and reception theory / Tak-hung Leo Chan -- Part 3. Research methods. Action research / Brenda Nicodemus and Laurie Swabey ; Bibliometric studies / Luc Van Doorslaer ; Case studies / Bernd Meyer ; Conversation analysis / Laura Gavioli ; Corpus-based studies / Leonardo Giannossa ; Critical discourse analysis / Ian Mason ; Ethnography of communication / Edmund Asare ; Experimental research / Daniel Gile ; Histoire croisée / Michaela Wolf ; Interviews and focus groups / Ursula Böser ; Narrative analysis / Mona Baker ; Observations / Claudio Baraldi and Christopher D. Mellinger ; Survey-based studies / Sanjun Sun.&quot;,&quot;author&quot;:[{&quot;dropping-particle&quot;:&quot;&quot;,&quot;family&quot;:&quot;Meyer&quot;,&quot;given&quot;:&quot;Bernd&quot;,&quot;non-dropping-particle&quot;:&quot;&quot;,&quot;parse-names&quot;:false,&quot;suffix&quot;:&quot;&quot;}],&quot;chapter-number&quot;:&quot;14&quot;,&quot;container-title&quot;:&quot;Researching Translation and Interpreting&quot;,&quot;editor&quot;:[{&quot;dropping-particle&quot;:&quot;&quot;,&quot;family&quot;:&quot;Angelelli&quot;,&quot;given&quot;:&quot;Claudia&quot;,&quot;non-dropping-particle&quot;:&quot;&quot;,&quot;parse-names&quot;:false,&quot;suffix&quot;:&quot;&quot;},{&quot;dropping-particle&quot;:&quot;&quot;,&quot;family&quot;:&quot;Baer&quot;,&quot;given&quot;:&quot;Brian James.&quot;,&quot;non-dropping-particle&quot;:&quot;&quot;,&quot;parse-names&quot;:false,&quot;suffix&quot;:&quot;&quot;}],&quot;id&quot;:&quot;58c8c80e-e3f3-3923-a214-e708862faa93&quot;,&quot;issued&quot;:{&quot;date-parts&quot;:[[&quot;2016&quot;]]},&quot;page&quot;:&quot;177-184&quot;,&quot;publisher&quot;:&quot;Routledge&quot;,&quot;publisher-place&quot;:&quot;New York, NY&quot;,&quot;title&quot;:&quot;Case studies&quot;,&quot;type&quot;:&quot;chapter&quot;,&quot;container-title-short&quot;:&quot;&quot;},&quot;locator&quot;:&quot;178&quot;,&quot;uris&quot;:[&quot;http://www.mendeley.com/documents/?uuid=58c8c80e-e3f3-3923-a214-e708862faa93&quot;],&quot;isTemporary&quot;:false,&quot;legacyDesktopId&quot;:&quot;58c8c80e-e3f3-3923-a214-e708862faa93&quot;}]},{&quot;citationID&quot;:&quot;MENDELEY_CITATION_c9f191eb-796e-48b2-903b-cb91f7abfaad&quot;,&quot;properties&quot;:{&quot;noteIndex&quot;:0},&quot;isEdited&quot;:true,&quot;manualOverride&quot;:{&quot;citeprocText&quot;:&quot;(2018)&quot;,&quot;isManuallyOverridden&quot;:false,&quot;manualOverrideText&quot;:&quot;&quot;},&quot;citationTag&quot;:&quot;MENDELEY_CITATION_v3_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&quot;,&quot;citationItems&quot;:[{&quot;id&quot;:&quot;74687f0e-d4c0-3b63-8531-804b654a7ab5&quot;,&quot;itemData&quot;:{&quot;ISBN&quot;:&quot;978-1138955097&quot;,&quot;abstract&quot;:&quot;Reception introduces students and academics alike to the study of the way in which texts are received by readers, viewers and audiences. Organized conceptually and thematically, this book provides a much-needed overview of the field, drawing on work in literary and cultural studies as well as Classics, Biblical studies, medievalism and the media history of the book. It provides new ways of understanding and configuring the relationships between the various terminologies and theories that comprise reception study, and suggests potential ways forward for study and research in the light of such new configurations. Written in a clear and accessible style, this is the ideal introduction to the study of reception. -- Back cover.&quot;,&quot;author&quot;:[{&quot;dropping-particle&quot;:&quot;&quot;,&quot;family&quot;:&quot;Willis&quot;,&quot;given&quot;:&quot;Ika&quot;,&quot;non-dropping-particle&quot;:&quot;&quot;,&quot;parse-names&quot;:false,&quot;suffix&quot;:&quot;&quot;}],&quot;id&quot;:&quot;74687f0e-d4c0-3b63-8531-804b654a7ab5&quot;,&quot;issued&quot;:{&quot;date-parts&quot;:[[&quot;2018&quot;]]},&quot;number-of-pages&quot;:&quot;203&quot;,&quot;publisher&quot;:&quot;Routledge&quot;,&quot;publisher-place&quot;:&quot;New York&quot;,&quot;title&quot;:&quot;Reception&quot;,&quot;type&quot;:&quot;book&quot;,&quot;container-title-short&quot;:&quot;&quot;},&quot;suppress-author&quot;:1,&quot;uris&quot;:[&quot;http://www.mendeley.com/documents/?uuid=74687f0e-d4c0-3b63-8531-804b654a7ab5&quot;],&quot;isTemporary&quot;:false,&quot;legacyDesktopId&quot;:&quot;74687f0e-d4c0-3b63-8531-804b654a7ab5&quot;}]},{&quot;citationID&quot;:&quot;MENDELEY_CITATION_19c30611-8f79-4d5a-83ea-d5f6862789c0&quot;,&quot;properties&quot;:{&quot;noteIndex&quot;:0},&quot;isEdited&quot;:false,&quot;manualOverride&quot;:{&quot;isManuallyOverridden&quot;:false,&quot;citeprocText&quot;:&quot;(2019)&quot;,&quot;manualOverrideText&quot;:&quot;&quot;},&quot;citationTag&quot;:&quot;MENDELEY_CITATION_v3_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&quot;,&quot;citationItems&quot;:[{&quot;label&quot;:&quot;page&quot;,&quot;id&quot;:&quot;92cc7b1e-e10c-361b-8117-6fdee43889aa&quot;,&quot;itemData&quot;:{&quot;type&quot;:&quot;book&quot;,&quot;id&quot;:&quot;92cc7b1e-e10c-361b-8117-6fdee43889aa&quot;,&quot;title&quot;:&quot;Contra Instrumentalism: A Translation Polemic&quot;,&quot;author&quot;:[{&quot;family&quot;:&quot;Venuti&quot;,&quot;given&quot;:&quot;Lawrence&quot;,&quot;parse-names&quot;:false,&quot;dropping-particle&quot;:&quot;&quot;,&quot;non-dropping-particle&quot;:&quot;&quot;}],&quot;accessed&quot;:{&quot;date-parts&quot;:[[2022,5,30]]},&quot;ISBN&quot;:&quot;1496205138&quot;,&quot;issued&quot;:{&quot;date-parts&quot;:[[2019]]},&quot;abstract&quot;:&quot;Questions the long-accepted notion that translation reproduces or transfers an invariant contained in or caused by the source text. This \&quot;instrumental\&quot; model of translation has dominated translation theory and commentary for more than two millennia, and its influence can be seen today in elite and popular cultures, in academic institutions and in publishing, in scholarly monographs and in literary journalism, in the most rarefied theoretical discourses and in the most commonly used clichés. The book aims to end the dominance of instrumentalism by showing how it grossly oversimplifies translation practice and fosters an illusion of immediate access to source texts. The author asserts that all translation is an interpretive act that necessarily entails ethical responsibilities and political commitments. The author argues that a hermeneutic model offers a more comprehensive and incisive understanding of translation that enables an appreciation of not only the creative and scholarly aspects of what a translator does but also the crucial role translation plays in the cultural and social institutions that shape human life Hijacking translation: uneven developments -- Proverbs of untranslatability: why proverbs? -- The trouble with subtitles: instrumentalism in current research and training -- Stop/start.&quot;,&quot;publisher&quot;:&quot;University of Nebraska Press&quot;,&quot;container-title-short&quot;:&quot;&quot;},&quot;isTemporary&quot;:false,&quot;suppress-author&quot;:true}]},{&quot;citationID&quot;:&quot;MENDELEY_CITATION_6c9692d3-d984-4b2d-8936-7502e8aa7147&quot;,&quot;properties&quot;:{&quot;noteIndex&quot;:0},&quot;isEdited&quot;:true,&quot;manualOverride&quot;:{&quot;citeprocText&quot;:&quot;(1978)&quot;,&quot;isManuallyOverridden&quot;:false,&quot;manualOverrideText&quot;:&quot;&quot;},&quot;citationTag&quot;:&quot;MENDELEY_CITATION_v3_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&quot;,&quot;citationItems&quot;:[{&quot;id&quot;:&quot;e7658944-7ce8-3fd7-af98-429f431bd6eb&quot;,&quot;itemData&quot;:{&quot;DOI&quot;:&quot;10.1136/bmj.a2717&quot;,&quot;ISBN&quot;:&quot;0809057409&quot;,&quot;PMID&quot;:&quot;141968&quot;,&quot;abstract&quot;:&quot;To cite a text is to re-open its textual productivity, undoing the closure effected by having given the text an author&quot;,&quot;author&quot;:[{&quot;dropping-particle&quot;:&quot;&quot;,&quot;family&quot;:&quot;Barthes&quot;,&quot;given&quot;:&quot;Roland&quot;,&quot;non-dropping-particle&quot;:&quot;&quot;,&quot;parse-names&quot;:false,&quot;suffix&quot;:&quot;&quot;}],&quot;container-title&quot;:&quot;Image, music, text&quot;,&quot;editor&quot;:[{&quot;dropping-particle&quot;:&quot;&quot;,&quot;family&quot;:&quot;Heath&quot;,&quot;given&quot;:&quot;Stephen&quot;,&quot;non-dropping-particle&quot;:&quot;&quot;,&quot;parse-names&quot;:false,&quot;suffix&quot;:&quot;&quot;}],&quot;id&quot;:&quot;e7658944-7ce8-3fd7-af98-429f431bd6eb&quot;,&quot;issued&quot;:{&quot;date-parts&quot;:[[&quot;1978&quot;]]},&quot;page&quot;:&quot;142-148&quot;,&quot;publisher&quot;:&quot;Hill and Wang&quot;,&quot;publisher-place&quot;:&quot;New York, NY&quot;,&quot;title&quot;:&quot;The Death of the author&quot;,&quot;type&quot;:&quot;chapter&quot;,&quot;container-title-short&quot;:&quot;&quot;},&quot;suppress-author&quot;:1,&quot;uris&quot;:[&quot;http://www.mendeley.com/documents/?uuid=e7658944-7ce8-3fd7-af98-429f431bd6eb&quot;],&quot;isTemporary&quot;:false,&quot;legacyDesktopId&quot;:&quot;e7658944-7ce8-3fd7-af98-429f431bd6eb&quot;}]},{&quot;citationID&quot;:&quot;MENDELEY_CITATION_605e4523-4630-4260-b09f-76fc5bb28996&quot;,&quot;properties&quot;:{&quot;noteIndex&quot;:0},&quot;isEdited&quot;:true,&quot;manualOverride&quot;:{&quot;citeprocText&quot;:&quot;(1997, 18)&quot;,&quot;isManuallyOverridden&quot;:false,&quot;manualOverrideText&quot;:&quot;&quot;},&quot;citationTag&quot;:&quot;MENDELEY_CITATION_v3_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&quot;,&quot;citationItems&quot;:[{&quot;id&quot;:&quot;785dcf72-7b2d-3695-bbb3-065e3425d40b&quot;,&quot;itemData&quot;:{&quot;author&quot;:[{&quot;dropping-particle&quot;:&quot;&quot;,&quot;family&quot;:&quot;Hall&quot;,&quot;given&quot;:&quot;Stuart&quot;,&quot;non-dropping-particle&quot;:&quot;&quot;,&quot;parse-names&quot;:false,&quot;suffix&quot;:&quot;&quot;}],&quot;id&quot;:&quot;785dcf72-7b2d-3695-bbb3-065e3425d40b&quot;,&quot;issued&quot;:{&quot;date-parts&quot;:[[&quot;1997&quot;]]},&quot;publisher&quot;:&quot;Sage in association with the Open University&quot;,&quot;publisher-place&quot;:&quot;London&quot;,&quot;title&quot;:&quot;Representation: Cultural Representations and Signifying Practices&quot;,&quot;type&quot;:&quot;book&quot;,&quot;container-title-short&quot;:&quot;&quot;},&quot;locator&quot;:&quot;18&quot;,&quot;suppress-author&quot;:1,&quot;uris&quot;:[&quot;http://www.mendeley.com/documents/?uuid=785dcf72-7b2d-3695-bbb3-065e3425d40b&quot;],&quot;isTemporary&quot;:false,&quot;legacyDesktopId&quot;:&quot;785dcf72-7b2d-3695-bbb3-065e3425d40b&quot;}]},{&quot;citationID&quot;:&quot;MENDELEY_CITATION_bca40612-7a35-4657-8cab-b422053d6c0c&quot;,&quot;properties&quot;:{&quot;noteIndex&quot;:0},&quot;isEdited&quot;:true,&quot;manualOverride&quot;:{&quot;citeprocText&quot;:&quot;(Scott 2012, 6)&quot;,&quot;isManuallyOverridden&quot;:false,&quot;manualOverrideText&quot;:&quot;&quot;},&quot;citationTag&quot;:&quot;MENDELEY_CITATION_v3_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&quot;,&quot;citationItems&quot;:[{&quot;id&quot;:&quot;042d0487-549a-329c-b7db-4f6b2b5caa03&quot;,&quot;itemData&quot;:{&quot;author&quot;:[{&quot;dropping-particle&quot;:&quot;&quot;,&quot;family&quot;:&quot;Scott&quot;,&quot;given&quot;:&quot;Clive&quot;,&quot;non-dropping-particle&quot;:&quot;&quot;,&quot;parse-names&quot;:false,&quot;suffix&quot;:&quot;&quot;}],&quot;id&quot;:&quot;042d0487-549a-329c-b7db-4f6b2b5caa03&quot;,&quot;issued&quot;:{&quot;date-parts&quot;:[[&quot;2012&quot;]]},&quot;publisher&quot;:&quot;Routledge&quot;,&quot;publisher-place&quot;:&quot;Oxford, UK&quot;,&quot;title&quot;:&quot; Translating the Perception of Text: Literary Translation and Phenomenology&quot;,&quot;type&quot;:&quot;book&quot;,&quot;container-title-short&quot;:&quot;&quot;},&quot;locator&quot;:&quot;6&quot;,&quot;uris&quot;:[&quot;http://www.mendeley.com/documents/?uuid=042d0487-549a-329c-b7db-4f6b2b5caa03&quot;],&quot;isTemporary&quot;:false,&quot;legacyDesktopId&quot;:&quot;042d0487-549a-329c-b7db-4f6b2b5caa03&quot;}]},{&quot;citationID&quot;:&quot;MENDELEY_CITATION_ba7332e5-4577-44b1-9134-6ea963d90a69&quot;,&quot;properties&quot;:{&quot;noteIndex&quot;:0},&quot;isEdited&quot;:true,&quot;manualOverride&quot;:{&quot;citeprocText&quot;:&quot;(2010, 113)&quot;,&quot;isManuallyOverridden&quot;:false,&quot;manualOverrideText&quot;:&quot;&quot;},&quot;citationTag&quot;:&quot;MENDELEY_CITATION_v3_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&quot;,&quot;citationItems&quot;:[{&quot;id&quot;:&quot;397941fa-3816-3328-8e9c-ca1197557c72&quot;,&quot;itemData&quot;:{&quot;type&quot;:&quot;chapter&quot;,&quot;id&quot;:&quot;397941fa-3816-3328-8e9c-ca1197557c72&quot;,&quot;title&quot;:&quot;Ethics and translation&quot;,&quot;author&quot;:[{&quot;family&quot;:&quot;Wyke&quot;,&quot;given&quot;:&quot;Ben&quot;,&quot;parse-names&quot;:false,&quot;dropping-particle&quot;:&quot;van&quot;,&quot;non-dropping-particle&quot;:&quot;&quot;}],&quot;container-title&quot;:&quot;Handbook of Translation Studies&quot;,&quot;accessed&quot;:{&quot;date-parts&quot;:[[2020,8,29]]},&quot;editor&quot;:[{&quot;family&quot;:&quot;Gambier&quot;,&quot;given&quot;:&quot;Yves&quot;,&quot;parse-names&quot;:false,&quot;dropping-particle&quot;:&quot;&quot;,&quot;non-dropping-particle&quot;:&quot;&quot;},{&quot;family&quot;:&quot;Doorslaer&quot;,&quot;given&quot;:&quot;Luc&quot;,&quot;parse-names&quot;:false,&quot;dropping-particle&quot;:&quot;van&quot;,&quot;non-dropping-particle&quot;:&quot;&quot;}],&quot;DOI&quot;:&quot;10.1075/hts.1.eth1&quot;,&quot;issued&quot;:{&quot;date-parts&quot;:[[2010,10,28]]},&quot;publisher-place&quot;:&quot;Amsterdam/Philadelphia&quot;,&quot;page&quot;:&quot;111-115&quot;,&quot;publisher&quot;:&quot;John Benjamins Publishing Company&quot;,&quot;volume&quot;:&quot;1&quot;,&quot;container-title-short&quot;:&quot;&quot;},&quot;locator&quot;:&quot;113&quot;,&quot;suppress-author&quot;:1,&quot;uris&quot;:[&quot;http://www.mendeley.com/documents/?uuid=397941fa-3816-3328-8e9c-ca1197557c72&quot;],&quot;isTemporary&quot;:false,&quot;legacyDesktopId&quot;:&quot;397941fa-3816-3328-8e9c-ca1197557c72&quot;}]},{&quot;citationID&quot;:&quot;MENDELEY_CITATION_85e46071-084e-4d3b-a3cc-faaed4eee48b&quot;,&quot;properties&quot;:{&quot;noteIndex&quot;:0},&quot;isEdited&quot;:true,&quot;manualOverride&quot;:{&quot;citeprocText&quot;:&quot;(2016)&quot;,&quot;isManuallyOverridden&quot;:false,&quot;manualOverrideText&quot;:&quot;&quot;},&quot;citationTag&quot;:&quot;MENDELEY_CITATION_v3_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&quot;,&quot;citationItems&quot;:[{&quot;id&quot;:&quot;7162370b-dcf7-3a4f-abb8-0edbaaa59bd5&quot;,&quot;itemData&quot;:{&quot;ISBN&quot;:&quot;9780415732536&quot;,&quot;abstract&quot;:&quot;Introduction -- Part 1. Exploring translation and interpreting / Claudia V. Angelelli and Brian James Baer -- Part 2. Mapping the field. Agency and role / Sergey Tyulenev ; Bilingualism and multilingualism / Claudia V. Angelelli ; Cognitive processes / Erik Angelone, Maureen Ehrensberger-Dow and Gary Massey ; Collaborative and volunteer translation and interpreting / Miguel A. Jiménez-Crespo ; Fictional respresentations of translators and interpreters / Klaus Kaindl ; Gender and sexuality / Brian James Baer and Françoise Massardier-Kenney ; History and historiography / María Manuela Fernández Sánchez ; Translation and interpreting pedagogy / Sonia Colina and Claudia V. Angelelli ; Profession, identity, and status / Rakefet Sela-Sheffy ; Reader response and reception theory / Tak-hung Leo Chan -- Part 3. Research methods. Action research / Brenda Nicodemus and Laurie Swabey ; Bibliometric studies / Luc Van Doorslaer ; Case studies / Bernd Meyer ; Conversation analysis / Laura Gavioli ; Corpus-based studies / Leonardo Giannossa ; Critical discourse analysis / Ian Mason ; Ethnography of communication / Edmund Asare ; Experimental research / Daniel Gile ; Histoire croisée / Michaela Wolf ; Interviews and focus groups / Ursula Böser ; Narrative analysis / Mona Baker ; Observations / Claudio Baraldi and Christopher D. Mellinger ; Survey-based studies / Sanjun Sun.&quot;,&quot;editor&quot;:[{&quot;dropping-particle&quot;:&quot;&quot;,&quot;family&quot;:&quot;Angelelli&quot;,&quot;given&quot;:&quot;Claudia&quot;,&quot;non-dropping-particle&quot;:&quot;&quot;,&quot;parse-names&quot;:false,&quot;suffix&quot;:&quot;&quot;},{&quot;dropping-particle&quot;:&quot;&quot;,&quot;family&quot;:&quot;Baer&quot;,&quot;given&quot;:&quot;Brian James&quot;,&quot;non-dropping-particle&quot;:&quot;&quot;,&quot;parse-names&quot;:false,&quot;suffix&quot;:&quot;&quot;}],&quot;id&quot;:&quot;7162370b-dcf7-3a4f-abb8-0edbaaa59bd5&quot;,&quot;issued&quot;:{&quot;date-parts&quot;:[[&quot;2016&quot;]]},&quot;publisher&quot;:&quot;Routledge&quot;,&quot;publisher-place&quot;:&quot;New York, NY&quot;,&quot;title&quot;:&quot;Researching translation and interpreting&quot;,&quot;type&quot;:&quot;book&quot;,&quot;container-title-short&quot;:&quot;&quot;},&quot;suppress-author&quot;:1,&quot;uris&quot;:[&quot;http://www.mendeley.com/documents/?uuid=7162370b-dcf7-3a4f-abb8-0edbaaa59bd5&quot;],&quot;isTemporary&quot;:false,&quot;legacyDesktopId&quot;:&quot;7162370b-dcf7-3a4f-abb8-0edbaaa59bd5&quot;}]},{&quot;citationID&quot;:&quot;MENDELEY_CITATION_37489a28-e6e8-4e4d-b721-e4cb040352a6&quot;,&quot;properties&quot;:{&quot;noteIndex&quot;:0},&quot;isEdited&quot;:true,&quot;manualOverride&quot;:{&quot;citeprocText&quot;:&quot;(Chan 2015, 152)&quot;,&quot;isManuallyOverridden&quot;:false,&quot;manualOverrideText&quot;:&quot;&quot;},&quot;citationTag&quot;:&quot;MENDELEY_CITATION_v3_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&quot;,&quot;citationItems&quot;:[{&quot;id&quot;:&quot;3c271be2-1b97-35d9-84d1-2e978a3ff9de&quot;,&quot;itemData&quot;:{&quot;DOI&quot;:&quot;10.4324/9781315707280-23&quot;,&quot;ISBN&quot;:&quot;978-0-415-73253-6&quot;,&quot;author&quot;:[{&quot;dropping-particle&quot;:&quot;&quot;,&quot;family&quot;:&quot;Chan&quot;,&quot;given&quot;:&quot;Leo Tak-hung&quot;,&quot;non-dropping-particle&quot;:&quot;&quot;,&quot;parse-names&quot;:false,&quot;suffix&quot;:&quot;&quot;}],&quot;chapter-number&quot;:&quot;11&quot;,&quot;container-title&quot;:&quot;Researching Translation and Interpreting&quot;,&quot;editor&quot;:[{&quot;dropping-particle&quot;:&quot;&quot;,&quot;family&quot;:&quot;Baer&quot;,&quot;given&quot;:&quot;Brian James&quot;,&quot;non-dropping-particle&quot;:&quot;&quot;,&quot;parse-names&quot;:false,&quot;suffix&quot;:&quot;&quot;},{&quot;dropping-particle&quot;:&quot;&quot;,&quot;family&quot;:&quot;Angelelli&quot;,&quot;given&quot;:&quot;Claudia&quot;,&quot;non-dropping-particle&quot;:&quot;V.&quot;,&quot;parse-names&quot;:false,&quot;suffix&quot;:&quot;&quot;}],&quot;id&quot;:&quot;3c271be2-1b97-35d9-84d1-2e978a3ff9de&quot;,&quot;issued&quot;:{&quot;date-parts&quot;:[[&quot;2015&quot;,&quot;7&quot;,&quot;16&quot;]]},&quot;page&quot;:&quot;146-154&quot;,&quot;publisher&quot;:&quot;Routledge&quot;,&quot;publisher-place&quot;:&quot;Abingdon&quot;,&quot;title&quot;:&quot;Reader Response and Reception Theory&quot;,&quot;type&quot;:&quot;chapter&quot;,&quot;container-title-short&quot;:&quot;&quot;},&quot;locator&quot;:&quot;152&quot;,&quot;uris&quot;:[&quot;http://www.mendeley.com/documents/?uuid=3c271be2-1b97-35d9-84d1-2e978a3ff9de&quot;],&quot;isTemporary&quot;:false,&quot;legacyDesktopId&quot;:&quot;3c271be2-1b97-35d9-84d1-2e978a3ff9de&quot;}]},{&quot;citationID&quot;:&quot;MENDELEY_CITATION_13dbfa49-447a-4a48-b049-817fe2cd0fb4&quot;,&quot;properties&quot;:{&quot;noteIndex&quot;:0},&quot;isEdited&quot;:false,&quot;manualOverride&quot;:{&quot;isManuallyOverridden&quot;:false,&quot;citeprocText&quot;:&quot;(Kruger and Kruger 2017; Sapiro 2014; Baer 2014)&quot;,&quot;manualOverrideText&quot;:&quot;&quot;},&quot;citationTag&quot;:&quot;MENDELEY_CITATION_v3_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&quot;,&quot;citationItems&quot;:[{&quot;id&quot;:&quot;1c066cdd-32f9-38f2-808d-99b301db9883&quot;,&quot;itemData&quot;:{&quot;type&quot;:&quot;chapter&quot;,&quot;id&quot;:&quot;1c066cdd-32f9-38f2-808d-99b301db9883&quot;,&quot;title&quot;:&quot;Cognition and Reception&quot;,&quot;author&quot;:[{&quot;family&quot;:&quot;Kruger&quot;,&quot;given&quot;:&quot;Haidee&quot;,&quot;parse-names&quot;:false,&quot;dropping-particle&quot;:&quot;&quot;,&quot;non-dropping-particle&quot;:&quot;&quot;},{&quot;family&quot;:&quot;Kruger&quot;,&quot;given&quot;:&quot;Jan‐Louis&quot;,&quot;parse-names&quot;:false,&quot;dropping-particle&quot;:&quot;&quot;,&quot;non-dropping-particle&quot;:&quot;&quot;}],&quot;container-title&quot;:&quot;The Handbook of Translation and Cognition&quot;,&quot;chapter-number&quot;:&quot;4&quot;,&quot;accessed&quot;:{&quot;date-parts&quot;:[[2020,3,16]]},&quot;editor&quot;:[{&quot;family&quot;:&quot;John W. Schwieter&quot;,&quot;given&quot;:&quot;&quot;,&quot;parse-names&quot;:false,&quot;dropping-particle&quot;:&quot;&quot;,&quot;non-dropping-particle&quot;:&quot;&quot;},{&quot;family&quot;:&quot;Aline Ferreira&quot;,&quot;given&quot;:&quot;&quot;,&quot;parse-names&quot;:false,&quot;dropping-particle&quot;:&quot;&quot;,&quot;non-dropping-particle&quot;:&quot;&quot;}],&quot;DOI&quot;:&quot;10.1002/9781119241485.ch4&quot;,&quot;URL&quot;:&quot;https://onlinelibrary.wiley.com/doi/abs/10.1002/9781119241485.ch4&quot;,&quot;issued&quot;:{&quot;date-parts&quot;:[[2017]]},&quot;publisher-place&quot;:&quot;Hoboken, NJ&quot;,&quot;page&quot;:&quot;71-89&quot;,&quot;publisher&quot;:&quot;Wiley&quot;,&quot;container-title-short&quot;:&quot;&quot;},&quot;isTemporary&quot;:false},{&quot;id&quot;:&quot;8f24fbbf-9f81-344d-8f09-3aa5e6044691&quot;,&quot;itemData&quot;:{&quot;type&quot;:&quot;chapter&quot;,&quot;id&quot;:&quot;8f24fbbf-9f81-344d-8f09-3aa5e6044691&quot;,&quot;title&quot;:&quot;The Sociology of Translation: A New Research Domain&quot;,&quot;author&quot;:[{&quot;family&quot;:&quot;Sapiro&quot;,&quot;given&quot;:&quot;Gisèle&quot;,&quot;parse-names&quot;:false,&quot;dropping-particle&quot;:&quot;&quot;,&quot;non-dropping-particle&quot;:&quot;&quot;}],&quot;container-title&quot;:&quot;A Companion to Translation Studies&quot;,&quot;chapter-number&quot;:&quot;6&quot;,&quot;accessed&quot;:{&quot;date-parts&quot;:[[2020,3,29]]},&quot;editor&quot;:[{&quot;family&quot;:&quot;Sandra Bermann&quot;,&quot;given&quot;:&quot;&quot;,&quot;parse-names&quot;:false,&quot;dropping-particle&quot;:&quot;&quot;,&quot;non-dropping-particle&quot;:&quot;&quot;},{&quot;family&quot;:&quot;Catherine Porter&quot;,&quot;given&quot;:&quot;&quot;,&quot;parse-names&quot;:false,&quot;dropping-particle&quot;:&quot;&quot;,&quot;non-dropping-particle&quot;:&quot;&quot;}],&quot;issued&quot;:{&quot;date-parts&quot;:[[2014]]},&quot;publisher-place&quot;:&quot;Oxford, UK&quot;,&quot;page&quot;:&quot;82-94&quot;,&quot;abstract&quot;:&quot;Translation has become an object of study for the social sciences, especially sociology. Sociology approaches translation both as a social practice and as a cultural product involving agents (such as authors, translators, editors, and critics) and institutions (such as translation schools, literary and academic journals, publishing houses, and state policies). It is practiced by agents - translators - endowed with specific skills (linguistic, literary, academic, or technical), under various material conditions (for profit or not) and status (scholarly practice, profession). As a social activity, translation can be studied from different sociological perspectives: the sociology of professions, the sociology of culture, the study of international cultural exchanges, social functions, and fields (the political field, the economic field - publishing, the literary field), the social conditions of the international circulation of ideas, and the epistemology of the human and social sciences. While sociology brings new perspectives to translation studies, translation raises, as an object, interesting questions for sociology.&quot;,&quot;publisher&quot;:&quot;John Wiley &amp; Sons, Ltd&quot;,&quot;container-title-short&quot;:&quot;&quot;},&quot;isTemporary&quot;:false},{&quot;id&quot;:&quot;d276e8a0-670b-3c1a-abdd-fe43675e7174&quot;,&quot;itemData&quot;:{&quot;type&quot;:&quot;chapter&quot;,&quot;id&quot;:&quot;d276e8a0-670b-3c1a-abdd-fe43675e7174&quot;,&quot;title&quot;:&quot;Translated Literature and the Role of the Reader&quot;,&quot;author&quot;:[{&quot;family&quot;:&quot;Baer&quot;,&quot;given&quot;:&quot;Brian James&quot;,&quot;parse-names&quot;:false,&quot;dropping-particle&quot;:&quot;&quot;,&quot;non-dropping-particle&quot;:&quot;&quot;}],&quot;container-title&quot;:&quot;A Companion to Translation Studies&quot;,&quot;accessed&quot;:{&quot;date-parts&quot;:[[2018,9,5]]},&quot;DOI&quot;:&quot;10.1002/9781118613504.ch25&quot;,&quot;issued&quot;:{&quot;date-parts&quot;:[[2014,1,24]]},&quot;publisher-place&quot;:&quot;Oxford, UK&quot;,&quot;page&quot;:&quot;333-345&quot;,&quot;publisher&quot;:&quot;John Wiley &amp; Sons, Ltd&quot;,&quot;container-title-short&quot;:&quot;&quot;},&quot;isTemporary&quot;:false}]},{&quot;citationID&quot;:&quot;MENDELEY_CITATION_3bf8e11b-15b1-4522-890d-2a9ca426d844&quot;,&quot;properties&quot;:{&quot;noteIndex&quot;:0},&quot;isEdited&quot;:false,&quot;manualOverride&quot;:{&quot;isManuallyOverridden&quot;:false,&quot;citeprocText&quot;:&quot;(2021)&quot;,&quot;manualOverrideText&quot;:&quot;&quot;},&quot;citationTag&quot;:&quot;MENDELEY_CITATION_v3_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&quot;,&quot;citationItems&quot;:[{&quot;label&quot;:&quot;page&quot;,&quot;id&quot;:&quot;06c90db4-bf7e-372e-a116-935d560e62fd&quot;,&quot;itemData&quot;:{&quot;type&quot;:&quot;webpage&quot;,&quot;id&quot;:&quot;06c90db4-bf7e-372e-a116-935d560e62fd&quot;,&quot;title&quot;:&quot;Translations and their readers. What we know and don’t know - YouTube&quot;,&quot;author&quot;:[{&quot;family&quot;:&quot;Pym&quot;,&quot;given&quot;:&quot;Anthony&quot;,&quot;parse-names&quot;:false,&quot;dropping-particle&quot;:&quot;&quot;,&quot;non-dropping-particle&quot;:&quot;&quot;}],&quot;accessed&quot;:{&quot;date-parts&quot;:[[2022,3,13]]},&quot;URL&quot;:&quot;https://www.youtube.com/watch?v=JYrXneLIjq4&amp;t=5s&quot;,&quot;issued&quot;:{&quot;date-parts&quot;:[[2021]]},&quot;container-title-short&quot;:&quot;&quot;},&quot;isTemporary&quot;:false,&quot;suppress-author&quot;:true}]},{&quot;citationID&quot;:&quot;MENDELEY_CITATION_f90245f8-4baf-4aae-9448-6ad9c820f486&quot;,&quot;properties&quot;:{&quot;noteIndex&quot;:0},&quot;isEdited&quot;:true,&quot;manualOverride&quot;:{&quot;citeprocText&quot;:&quot;(2017, 98)&quot;,&quot;isManuallyOverridden&quot;:false,&quot;manualOverrideText&quot;:&quot;&quot;},&quot;citationTag&quot;:&quot;MENDELEY_CITATION_v3_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&quot;,&quot;citationItems&quot;:[{&quot;id&quot;:&quot;4855ff80-5123-30e8-9371-7dd028097358&quot;,&quot;itemData&quot;:{&quot;ISBN&quot;:&quot;1135052972&quot;,&quot;abstract&quot;:&quot;Third edition. This third edition of Hans Bertens' bestselling book is an essential guide to the often confusing and complicated world of literary theory. Exploring a broad range of topics from Marxist and feminist criticism to postmodernism and new historicism Literary Theory: The Basics covers contemporary topics including: reception theory and reader response theory the new criticism of postmodernism the 'after theory' debate post-humanism, biopolitics and animal studies aesthetics Literary Theory: The Basics helps readers to approach the many theories and debates in this field with confidence. Now with updated case studies and further reading this is an essential purchase for anyone who strives to understand literary theory today. 1. Reading for meaning : practical criticism and New Criticism -- 2. Reading for form I : formalism and early structuralism, 1914-60 -- 3. Reading for form II : French structuralism, 1950-75 -- 4. Political reading : class, gender, and race in the 1970s and 1980s -- 5. The poststructuralist revolution : Derrida and deconstruction -- 6. Poststructuralism continued : Foucault, Lacan, French feminism, and postmodernism -- 7. Literature and culture : cultural studies, the new historicism, and cultural materialism -- 8. Postcolonial criticism and theory -- 9. Sexuality, literature, and culture -- 10. Posthumanism, ecocriticism, and animal studies -- 11. Conclusion.&quot;,&quot;author&quot;:[{&quot;dropping-particle&quot;:&quot;&quot;,&quot;family&quot;:&quot;Bertens&quot;,&quot;given&quot;:&quot;Hans&quot;,&quot;non-dropping-particle&quot;:&quot;&quot;,&quot;parse-names&quot;:false,&quot;suffix&quot;:&quot;&quot;}],&quot;edition&quot;:&quot;3&quot;,&quot;id&quot;:&quot;4855ff80-5123-30e8-9371-7dd028097358&quot;,&quot;issued&quot;:{&quot;date-parts&quot;:[[&quot;2017&quot;]]},&quot;number-of-pages&quot;:&quot;285&quot;,&quot;publisher&quot;:&quot;Routledge&quot;,&quot;publisher-place&quot;:&quot;New York, NY&quot;,&quot;title&quot;:&quot;Literary Theory : the basics&quot;,&quot;type&quot;:&quot;book&quot;,&quot;container-title-short&quot;:&quot;&quot;},&quot;locator&quot;:&quot;98&quot;,&quot;suppress-author&quot;:1,&quot;uris&quot;:[&quot;http://www.mendeley.com/documents/?uuid=4855ff80-5123-30e8-9371-7dd028097358&quot;],&quot;isTemporary&quot;:false,&quot;legacyDesktopId&quot;:&quot;4855ff80-5123-30e8-9371-7dd028097358&quot;}]},{&quot;citationID&quot;:&quot;MENDELEY_CITATION_0f657311-284f-469a-9771-84242671d6fd&quot;,&quot;properties&quot;:{&quot;noteIndex&quot;:0},&quot;isEdited&quot;:false,&quot;manualOverride&quot;:{&quot;isManuallyOverridden&quot;:false,&quot;citeprocText&quot;:&quot;(2020)&quot;,&quot;manualOverrideText&quot;:&quot;&quot;},&quot;citationTag&quot;:&quot;MENDELEY_CITATION_v3_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&quot;,&quot;citationItems&quot;:[{&quot;label&quot;:&quot;page&quot;,&quot;id&quot;:&quot;977314af-164c-3e07-99b3-580ff7acb267&quot;,&quot;itemData&quot;:{&quot;type&quot;:&quot;book&quot;,&quot;id&quot;:&quot;977314af-164c-3e07-99b3-580ff7acb267&quot;,&quot;title&quot;:&quot;Transnational Politics in the Post-9/11 Novel&quot;,&quot;author&quot;:[{&quot;family&quot;:&quot;CONTE&quot;,&quot;given&quot;:&quot;JOSEPH.&quot;,&quot;parse-names&quot;:false,&quot;dropping-particle&quot;:&quot;&quot;,&quot;non-dropping-particle&quot;:&quot;&quot;}],&quot;accessed&quot;:{&quot;date-parts&quot;:[[2022,6,4]]},&quot;ISBN&quot;:&quot;9781032239583&quot;,&quot;issued&quot;:{&quot;date-parts&quot;:[[2020]]},&quot;publisher-place&quot;:&quot;New York, NY&quot;,&quot;publisher&quot;:&quot;ROUTLEDGE&quot;,&quot;container-title-short&quot;:&quot;&quot;},&quot;isTemporary&quot;:false,&quot;suppress-author&quot;:true}]},{&quot;citationID&quot;:&quot;MENDELEY_CITATION_00ee22be-b232-4c89-a156-3197b68c59bd&quot;,&quot;properties&quot;:{&quot;noteIndex&quot;:0},&quot;isEdited&quot;:true,&quot;manualOverride&quot;:{&quot;citeprocText&quot;:&quot;(1997)&quot;,&quot;isManuallyOverridden&quot;:false,&quot;manualOverrideText&quot;:&quot;&quot;},&quot;citationTag&quot;:&quot;MENDELEY_CITATION_v3_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&quot;,&quot;citationItems&quot;:[{&quot;id&quot;:&quot;64a35107-b363-3a2c-af0d-4239e5fc1287&quot;,&quot;itemData&quot;:{&quot;type&quot;:&quot;book&quot;,&quot;id&quot;:&quot;64a35107-b363-3a2c-af0d-4239e5fc1287&quot;,&quot;title&quot;:&quot;Paratexts: thresholds of interpretation&quot;,&quot;author&quot;:[{&quot;family&quot;:&quot;Genette&quot;,&quot;given&quot;:&quot;Gérard&quot;,&quot;parse-names&quot;:false,&quot;dropping-particle&quot;:&quot;&quot;,&quot;non-dropping-particle&quot;:&quot;&quot;}],&quot;accessed&quot;:{&quot;date-parts&quot;:[[2018,11,21]]},&quot;ISBN&quot;:&quot;0521424062&quot;,&quot;issued&quot;:{&quot;date-parts&quot;:[[1997]]},&quot;publisher-place&quot;:&quot;Cambridge, England&quot;,&quot;abstract&quot;:&quot;Introduction -- The publisher's peritext -- The name of the author -- Titles -- The please-insert -- Dedications and inscriptions -- Epigraphs -- The prefatorial situtation of communication -- The functions of the original preface -- Other prefaces, other functions -- Intertitles -- Notes -- The public epitext -- The private epitext -- Conclusion.&quot;,&quot;publisher&quot;:&quot;Cambridge University Press&quot;,&quot;container-title-short&quot;:&quot;&quot;},&quot;suppress-author&quot;:1,&quot;uris&quot;:[&quot;http://www.mendeley.com/documents/?uuid=64a35107-b363-3a2c-af0d-4239e5fc1287&quot;],&quot;isTemporary&quot;:false,&quot;legacyDesktopId&quot;:&quot;64a35107-b363-3a2c-af0d-4239e5fc1287&quot;}]},{&quot;citationID&quot;:&quot;MENDELEY_CITATION_b5427009-5a4b-430f-859a-7d2ac1b19d17&quot;,&quot;properties&quot;:{&quot;noteIndex&quot;:0},&quot;isEdited&quot;:true,&quot;manualOverride&quot;:{&quot;citeprocText&quot;:&quot;(2005, 14)&quot;,&quot;isManuallyOverridden&quot;:false,&quot;manualOverrideText&quot;:&quot;&quot;},&quot;citationTag&quot;:&quot;MENDELEY_CITATION_v3_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&quot;,&quot;citationItems&quot;:[{&quot;id&quot;:&quot;ca492b7b-ecb5-3ec1-ae92-c297c8d40094&quot;,&quot;itemData&quot;:{&quot;ISBN&quot;:&quot;0739108565&quot;,&quot;abstract&quot;:&quot;In the postcolonial era, book packaging reveals a struggle to reverse the power dynamic: Francophone writers introduced each others' texts, yet books still appeared with covers promoting stereotypical images of the Francophone world. This journey through a particular cultural history of the book is a unique take on the quest for literary identity. Watts concludes his study by looking at English mediations of Francophone works, with a chapter on reading and teaching Francophone literature in translation.\&quot;--Jacket. Introduction : paratexts and the mediation of culture -- pt. I. The colonial paratext and its imperial desires -- 1. Black text, white masks : the colonial paratext in sub-Saharan Africa -- 2. \&quot;The felicitous graft\&quot; : hybridity and anxiety in Indochina and North Africa -- pt. II. The textual itineraries of decolonization -- 3. Senghor and Sartre between the colonial and the postcolonial -- 4. Aime Cesaire's Cahier d'un retour au pays natal and its displacements -- pt. III. Postcolonial transfigurations of the book -- 5. Glissant, Lopes, and the ambivalence of the postcolonial paratext -- 6. Gender and the paratext -- 7. Epilogue : reading and teaching Francophone literatures in translation.&quot;,&quot;author&quot;:[{&quot;dropping-particle&quot;:&quot;&quot;,&quot;family&quot;:&quot;Watts&quot;,&quot;given&quot;:&quot;Richard&quot;,&quot;non-dropping-particle&quot;:&quot;&quot;,&quot;parse-names&quot;:false,&quot;suffix&quot;:&quot;&quot;}],&quot;id&quot;:&quot;ca492b7b-ecb5-3ec1-ae92-c297c8d40094&quot;,&quot;issued&quot;:{&quot;date-parts&quot;:[[&quot;2005&quot;]]},&quot;publisher&quot;:&quot;Lexington Books&quot;,&quot;publisher-place&quot;:&quot;Lanham, MD&quot;,&quot;title&quot;:&quot;Packaging post/coloniality : the manufacture of literary identity in the francophone world&quot;,&quot;type&quot;:&quot;book&quot;,&quot;container-title-short&quot;:&quot;&quot;},&quot;locator&quot;:&quot;14&quot;,&quot;suppress-author&quot;:1,&quot;uris&quot;:[&quot;http://www.mendeley.com/documents/?uuid=ca492b7b-ecb5-3ec1-ae92-c297c8d40094&quot;],&quot;isTemporary&quot;:false,&quot;legacyDesktopId&quot;:&quot;ca492b7b-ecb5-3ec1-ae92-c297c8d40094&quot;}]},{&quot;citationID&quot;:&quot;MENDELEY_CITATION_a884c369-624a-4135-bef0-b023da0f9f66&quot;,&quot;properties&quot;:{&quot;noteIndex&quot;:0},&quot;isEdited&quot;:true,&quot;manualOverride&quot;:{&quot;citeprocText&quot;:&quot;(1974, 282)&quot;,&quot;isManuallyOverridden&quot;:false,&quot;manualOverrideText&quot;:&quot;&quot;},&quot;citationTag&quot;:&quot;MENDELEY_CITATION_v3_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&quot;,&quot;citationItems&quot;:[{&quot;id&quot;:&quot;1b24d264-63d4-3003-a4e4-52fa63dbe319&quot;,&quot;itemData&quot;:{&quot;type&quot;:&quot;book&quot;,&quot;id&quot;:&quot;1b24d264-63d4-3003-a4e4-52fa63dbe319&quot;,&quot;title&quot;:&quot;The Implied Reader&quot;,&quot;author&quot;:[{&quot;family&quot;:&quot;Iser&quot;,&quot;given&quot;:&quot;Wolfgang&quot;,&quot;parse-names&quot;:false,&quot;dropping-particle&quot;:&quot;&quot;,&quot;non-dropping-particle&quot;:&quot;&quot;}],&quot;accessed&quot;:{&quot;date-parts&quot;:[[2020,6,24]]},&quot;issued&quot;:{&quot;date-parts&quot;:[[1974]]},&quot;publisher-place&quot;:&quot;Baltimore and London&quot;,&quot;publisher&quot;:&quot;The John Hopkins University Press&quot;,&quot;container-title-short&quot;:&quot;&quot;},&quot;locator&quot;:&quot;282&quot;,&quot;suppress-author&quot;:1,&quot;uris&quot;:[&quot;http://www.mendeley.com/documents/?uuid=1b24d264-63d4-3003-a4e4-52fa63dbe319&quot;],&quot;isTemporary&quot;:false,&quot;legacyDesktopId&quot;:&quot;1b24d264-63d4-3003-a4e4-52fa63dbe319&quot;}]},{&quot;citationID&quot;:&quot;MENDELEY_CITATION_e045d05b-6cff-4592-bee9-21d701248614&quot;,&quot;properties&quot;:{&quot;noteIndex&quot;:0},&quot;isEdited&quot;:true,&quot;manualOverride&quot;:{&quot;citeprocText&quot;:&quot;(Tahir Gürçaglar 2018, 289)&quot;,&quot;isManuallyOverridden&quot;:false,&quot;manualOverrideText&quot;:&quot;&quot;},&quot;citationTag&quot;:&quot;MENDELEY_CITATION_v3_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&quot;,&quot;citationItems&quot;:[{&quot;id&quot;:&quot;55eb18e8-f4af-3711-a5b7-87c64999670c&quot;,&quot;itemData&quot;:{&quot;DOI&quot;:&quot;10.1075/btl.142.39gur&quot;,&quot;author&quot;:[{&quot;dropping-particle&quot;:&quot;&quot;,&quot;family&quot;:&quot;Tahir Gürçaglar&quot;,&quot;given&quot;:&quot;Şehnaz&quot;,&quot;non-dropping-particle&quot;:&quot;&quot;,&quot;parse-names&quot;:false,&quot;suffix&quot;:&quot;&quot;}],&quot;chapter-number&quot;:&quot;5.1.&quot;,&quot;container-title&quot;:&quot;A History of Modern Translation Knowledge: Sources, concepts, effects&quot;,&quot;editor&quot;:[{&quot;dropping-particle&quot;:&quot;&quot;,&quot;family&quot;:&quot;Lieven&quot;,&quot;given&quot;:&quot;D’hulst&quot;,&quot;non-dropping-particle&quot;:&quot;&quot;,&quot;parse-names&quot;:false,&quot;suffix&quot;:&quot;&quot;},{&quot;dropping-particle&quot;:&quot;&quot;,&quot;family&quot;:&quot;Gambier&quot;,&quot;given&quot;:&quot;Yves&quot;,&quot;non-dropping-particle&quot;:&quot;&quot;,&quot;parse-names&quot;:false,&quot;suffix&quot;:&quot;&quot;}],&quot;id&quot;:&quot;55eb18e8-f4af-3711-a5b7-87c64999670c&quot;,&quot;issued&quot;:{&quot;date-parts&quot;:[[&quot;2018&quot;,&quot;6&quot;,&quot;8&quot;]]},&quot;page&quot;:&quot;287-292&quot;,&quot;publisher&quot;:&quot;John Benjamins Publishing Company&quot;,&quot;publisher-place&quot;:&quot;Amsterdam&quot;,&quot;title&quot;:&quot;Translated texts / paratexts&quot;,&quot;type&quot;:&quot;chapter&quot;,&quot;container-title-short&quot;:&quot;&quot;},&quot;locator&quot;:&quot;289&quot;,&quot;uris&quot;:[&quot;http://www.mendeley.com/documents/?uuid=55eb18e8-f4af-3711-a5b7-87c64999670c&quot;],&quot;isTemporary&quot;:false,&quot;legacyDesktopId&quot;:&quot;55eb18e8-f4af-3711-a5b7-87c64999670c&quot;}]},{&quot;citationID&quot;:&quot;MENDELEY_CITATION_284835bf-f872-4d87-9f82-955c535c731f&quot;,&quot;properties&quot;:{&quot;noteIndex&quot;:0},&quot;isEdited&quot;:true,&quot;manualOverride&quot;:{&quot;citeprocText&quot;:&quot;(Bourdieu 1999, 224)&quot;,&quot;isManuallyOverridden&quot;:false,&quot;manualOverrideText&quot;:&quot;&quot;},&quot;citationTag&quot;:&quot;MENDELEY_CITATION_v3_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&quot;,&quot;citationItems&quot;:[{&quot;id&quot;:&quot;35f19ef0-49da-3bb2-91f1-87371e961026&quot;,&quot;itemData&quot;:{&quot;type&quot;:&quot;chapter&quot;,&quot;id&quot;:&quot;35f19ef0-49da-3bb2-91f1-87371e961026&quot;,&quot;title&quot;:&quot;The Social Conditions of the International Circulation of Ideas&quot;,&quot;author&quot;:[{&quot;family&quot;:&quot;Bourdieu&quot;,&quot;given&quot;:&quot;Pierre&quot;,&quot;parse-names&quot;:false,&quot;dropping-particle&quot;:&quot;&quot;,&quot;non-dropping-particle&quot;:&quot;&quot;}],&quot;container-title&quot;:&quot;Bourdieu: A Critical Reader&quot;,&quot;chapter-number&quot;:&quot;13&quot;,&quot;accessed&quot;:{&quot;date-parts&quot;:[[2020,2,29]]},&quot;editor&quot;:[{&quot;family&quot;:&quot;Richard Shusterman&quot;,&quot;given&quot;:&quot;&quot;,&quot;parse-names&quot;:false,&quot;dropping-particle&quot;:&quot;&quot;,&quot;non-dropping-particle&quot;:&quot;&quot;}],&quot;ISBN&quot;:&quot;0631188185&quot;,&quot;issued&quot;:{&quot;date-parts&quot;:[[1999]]},&quot;publisher-place&quot;:&quot;Oxford, UK&quot;,&quot;page&quot;:&quot;220-228&quot;,&quot;publisher&quot;:&quot;Wiley-Blackwell&quot;,&quot;container-title-short&quot;:&quot;&quot;},&quot;locator&quot;:&quot;224&quot;,&quot;uris&quot;:[&quot;http://www.mendeley.com/documents/?uuid=35f19ef0-49da-3bb2-91f1-87371e961026&quot;],&quot;isTemporary&quot;:false,&quot;legacyDesktopId&quot;:&quot;35f19ef0-49da-3bb2-91f1-87371e961026&quot;}]},{&quot;citationID&quot;:&quot;MENDELEY_CITATION_66d74c2b-3b95-4189-859b-6ceaa4ba58fb&quot;,&quot;properties&quot;:{&quot;noteIndex&quot;:0},&quot;isEdited&quot;:false,&quot;manualOverride&quot;:{&quot;isManuallyOverridden&quot;:false,&quot;citeprocText&quot;:&quot;(2005, 5)&quot;,&quot;manualOverrideText&quot;:&quot;&quot;},&quot;citationTag&quot;:&quot;MENDELEY_CITATION_v3_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&quot;,&quot;citationItems&quot;:[{&quot;label&quot;:&quot;page&quot;,&quot;id&quot;:&quot;ca492b7b-ecb5-3ec1-ae92-c297c8d40094&quot;,&quot;itemData&quot;:{&quot;type&quot;:&quot;book&quot;,&quot;id&quot;:&quot;ca492b7b-ecb5-3ec1-ae92-c297c8d40094&quot;,&quot;title&quot;:&quot;Packaging post/coloniality: the manufacture of literary identity in the francophone world&quot;,&quot;author&quot;:[{&quot;family&quot;:&quot;Watts&quot;,&quot;given&quot;:&quot;Richard&quot;,&quot;parse-names&quot;:false,&quot;dropping-particle&quot;:&quot;&quot;,&quot;non-dropping-particle&quot;:&quot;&quot;}],&quot;accessed&quot;:{&quot;date-parts&quot;:[[2018,11,21]]},&quot;ISBN&quot;:&quot;0739108565&quot;,&quot;issued&quot;:{&quot;date-parts&quot;:[[2005]]},&quot;publisher-place&quot;:&quot;Lanham, MD&quot;,&quot;abstract&quot;:&quot;In the postcolonial era, book packaging reveals a struggle to reverse the power dynamic: Francophone writers introduced each others' texts, yet books still appeared with covers promoting stereotypical images of the Francophone world. This journey through a particular cultural history of the book is a unique take on the quest for literary identity. Watts concludes his study by looking at English mediations of Francophone works, with a chapter on reading and teaching Francophone literature in translation.\&quot;--Jacket. Introduction : paratexts and the mediation of culture -- pt. I. The colonial paratext and its imperial desires -- 1. Black text, white masks : the colonial paratext in sub-Saharan Africa -- 2. \&quot;The felicitous graft\&quot; : hybridity and anxiety in Indochina and North Africa -- pt. II. The textual itineraries of decolonization -- 3. Senghor and Sartre between the colonial and the postcolonial -- 4. Aime Cesaire's Cahier d'un retour au pays natal and its displacements -- pt. III. Postcolonial transfigurations of the book -- 5. Glissant, Lopes, and the ambivalence of the postcolonial paratext -- 6. Gender and the paratext -- 7. Epilogue : reading and teaching Francophone literatures in translation.&quot;,&quot;publisher&quot;:&quot;Lexington Books&quot;,&quot;container-title-short&quot;:&quot;&quot;},&quot;isTemporary&quot;:false,&quot;suppress-author&quot;:true,&quot;locator&quot;:&quot;5&quot;}]},{&quot;citationID&quot;:&quot;MENDELEY_CITATION_d1e7aad1-f972-46b6-9a22-771563cc5ff5&quot;,&quot;properties&quot;:{&quot;noteIndex&quot;:0},&quot;isEdited&quot;:true,&quot;manualOverride&quot;:{&quot;citeprocText&quot;:&quot;(Adil 2007, para. 1; Kennedy 2009, para. 9)&quot;,&quot;isManuallyOverridden&quot;:false,&quot;manualOverrideText&quot;:&quot;&quot;},&quot;citationTag&quot;:&quot;MENDELEY_CITATION_v3_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&quot;,&quot;citationItems&quot;:[{&quot;id&quot;:&quot;9bb076c1-7822-3e0f-97ba-047137e2e8d0&quot;,&quot;itemData&quot;:{&quot;URL&quot;:&quot;https://www.independent.co.uk/arts-entertainment/books/reviews/girls-of-riyadh-by-rajaa-alsanea-trans-marilyn-booth-5334374.html&quot;,&quot;accessed&quot;:{&quot;date-parts&quot;:[[&quot;2020&quot;,&quot;2&quot;,&quot;23&quot;]]},&quot;author&quot;:[{&quot;dropping-particle&quot;:&quot;&quot;,&quot;family&quot;:&quot;Adil&quot;,&quot;given&quot;:&quot;Alev&quot;,&quot;non-dropping-particle&quot;:&quot;&quot;,&quot;parse-names&quot;:false,&quot;suffix&quot;:&quot;&quot;}],&quot;container-title&quot;:&quot;Independant&quot;,&quot;id&quot;:&quot;9bb076c1-7822-3e0f-97ba-047137e2e8d0&quot;,&quot;issued&quot;:{&quot;date-parts&quot;:[[&quot;2007&quot;]]},&quot;title&quot;:&quot;Girls of Riyadh, by Rajaa Alsanea, trans. Marilyn Booth | The Independent&quot;,&quot;type&quot;:&quot;webpage&quot;,&quot;container-title-short&quot;:&quot;&quot;},&quot;locator&quot;:&quot;1&quot;,&quot;label&quot;:&quot;paragraph&quot;,&quot;uris&quot;:[&quot;http://www.mendeley.com/documents/?uuid=9bb076c1-7822-3e0f-97ba-047137e2e8d0&quot;],&quot;isTemporary&quot;:false,&quot;legacyDesktopId&quot;:&quot;9bb076c1-7822-3e0f-97ba-047137e2e8d0&quot;},{&quot;id&quot;:&quot;39a8fa70-aa6f-3d7b-bc21-242e1a0fc6f2&quot;,&quot;itemData&quot;:{&quot;URL&quot;:&quot;https://www.thenational.ae/arts-culture/books/beyond-the-book-1.554538&quot;,&quot;accessed&quot;:{&quot;date-parts&quot;:[[&quot;2020&quot;,&quot;2&quot;,&quot;23&quot;]]},&quot;author&quot;:[{&quot;dropping-particle&quot;:&quot;&quot;,&quot;family&quot;:&quot;Kennedy&quot;,&quot;given&quot;:&quot;Philippa&quot;,&quot;non-dropping-particle&quot;:&quot;&quot;,&quot;parse-names&quot;:false,&quot;suffix&quot;:&quot;&quot;}],&quot;container-title&quot;:&quot;The National&quot;,&quot;id&quot;:&quot;39a8fa70-aa6f-3d7b-bc21-242e1a0fc6f2&quot;,&quot;issued&quot;:{&quot;date-parts&quot;:[[&quot;2009&quot;]]},&quot;title&quot;:&quot;Beyond the book&quot;,&quot;type&quot;:&quot;webpage&quot;,&quot;container-title-short&quot;:&quot;&quot;},&quot;locator&quot;:&quot;9&quot;,&quot;label&quot;:&quot;paragraph&quot;,&quot;uris&quot;:[&quot;http://www.mendeley.com/documents/?uuid=39a8fa70-aa6f-3d7b-bc21-242e1a0fc6f2&quot;],&quot;isTemporary&quot;:false,&quot;legacyDesktopId&quot;:&quot;39a8fa70-aa6f-3d7b-bc21-242e1a0fc6f2&quot;}]},{&quot;citationID&quot;:&quot;MENDELEY_CITATION_d47f8e8a-8026-45aa-91e0-778c24b58f95&quot;,&quot;properties&quot;:{&quot;noteIndex&quot;:0},&quot;isEdited&quot;:true,&quot;manualOverride&quot;:{&quot;citeprocText&quot;:&quot;(2008, 199)&quot;,&quot;isManuallyOverridden&quot;:false,&quot;manualOverrideText&quot;:&quot;&quot;},&quot;citationTag&quot;:&quot;MENDELEY_CITATION_v3_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&quot;,&quot;citationItems&quot;:[{&quot;id&quot;:&quot;f9656e83-29b8-39fa-affe-0d8a38d66bd0&quot;,&quot;itemData&quot;:{&quot;DOI&quot;:&quot;10.1080/14781700802113523&quot;,&quot;abstract&quot;:&quot;This essay discusses translation practice in the context of recent North American and British marketing of works by Arab and/or Muslim authors, and the strong bias toward “transparent” translation that privileges sociological content over literary texture and the thickness of locale. Taking her recent translation of Raja’ al-Sani’'s Banat al-Riyadh (Rajaa Alsanea, Girls of Riyadh, Penguin, 2007) as a case study, the author argues that revisions made by the press and author to her translation domesticate the text and mute the novel's gender politics, while the author's assertion of the right to make these changes without the translator's involvement, as well as the resulting published text itself, question prevalent notions of the “first-world” translator's power to speak for “postcolonial” texts.&quot;,&quot;author&quot;:[{&quot;dropping-particle&quot;:&quot;&quot;,&quot;family&quot;:&quot;Booth&quot;,&quot;given&quot;:&quot;Marilyn&quot;,&quot;non-dropping-particle&quot;:&quot;&quot;,&quot;parse-names&quot;:false,&quot;suffix&quot;:&quot;&quot;}],&quot;container-title&quot;:&quot;Translation Studies&quot;,&quot;id&quot;:&quot;f9656e83-29b8-39fa-affe-0d8a38d66bd0&quot;,&quot;issue&quot;:&quot;2&quot;,&quot;issued&quot;:{&quot;date-parts&quot;:[[&quot;2008&quot;,&quot;7&quot;]]},&quot;page&quot;:&quot;197-211&quot;,&quot;publisher&quot;:&quot;Taylor &amp; Francis Group&quot;,&quot;title&quot;:&quot;Translator v. author (2007)&quot;,&quot;type&quot;:&quot;article-journal&quot;,&quot;volume&quot;:&quot;1&quot;,&quot;container-title-short&quot;:&quot;&quot;},&quot;locator&quot;:&quot;199&quot;,&quot;suppress-author&quot;:1,&quot;uris&quot;:[&quot;http://www.mendeley.com/documents/?uuid=f9656e83-29b8-39fa-affe-0d8a38d66bd0&quot;],&quot;isTemporary&quot;:false,&quot;legacyDesktopId&quot;:&quot;f9656e83-29b8-39fa-affe-0d8a38d66bd0&quot;}]},{&quot;citationID&quot;:&quot;MENDELEY_CITATION_fcd5063c-90f6-46c9-9382-1b006fa8cb4f&quot;,&quot;properties&quot;:{&quot;noteIndex&quot;:0},&quot;isEdited&quot;:false,&quot;manualOverride&quot;:{&quot;citeprocText&quot;:&quot;(2009)&quot;,&quot;isManuallyOverridden&quot;:false,&quot;manualOverrideText&quot;:&quot;&quot;},&quot;citationTag&quot;:&quot;MENDELEY_CITATION_v3_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&quot;,&quot;citationItems&quot;:[{&quot;label&quot;:&quot;page&quot;,&quot;id&quot;:&quot;efee9d41-80fa-3c39-8e28-f85d49feab44&quot;,&quot;itemData&quot;:{&quot;type&quot;:&quot;book&quot;,&quot;id&quot;:&quot;efee9d41-80fa-3c39-8e28-f85d49feab44&quot;,&quot;title&quot;:&quot;Toward a Translation Criticism: John Donee&quot;,&quot;author&quot;:[{&quot;family&quot;:&quot;Berman&quot;,&quot;given&quot;:&quot;Antoine.&quot;,&quot;parse-names&quot;:false,&quot;dropping-particle&quot;:&quot;&quot;,&quot;non-dropping-particle&quot;:&quot;&quot;}],&quot;accessed&quot;:{&quot;date-parts&quot;:[[2018,11,27]]},&quot;editor&quot;:[{&quot;family&quot;:&quot;Massardier-Kenney&quot;,&quot;given&quot;:&quot;Françoise&quot;,&quot;parse-names&quot;:false,&quot;dropping-particle&quot;:&quot;&quot;,&quot;non-dropping-particle&quot;:&quot;&quot;}],&quot;ISBN&quot;:&quot;1606350099&quot;,&quot;issued&quot;:{&quot;date-parts&quot;:[[2009]]},&quot;publisher-place&quot;:&quot;Kent&quot;,&quot;publisher&quot;:&quot;Kent State University Press&quot;,&quot;container-title-short&quot;:&quot;&quot;},&quot;uris&quot;:[&quot;http://www.mendeley.com/documents/?uuid=efee9d41-80fa-3c39-8e28-f85d49feab44&quot;],&quot;isTemporary&quot;:false,&quot;legacyDesktopId&quot;:&quot;efee9d41-80fa-3c39-8e28-f85d49feab44&quot;,&quot;suppress-author&quot;:true}]},{&quot;citationID&quot;:&quot;MENDELEY_CITATION_ce9f99e0-de7e-4ce0-b1d2-4fb67a240fe5&quot;,&quot;properties&quot;:{&quot;noteIndex&quot;:0},&quot;isEdited&quot;:true,&quot;manualOverride&quot;:{&quot;citeprocText&quot;:&quot;(Booth 2008, 201)&quot;,&quot;isManuallyOverridden&quot;:false,&quot;manualOverrideText&quot;:&quot;&quot;},&quot;citationTag&quot;:&quot;MENDELEY_CITATION_v3_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&quot;,&quot;citationItems&quot;:[{&quot;id&quot;:&quot;f9656e83-29b8-39fa-affe-0d8a38d66bd0&quot;,&quot;itemData&quot;:{&quot;DOI&quot;:&quot;10.1080/14781700802113523&quot;,&quot;abstract&quot;:&quot;This essay discusses translation practice in the context of recent North American and British marketing of works by Arab and/or Muslim authors, and the strong bias toward “transparent” translation that privileges sociological content over literary texture and the thickness of locale. Taking her recent translation of Raja’ al-Sani’'s Banat al-Riyadh (Rajaa Alsanea, Girls of Riyadh, Penguin, 2007) as a case study, the author argues that revisions made by the press and author to her translation domesticate the text and mute the novel's gender politics, while the author's assertion of the right to make these changes without the translator's involvement, as well as the resulting published text itself, question prevalent notions of the “first-world” translator's power to speak for “postcolonial” texts.&quot;,&quot;author&quot;:[{&quot;dropping-particle&quot;:&quot;&quot;,&quot;family&quot;:&quot;Booth&quot;,&quot;given&quot;:&quot;Marilyn&quot;,&quot;non-dropping-particle&quot;:&quot;&quot;,&quot;parse-names&quot;:false,&quot;suffix&quot;:&quot;&quot;}],&quot;container-title&quot;:&quot;Translation Studies&quot;,&quot;id&quot;:&quot;f9656e83-29b8-39fa-affe-0d8a38d66bd0&quot;,&quot;issue&quot;:&quot;2&quot;,&quot;issued&quot;:{&quot;date-parts&quot;:[[&quot;2008&quot;,&quot;7&quot;]]},&quot;page&quot;:&quot;197-211&quot;,&quot;publisher&quot;:&quot;Taylor &amp; Francis Group&quot;,&quot;title&quot;:&quot;Translator v. author (2007)&quot;,&quot;type&quot;:&quot;article-journal&quot;,&quot;volume&quot;:&quot;1&quot;,&quot;container-title-short&quot;:&quot;&quot;},&quot;locator&quot;:&quot;201&quot;,&quot;uris&quot;:[&quot;http://www.mendeley.com/documents/?uuid=f9656e83-29b8-39fa-affe-0d8a38d66bd0&quot;],&quot;isTemporary&quot;:false,&quot;legacyDesktopId&quot;:&quot;f9656e83-29b8-39fa-affe-0d8a38d66bd0&quot;}]},{&quot;citationID&quot;:&quot;MENDELEY_CITATION_862c154f-32ed-479b-a2cb-1f39509a2891&quot;,&quot;properties&quot;:{&quot;noteIndex&quot;:0},&quot;isEdited&quot;:true,&quot;manualOverride&quot;:{&quot;citeprocText&quot;:&quot;(2008, n. 2)&quot;,&quot;isManuallyOverridden&quot;:false,&quot;manualOverrideText&quot;:&quot;&quot;},&quot;citationTag&quot;:&quot;MENDELEY_CITATION_v3_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&quot;,&quot;citationItems&quot;:[{&quot;id&quot;:&quot;f9656e83-29b8-39fa-affe-0d8a38d66bd0&quot;,&quot;itemData&quot;:{&quot;DOI&quot;:&quot;10.1080/14781700802113523&quot;,&quot;abstract&quot;:&quot;This essay discusses translation practice in the context of recent North American and British marketing of works by Arab and/or Muslim authors, and the strong bias toward “transparent” translation that privileges sociological content over literary texture and the thickness of locale. Taking her recent translation of Raja’ al-Sani’'s Banat al-Riyadh (Rajaa Alsanea, Girls of Riyadh, Penguin, 2007) as a case study, the author argues that revisions made by the press and author to her translation domesticate the text and mute the novel's gender politics, while the author's assertion of the right to make these changes without the translator's involvement, as well as the resulting published text itself, question prevalent notions of the “first-world” translator's power to speak for “postcolonial” texts.&quot;,&quot;author&quot;:[{&quot;dropping-particle&quot;:&quot;&quot;,&quot;family&quot;:&quot;Booth&quot;,&quot;given&quot;:&quot;Marilyn&quot;,&quot;non-dropping-particle&quot;:&quot;&quot;,&quot;parse-names&quot;:false,&quot;suffix&quot;:&quot;&quot;}],&quot;container-title&quot;:&quot;Translation Studies&quot;,&quot;id&quot;:&quot;f9656e83-29b8-39fa-affe-0d8a38d66bd0&quot;,&quot;issue&quot;:&quot;2&quot;,&quot;issued&quot;:{&quot;date-parts&quot;:[[&quot;2008&quot;,&quot;7&quot;]]},&quot;page&quot;:&quot;197-211&quot;,&quot;publisher&quot;:&quot;Taylor &amp; Francis Group&quot;,&quot;title&quot;:&quot;Translator v. author (2007)&quot;,&quot;type&quot;:&quot;article-journal&quot;,&quot;volume&quot;:&quot;1&quot;,&quot;container-title-short&quot;:&quot;&quot;},&quot;locator&quot;:&quot;2&quot;,&quot;label&quot;:&quot;note&quot;,&quot;suppress-author&quot;:1,&quot;uris&quot;:[&quot;http://www.mendeley.com/documents/?uuid=f9656e83-29b8-39fa-affe-0d8a38d66bd0&quot;],&quot;isTemporary&quot;:false,&quot;legacyDesktopId&quot;:&quot;f9656e83-29b8-39fa-affe-0d8a38d66bd0&quot;}]},{&quot;citationID&quot;:&quot;MENDELEY_CITATION_3f70386d-208c-4f0d-9a94-12f9978d5dd1&quot;,&quot;properties&quot;:{&quot;noteIndex&quot;:0},&quot;isEdited&quot;:false,&quot;manualOverride&quot;:{&quot;citeprocText&quot;:&quot;(Booth 2008; 2010; 2017)&quot;,&quot;isManuallyOverridden&quot;:true,&quot;manualOverrideText&quot;:&quot;(Booth 2008, 2010, 2017)&quot;},&quot;citationTag&quot;:&quot;MENDELEY_CITATION_v3_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&quot;,&quot;citationItems&quot;:[{&quot;id&quot;:&quot;f9656e83-29b8-39fa-affe-0d8a38d66bd0&quot;,&quot;itemData&quot;:{&quot;DOI&quot;:&quot;10.1080/14781700802113523&quot;,&quot;abstract&quot;:&quot;This essay discusses translation practice in the context of recent North American and British marketing of works by Arab and/or Muslim authors, and the strong bias toward “transparent” translation that privileges sociological content over literary texture and the thickness of locale. Taking her recent translation of Raja’ al-Sani’'s Banat al-Riyadh (Rajaa Alsanea, Girls of Riyadh, Penguin, 2007) as a case study, the author argues that revisions made by the press and author to her translation domesticate the text and mute the novel's gender politics, while the author's assertion of the right to make these changes without the translator's involvement, as well as the resulting published text itself, question prevalent notions of the “first-world” translator's power to speak for “postcolonial” texts.&quot;,&quot;author&quot;:[{&quot;dropping-particle&quot;:&quot;&quot;,&quot;family&quot;:&quot;Booth&quot;,&quot;given&quot;:&quot;Marilyn&quot;,&quot;non-dropping-particle&quot;:&quot;&quot;,&quot;parse-names&quot;:false,&quot;suffix&quot;:&quot;&quot;}],&quot;container-title&quot;:&quot;Translation Studies&quot;,&quot;id&quot;:&quot;f9656e83-29b8-39fa-affe-0d8a38d66bd0&quot;,&quot;issue&quot;:&quot;2&quot;,&quot;issued&quot;:{&quot;date-parts&quot;:[[&quot;2008&quot;,&quot;7&quot;]]},&quot;page&quot;:&quot;197-211&quot;,&quot;publisher&quot;:&quot;Taylor &amp; Francis Group&quot;,&quot;title&quot;:&quot;Translator v. author (2007)&quot;,&quot;type&quot;:&quot;article-journal&quot;,&quot;volume&quot;:&quot;1&quot;,&quot;container-title-short&quot;:&quot;&quot;},&quot;uris&quot;:[&quot;http://www.mendeley.com/documents/?uuid=f9656e83-29b8-39fa-affe-0d8a38d66bd0&quot;],&quot;isTemporary&quot;:false,&quot;legacyDesktopId&quot;:&quot;f9656e83-29b8-39fa-affe-0d8a38d66bd0&quot;},{&quot;id&quot;:&quot;cbdb3ed4-5bea-3029-afd5-c017931fa2ed&quot;,&quot;itemData&quot;:{&quot;DOI&quot;:&quot;10.2979/MEW.2010.6.3.149&quot;,&quot;author&quot;:[{&quot;dropping-particle&quot;:&quot;&quot;,&quot;family&quot;:&quot;Booth&quot;,&quot;given&quot;:&quot;Marilyn&quot;,&quot;non-dropping-particle&quot;:&quot;&quot;,&quot;parse-names&quot;:false,&quot;suffix&quot;:&quot;&quot;}],&quot;container-title&quot;:&quot;Journal of Middle East Women's Studies&quot;,&quot;id&quot;:&quot;cbdb3ed4-5bea-3029-afd5-c017931fa2ed&quot;,&quot;issue&quot;:&quot;3&quot;,&quot;issued&quot;:{&quot;date-parts&quot;:[[&quot;2010&quot;,&quot;1&quot;,&quot;1&quot;]]},&quot;page&quot;:&quot;149-182&quot;,&quot;publisher&quot;:&quot;Duke University Press&quot;,&quot;title&quot;:&quot;“The Muslim Woman” as Celebrity Author and the Politics of Translating Arabic&quot;,&quot;type&quot;:&quot;article-journal&quot;,&quot;volume&quot;:&quot;6&quot;,&quot;container-title-short&quot;:&quot;&quot;},&quot;uris&quot;:[&quot;http://www.mendeley.com/documents/?uuid=cbdb3ed4-5bea-3029-afd5-c017931fa2ed&quot;],&quot;isTemporary&quot;:false,&quot;legacyDesktopId&quot;:&quot;cbdb3ed4-5bea-3029-afd5-c017931fa2ed&quot;},{&quot;id&quot;:&quot;a848f423-57dc-3191-9dab-e64eac343401&quot;,&quot;itemData&quot;:{&quot;DOI&quot;:&quot;10.1109/JPROC.2006.884091&quot;,&quot;ISSN&quot;:&quot;0018-9219&quot;,&quot;abstract&quot;:&quot;Iris recognition is one of the most powerful techniques for biometric\\nidentification ever developed. Commercial systems based on the algorithms\\ndeveloped by John Daugman have been available since 1995 and have\\nbeen used in a variety of practical applications. However, all currently\\navailable systems impose substantial constraints on subject position\\nand motion during the recognition process. These constraints are\\nlargely driven by the image acquisition process, rather than the\\nparticular pattern-matching algorithm used for the recognition process.\\nIn this paper we present results of our efforts to substantially\\nreduce constraints on position and motion by means of a new image\\nacquisition system based on high-resolution cameras, video synchronized\\nstrobed illumination, and specularity based image segmentation. We\\ndiscuss the design tradeoffs we made in developing the system and\\nthe performance we have been able to achieve when the image acquisition\\nsystem is combined with a standard iris recognition algorithm. The\\nIris on the Move (IOM) system is the first system to enable capture\\nof iris images of sufficient quality for iris recognition while the\\nsubject is moving at a normal walking pace through a minimally confining\\nportal&quot;,&quot;author&quot;:[{&quot;dropping-particle&quot;:&quot;&quot;,&quot;family&quot;:&quot;Booth&quot;,&quot;given&quot;:&quot;Marilyn&quot;,&quot;non-dropping-particle&quot;:&quot;&quot;,&quot;parse-names&quot;:false,&quot;suffix&quot;:&quot;&quot;}],&quot;container-title&quot;:&quot;Translating Women: Different Voices and New Horizons&quot;,&quot;editor&quot;:[{&quot;dropping-particle&quot;:&quot;&quot;,&quot;family&quot;:&quot;Farahzad&quot;,&quot;given&quot;:&quot;F&quot;,&quot;non-dropping-particle&quot;:&quot;&quot;,&quot;parse-names&quot;:false,&quot;suffix&quot;:&quot;&quot;},{&quot;dropping-particle&quot;:&quot;&quot;,&quot;family&quot;:&quot;Flotow&quot;,&quot;given&quot;:&quot;L&quot;,&quot;non-dropping-particle&quot;:&quot;von&quot;,&quot;parse-names&quot;:false,&quot;suffix&quot;:&quot;&quot;}],&quot;id&quot;:&quot;a848f423-57dc-3191-9dab-e64eac343401&quot;,&quot;issued&quot;:{&quot;date-parts&quot;:[[&quot;2017&quot;]]},&quot;page&quot;:&quot;105-119&quot;,&quot;publisher&quot;:&quot;Routledge&quot;,&quot;publisher-place&quot;:&quot;New York, NY&quot;,&quot;title&quot;:&quot;Three's a Crowd: The Translator-Author-Publisher and the Engineering of ITALICS Girls of Riyadh for an Anglophone Readership&quot;,&quot;type&quot;:&quot;chapter&quot;,&quot;container-title-short&quot;:&quot;&quot;},&quot;uris&quot;:[&quot;http://www.mendeley.com/documents/?uuid=47823363-f562-41f5-9990-d9902caf495b&quot;],&quot;isTemporary&quot;:false,&quot;legacyDesktopId&quot;:&quot;47823363-f562-41f5-9990-d9902caf495b&quot;}]},{&quot;citationID&quot;:&quot;MENDELEY_CITATION_5a0e9e3b-4a4a-44f5-bba8-e84770020292&quot;,&quot;properties&quot;:{&quot;noteIndex&quot;:0},&quot;isEdited&quot;:false,&quot;manualOverride&quot;:{&quot;isManuallyOverridden&quot;:true,&quot;citeprocText&quot;:&quot;(Booth 2010, 174)&quot;,&quot;manualOverrideText&quot;:&quot;(Booth 2010, 174).&quot;},&quot;citationTag&quot;:&quot;MENDELEY_CITATION_v3_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&quot;,&quot;citationItems&quot;:[{&quot;label&quot;:&quot;page&quot;,&quot;id&quot;:&quot;cbdb3ed4-5bea-3029-afd5-c017931fa2ed&quot;,&quot;itemData&quot;:{&quot;type&quot;:&quot;article-journal&quot;,&quot;id&quot;:&quot;cbdb3ed4-5bea-3029-afd5-c017931fa2ed&quot;,&quot;title&quot;:&quot;“The Muslim Woman” as Celebrity Author and the Politics of Translating Arabic&quot;,&quot;author&quot;:[{&quot;family&quot;:&quot;Booth&quot;,&quot;given&quot;:&quot;Marilyn&quot;,&quot;parse-names&quot;:false,&quot;dropping-particle&quot;:&quot;&quot;,&quot;non-dropping-particle&quot;:&quot;&quot;}],&quot;container-title&quot;:&quot;Journal of Middle East Women's Studies&quot;,&quot;accessed&quot;:{&quot;date-parts&quot;:[[2018,11,6]]},&quot;DOI&quot;:&quot;10.2979/MEW.2010.6.3.149&quot;,&quot;URL&quot;:&quot;https://read.dukeupress.edu/jmews/article/6/3/149-182/43080&quot;,&quot;issued&quot;:{&quot;date-parts&quot;:[[2010,1,1]]},&quot;page&quot;:&quot;149-182&quot;,&quot;publisher&quot;:&quot;Duke University Press&quot;,&quot;issue&quot;:&quot;3&quot;,&quot;volume&quot;:&quot;6&quot;,&quot;expandedJournalTitle&quot;:&quot;Journal of Middle East Women's Studies&quot;,&quot;container-title-short&quot;:&quot;&quot;},&quot;isTemporary&quot;:false,&quot;locator&quot;:&quot;174&quot;}]},{&quot;citationID&quot;:&quot;MENDELEY_CITATION_fb8e4d7c-4b65-41c4-a8b5-d03ff0e07758&quot;,&quot;properties&quot;:{&quot;noteIndex&quot;:0},&quot;isEdited&quot;:true,&quot;manualOverride&quot;:{&quot;citeprocText&quot;:&quot;(2010, 172)&quot;,&quot;isManuallyOverridden&quot;:false,&quot;manualOverrideText&quot;:&quot;&quot;},&quot;citationTag&quot;:&quot;MENDELEY_CITATION_v3_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&quot;,&quot;citationItems&quot;:[{&quot;id&quot;:&quot;cbdb3ed4-5bea-3029-afd5-c017931fa2ed&quot;,&quot;itemData&quot;:{&quot;DOI&quot;:&quot;10.2979/MEW.2010.6.3.149&quot;,&quot;author&quot;:[{&quot;dropping-particle&quot;:&quot;&quot;,&quot;family&quot;:&quot;Booth&quot;,&quot;given&quot;:&quot;Marilyn&quot;,&quot;non-dropping-particle&quot;:&quot;&quot;,&quot;parse-names&quot;:false,&quot;suffix&quot;:&quot;&quot;}],&quot;container-title&quot;:&quot;Journal of Middle East Women's Studies&quot;,&quot;id&quot;:&quot;cbdb3ed4-5bea-3029-afd5-c017931fa2ed&quot;,&quot;issue&quot;:&quot;3&quot;,&quot;issued&quot;:{&quot;date-parts&quot;:[[&quot;2010&quot;,&quot;1&quot;,&quot;1&quot;]]},&quot;page&quot;:&quot;149-182&quot;,&quot;publisher&quot;:&quot;Duke University Press&quot;,&quot;title&quot;:&quot;“The Muslim Woman” as Celebrity Author and the Politics of Translating Arabic&quot;,&quot;type&quot;:&quot;article-journal&quot;,&quot;volume&quot;:&quot;6&quot;,&quot;container-title-short&quot;:&quot;&quot;},&quot;locator&quot;:&quot;172&quot;,&quot;suppress-author&quot;:1,&quot;uris&quot;:[&quot;http://www.mendeley.com/documents/?uuid=cbdb3ed4-5bea-3029-afd5-c017931fa2ed&quot;],&quot;isTemporary&quot;:false,&quot;legacyDesktopId&quot;:&quot;cbdb3ed4-5bea-3029-afd5-c017931fa2ed&quot;}]},{&quot;citationID&quot;:&quot;MENDELEY_CITATION_9f8b50a8-191c-4edf-9897-be1dee552859&quot;,&quot;properties&quot;:{&quot;noteIndex&quot;:0},&quot;isEdited&quot;:true,&quot;manualOverride&quot;:{&quot;citeprocText&quot;:&quot;(Booth 2008, 208; Hartman 2018, 213)&quot;,&quot;isManuallyOverridden&quot;:false,&quot;manualOverrideText&quot;:&quot;&quot;},&quot;citationTag&quot;:&quot;MENDELEY_CITATION_v3_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&quot;,&quot;citationItems&quot;:[{&quot;id&quot;:&quot;f9656e83-29b8-39fa-affe-0d8a38d66bd0&quot;,&quot;itemData&quot;:{&quot;DOI&quot;:&quot;10.1080/14781700802113523&quot;,&quot;abstract&quot;:&quot;This essay discusses translation practice in the context of recent North American and British marketing of works by Arab and/or Muslim authors, and the strong bias toward “transparent” translation that privileges sociological content over literary texture and the thickness of locale. Taking her recent translation of Raja’ al-Sani’'s Banat al-Riyadh (Rajaa Alsanea, Girls of Riyadh, Penguin, 2007) as a case study, the author argues that revisions made by the press and author to her translation domesticate the text and mute the novel's gender politics, while the author's assertion of the right to make these changes without the translator's involvement, as well as the resulting published text itself, question prevalent notions of the “first-world” translator's power to speak for “postcolonial” texts.&quot;,&quot;author&quot;:[{&quot;dropping-particle&quot;:&quot;&quot;,&quot;family&quot;:&quot;Booth&quot;,&quot;given&quot;:&quot;Marilyn&quot;,&quot;non-dropping-particle&quot;:&quot;&quot;,&quot;parse-names&quot;:false,&quot;suffix&quot;:&quot;&quot;}],&quot;container-title&quot;:&quot;Translation Studies&quot;,&quot;id&quot;:&quot;f9656e83-29b8-39fa-affe-0d8a38d66bd0&quot;,&quot;issue&quot;:&quot;2&quot;,&quot;issued&quot;:{&quot;date-parts&quot;:[[&quot;2008&quot;,&quot;7&quot;]]},&quot;page&quot;:&quot;197-211&quot;,&quot;publisher&quot;:&quot;Taylor &amp; Francis Group&quot;,&quot;title&quot;:&quot;Translator v. author (2007)&quot;,&quot;type&quot;:&quot;article-journal&quot;,&quot;volume&quot;:&quot;1&quot;,&quot;container-title-short&quot;:&quot;&quot;},&quot;locator&quot;:&quot;208&quot;,&quot;uris&quot;:[&quot;http://www.mendeley.com/documents/?uuid=f9656e83-29b8-39fa-affe-0d8a38d66bd0&quot;],&quot;isTemporary&quot;:false,&quot;legacyDesktopId&quot;:&quot;f9656e83-29b8-39fa-affe-0d8a38d66bd0&quot;},{&quot;id&quot;:&quot;56f1df94-b850-32cc-bc1a-e9126dd3f5e2&quot;,&quot;itemData&quot;:{&quot;DOI&quot;:&quot;10.4324/9781315517131-14&quot;,&quot;author&quot;:[{&quot;dropping-particle&quot;:&quot;&quot;,&quot;family&quot;:&quot;Hartman&quot;,&quot;given&quot;:&quot;Michelle&quot;,&quot;non-dropping-particle&quot;:&quot;&quot;,&quot;parse-names&quot;:false,&quot;suffix&quot;:&quot;&quot;}],&quot;container-title&quot;:&quot;The Routledge Handbook of Literary Translation&quot;,&quot;editor&quot;:[{&quot;dropping-particle&quot;:&quot;&quot;,&quot;family&quot;:&quot;Washbourne&quot;,&quot;given&quot;:&quot;R. Kelly&quot;,&quot;non-dropping-particle&quot;:&quot;&quot;,&quot;parse-names&quot;:false,&quot;suffix&quot;:&quot;&quot;},{&quot;dropping-particle&quot;:&quot;&quot;,&quot;family&quot;:&quot;Wyke&quot;,&quot;given&quot;:&quot;Ben&quot;,&quot;non-dropping-particle&quot;:&quot;Van&quot;,&quot;parse-names&quot;:false,&quot;suffix&quot;:&quot;&quot;}],&quot;id&quot;:&quot;56f1df94-b850-32cc-bc1a-e9126dd3f5e2&quot;,&quot;issued&quot;:{&quot;date-parts&quot;:[[&quot;2018&quot;,&quot;10&quot;,&quot;10&quot;]]},&quot;page&quot;:&quot;206-219&quot;,&quot;publisher&quot;:&quot;Routledge&quot;,&quot;publisher-place&quot;:&quot;Abingdon, Oxon; New York, NY&quot;,&quot;title&quot;:&quot;Prose fiction&quot;,&quot;type&quot;:&quot;chapter&quot;,&quot;container-title-short&quot;:&quot;&quot;},&quot;locator&quot;:&quot;213&quot;,&quot;uris&quot;:[&quot;http://www.mendeley.com/documents/?uuid=56f1df94-b850-32cc-bc1a-e9126dd3f5e2&quot;],&quot;isTemporary&quot;:false,&quot;legacyDesktopId&quot;:&quot;56f1df94-b850-32cc-bc1a-e9126dd3f5e2&quot;}]},{&quot;citationID&quot;:&quot;MENDELEY_CITATION_def1b60c-1f7e-4075-ac1c-c94b8b334619&quot;,&quot;properties&quot;:{&quot;noteIndex&quot;:0},&quot;isEdited&quot;:true,&quot;manualOverride&quot;:{&quot;citeprocText&quot;:&quot;(Kahf 2010, 36–38)&quot;,&quot;isManuallyOverridden&quot;:false,&quot;manualOverrideText&quot;:&quot;&quot;},&quot;citationTag&quot;:&quot;MENDELEY_CITATION_v3_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&quot;,&quot;citationItems&quot;:[{&quot;id&quot;:&quot;822a0a75-c6fa-30e3-97e8-c74a656da784&quot;,&quot;itemData&quot;:{&quot;ISBN&quot;:&quot;9780415469555&quot;,&quot;abstract&quot;:&quot;Politics and dynamics of representation. The concept of cultural translation in British social anthropology / Talal Asad -- Packaging \&quot;Huda\&quot;: Sha'Rawi's memoirs in the United States reception environment / Mohja Kahf -- Modes and strategies: the language(s) of translation. Writing between the lines: the language of translation / John Sturrock -- Translation as cultural politics: regimes of domestication in English / Lawrence Venuti -- Text, discourse and ideology. Discourse, ideology and translation / Ian Mason -- \&quot;Poru Ruta\&quot;/Paul Rotha and the politics of translation / Abe Mark Nornes -- Reframing conflict in translation / Mona Baker -- The voice of authority: institutional settings and alliances. The registration inverview: restricting refugees' narrative performance / Marco Jacquemet -- The interpreter as institutional gatekeeper: the social-linguistic role of interpreters in Spanish-English medical discourse / Brad Davidson -- Translating the Bible in nineteenth-century India: Protestant missionary translation and the standard Tamil version / Hephzibah Israel -- Individual voice and positionality. The translator's voice in translated narratives / Theo Hermans -- Ideology and the position of the translator: in what sense is a translator \&quot;in between\&quot;? / Maria Tymoczko -- National sovereignty versus universal rights: interpreting justice in a global context / Moira Inghilleri. Minority issues: cultural identity and survival. The cracked looking glass of servants: translation and minority languages in a global age / Michael Cronin -- Locating power: Corsican translators and their critics / Alexandra Jaffe -- Translation in world systems. Consecration and accumulation of literary capital: translation as unequal exchange / Pascale Casanova -- Towards a sociology of translation: book translations as a cultural world system / Johan Heilbron -- The making of literary traditions. Pharoh's revenge: translation, literary history and colonial ambivalence / Samah Selim -- Translation's challenge to critical categories: verses from French in the early English renaissance / A.E.B. Coldiron -- Engendered by translation: modern Japanese literature, vernacular style, and the westernesque femme fatale / Indra Levy -- Translation and war. Translation in wartime / Vicente Rafael -- War, translation, transnationalism: interpreters in and of the war (Croatia, 1991-1992) / Zrinka Stahuljak -- Changing landscapes: new media and technologies. Machine translation and global En…&quot;,&quot;author&quot;:[{&quot;dropping-particle&quot;:&quot;&quot;,&quot;family&quot;:&quot;Kahf&quot;,&quot;given&quot;:&quot;Mohja&quot;,&quot;non-dropping-particle&quot;:&quot;&quot;,&quot;parse-names&quot;:false,&quot;suffix&quot;:&quot;&quot;}],&quot;chapter-number&quot;:&quot;2&quot;,&quot;container-title&quot;:&quot;Critical readings in translation studies&quot;,&quot;editor&quot;:[{&quot;dropping-particle&quot;:&quot;&quot;,&quot;family&quot;:&quot;Baker&quot;,&quot;given&quot;:&quot;Mona&quot;,&quot;non-dropping-particle&quot;:&quot;&quot;,&quot;parse-names&quot;:false,&quot;suffix&quot;:&quot;&quot;}],&quot;id&quot;:&quot;822a0a75-c6fa-30e3-97e8-c74a656da784&quot;,&quot;issued&quot;:{&quot;date-parts&quot;:[[&quot;2010&quot;]]},&quot;page&quot;:&quot;28-45&quot;,&quot;publisher&quot;:&quot;Routledge&quot;,&quot;publisher-place&quot;:&quot;New York&quot;,&quot;title&quot;:&quot;Packaging 'Huda': Sha’rawi’s Memoirs in the United States Reception Environment&quot;,&quot;type&quot;:&quot;chapter&quot;,&quot;container-title-short&quot;:&quot;&quot;},&quot;locator&quot;:&quot;36-38&quot;,&quot;uris&quot;:[&quot;http://www.mendeley.com/documents/?uuid=822a0a75-c6fa-30e3-97e8-c74a656da784&quot;],&quot;isTemporary&quot;:false,&quot;legacyDesktopId&quot;:&quot;822a0a75-c6fa-30e3-97e8-c74a656da784&quot;}]},{&quot;citationID&quot;:&quot;MENDELEY_CITATION_8ac527e6-899c-4163-b169-964d2502137e&quot;,&quot;properties&quot;:{&quot;noteIndex&quot;:0},&quot;isEdited&quot;:true,&quot;manualOverride&quot;:{&quot;citeprocText&quot;:&quot;(2017, 11)&quot;,&quot;isManuallyOverridden&quot;:false,&quot;manualOverrideText&quot;:&quot;&quot;},&quot;citationTag&quot;:&quot;MENDELEY_CITATION_v3_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&quot;,&quot;citationItems&quot;:[{&quot;id&quot;:&quot;8ad11bb7-681d-3713-8510-77ab36da24cd&quot;,&quot;itemData&quot;:{&quot;author&quot;:[{&quot;dropping-particle&quot;:&quot;&quot;,&quot;family&quot;:&quot;Sumner&quot;,&quot;given&quot;:&quot;William Graham&quot;,&quot;non-dropping-particle&quot;:&quot;&quot;,&quot;parse-names&quot;:false,&quot;suffix&quot;:&quot;&quot;}],&quot;id&quot;:&quot;8ad11bb7-681d-3713-8510-77ab36da24cd&quot;,&quot;issued&quot;:{&quot;date-parts&quot;:[[&quot;2017&quot;]]},&quot;publisher&quot;:&quot;Pantianos Classics&quot;,&quot;title&quot;:&quot;Folkways: A Study of the Sociological Importance of Usages, Manners, Customs, Mores, and Morals&quot;,&quot;type&quot;:&quot;book&quot;,&quot;container-title-short&quot;:&quot;&quot;},&quot;locator&quot;:&quot;11&quot;,&quot;suppress-author&quot;:1,&quot;uris&quot;:[&quot;http://www.mendeley.com/documents/?uuid=8ad11bb7-681d-3713-8510-77ab36da24cd&quot;],&quot;isTemporary&quot;:false,&quot;legacyDesktopId&quot;:&quot;8ad11bb7-681d-3713-8510-77ab36da24cd&quot;}]},{&quot;citationID&quot;:&quot;MENDELEY_CITATION_ebd2d191-6bbd-4f82-84dc-e1465d7261a0&quot;,&quot;properties&quot;:{&quot;noteIndex&quot;:0},&quot;isEdited&quot;:true,&quot;manualOverride&quot;:{&quot;citeprocText&quot;:&quot;(2010, 170)&quot;,&quot;isManuallyOverridden&quot;:false,&quot;manualOverrideText&quot;:&quot;&quot;},&quot;citationTag&quot;:&quot;MENDELEY_CITATION_v3_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&quot;,&quot;citationItems&quot;:[{&quot;id&quot;:&quot;cbdb3ed4-5bea-3029-afd5-c017931fa2ed&quot;,&quot;itemData&quot;:{&quot;DOI&quot;:&quot;10.2979/MEW.2010.6.3.149&quot;,&quot;author&quot;:[{&quot;dropping-particle&quot;:&quot;&quot;,&quot;family&quot;:&quot;Booth&quot;,&quot;given&quot;:&quot;Marilyn&quot;,&quot;non-dropping-particle&quot;:&quot;&quot;,&quot;parse-names&quot;:false,&quot;suffix&quot;:&quot;&quot;}],&quot;container-title&quot;:&quot;Journal of Middle East Women's Studies&quot;,&quot;id&quot;:&quot;cbdb3ed4-5bea-3029-afd5-c017931fa2ed&quot;,&quot;issue&quot;:&quot;3&quot;,&quot;issued&quot;:{&quot;date-parts&quot;:[[&quot;2010&quot;,&quot;1&quot;,&quot;1&quot;]]},&quot;page&quot;:&quot;149-182&quot;,&quot;publisher&quot;:&quot;Duke University Press&quot;,&quot;title&quot;:&quot;“The Muslim Woman” as Celebrity Author and the Politics of Translating Arabic&quot;,&quot;type&quot;:&quot;article-journal&quot;,&quot;volume&quot;:&quot;6&quot;,&quot;container-title-short&quot;:&quot;&quot;},&quot;locator&quot;:&quot;170&quot;,&quot;suppress-author&quot;:1,&quot;uris&quot;:[&quot;http://www.mendeley.com/documents/?uuid=cbdb3ed4-5bea-3029-afd5-c017931fa2ed&quot;],&quot;isTemporary&quot;:false,&quot;legacyDesktopId&quot;:&quot;cbdb3ed4-5bea-3029-afd5-c017931fa2ed&quot;}]},{&quot;citationID&quot;:&quot;MENDELEY_CITATION_0f2ac903-58d0-4e5b-91fd-6b1715c305f6&quot;,&quot;properties&quot;:{&quot;noteIndex&quot;:0},&quot;isEdited&quot;:true,&quot;manualOverride&quot;:{&quot;citeprocText&quot;:&quot;(2008, 209)&quot;,&quot;isManuallyOverridden&quot;:false,&quot;manualOverrideText&quot;:&quot;&quot;},&quot;citationTag&quot;:&quot;MENDELEY_CITATION_v3_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&quot;,&quot;citationItems&quot;:[{&quot;id&quot;:&quot;f9656e83-29b8-39fa-affe-0d8a38d66bd0&quot;,&quot;itemData&quot;:{&quot;DOI&quot;:&quot;10.1080/14781700802113523&quot;,&quot;abstract&quot;:&quot;This essay discusses translation practice in the context of recent North American and British marketing of works by Arab and/or Muslim authors, and the strong bias toward “transparent” translation that privileges sociological content over literary texture and the thickness of locale. Taking her recent translation of Raja’ al-Sani’'s Banat al-Riyadh (Rajaa Alsanea, Girls of Riyadh, Penguin, 2007) as a case study, the author argues that revisions made by the press and author to her translation domesticate the text and mute the novel's gender politics, while the author's assertion of the right to make these changes without the translator's involvement, as well as the resulting published text itself, question prevalent notions of the “first-world” translator's power to speak for “postcolonial” texts.&quot;,&quot;author&quot;:[{&quot;dropping-particle&quot;:&quot;&quot;,&quot;family&quot;:&quot;Booth&quot;,&quot;given&quot;:&quot;Marilyn&quot;,&quot;non-dropping-particle&quot;:&quot;&quot;,&quot;parse-names&quot;:false,&quot;suffix&quot;:&quot;&quot;}],&quot;container-title&quot;:&quot;Translation Studies&quot;,&quot;id&quot;:&quot;f9656e83-29b8-39fa-affe-0d8a38d66bd0&quot;,&quot;issue&quot;:&quot;2&quot;,&quot;issued&quot;:{&quot;date-parts&quot;:[[&quot;2008&quot;,&quot;7&quot;]]},&quot;page&quot;:&quot;197-211&quot;,&quot;publisher&quot;:&quot;Taylor &amp; Francis Group&quot;,&quot;title&quot;:&quot;Translator v. author (2007)&quot;,&quot;type&quot;:&quot;article-journal&quot;,&quot;volume&quot;:&quot;1&quot;,&quot;container-title-short&quot;:&quot;&quot;},&quot;locator&quot;:&quot;209&quot;,&quot;suppress-author&quot;:1,&quot;uris&quot;:[&quot;http://www.mendeley.com/documents/?uuid=f9656e83-29b8-39fa-affe-0d8a38d66bd0&quot;],&quot;isTemporary&quot;:false,&quot;legacyDesktopId&quot;:&quot;f9656e83-29b8-39fa-affe-0d8a38d66bd0&quot;}]},{&quot;citationID&quot;:&quot;MENDELEY_CITATION_448fc69c-f257-47fc-abbb-520fafd5301a&quot;,&quot;properties&quot;:{&quot;noteIndex&quot;:0},&quot;isEdited&quot;:true,&quot;manualOverride&quot;:{&quot;citeprocText&quot;:&quot;(2018, 442)&quot;,&quot;isManuallyOverridden&quot;:false,&quot;manualOverrideText&quot;:&quot;&quot;},&quot;citationTag&quot;:&quot;MENDELEY_CITATION_v3_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&quot;,&quot;citationItems&quot;:[{&quot;id&quot;:&quot;169e1417-7b89-3924-bdf2-55815f15e5f8&quot;,&quot;itemData&quot;:{&quot;DOI&quot;:&quot;10.4324/9781315517131&quot;,&quot;author&quot;:[{&quot;dropping-particle&quot;:&quot;&quot;,&quot;family&quot;:&quot;Faiq&quot;,&quot;given&quot;:&quot;Said&quot;,&quot;non-dropping-particle&quot;:&quot;&quot;,&quot;parse-names&quot;:false,&quot;suffix&quot;:&quot;&quot;}],&quot;container-title&quot;:&quot;The Routledge Handbook of Literary Translation&quot;,&quot;editor&quot;:[{&quot;dropping-particle&quot;:&quot;&quot;,&quot;family&quot;:&quot;Washbourne&quot;,&quot;given&quot;:&quot;Kelly&quot;,&quot;non-dropping-particle&quot;:&quot;&quot;,&quot;parse-names&quot;:false,&quot;suffix&quot;:&quot;&quot;},{&quot;dropping-particle&quot;:&quot;Van&quot;,&quot;family&quot;:&quot;Wyke&quot;,&quot;given&quot;:&quot;Ben&quot;,&quot;non-dropping-particle&quot;:&quot;&quot;,&quot;parse-names&quot;:false,&quot;suffix&quot;:&quot;&quot;}],&quot;id&quot;:&quot;169e1417-7b89-3924-bdf2-55815f15e5f8&quot;,&quot;issued&quot;:{&quot;date-parts&quot;:[[&quot;2018&quot;,&quot;10&quot;,&quot;10&quot;]]},&quot;publisher&quot;:&quot;Routledge&quot;,&quot;publisher-place&quot;:&quot;Abingdon, Oxon; New York, NY: Routledge, 2018. | Series: Routledge handbooks in translation and interpreting studies&quot;,&quot;title&quot;:&quot;The Routledge Handbook of Literary Translation&quot;,&quot;type&quot;:&quot;chapter&quot;,&quot;container-title-short&quot;:&quot;&quot;},&quot;locator&quot;:&quot;442&quot;,&quot;suppress-author&quot;:1,&quot;uris&quot;:[&quot;http://www.mendeley.com/documents/?uuid=169e1417-7b89-3924-bdf2-55815f15e5f8&quot;],&quot;isTemporary&quot;:false,&quot;legacyDesktopId&quot;:&quot;169e1417-7b89-3924-bdf2-55815f15e5f8&quot;}]},{&quot;citationID&quot;:&quot;MENDELEY_CITATION_04a62e6d-5a09-4072-ae54-72482e6a73ab&quot;,&quot;properties&quot;:{&quot;noteIndex&quot;:0},&quot;isEdited&quot;:true,&quot;manualOverride&quot;:{&quot;citeprocText&quot;:&quot;(Qualey 2013, para. 7)&quot;,&quot;isManuallyOverridden&quot;:false,&quot;manualOverrideText&quot;:&quot;&quot;},&quot;citationTag&quot;:&quot;MENDELEY_CITATION_v3_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&quot;,&quot;citationItems&quot;:[{&quot;id&quot;:&quot;40f731de-4d40-3837-923b-760cad2997f2&quot;,&quot;itemData&quot;:{&quot;URL&quot;:&quot;https://arablit.org/2013/11/04/translating-for-bigots/&quot;,&quot;accessed&quot;:{&quot;date-parts&quot;:[[&quot;2020&quot;,&quot;3&quot;,&quot;21&quot;]]},&quot;author&quot;:[{&quot;dropping-particle&quot;:&quot;&quot;,&quot;family&quot;:&quot;Qualey&quot;,&quot;given&quot;:&quot;Lynx&quot;,&quot;non-dropping-particle&quot;:&quot;&quot;,&quot;parse-names&quot;:false,&quot;suffix&quot;:&quot;&quot;}],&quot;container-title&quot;:&quot;Arablit&quot;,&quot;id&quot;:&quot;40f731de-4d40-3837-923b-760cad2997f2&quot;,&quot;issued&quot;:{&quot;date-parts&quot;:[[&quot;2013&quot;]]},&quot;title&quot;:&quot;Translating for Bigots&quot;,&quot;type&quot;:&quot;webpage&quot;,&quot;container-title-short&quot;:&quot;&quot;},&quot;locator&quot;:&quot;7&quot;,&quot;label&quot;:&quot;paragraph&quot;,&quot;uris&quot;:[&quot;http://www.mendeley.com/documents/?uuid=40f731de-4d40-3837-923b-760cad2997f2&quot;],&quot;isTemporary&quot;:false,&quot;legacyDesktopId&quot;:&quot;40f731de-4d40-3837-923b-760cad2997f2&quot;}]},{&quot;citationID&quot;:&quot;MENDELEY_CITATION_00c4f4b4-2c76-4bb5-887c-b893404abdbc&quot;,&quot;properties&quot;:{&quot;noteIndex&quot;:0},&quot;isEdited&quot;:false,&quot;manualOverride&quot;:{&quot;isManuallyOverridden&quot;:false,&quot;citeprocText&quot;:&quot;(2022)&quot;,&quot;manualOverrideText&quot;:&quot;&quot;},&quot;citationTag&quot;:&quot;MENDELEY_CITATION_v3_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&quot;,&quot;citationItems&quot;:[{&quot;label&quot;:&quot;page&quot;,&quot;id&quot;:&quot;eb9a36a3-99b2-3e9b-bce2-a2c84cde6bfb&quot;,&quot;itemData&quot;:{&quot;type&quot;:&quot;chapter&quot;,&quot;id&quot;:&quot;eb9a36a3-99b2-3e9b-bce2-a2c84cde6bfb&quot;,&quot;title&quot;:&quot;Reading Arabic Texts in English Translation: Lifting the “Veil”&quot;,&quot;author&quot;:[{&quot;family&quot;:&quot;Alzahrani&quot;,&quot;given&quot;:&quot;Mohammed&quot;,&quot;parse-names&quot;:false,&quot;dropping-particle&quot;:&quot;&quot;,&quot;non-dropping-particle&quot;:&quot;&quot;}],&quot;container-title&quot;:&quot;Teaching Literature in Translation: Pedagogical Contexts and Reading Practices&quot;,&quot;chapter-number&quot;:&quot;10&quot;,&quot;accessed&quot;:{&quot;date-parts&quot;:[[2022,7,12]]},&quot;editor&quot;:[{&quot;family&quot;:&quot;Baer&quot;,&quot;given&quot;:&quot;Brian James&quot;,&quot;parse-names&quot;:false,&quot;dropping-particle&quot;:&quot;&quot;,&quot;non-dropping-particle&quot;:&quot;&quot;},{&quot;family&quot;:&quot;Woods&quot;,&quot;given&quot;:&quot;Michelle&quot;,&quot;parse-names&quot;:false,&quot;dropping-particle&quot;:&quot;&quot;,&quot;non-dropping-particle&quot;:&quot;&quot;}],&quot;DOI&quot;:&quot;10.4324/9781003105220-16&quot;,&quot;ISBN&quot;:&quot;9781003105220&quot;,&quot;issued&quot;:{&quot;date-parts&quot;:[[2022,6,6]]},&quot;page&quot;:&quot;111-122&quot;,&quot;abstract&quot;:&quot;Arabic writing in English translation, especially literature, has been receiving more attention in the Anglophone world in recent years. However, critics like Said Faiq describe a fossilized image of the Orient that remains in active circulation in the host context, exercising almost total control over incoming images by recasting them to be congruous with the pre-existing one(s). The production of translated texts is informed by a myriad of forces that might be unapparent in the translated text, thereby necessitating the promotion of translation literacy among the concerned communities of readers. And so, this chapter suggests approaches for a more informed reading of translated texts. Taking the representation(s) of Arab women as a case in point, this chapter sketches some critical moments in the existence of this tradition in English translation. It then borrows notions from relevant fields—such as imagology, to mention but one—to bear on translation. The aim is not to postulate that all translated texts from Arabic are victims of the factors discussed herein; instead, it is to raise awareness that translations are affected by the context of reception.&quot;,&quot;publisher&quot;:&quot;Routledge&quot;,&quot;container-title-short&quot;:&quot;&quot;},&quot;isTemporary&quot;:false,&quot;suppress-author&quot;:true}]},{&quot;citationID&quot;:&quot;MENDELEY_CITATION_899b928d-94ef-45ad-9df1-99094cebe407&quot;,&quot;properties&quot;:{&quot;noteIndex&quot;:0},&quot;isEdited&quot;:true,&quot;manualOverride&quot;:{&quot;citeprocText&quot;:&quot;(2012, 18)&quot;,&quot;isManuallyOverridden&quot;:false,&quot;manualOverrideText&quot;:&quot;&quot;},&quot;citationTag&quot;:&quot;MENDELEY_CITATION_v3_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&quot;,&quot;citationItems&quot;:[{&quot;id&quot;:&quot;fce4a211-4893-3f7c-9706-ddc484aad8bb&quot;,&quot;itemData&quot;:{&quot;type&quot;:&quot;article-journal&quot;,&quot;id&quot;:&quot;fce4a211-4893-3f7c-9706-ddc484aad8bb&quot;,&quot;title&quot;:&quot;Gender, Genre, and the (Missing) Gazelle: Arab Women Writers and the Politics of Translation&quot;,&quot;author&quot;:[{&quot;family&quot;:&quot;Hartman&quot;,&quot;given&quot;:&quot;Michelle&quot;,&quot;parse-names&quot;:false,&quot;dropping-particle&quot;:&quot;&quot;,&quot;non-dropping-particle&quot;:&quot;&quot;}],&quot;container-title&quot;:&quot;Feminist Studies&quot;,&quot;accessed&quot;:{&quot;date-parts&quot;:[[2019,8,24]]},&quot;issued&quot;:{&quot;date-parts&quot;:[[2012]]},&quot;page&quot;:&quot;17-49&quot;,&quot;issue&quot;:&quot;1&quot;,&quot;volume&quot;:&quot;38&quot;,&quot;container-title-short&quot;:&quot;&quot;},&quot;locator&quot;:&quot;18&quot;,&quot;suppress-author&quot;:1,&quot;uris&quot;:[&quot;http://www.mendeley.com/documents/?uuid=fce4a211-4893-3f7c-9706-ddc484aad8bb&quot;],&quot;isTemporary&quot;:false,&quot;legacyDesktopId&quot;:&quot;fce4a211-4893-3f7c-9706-ddc484aad8bb&quot;}]},{&quot;citationID&quot;:&quot;MENDELEY_CITATION_f6d868e7-14ff-4033-8332-ac8de72b7796&quot;,&quot;properties&quot;:{&quot;noteIndex&quot;:0},&quot;isEdited&quot;:true,&quot;manualOverride&quot;:{&quot;citeprocText&quot;:&quot;(Saldanha and O’Brien 2014, 34)&quot;,&quot;isManuallyOverridden&quot;:false,&quot;manualOverrideText&quot;:&quot;&quot;},&quot;citationTag&quot;:&quot;MENDELEY_CITATION_v3_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&quot;,&quot;citationItems&quot;:[{&quot;id&quot;:&quot;db5c9549-f967-3b30-9342-2d751bef7028&quot;,&quot;itemData&quot;:{&quot;ISBN&quot;:&quot;9781909485006&quot;,&quot;abstract&quot;:&quot;Principles and ethics in research -- Product-oriented research -- Process-oriented research -- Participant-oriented research -- Context-oriented research: case studies -- Conclusion: The research report.&quot;,&quot;author&quot;:[{&quot;dropping-particle&quot;:&quot;&quot;,&quot;family&quot;:&quot;Saldanha&quot;,&quot;given&quot;:&quot;Gabriela&quot;,&quot;non-dropping-particle&quot;:&quot;&quot;,&quot;parse-names&quot;:false,&quot;suffix&quot;:&quot;&quot;},{&quot;dropping-particle&quot;:&quot;&quot;,&quot;family&quot;:&quot;O'Brien&quot;,&quot;given&quot;:&quot;Sharon&quot;,&quot;non-dropping-particle&quot;:&quot;&quot;,&quot;parse-names&quot;:false,&quot;suffix&quot;:&quot;&quot;}],&quot;id&quot;:&quot;db5c9549-f967-3b30-9342-2d751bef7028&quot;,&quot;issued&quot;:{&quot;date-parts&quot;:[[&quot;2014&quot;]]},&quot;number-of-pages&quot;:&quot;277&quot;,&quot;publisher&quot;:&quot;Routledge&quot;,&quot;publisher-place&quot;:&quot;New York, NY&quot;,&quot;title&quot;:&quot;Research methodologies in translation studies&quot;,&quot;type&quot;:&quot;book&quot;,&quot;container-title-short&quot;:&quot;&quot;},&quot;locator&quot;:&quot;34&quot;,&quot;uris&quot;:[&quot;http://www.mendeley.com/documents/?uuid=db5c9549-f967-3b30-9342-2d751bef7028&quot;],&quot;isTemporary&quot;:false,&quot;legacyDesktopId&quot;:&quot;db5c9549-f967-3b30-9342-2d751bef7028&quot;}]},{&quot;citationID&quot;:&quot;MENDELEY_CITATION_0a51b7e3-2409-4856-bf85-6389a5b70408&quot;,&quot;properties&quot;:{&quot;noteIndex&quot;:0},&quot;isEdited&quot;:true,&quot;manualOverride&quot;:{&quot;citeprocText&quot;:&quot;(2003, xvi–xvii)&quot;,&quot;isManuallyOverridden&quot;:false,&quot;manualOverrideText&quot;:&quot;&quot;},&quot;citationTag&quot;:&quot;MENDELEY_CITATION_v3_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&quot;,&quot;citationItems&quot;:[{&quot;id&quot;:&quot;a8e37f2f-7ecb-3740-8959-9e4556d7b56c&quot;,&quot;itemData&quot;:{&quot;type&quot;:&quot;book&quot;,&quot;id&quot;:&quot;a8e37f2f-7ecb-3740-8959-9e4556d7b56c&quot;,&quot;title&quot;:&quot;Reading Concordances: an Introduction&quot;,&quot;author&quot;:[{&quot;family&quot;:&quot;Sinclair&quot;,&quot;given&quot;:&quot;John&quot;,&quot;parse-names&quot;:false,&quot;dropping-particle&quot;:&quot;&quot;,&quot;non-dropping-particle&quot;:&quot;&quot;}],&quot;accessed&quot;:{&quot;date-parts&quot;:[[2020,1,23]]},&quot;ISBN&quot;:&quot;9780582292147&quot;,&quot;issued&quot;:{&quot;date-parts&quot;:[[2003]]},&quot;number-of-pages&quot;:&quot;180&quot;,&quot;publisher&quot;:&quot;Pearson/Longman&quot;,&quot;container-title-short&quot;:&quot;&quot;},&quot;locator&quot;:&quot;xvi-xvii&quot;,&quot;suppress-author&quot;:1,&quot;uris&quot;:[&quot;http://www.mendeley.com/documents/?uuid=a8e37f2f-7ecb-3740-8959-9e4556d7b56c&quot;],&quot;isTemporary&quot;:false,&quot;legacyDesktopId&quot;:&quot;a8e37f2f-7ecb-3740-8959-9e4556d7b56c&quot;}]},{&quot;citationID&quot;:&quot;MENDELEY_CITATION_44823b17-1e76-45fa-acf2-fcb81471c75b&quot;,&quot;properties&quot;:{&quot;noteIndex&quot;:0},&quot;isEdited&quot;:false,&quot;manualOverride&quot;:{&quot;isManuallyOverridden&quot;:true,&quot;citeprocText&quot;:&quot;(2007)&quot;,&quot;manualOverrideText&quot;:&quot;(2007, I-III)&quot;},&quot;citationTag&quot;:&quot;MENDELEY_CITATION_v3_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&quot;,&quot;citationItems&quot;:[{&quot;label&quot;:&quot;page&quot;,&quot;id&quot;:&quot;7457f80b-99f4-36f6-95a1-c91fbaa8b3c7&quot;,&quot;itemData&quot;:{&quot;type&quot;:&quot;book&quot;,&quot;id&quot;:&quot;7457f80b-99f4-36f6-95a1-c91fbaa8b3c7&quot;,&quot;title&quot;:&quot;Girls of Riyadh&quot;,&quot;author&quot;:[{&quot;family&quot;:&quot;Alsanea&quot;,&quot;given&quot;:&quot;Rajaa&quot;,&quot;parse-names&quot;:false,&quot;dropping-particle&quot;:&quot;&quot;,&quot;non-dropping-particle&quot;:&quot;&quot;},{&quot;family&quot;:&quot;Booth&quot;,&quot;given&quot;:&quot;Marilyn&quot;,&quot;parse-names&quot;:false,&quot;dropping-particle&quot;:&quot;&quot;,&quot;non-dropping-particle&quot;:&quot;&quot;}],&quot;accessed&quot;:{&quot;date-parts&quot;:[[2018,11,21]]},&quot;ISBN&quot;:&quot;1594201218&quot;,&quot;issued&quot;:{&quot;date-parts&quot;:[[2007]]},&quot;publisher-place&quot;:&quot;London&quot;,&quot;number-of-pages&quot;:&quot;304&quot;,&quot;abstract&quot;:&quot;Originally published in Arabic by Dar al Saqi, Beruit. This debut novel, banned in the author's own country, reveals the social, romantic, and sexual tribulations of four young women from the elite classes of Saudi Arabia. Every week after Friday prayers, the anonymous narrator sends an email to the female subscribers of her online chat group. In fifty such emails over the course of a year, we witness the tragicomic reality of four university students negotiating their love lives, their professional success, and their rebellions, large and small, against their cultural traditions. The world these women inhabit is a modern one that contains \&quot;Sex and the City,\&quot; dating, and sneaking out of their parents' houses, and all this causes the girls to collide endlessly with ancient customs. The never-ending cultural conflicts underscore the tumult of being an educated modern woman growing up in the 21st century amid a culture firmly rooted in an ancient way of life.--From publisher description.&quot;,&quot;publisher&quot;:&quot;Penguin Press&quot;,&quot;container-title-short&quot;:&quot;&quot;},&quot;isTemporary&quot;:false,&quot;locator&quot;:&quot;&quot;,&quot;suppress-author&quot;:true}]},{&quot;citationID&quot;:&quot;MENDELEY_CITATION_94256117-07e7-4b0a-bb15-9b841499a7f5&quot;,&quot;properties&quot;:{&quot;noteIndex&quot;:0},&quot;isEdited&quot;:false,&quot;manualOverride&quot;:{&quot;isManuallyOverridden&quot;:false,&quot;citeprocText&quot;:&quot;(2020, 34)&quot;,&quot;manualOverrideText&quot;:&quot;&quot;},&quot;citationTag&quot;:&quot;MENDELEY_CITATION_v3_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&quot;,&quot;citationItems&quot;:[{&quot;label&quot;:&quot;page&quot;,&quot;id&quot;:&quot;b77e85a3-06f2-348c-a9d9-6f16354bc999&quot;,&quot;itemData&quot;:{&quot;type&quot;:&quot;article-journal&quot;,&quot;id&quot;:&quot;b77e85a3-06f2-348c-a9d9-6f16354bc999&quot;,&quot;title&quot;:&quot;Politics of paratextuality: The glossary between translation and the translational&quot;,&quot;author&quot;:[{&quot;family&quot;:&quot;Ayoub&quot;,&quot;given&quot;:&quot;Dima&quot;,&quot;parse-names&quot;:false,&quot;dropping-particle&quot;:&quot;&quot;,&quot;non-dropping-particle&quot;:&quot;&quot;}],&quot;container-title&quot;:&quot;Journal of Arabic Literature&quot;,&quot;accessed&quot;:{&quot;date-parts&quot;:[[2020,11,20]]},&quot;DOI&quot;:&quot;10.1163/1570064x-12341399&quot;,&quot;ISSN&quot;:&quot;1570064X&quot;,&quot;issued&quot;:{&quot;date-parts&quot;:[[2020,4,6]]},&quot;page&quot;:&quot;27-52&quot;,&quot;abstract&quot;:&quot;This article considers the role of the glossary and related paratextual forms, such as introductions and notes, against the backdrop of an expanding corpus of translated Arabic fiction and fiction written in English by Arab authors, arguing that these paratextual elements have become mainstays of the translation industry. Through an analysis of the glossary in particular, this article considers how paratexts disrupt the impasse between translatability and untranslatability. It further examines the glossary beyond its functionality, even utility as a taxonomomical force, and argues that paratexts are a technology wielded by a complex mediating network that produces literary effects and further, a technology that functions in process alongside translation.&quot;,&quot;publisher&quot;:&quot;Brill Academic Publishers&quot;,&quot;issue&quot;:&quot;1-2&quot;,&quot;volume&quot;:&quot;51&quot;,&quot;container-title-short&quot;:&quot;&quot;},&quot;isTemporary&quot;:false,&quot;locator&quot;:&quot;34&quot;,&quot;suppress-author&quot;:true}]},{&quot;citationID&quot;:&quot;MENDELEY_CITATION_c43173b4-28d4-48d8-b94e-898064c22a14&quot;,&quot;properties&quot;:{&quot;noteIndex&quot;:0},&quot;isEdited&quot;:false,&quot;manualOverride&quot;:{&quot;isManuallyOverridden&quot;:false,&quot;citeprocText&quot;:&quot;(1979)&quot;,&quot;manualOverrideText&quot;:&quot;&quot;},&quot;citationTag&quot;:&quot;MENDELEY_CITATION_v3_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&quot;,&quot;citationItems&quot;:[{&quot;label&quot;:&quot;page&quot;,&quot;id&quot;:&quot;62d70e0b-7554-3dc3-aaae-aae1abadee58&quot;,&quot;itemData&quot;:{&quot;type&quot;:&quot;book&quot;,&quot;id&quot;:&quot;62d70e0b-7554-3dc3-aaae-aae1abadee58&quot;,&quot;title&quot;:&quot;Orientalism&quot;,&quot;author&quot;:[{&quot;family&quot;:&quot;Said&quot;,&quot;given&quot;:&quot;Edward&quot;,&quot;parse-names&quot;:false,&quot;dropping-particle&quot;:&quot;&quot;,&quot;non-dropping-particle&quot;:&quot;&quot;}],&quot;accessed&quot;:{&quot;date-parts&quot;:[[2020,4,11]]},&quot;ISBN&quot;:&quot;9780804153867&quot;,&quot;issued&quot;:{&quot;date-parts&quot;:[[1979]]},&quot;number-of-pages&quot;:&quot;368&quot;,&quot;abstract&quot;:&quot;1st Vintage books ed. Chap. 1: The scope of Orientalism: I. Knowing the Oriental -- II. Imaginative Geography and its representations: Orientalizing the Oriental -- III. Projects -- IV. Crisis -- Chap. 2: Orientalist structures and restructures: I. Redrawn frontiers, redefines issues, secularized religion -- II. Silvestre de Sacy and Ernest Renan: Rational Anthropology and Philological Laboratory -- III. Oriental residence and scholarship: the requirements of Lexicography and imagination -- IV. Pilgrims and pilgrimages, British and French -- Chap. 3: Orientalism now: I. Latent and manifest Orientalism -- II. Style, expertise, vision: Orientalism's worldliness -- III. Modern Anglo-French Orientalism in fullest flower -- IV. The latest phase.&quot;,&quot;publisher&quot;:&quot;Vintage Books&quot;,&quot;container-title-short&quot;:&quot;&quot;},&quot;isTemporary&quot;:false,&quot;suppress-author&quot;:true}]},{&quot;citationID&quot;:&quot;MENDELEY_CITATION_01fdf12f-c632-4242-a283-f785ea2f8905&quot;,&quot;properties&quot;:{&quot;noteIndex&quot;:0},&quot;isEdited&quot;:true,&quot;manualOverride&quot;:{&quot;citeprocText&quot;:&quot;(2010)&quot;,&quot;isManuallyOverridden&quot;:false,&quot;manualOverrideText&quot;:&quot;&quot;},&quot;citationTag&quot;:&quot;MENDELEY_CITATION_v3_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&quot;,&quot;citationItems&quot;:[{&quot;id&quot;:&quot;2a328bcf-f6e0-3349-a883-8da612afafa8&quot;,&quot;itemData&quot;:{&quot;author&quot;:[{&quot;dropping-particle&quot;:&quot;&quot;,&quot;family&quot;:&quot;Casanova&quot;,&quot;given&quot;:&quot;Pascale&quot;,&quot;non-dropping-particle&quot;:&quot;&quot;,&quot;parse-names&quot;:false,&quot;suffix&quot;:&quot;&quot;}],&quot;chapter-number&quot;:&quot;16&quot;,&quot;container-title&quot;:&quot;Critical Readings in Translation Studies&quot;,&quot;editor&quot;:[{&quot;dropping-particle&quot;:&quot;&quot;,&quot;family&quot;:&quot;Baker&quot;,&quot;given&quot;:&quot;Mona&quot;,&quot;non-dropping-particle&quot;:&quot;&quot;,&quot;parse-names&quot;:false,&quot;suffix&quot;:&quot;&quot;}],&quot;id&quot;:&quot;2a328bcf-f6e0-3349-a883-8da612afafa8&quot;,&quot;issued&quot;:{&quot;date-parts&quot;:[[&quot;2010&quot;]]},&quot;page&quot;:&quot;285-303&quot;,&quot;publisher&quot;:&quot;Routledge&quot;,&quot;publisher-place&quot;:&quot;London&quot;,&quot;title&quot;:&quot;Consecration and Accumulation of Literary Capital: Translation as Unequal Exchange&quot;,&quot;type&quot;:&quot;chapter&quot;,&quot;container-title-short&quot;:&quot;&quot;},&quot;label&quot;:&quot;paragraph&quot;,&quot;suppress-author&quot;:1,&quot;uris&quot;:[&quot;http://www.mendeley.com/documents/?uuid=2a328bcf-f6e0-3349-a883-8da612afafa8&quot;],&quot;isTemporary&quot;:false,&quot;legacyDesktopId&quot;:&quot;2a328bcf-f6e0-3349-a883-8da612afafa8&quot;}]},{&quot;citationID&quot;:&quot;MENDELEY_CITATION_2ffb89c4-78bd-4881-859e-b9d34a037235&quot;,&quot;properties&quot;:{&quot;noteIndex&quot;:0},&quot;isEdited&quot;:true,&quot;manualOverride&quot;:{&quot;citeprocText&quot;:&quot;(Kennedy 2009, para. 5)&quot;,&quot;isManuallyOverridden&quot;:false,&quot;manualOverrideText&quot;:&quot;&quot;},&quot;citationTag&quot;:&quot;MENDELEY_CITATION_v3_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&quot;,&quot;citationItems&quot;:[{&quot;id&quot;:&quot;39a8fa70-aa6f-3d7b-bc21-242e1a0fc6f2&quot;,&quot;itemData&quot;:{&quot;URL&quot;:&quot;https://www.thenational.ae/arts-culture/books/beyond-the-book-1.554538&quot;,&quot;accessed&quot;:{&quot;date-parts&quot;:[[&quot;2020&quot;,&quot;2&quot;,&quot;23&quot;]]},&quot;author&quot;:[{&quot;dropping-particle&quot;:&quot;&quot;,&quot;family&quot;:&quot;Kennedy&quot;,&quot;given&quot;:&quot;Philippa&quot;,&quot;non-dropping-particle&quot;:&quot;&quot;,&quot;parse-names&quot;:false,&quot;suffix&quot;:&quot;&quot;}],&quot;container-title&quot;:&quot;The National&quot;,&quot;id&quot;:&quot;39a8fa70-aa6f-3d7b-bc21-242e1a0fc6f2&quot;,&quot;issued&quot;:{&quot;date-parts&quot;:[[&quot;2009&quot;]]},&quot;title&quot;:&quot;Beyond the book&quot;,&quot;type&quot;:&quot;webpage&quot;,&quot;container-title-short&quot;:&quot;&quot;},&quot;locator&quot;:&quot;5&quot;,&quot;label&quot;:&quot;paragraph&quot;,&quot;uris&quot;:[&quot;http://www.mendeley.com/documents/?uuid=39a8fa70-aa6f-3d7b-bc21-242e1a0fc6f2&quot;],&quot;isTemporary&quot;:false,&quot;legacyDesktopId&quot;:&quot;39a8fa70-aa6f-3d7b-bc21-242e1a0fc6f2&quot;}]},{&quot;citationID&quot;:&quot;MENDELEY_CITATION_2c16fad9-c874-45e4-b242-b6a26cd6a8da&quot;,&quot;properties&quot;:{&quot;noteIndex&quot;:0},&quot;isEdited&quot;:false,&quot;manualOverride&quot;:{&quot;isManuallyOverridden&quot;:false,&quot;citeprocText&quot;:&quot;(2014, 17)&quot;,&quot;manualOverrideText&quot;:&quot;&quot;},&quot;citationTag&quot;:&quot;MENDELEY_CITATION_v3_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&quot;,&quot;citationItems&quot;:[{&quot;label&quot;:&quot;page&quot;,&quot;id&quot;:&quot;8bdca037-05fa-304f-8e8b-0da1cfc467f2&quot;,&quot;itemData&quot;:{&quot;type&quot;:&quot;book&quot;,&quot;id&quot;:&quot;8bdca037-05fa-304f-8e8b-0da1cfc467f2&quot;,&quot;title&quot;:&quot;Translation Theory and Development Studies: A Complexity Theory Approach&quot;,&quot;author&quot;:[{&quot;family&quot;:&quot;Marais&quot;,&quot;given&quot;:&quot;Kobus&quot;,&quot;parse-names&quot;:false,&quot;dropping-particle&quot;:&quot;&quot;,&quot;non-dropping-particle&quot;:&quot;&quot;}],&quot;accessed&quot;:{&quot;date-parts&quot;:[[2022,6,17]]},&quot;ISBN&quot;:&quot;9781138940819&quot;,&quot;issued&quot;:{&quot;date-parts&quot;:[[2014]]},&quot;publisher-place&quot;:&quot;New York, NY&quot;,&quot;number-of-pages&quot;:&quot;232&quot;,&quot;publisher&quot;:&quot;Routledge&quot;,&quot;container-title-short&quot;:&quot;&quot;},&quot;isTemporary&quot;:false,&quot;locator&quot;:&quot;17&quot;,&quot;suppress-author&quot;:true}]},{&quot;citationID&quot;:&quot;MENDELEY_CITATION_b9b2acfc-87df-485c-8251-ab912e28e08b&quot;,&quot;properties&quot;:{&quot;noteIndex&quot;:0},&quot;isEdited&quot;:true,&quot;manualOverride&quot;:{&quot;citeprocText&quot;:&quot;(Sapiro 2008, 163)&quot;,&quot;isManuallyOverridden&quot;:false,&quot;manualOverrideText&quot;:&quot;&quot;},&quot;citationTag&quot;:&quot;MENDELEY_CITATION_v3_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&quot;,&quot;citationItems&quot;:[{&quot;id&quot;:&quot;a099d2b2-11b8-3db8-bcf7-956ab6159829&quot;,&quot;itemData&quot;:{&quot;DOI&quot;:&quot;10.1080/14781700802113473&quot;,&quot;abstract&quot;:&quot;A sociological approach to translation needs to take into account publishers, whose role in the international circulation of books is crucial. This paper focuses on the contribution of Bourdieu’s economy of symbolic goods and field theory to the sociology of translation. The first section introduces Bourdieu’s article '‘A conservative revolution in publishing’' and more broadly his analysis of publishing. In the second section, I propose three theoretical and methodological directions for enlarging Bourdieu’s model to a global sociological analysis of the circulation of books in translation: firstly a displacement from the national to the global market of translation; secondly a focus on publisher’s strategy and booklist; and thirdly reception. © 2008 Taylor &amp; Francis.&quot;,&quot;author&quot;:[{&quot;dropping-particle&quot;:&quot;&quot;,&quot;family&quot;:&quot;Sapiro&quot;,&quot;given&quot;:&quot;Gisèle&quot;,&quot;non-dropping-particle&quot;:&quot;&quot;,&quot;parse-names&quot;:false,&quot;suffix&quot;:&quot;&quot;}],&quot;container-title&quot;:&quot;Translation Studies&quot;,&quot;id&quot;:&quot;a099d2b2-11b8-3db8-bcf7-956ab6159829&quot;,&quot;issue&quot;:&quot;2&quot;,&quot;issued&quot;:{&quot;date-parts&quot;:[[&quot;2008&quot;]]},&quot;page&quot;:&quot;154-166&quot;,&quot;publisher&quot;:&quot;Taylor &amp; Francis Group&quot;,&quot;title&quot;:&quot;Translation and the field of publishing&quot;,&quot;type&quot;:&quot;article-journal&quot;,&quot;volume&quot;:&quot;1&quot;,&quot;container-title-short&quot;:&quot;&quot;},&quot;locator&quot;:&quot;163&quot;,&quot;uris&quot;:[&quot;http://www.mendeley.com/documents/?uuid=a099d2b2-11b8-3db8-bcf7-956ab6159829&quot;],&quot;isTemporary&quot;:false,&quot;legacyDesktopId&quot;:&quot;a099d2b2-11b8-3db8-bcf7-956ab6159829&quot;}]},{&quot;citationID&quot;:&quot;MENDELEY_CITATION_de7c25c2-88ab-4767-8b26-805c48ecd518&quot;,&quot;properties&quot;:{&quot;noteIndex&quot;:0},&quot;isEdited&quot;:true,&quot;manualOverride&quot;:{&quot;citeprocText&quot;:&quot;(2013, 201)&quot;,&quot;isManuallyOverridden&quot;:false,&quot;manualOverrideText&quot;:&quot;&quot;},&quot;citationTag&quot;:&quot;MENDELEY_CITATION_v3_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&quot;,&quot;citationItems&quot;:[{&quot;id&quot;:&quot;ff96126c-8379-34d4-ab17-e5baa74678e7&quot;,&quot;itemData&quot;:{&quot;DOI&quot;:&quot;10.1075/hts.4.vis1&quot;,&quot;author&quot;:[{&quot;dropping-particle&quot;:&quot;&quot;,&quot;family&quot;:&quot;Emmerich&quot;,&quot;given&quot;:&quot;Karen&quot;,&quot;non-dropping-particle&quot;:&quot;&quot;,&quot;parse-names&quot;:false,&quot;suffix&quot;:&quot;&quot;}],&quot;container-title&quot;:&quot;Handbook of Translation Studies: Volume 4&quot;,&quot;editor&quot;:[{&quot;dropping-particle&quot;:&quot;&quot;,&quot;family&quot;:&quot;Yves Gambier&quot;,&quot;given&quot;:&quot;&quot;,&quot;non-dropping-particle&quot;:&quot;&quot;,&quot;parse-names&quot;:false,&quot;suffix&quot;:&quot;&quot;},{&quot;dropping-particle&quot;:&quot;&quot;,&quot;family&quot;:&quot;Luc van Doorslaer&quot;,&quot;given&quot;:&quot;&quot;,&quot;non-dropping-particle&quot;:&quot;&quot;,&quot;parse-names&quot;:false,&quot;suffix&quot;:&quot;&quot;}],&quot;id&quot;:&quot;ff96126c-8379-34d4-ab17-e5baa74678e7&quot;,&quot;issued&quot;:{&quot;date-parts&quot;:[[&quot;2013&quot;]]},&quot;page&quot;:&quot;200-206&quot;,&quot;publisher&quot;:&quot;John Benjamins Publishing Company&quot;,&quot;title&quot;:&quot;Visibility (and invisibility)&quot;,&quot;type&quot;:&quot;chapter&quot;,&quot;container-title-short&quot;:&quot;&quot;},&quot;locator&quot;:&quot;201&quot;,&quot;suppress-author&quot;:1,&quot;uris&quot;:[&quot;http://www.mendeley.com/documents/?uuid=ff96126c-8379-34d4-ab17-e5baa74678e7&quot;],&quot;isTemporary&quot;:false,&quot;legacyDesktopId&quot;:&quot;ff96126c-8379-34d4-ab17-e5baa74678e7&quot;}]},{&quot;citationID&quot;:&quot;MENDELEY_CITATION_1c7df566-1c31-46b9-9bb3-bcc92df481d9&quot;,&quot;properties&quot;:{&quot;noteIndex&quot;:0},&quot;isEdited&quot;:true,&quot;manualOverride&quot;:{&quot;citeprocText&quot;:&quot;(Bourdieu 1999, 223)&quot;,&quot;isManuallyOverridden&quot;:false,&quot;manualOverrideText&quot;:&quot;&quot;},&quot;citationTag&quot;:&quot;MENDELEY_CITATION_v3_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&quot;,&quot;citationItems&quot;:[{&quot;id&quot;:&quot;35f19ef0-49da-3bb2-91f1-87371e961026&quot;,&quot;itemData&quot;:{&quot;type&quot;:&quot;chapter&quot;,&quot;id&quot;:&quot;35f19ef0-49da-3bb2-91f1-87371e961026&quot;,&quot;title&quot;:&quot;The Social Conditions of the International Circulation of Ideas&quot;,&quot;author&quot;:[{&quot;family&quot;:&quot;Bourdieu&quot;,&quot;given&quot;:&quot;Pierre&quot;,&quot;parse-names&quot;:false,&quot;dropping-particle&quot;:&quot;&quot;,&quot;non-dropping-particle&quot;:&quot;&quot;}],&quot;container-title&quot;:&quot;Bourdieu: A Critical Reader&quot;,&quot;chapter-number&quot;:&quot;13&quot;,&quot;accessed&quot;:{&quot;date-parts&quot;:[[2020,2,29]]},&quot;editor&quot;:[{&quot;family&quot;:&quot;Richard Shusterman&quot;,&quot;given&quot;:&quot;&quot;,&quot;parse-names&quot;:false,&quot;dropping-particle&quot;:&quot;&quot;,&quot;non-dropping-particle&quot;:&quot;&quot;}],&quot;ISBN&quot;:&quot;0631188185&quot;,&quot;issued&quot;:{&quot;date-parts&quot;:[[1999]]},&quot;publisher-place&quot;:&quot;Oxford, UK&quot;,&quot;page&quot;:&quot;220-228&quot;,&quot;publisher&quot;:&quot;Wiley-Blackwell&quot;,&quot;container-title-short&quot;:&quot;&quot;},&quot;locator&quot;:&quot;223&quot;,&quot;uris&quot;:[&quot;http://www.mendeley.com/documents/?uuid=35f19ef0-49da-3bb2-91f1-87371e961026&quot;],&quot;isTemporary&quot;:false,&quot;legacyDesktopId&quot;:&quot;35f19ef0-49da-3bb2-91f1-87371e961026&quot;}]},{&quot;citationID&quot;:&quot;MENDELEY_CITATION_6c487640-6d4a-4fb1-90ae-9e6c1e48ccf7&quot;,&quot;properties&quot;:{&quot;noteIndex&quot;:0},&quot;isEdited&quot;:true,&quot;manualOverride&quot;:{&quot;citeprocText&quot;:&quot;(1995, 26)&quot;,&quot;isManuallyOverridden&quot;:true,&quot;manualOverrideText&quot;:&quot;(1995, 26).&quot;},&quot;citationTag&quot;:&quot;MENDELEY_CITATION_v3_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&quot;,&quot;citationItems&quot;:[{&quot;id&quot;:&quot;d151b4c7-bcc4-30aa-a249-649748165e33&quot;,&quot;itemData&quot;:{&quot;author&quot;:[{&quot;dropping-particle&quot;:&quot;&quot;,&quot;family&quot;:&quot;Toury&quot;,&quot;given&quot;:&quot;Gideon&quot;,&quot;non-dropping-particle&quot;:&quot;&quot;,&quot;parse-names&quot;:false,&quot;suffix&quot;:&quot;&quot;}],&quot;id&quot;:&quot;d151b4c7-bcc4-30aa-a249-649748165e33&quot;,&quot;issued&quot;:{&quot;date-parts&quot;:[[&quot;1995&quot;]]},&quot;publisher&quot;:&quot;John Benjamins Publishing Company&quot;,&quot;publisher-place&quot;:&quot;Amsterdam, The Netherlands; Philadelphia, PA&quot;,&quot;title&quot;:&quot;Descriptive Translation Studies&quot;,&quot;type&quot;:&quot;book&quot;,&quot;container-title-short&quot;:&quot;&quot;},&quot;locator&quot;:&quot;26&quot;,&quot;suppress-author&quot;:1,&quot;uris&quot;:[&quot;http://www.mendeley.com/documents/?uuid=d151b4c7-bcc4-30aa-a249-649748165e33&quot;],&quot;isTemporary&quot;:false,&quot;legacyDesktopId&quot;:&quot;d151b4c7-bcc4-30aa-a249-649748165e33&quot;}]},{&quot;citationID&quot;:&quot;MENDELEY_CITATION_3506be27-ec37-4322-a782-5300b832e9a9&quot;,&quot;properties&quot;:{&quot;noteIndex&quot;:0},&quot;isEdited&quot;:true,&quot;manualOverride&quot;:{&quot;citeprocText&quot;:&quot;(2014, 426–27)&quot;,&quot;isManuallyOverridden&quot;:false,&quot;manualOverrideText&quot;:&quot;&quot;},&quot;citationTag&quot;:&quot;MENDELEY_CITATION_v3_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&quot;,&quot;citationItems&quot;:[{&quot;id&quot;:&quot;abcba5d4-e188-3d8b-bc82-95745d36747c&quot;,&quot;itemData&quot;:{&quot;DOI&quot;:&quot;10.1002/9781118613504.ch32&quot;,&quot;author&quot;:[{&quot;dropping-particle&quot;:&quot;&quot;,&quot;family&quot;:&quot;Connor&quot;,&quot;given&quot;:&quot;Peter&quot;,&quot;non-dropping-particle&quot;:&quot;&quot;,&quot;parse-names&quot;:false,&quot;suffix&quot;:&quot;&quot;}],&quot;chapter-number&quot;:&quot;32&quot;,&quot;container-title&quot;:&quot;A Companion to Translation Studies&quot;,&quot;editor&quot;:[{&quot;dropping-particle&quot;:&quot;&quot;,&quot;family&quot;:&quot;Sandra Bermann&quot;,&quot;given&quot;:&quot;&quot;,&quot;non-dropping-particle&quot;:&quot;&quot;,&quot;parse-names&quot;:false,&quot;suffix&quot;:&quot;&quot;},{&quot;dropping-particle&quot;:&quot;&quot;,&quot;family&quot;:&quot;Catherine Porter&quot;,&quot;given&quot;:&quot;&quot;,&quot;non-dropping-particle&quot;:&quot;&quot;,&quot;parse-names&quot;:false,&quot;suffix&quot;:&quot;&quot;}],&quot;id&quot;:&quot;abcba5d4-e188-3d8b-bc82-95745d36747c&quot;,&quot;issued&quot;:{&quot;date-parts&quot;:[[&quot;2014&quot;]]},&quot;page&quot;:&quot;425-437&quot;,&quot;publisher&quot;:&quot;John Wiley &amp; Sons, Ltd&quot;,&quot;publisher-place&quot;:&quot;Oxford, UK&quot;,&quot;title&quot;:&quot;Reading Literature in Translation&quot;,&quot;type&quot;:&quot;chapter&quot;,&quot;container-title-short&quot;:&quot;&quot;},&quot;locator&quot;:&quot;426-427&quot;,&quot;suppress-author&quot;:1,&quot;uris&quot;:[&quot;http://www.mendeley.com/documents/?uuid=abcba5d4-e188-3d8b-bc82-95745d36747c&quot;],&quot;isTemporary&quot;:false,&quot;legacyDesktopId&quot;:&quot;abcba5d4-e188-3d8b-bc82-95745d36747c&quot;}]},{&quot;citationID&quot;:&quot;MENDELEY_CITATION_a9972afc-ee4b-49f4-8b0e-d4ede86b3997&quot;,&quot;properties&quot;:{&quot;noteIndex&quot;:0},&quot;isEdited&quot;:true,&quot;manualOverride&quot;:{&quot;citeprocText&quot;:&quot;(Sturge 2007, 79)&quot;,&quot;isManuallyOverridden&quot;:false,&quot;manualOverrideText&quot;:&quot;&quot;},&quot;citationTag&quot;:&quot;MENDELEY_CITATION_v3_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&quot;,&quot;citationItems&quot;:[{&quot;id&quot;:&quot;e60f516c-0b3c-3918-aba0-a35c5ab311a1&quot;,&quot;itemData&quot;:{&quot;type&quot;:&quot;book&quot;,&quot;id&quot;:&quot;e60f516c-0b3c-3918-aba0-a35c5ab311a1&quot;,&quot;title&quot;:&quot;Representing Others: Translation, Ethnography and Museum&quot;,&quot;author&quot;:[{&quot;family&quot;:&quot;Sturge&quot;,&quot;given&quot;:&quot;Kate&quot;,&quot;parse-names&quot;:false,&quot;dropping-particle&quot;:&quot;&quot;,&quot;non-dropping-particle&quot;:&quot;&quot;}],&quot;accessed&quot;:{&quot;date-parts&quot;:[[2020,7,14]]},&quot;issued&quot;:{&quot;date-parts&quot;:[[2007]]},&quot;publisher-place&quot;:&quot;Manchester, UK&quot;,&quot;publisher&quot;:&quot;St. Jerome Publishing&quot;,&quot;container-title-short&quot;:&quot;&quot;},&quot;locator&quot;:&quot;79&quot;,&quot;uris&quot;:[&quot;http://www.mendeley.com/documents/?uuid=e60f516c-0b3c-3918-aba0-a35c5ab311a1&quot;],&quot;isTemporary&quot;:false,&quot;legacyDesktopId&quot;:&quot;e60f516c-0b3c-3918-aba0-a35c5ab311a1&quot;}]},{&quot;citationID&quot;:&quot;MENDELEY_CITATION_8216272d-8203-4bd6-8f9f-d9cc58ccad0d&quot;,&quot;properties&quot;:{&quot;noteIndex&quot;:0},&quot;isEdited&quot;:false,&quot;manualOverride&quot;:{&quot;isManuallyOverridden&quot;:false,&quot;citeprocText&quot;:&quot;(2011, 4)&quot;,&quot;manualOverrideText&quot;:&quot;&quot;},&quot;citationTag&quot;:&quot;MENDELEY_CITATION_v3_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&quot;,&quot;citationItems&quot;:[{&quot;label&quot;:&quot;page&quot;,&quot;id&quot;:&quot;d15d0083-6458-3f76-a174-a751b587f6f4&quot;,&quot;itemData&quot;:{&quot;type&quot;:&quot;book&quot;,&quot;id&quot;:&quot;d15d0083-6458-3f76-a174-a751b587f6f4&quot;,&quot;title&quot;:&quot;Re-covered Rose: A Case Study in Book Cover Design as Intersemiotic Translation&quot;,&quot;author&quot;:[{&quot;family&quot;:&quot;Sonzogni&quot;,&quot;given&quot;:&quot;Marco&quot;,&quot;parse-names&quot;:false,&quot;dropping-particle&quot;:&quot;&quot;,&quot;non-dropping-particle&quot;:&quot;&quot;}],&quot;accessed&quot;:{&quot;date-parts&quot;:[[2020,3,14]]},&quot;DOI&quot;:&quot;10.1075/z.169&quot;,&quot;ISBN&quot;:&quot;9789027282170&quot;,&quot;issued&quot;:{&quot;date-parts&quot;:[[2011,12,7]]},&quot;publisher-place&quot;:&quot;Amsterdam&quot;,&quot;number-of-pages&quot;:&quot;1-181&quot;,&quot;abstract&quot;:&quot;When a reader picks up a book, the essence of the text has been translated into the visual space of the cover. Using Umberto Eco's bestseller The Name of the Rose as a case study, this is the first study of book cover design as a form of intersemiotic translation based on the purposeful selection of visual signs to represent verbal signs. As an act of translation, the cover of a book ought to be an 'equivalent representation' of the text. But in the absence of any established interpretive criteria, how can equivalence between the visual and the verbal be determined and interpreted? Re-Covered Rose tackles this question in an original and creative way, laying the foundation for a new research trend in Translation Studies.&quot;,&quot;publisher&quot;:&quot;John Benjamins Publishing Company&quot;,&quot;container-title-short&quot;:&quot;&quot;},&quot;isTemporary&quot;:false,&quot;locator&quot;:&quot;4&quot;,&quot;suppress-author&quot;:true}]},{&quot;citationID&quot;:&quot;MENDELEY_CITATION_69fc16f1-2d36-4a40-a1e6-c579a8928fa6&quot;,&quot;properties&quot;:{&quot;noteIndex&quot;:0},&quot;isEdited&quot;:false,&quot;manualOverride&quot;:{&quot;isManuallyOverridden&quot;:false,&quot;citeprocText&quot;:&quot;(Benjamin 1992)&quot;,&quot;manualOverrideText&quot;:&quot;&quot;},&quot;citationTag&quot;:&quot;MENDELEY_CITATION_v3_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&quot;,&quot;citationItems&quot;:[{&quot;id&quot;:&quot;76cc519d-b40d-3bc3-ac52-d35cb932edd5&quot;,&quot;itemData&quot;:{&quot;type&quot;:&quot;chapter&quot;,&quot;id&quot;:&quot;76cc519d-b40d-3bc3-ac52-d35cb932edd5&quot;,&quot;title&quot;:&quot;The Task of the Translator&quot;,&quot;author&quot;:[{&quot;family&quot;:&quot;Benjamin&quot;,&quot;given&quot;:&quot;Walter&quot;,&quot;parse-names&quot;:false,&quot;dropping-particle&quot;:&quot;&quot;,&quot;non-dropping-particle&quot;:&quot;&quot;}],&quot;container-title&quot;:&quot;Theories of Translation: An Anthology of Essays from Dryden to Derrida&quot;,&quot;chapter-number&quot;:&quot;9&quot;,&quot;accessed&quot;:{&quot;date-parts&quot;:[[2022,7,21]]},&quot;editor&quot;:[{&quot;family&quot;:&quot;Biguenet&quot;,&quot;given&quot;:&quot;John&quot;,&quot;parse-names&quot;:false,&quot;dropping-particle&quot;:&quot;&quot;,&quot;non-dropping-particle&quot;:&quot;&quot;},{&quot;family&quot;:&quot;Schulte&quot;,&quot;given&quot;:&quot;Rainer&quot;,&quot;parse-names&quot;:false,&quot;dropping-particle&quot;:&quot;&quot;,&quot;non-dropping-particle&quot;:&quot;&quot;}],&quot;URL&quot;:&quot;http://www.ricorso.net/rx/library/criticism/guest/Benjamin_W/Benjamin_W1.htm&quot;,&quot;issued&quot;:{&quot;date-parts&quot;:[[1992]]},&quot;publisher-place&quot;:&quot;Chicago&quot;,&quot;page&quot;:&quot;71-82&quot;,&quot;publisher&quot;:&quot;The University of Chicago Press&quot;,&quot;container-title-short&quot;:&quot;&quot;},&quot;isTemporary&quot;:false}]},{&quot;citationID&quot;:&quot;MENDELEY_CITATION_862e57bd-5787-4384-b932-db384850bab2&quot;,&quot;properties&quot;:{&quot;noteIndex&quot;:0},&quot;isEdited&quot;:false,&quot;manualOverride&quot;:{&quot;isManuallyOverridden&quot;:false,&quot;citeprocText&quot;:&quot;(Heilbron 2010)&quot;,&quot;manualOverrideText&quot;:&quot;&quot;},&quot;citationTag&quot;:&quot;MENDELEY_CITATION_v3_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&quot;,&quot;citationItems&quot;:[{&quot;id&quot;:&quot;b5c56bfd-3733-32f5-baa9-e37969446ec4&quot;,&quot;itemData&quot;:{&quot;type&quot;:&quot;chapter&quot;,&quot;id&quot;:&quot;b5c56bfd-3733-32f5-baa9-e37969446ec4&quot;,&quot;title&quot;:&quot;Books Translations as a Cultural World System&quot;,&quot;author&quot;:[{&quot;family&quot;:&quot;Heilbron&quot;,&quot;given&quot;:&quot;Johan&quot;,&quot;parse-names&quot;:false,&quot;dropping-particle&quot;:&quot;&quot;,&quot;non-dropping-particle&quot;:&quot;&quot;}],&quot;container-title&quot;:&quot;Critical readings in translation studies &quot;,&quot;chapter-number&quot;:&quot;17&quot;,&quot;accessed&quot;:{&quot;date-parts&quot;:[[2022,7,20]]},&quot;editor&quot;:[{&quot;family&quot;:&quot;Baker&quot;,&quot;given&quot;:&quot;Mona&quot;,&quot;parse-names&quot;:false,&quot;dropping-particle&quot;:&quot;&quot;,&quot;non-dropping-particle&quot;:&quot;&quot;}],&quot;ISBN&quot;:&quot;9780415469548&quot;,&quot;issued&quot;:{&quot;date-parts&quot;:[[2010]]},&quot;publisher-place&quot;:&quot;New York, NY&quot;,&quot;page&quot;:&quot;304-316&quot;,&quot;publisher&quot;:&quot;Routledge&quot;,&quot;container-title-short&quot;:&quot;&quot;},&quot;isTemporary&quot;:false}]},{&quot;citationID&quot;:&quot;MENDELEY_CITATION_0016801b-1170-4871-82c5-742a309d085b&quot;,&quot;properties&quot;:{&quot;noteIndex&quot;:0},&quot;isEdited&quot;:false,&quot;manualOverride&quot;:{&quot;isManuallyOverridden&quot;:false,&quot;citeprocText&quot;:&quot;(2010, 58)&quot;,&quot;manualOverrideText&quot;:&quot;&quot;},&quot;citationTag&quot;:&quot;MENDELEY_CITATION_v3_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&quot;,&quot;citationItems&quot;:[{&quot;label&quot;:&quot;page&quot;,&quot;id&quot;:&quot;11c253b6-3c8c-3f31-a4b5-c8eac4bd1ca8&quot;,&quot;itemData&quot;:{&quot;type&quot;:&quot;book&quot;,&quot;id&quot;:&quot;11c253b6-3c8c-3f31-a4b5-c8eac4bd1ca8&quot;,&quot;title&quot;:&quot;Why Translation Matters&quot;,&quot;author&quot;:[{&quot;family&quot;:&quot;Grossman&quot;,&quot;given&quot;:&quot;Edith&quot;,&quot;parse-names&quot;:false,&quot;dropping-particle&quot;:&quot;&quot;,&quot;non-dropping-particle&quot;:&quot;&quot;}],&quot;accessed&quot;:{&quot;date-parts&quot;:[[2022,7,19]]},&quot;issued&quot;:{&quot;date-parts&quot;:[[2010]]},&quot;publisher-place&quot;:&quot;Orwigsburg, Pennsylvania&quot;,&quot;publisher&quot;:&quot;Yale University Press&quot;,&quot;container-title-short&quot;:&quot;&quot;},&quot;isTemporary&quot;:false,&quot;suppress-author&quot;:true,&quot;locator&quot;:&quot;58&quot;}]},{&quot;citationID&quot;:&quot;MENDELEY_CITATION_9b9d5a1d-a4d0-4295-a49e-f38aa5b69b47&quot;,&quot;properties&quot;:{&quot;noteIndex&quot;:0},&quot;isEdited&quot;:false,&quot;manualOverride&quot;:{&quot;isManuallyOverridden&quot;:false,&quot;citeprocText&quot;:&quot;(2016)&quot;,&quot;manualOverrideText&quot;:&quot;&quot;},&quot;citationTag&quot;:&quot;MENDELEY_CITATION_v3_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&quot;,&quot;citationItems&quot;:[{&quot;label&quot;:&quot;page&quot;,&quot;id&quot;:&quot;e86d137f-2b2b-3249-89a7-468f33b89b4e&quot;,&quot;itemData&quot;:{&quot;type&quot;:&quot;book&quot;,&quot;id&quot;:&quot;e86d137f-2b2b-3249-89a7-468f33b89b4e&quot;,&quot;title&quot;:&quot;Translation's Forgotten History: Russian Literature, Japanese mediation, and the Formation of Modern Korean Literature&quot;,&quot;author&quot;:[{&quot;family&quot;:&quot;Cho&quot;,&quot;given&quot;:&quot;Heekyoung&quot;,&quot;parse-names&quot;:false,&quot;dropping-particle&quot;:&quot;&quot;,&quot;non-dropping-particle&quot;:&quot;&quot;}],&quot;accessed&quot;:{&quot;date-parts&quot;:[[2020,4,14]]},&quot;ISBN&quot;:&quot;0674660048&quot;,&quot;issued&quot;:{&quot;date-parts&quot;:[[2016]]},&quot;number-of-pages&quot;:&quot;242&quot;,&quot;publisher&quot;:&quot;Harvard University Asia Center&quot;,&quot;container-title-short&quot;:&quot;&quot;},&quot;isTemporary&quot;:false,&quot;suppress-author&quot;:true}]},{&quot;citationID&quot;:&quot;MENDELEY_CITATION_20056086-5d73-4869-97cc-746911b25bb6&quot;,&quot;properties&quot;:{&quot;noteIndex&quot;:0},&quot;isEdited&quot;:true,&quot;manualOverride&quot;:{&quot;citeprocText&quot;:&quot;(2010, 171)&quot;,&quot;isManuallyOverridden&quot;:false,&quot;manualOverrideText&quot;:&quot;&quot;},&quot;citationTag&quot;:&quot;MENDELEY_CITATION_v3_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&quot;,&quot;citationItems&quot;:[{&quot;id&quot;:&quot;cbdb3ed4-5bea-3029-afd5-c017931fa2ed&quot;,&quot;itemData&quot;:{&quot;DOI&quot;:&quot;10.2979/MEW.2010.6.3.149&quot;,&quot;author&quot;:[{&quot;dropping-particle&quot;:&quot;&quot;,&quot;family&quot;:&quot;Booth&quot;,&quot;given&quot;:&quot;Marilyn&quot;,&quot;non-dropping-particle&quot;:&quot;&quot;,&quot;parse-names&quot;:false,&quot;suffix&quot;:&quot;&quot;}],&quot;container-title&quot;:&quot;Journal of Middle East Women's Studies&quot;,&quot;id&quot;:&quot;cbdb3ed4-5bea-3029-afd5-c017931fa2ed&quot;,&quot;issue&quot;:&quot;3&quot;,&quot;issued&quot;:{&quot;date-parts&quot;:[[&quot;2010&quot;,&quot;1&quot;,&quot;1&quot;]]},&quot;page&quot;:&quot;149-182&quot;,&quot;publisher&quot;:&quot;Duke University Press&quot;,&quot;title&quot;:&quot;“The Muslim Woman” as Celebrity Author and the Politics of Translating Arabic&quot;,&quot;type&quot;:&quot;article-journal&quot;,&quot;volume&quot;:&quot;6&quot;,&quot;container-title-short&quot;:&quot;&quot;},&quot;locator&quot;:&quot;171&quot;,&quot;suppress-author&quot;:1,&quot;uris&quot;:[&quot;http://www.mendeley.com/documents/?uuid=cbdb3ed4-5bea-3029-afd5-c017931fa2ed&quot;],&quot;isTemporary&quot;:false,&quot;legacyDesktopId&quot;:&quot;cbdb3ed4-5bea-3029-afd5-c017931fa2ed&quot;}]},{&quot;citationID&quot;:&quot;MENDELEY_CITATION_753c1214-128a-486c-86eb-6ba85bb57cd5&quot;,&quot;properties&quot;:{&quot;noteIndex&quot;:0},&quot;isEdited&quot;:true,&quot;manualOverride&quot;:{&quot;citeprocText&quot;:&quot;(van Wyke 2013, 557–58; 2010, 114–15)&quot;,&quot;isManuallyOverridden&quot;:true,&quot;manualOverrideText&quot;:&quot;(Van Wyke 2013, 557–58; 2010, 114–15)&quot;},&quot;citationTag&quot;:&quot;MENDELEY_CITATION_v3_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&quot;,&quot;citationItems&quot;:[{&quot;id&quot;:&quot;77066a09-291d-3d78-bbf4-3585c7ee4b9a&quot;,&quot;itemData&quot;:{&quot;type&quot;:&quot;chapter&quot;,&quot;id&quot;:&quot;77066a09-291d-3d78-bbf4-3585c7ee4b9a&quot;,&quot;title&quot;:&quot;Translation and Ethics&quot;,&quot;author&quot;:[{&quot;family&quot;:&quot;Wyke&quot;,&quot;given&quot;:&quot;Ben&quot;,&quot;parse-names&quot;:false,&quot;dropping-particle&quot;:&quot;&quot;,&quot;non-dropping-particle&quot;:&quot;van&quot;}],&quot;container-title&quot;:&quot;The Routledge Handbook of Translation&quot;,&quot;chapter-number&quot;:&quot;40&quot;,&quot;accessed&quot;:{&quot;date-parts&quot;:[[2020,9,2]]},&quot;editor&quot;:[{&quot;family&quot;:&quot;Milan&quot;,&quot;given&quot;:&quot;Carman&quot;,&quot;parse-names&quot;:false,&quot;dropping-particle&quot;:&quot;&quot;,&quot;non-dropping-particle&quot;:&quot;&quot;},{&quot;family&quot;:&quot;Bartrina&quot;,&quot;given&quot;:&quot;Francesca&quot;,&quot;parse-names&quot;:false,&quot;dropping-particle&quot;:&quot;&quot;,&quot;non-dropping-particle&quot;:&quot;&quot;}],&quot;issued&quot;:{&quot;date-parts&quot;:[[2013]]},&quot;publisher-place&quot;:&quot;New York, NY&quot;,&quot;page&quot;:&quot;548-560&quot;,&quot;publisher&quot;:&quot;Routledge&quot;,&quot;container-title-short&quot;:&quot;&quot;},&quot;locator&quot;:&quot;557-558&quot;,&quot;uris&quot;:[&quot;http://www.mendeley.com/documents/?uuid=77066a09-291d-3d78-bbf4-3585c7ee4b9a&quot;],&quot;isTemporary&quot;:false,&quot;legacyDesktopId&quot;:&quot;77066a09-291d-3d78-bbf4-3585c7ee4b9a&quot;},{&quot;id&quot;:&quot;397941fa-3816-3328-8e9c-ca1197557c72&quot;,&quot;itemData&quot;:{&quot;type&quot;:&quot;chapter&quot;,&quot;id&quot;:&quot;397941fa-3816-3328-8e9c-ca1197557c72&quot;,&quot;title&quot;:&quot;Ethics and translation&quot;,&quot;author&quot;:[{&quot;family&quot;:&quot;Wyke&quot;,&quot;given&quot;:&quot;Ben&quot;,&quot;parse-names&quot;:false,&quot;dropping-particle&quot;:&quot;van&quot;,&quot;non-dropping-particle&quot;:&quot;&quot;}],&quot;container-title&quot;:&quot;Handbook of Translation Studies&quot;,&quot;accessed&quot;:{&quot;date-parts&quot;:[[2020,8,29]]},&quot;editor&quot;:[{&quot;family&quot;:&quot;Gambier&quot;,&quot;given&quot;:&quot;Yves&quot;,&quot;parse-names&quot;:false,&quot;dropping-particle&quot;:&quot;&quot;,&quot;non-dropping-particle&quot;:&quot;&quot;},{&quot;family&quot;:&quot;Doorslaer&quot;,&quot;given&quot;:&quot;Luc&quot;,&quot;parse-names&quot;:false,&quot;dropping-particle&quot;:&quot;van&quot;,&quot;non-dropping-particle&quot;:&quot;&quot;}],&quot;DOI&quot;:&quot;10.1075/hts.1.eth1&quot;,&quot;issued&quot;:{&quot;date-parts&quot;:[[2010,10,28]]},&quot;publisher-place&quot;:&quot;Amsterdam/Philadelphia&quot;,&quot;page&quot;:&quot;111-115&quot;,&quot;publisher&quot;:&quot;John Benjamins Publishing Company&quot;,&quot;volume&quot;:&quot;1&quot;,&quot;container-title-short&quot;:&quot;&quot;},&quot;locator&quot;:&quot;114-115&quot;,&quot;suppress-author&quot;:1,&quot;uris&quot;:[&quot;http://www.mendeley.com/documents/?uuid=397941fa-3816-3328-8e9c-ca1197557c72&quot;],&quot;isTemporary&quot;:false,&quot;legacyDesktopId&quot;:&quot;397941fa-3816-3328-8e9c-ca1197557c72&quot;}]},{&quot;citationID&quot;:&quot;MENDELEY_CITATION_285d5aec-8387-4b78-a71a-b28897c0cf71&quot;,&quot;properties&quot;:{&quot;noteIndex&quot;:0},&quot;isEdited&quot;:false,&quot;manualOverride&quot;:{&quot;isManuallyOverridden&quot;:false,&quot;citeprocText&quot;:&quot;(Kiraly 2000, 63–64)&quot;,&quot;manualOverrideText&quot;:&quot;&quot;},&quot;citationTag&quot;:&quot;MENDELEY_CITATION_v3_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&quot;,&quot;citationItems&quot;:[{&quot;label&quot;:&quot;page&quot;,&quot;id&quot;:&quot;666da19f-aae9-3af1-86b0-2f4ed97a4115&quot;,&quot;itemData&quot;:{&quot;type&quot;:&quot;book&quot;,&quot;id&quot;:&quot;666da19f-aae9-3af1-86b0-2f4ed97a4115&quot;,&quot;title&quot;:&quot;A Social Constructivist Approach to Translator Education: Empowerment from Theory to Practice&quot;,&quot;author&quot;:[{&quot;family&quot;:&quot;Kiraly&quot;,&quot;given&quot;:&quot;Donald.&quot;,&quot;parse-names&quot;:false,&quot;dropping-particle&quot;:&quot;&quot;,&quot;non-dropping-particle&quot;:&quot;&quot;}],&quot;accessed&quot;:{&quot;date-parts&quot;:[[2022,8,28]]},&quot;ISBN&quot;:&quot;978-1900650328&quot;,&quot;issued&quot;:{&quot;date-parts&quot;:[[2000]]},&quot;publisher-place&quot;:&quot;Manchester, UK&quot;,&quot;publisher&quot;:&quot;St. Jerome Publishing&quot;,&quot;container-title-short&quot;:&quot;&quot;},&quot;isTemporary&quot;:false,&quot;locator&quot;:&quot;63-64&quot;}]},{&quot;citationID&quot;:&quot;MENDELEY_CITATION_7fb3bf33-b7dc-4805-afd1-fd0967f59936&quot;,&quot;properties&quot;:{&quot;noteIndex&quot;:0},&quot;isEdited&quot;:true,&quot;manualOverride&quot;:{&quot;citeprocText&quot;:&quot;(Maier 1995, 31)&quot;,&quot;isManuallyOverridden&quot;:false,&quot;manualOverrideText&quot;:&quot;&quot;},&quot;citationTag&quot;:&quot;MENDELEY_CITATION_v3_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&quot;,&quot;citationItems&quot;:[{&quot;id&quot;:&quot;6e5dd3cf-41aa-3e08-bee9-f2420cf6906a&quot;,&quot;itemData&quot;:{&quot;type&quot;:&quot;chapter&quot;,&quot;id&quot;:&quot;6e5dd3cf-41aa-3e08-bee9-f2420cf6906a&quot;,&quot;title&quot;:&quot;Toward a Theoretical Practice for Cross-Cultural Translation&quot;,&quot;author&quot;:[{&quot;family&quot;:&quot;Maier&quot;,&quot;given&quot;:&quot;Carol&quot;,&quot;parse-names&quot;:false,&quot;dropping-particle&quot;:&quot;&quot;,&quot;non-dropping-particle&quot;:&quot;&quot;}],&quot;container-title&quot;:&quot;Between Languages and Cultures: Translation and Cross-Cultural Texts &quot;,&quot;accessed&quot;:{&quot;date-parts&quot;:[[2020,9,8]]},&quot;editor&quot;:[{&quot;family&quot;:&quot;Dingwaney&quot;,&quot;given&quot;:&quot;Anuradha&quot;,&quot;parse-names&quot;:false,&quot;dropping-particle&quot;:&quot;&quot;,&quot;non-dropping-particle&quot;:&quot;&quot;},{&quot;family&quot;:&quot;Maier&quot;,&quot;given&quot;:&quot;Caro&quot;,&quot;parse-names&quot;:false,&quot;dropping-particle&quot;:&quot;&quot;,&quot;non-dropping-particle&quot;:&quot;&quot;}],&quot;URL&quot;:&quot;https://books.google.com/books?id=lfrfRo1FKLgC&amp;printsec=frontcover&amp;source=gbs_ge_summary_r&amp;cad=0#v=onepage&amp;q&amp;f=false&quot;,&quot;issued&quot;:{&quot;date-parts&quot;:[[1995]]},&quot;publisher-place&quot;:&quot;Pittsburgh&quot;,&quot;page&quot;:&quot;21-38&quot;,&quot;publisher&quot;:&quot;University of Pittsburgh Press&quot;,&quot;container-title-short&quot;:&quot;&quot;},&quot;locator&quot;:&quot;31&quot;,&quot;uris&quot;:[&quot;http://www.mendeley.com/documents/?uuid=6e5dd3cf-41aa-3e08-bee9-f2420cf6906a&quot;],&quot;isTemporary&quot;:false,&quot;legacyDesktopId&quot;:&quot;6e5dd3cf-41aa-3e08-bee9-f2420cf6906a&quot;}]},{&quot;citationID&quot;:&quot;MENDELEY_CITATION_45f08f22-a4ce-499c-a636-9779635cd2a6&quot;,&quot;properties&quot;:{&quot;noteIndex&quot;:0},&quot;isEdited&quot;:true,&quot;manualOverride&quot;:{&quot;citeprocText&quot;:&quot;(Beller 2007, 12)&quot;,&quot;isManuallyOverridden&quot;:false,&quot;manualOverrideText&quot;:&quot;&quot;},&quot;citationTag&quot;:&quot;MENDELEY_CITATION_v3_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&quot;,&quot;citationItems&quot;:[{&quot;id&quot;:&quot;489d59c5-e6af-3bd5-983b-59e9ff4a9f74&quot;,&quot;itemData&quot;:{&quot;author&quot;:[{&quot;dropping-particle&quot;:&quot;&quot;,&quot;family&quot;:&quot;Beller&quot;,&quot;given&quot;:&quot;Manfred&quot;,&quot;non-dropping-particle&quot;:&quot;&quot;,&quot;parse-names&quot;:false,&quot;suffix&quot;:&quot;&quot;}],&quot;chapter-number&quot;:&quot;1&quot;,&quot;container-title&quot;:&quot;Imagology The cultural construction and literary representation of national characters. A critical survey&quot;,&quot;editor&quot;:[{&quot;dropping-particle&quot;:&quot;&quot;,&quot;family&quot;:&quot;Manfred Beller&quot;,&quot;given&quot;:&quot;&quot;,&quot;non-dropping-particle&quot;:&quot;&quot;,&quot;parse-names&quot;:false,&quot;suffix&quot;:&quot;&quot;},{&quot;dropping-particle&quot;:&quot;&quot;,&quot;family&quot;:&quot;Joep Leerssen&quot;,&quot;given&quot;:&quot;&quot;,&quot;non-dropping-particle&quot;:&quot;&quot;,&quot;parse-names&quot;:false,&quot;suffix&quot;:&quot;&quot;}],&quot;id&quot;:&quot;489d59c5-e6af-3bd5-983b-59e9ff4a9f74&quot;,&quot;issued&quot;:{&quot;date-parts&quot;:[[&quot;2007&quot;]]},&quot;page&quot;:&quot;1-16&quot;,&quot;publisher&quot;:&quot;Brill&quot;,&quot;publisher-place&quot;:&quot;Leiden, The Netherlands&quot;,&quot;title&quot;:&quot;Perception, image, imagology&quot;,&quot;type&quot;:&quot;chapter&quot;,&quot;container-title-short&quot;:&quot;&quot;},&quot;locator&quot;:&quot;12&quot;,&quot;uris&quot;:[&quot;http://www.mendeley.com/documents/?uuid=489d59c5-e6af-3bd5-983b-59e9ff4a9f74&quot;],&quot;isTemporary&quot;:false,&quot;legacyDesktopId&quot;:&quot;489d59c5-e6af-3bd5-983b-59e9ff4a9f74&quot;}]},{&quot;citationID&quot;:&quot;MENDELEY_CITATION_ebda9f9b-aaba-4451-b9f2-70068d2ff6ea&quot;,&quot;properties&quot;:{&quot;noteIndex&quot;:0},&quot;isEdited&quot;:false,&quot;manualOverride&quot;:{&quot;isManuallyOverridden&quot;:false,&quot;citeprocText&quot;:&quot;(2021, xviii)&quot;,&quot;manualOverrideText&quot;:&quot;&quot;},&quot;citationTag&quot;:&quot;MENDELEY_CITATION_v3_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&quot;,&quot;citationItems&quot;:[{&quot;label&quot;:&quot;page&quot;,&quot;id&quot;:&quot;bb21a8a7-ca16-3eb8-acac-46e9fcb0f00b&quot;,&quot;itemData&quot;:{&quot;type&quot;:&quot;book&quot;,&quot;id&quot;:&quot;bb21a8a7-ca16-3eb8-acac-46e9fcb0f00b&quot;,&quot;title&quot;:&quot;Around the world in 80 books&quot;,&quot;author&quot;:[{&quot;family&quot;:&quot;Damrosch&quot;,&quot;given&quot;:&quot;David&quot;,&quot;parse-names&quot;:false,&quot;dropping-particle&quot;:&quot;&quot;,&quot;non-dropping-particle&quot;:&quot;&quot;}],&quot;accessed&quot;:{&quot;date-parts&quot;:[[2022,8,18]]},&quot;ISBN&quot;:&quot;0593299884&quot;,&quot;issued&quot;:{&quot;date-parts&quot;:[[2021]]},&quot;publisher-place&quot;:&quot;New York&quot;,&quot;publisher&quot;:&quot;Penguin Press&quot;,&quot;container-title-short&quot;:&quot;&quot;},&quot;isTemporary&quot;:false,&quot;locator&quot;:&quot;xviii&quot;,&quot;suppress-author&quot;:true}]},{&quot;citationID&quot;:&quot;MENDELEY_CITATION_300807ba-4afc-43a7-aba3-cd9057895424&quot;,&quot;properties&quot;:{&quot;noteIndex&quot;:0},&quot;isEdited&quot;:false,&quot;manualOverride&quot;:{&quot;isManuallyOverridden&quot;:false,&quot;citeprocText&quot;:&quot;(Delisle and Woodsworth 2012, xix)&quot;,&quot;manualOverrideText&quot;:&quot;&quot;},&quot;citationTag&quot;:&quot;MENDELEY_CITATION_v3_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&quot;,&quot;citationItems&quot;:[{&quot;label&quot;:&quot;page&quot;,&quot;id&quot;:&quot;5de677f8-90e4-302c-906a-071c765e5ff7&quot;,&quot;itemData&quot;:{&quot;type&quot;:&quot;chapter&quot;,&quot;id&quot;:&quot;5de677f8-90e4-302c-906a-071c765e5ff7&quot;,&quot;title&quot;:&quot;Preface&quot;,&quot;author&quot;:[{&quot;family&quot;:&quot;Delisle&quot;,&quot;given&quot;:&quot;Jean&quot;,&quot;parse-names&quot;:false,&quot;dropping-particle&quot;:&quot;&quot;,&quot;non-dropping-particle&quot;:&quot;&quot;},{&quot;family&quot;:&quot;Woodsworth&quot;,&quot;given&quot;:&quot;Judith&quot;,&quot;parse-names&quot;:false,&quot;dropping-particle&quot;:&quot;&quot;,&quot;non-dropping-particle&quot;:&quot;&quot;}],&quot;container-title&quot;:&quot;Translators through History&quot;,&quot;accessed&quot;:{&quot;date-parts&quot;:[[2022,8,28]]},&quot;editor&quot;:[{&quot;family&quot;:&quot;Delisle&quot;,&quot;given&quot;:&quot;Jean&quot;,&quot;parse-names&quot;:false,&quot;dropping-particle&quot;:&quot;&quot;,&quot;non-dropping-particle&quot;:&quot;&quot;},{&quot;family&quot;:&quot;Woodsworth&quot;,&quot;given&quot;:&quot;Judith&quot;,&quot;parse-names&quot;:false,&quot;dropping-particle&quot;:&quot;&quot;,&quot;non-dropping-particle&quot;:&quot;&quot;}],&quot;URL&quot;:&quot;=onepage&amp;q&amp;f=false&quot;,&quot;issued&quot;:{&quot;date-parts&quot;:[[2012]]},&quot;publisher-place&quot;:&quot;Amsterdam, The Netherlands&quot;,&quot;page&quot;:&quot;xix-xxii&quot;,&quot;edition&quot;:&quot; Revised edition&quot;,&quot;publisher&quot;:&quot;John Benjamins Publishing Co.&quot;,&quot;container-title-short&quot;:&quot;&quot;},&quot;isTemporary&quot;:false,&quot;locator&quot;:&quot;xix&quot;}]},{&quot;citationID&quot;:&quot;MENDELEY_CITATION_8768133b-8d33-4b21-8d94-32135c50f82b&quot;,&quot;properties&quot;:{&quot;noteIndex&quot;:0},&quot;isEdited&quot;:false,&quot;manualOverride&quot;:{&quot;isManuallyOverridden&quot;:false,&quot;citeprocText&quot;:&quot;(2016, 133–34)&quot;,&quot;manualOverrideText&quot;:&quot;&quot;},&quot;citationTag&quot;:&quot;MENDELEY_CITATION_v3_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&quot;,&quot;citationItems&quot;:[{&quot;label&quot;:&quot;page&quot;,&quot;id&quot;:&quot;10c272b2-1e0f-3331-b652-4e4c774e9194&quot;,&quot;itemData&quot;:{&quot;type&quot;:&quot;book&quot;,&quot;id&quot;:&quot;10c272b2-1e0f-3331-b652-4e4c774e9194&quot;,&quot;title&quot;:&quot;In the Shadow of World Literature: Sites of Reading in Colonial Egypt - Michael Allan - Google Books&quot;,&quot;author&quot;:[{&quot;family&quot;:&quot;Allan&quot;,&quot;given&quot;:&quot;Michael&quot;,&quot;parse-names&quot;:false,&quot;dropping-particle&quot;:&quot;&quot;,&quot;non-dropping-particle&quot;:&quot;&quot;}],&quot;accessed&quot;:{&quot;date-parts&quot;:[[2022,8,28]]},&quot;issued&quot;:{&quot;date-parts&quot;:[[2016]]},&quot;publisher-place&quot;:&quot;Princeton&quot;,&quot;publisher&quot;:&quot;Princeton University Press&quot;,&quot;container-title-short&quot;:&quot;&quot;},&quot;isTemporary&quot;:false,&quot;locator&quot;:&quot;133-134&quot;,&quot;suppress-author&quot;:true}]},{&quot;citationID&quot;:&quot;MENDELEY_CITATION_f7ad2f16-f225-4b91-b2af-281569670677&quot;,&quot;properties&quot;:{&quot;noteIndex&quot;:0},&quot;isEdited&quot;:false,&quot;manualOverride&quot;:{&quot;isManuallyOverridden&quot;:false,&quot;citeprocText&quot;:&quot;(2010)&quot;,&quot;manualOverrideText&quot;:&quot;&quot;},&quot;citationTag&quot;:&quot;MENDELEY_CITATION_v3_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&quot;,&quot;citationItems&quot;:[{&quot;label&quot;:&quot;page&quot;,&quot;id&quot;:&quot;7d151cbc-2f83-3558-b916-ab366f695a89&quot;,&quot;itemData&quot;:{&quot;type&quot;:&quot;book&quot;,&quot;id&quot;:&quot;7d151cbc-2f83-3558-b916-ab366f695a89&quot;,&quot;title&quot;:&quot;Enlarging Translation, Empowering Translators&quot;,&quot;author&quot;:[{&quot;family&quot;:&quot;Tymoczko&quot;,&quot;given&quot;:&quot;Maria&quot;,&quot;parse-names&quot;:false,&quot;dropping-particle&quot;:&quot;&quot;,&quot;non-dropping-particle&quot;:&quot;&quot;}],&quot;container-title&quot;:&quot;Enlarging Translation, Empowering Translators&quot;,&quot;accessed&quot;:{&quot;date-parts&quot;:[[2019,3,2]]},&quot;DOI&quot;:&quot;10.4324/9781315759494&quot;,&quot;ISBN&quot;:&quot;9781315759494&quot;,&quot;issued&quot;:{&quot;date-parts&quot;:[[2010]]},&quot;publisher-place&quot;:&quot;New York&quot;,&quot;abstract&quot;:&quot;Beginning with the paradox that characterizes the history of translation studies in the last half century - that more and more parameters of translation have been defined, but less and less closure achieved - the first half of Enlarging Translation, Empowering Translators calls for radical inclusionary approaches to translation, including a greater internationalization of the field. The book investigates the implications of the expanding but open definition of translation, with a chapter on research methods charting future approaches to translation studies. In the second half of the book, these enlarged views of translation are linked to the empowerment and agency of the translator. Revamped ideological frameworks for translation, new paradigms for the translation of culture, and new ways of incorporating contemporary views of meaning into translation follow from the expanded conceptualization of translation, and they serve as a platform for empowering translators and promoting activist translation practices. Addressed to translation theorists, teachers, and practising translators alike, this latest contribution from one of the leading theorists in the field sets new directions for translation studies.&quot;,&quot;edition&quot;:&quot;2&quot;,&quot;publisher&quot;:&quot;Routledge&quot;,&quot;container-title-short&quot;:&quot;&quot;},&quot;isTemporary&quot;:false,&quot;suppress-author&quot;:true}]},{&quot;citationID&quot;:&quot;MENDELEY_CITATION_79ac23af-2db5-4101-8194-5d58556f1da2&quot;,&quot;properties&quot;:{&quot;noteIndex&quot;:0},&quot;isEdited&quot;:true,&quot;manualOverride&quot;:{&quot;citeprocText&quot;:&quot;(Berman 2009, 49)&quot;,&quot;isManuallyOverridden&quot;:false,&quot;manualOverrideText&quot;:&quot;&quot;},&quot;citationTag&quot;:&quot;MENDELEY_CITATION_v3_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&quot;,&quot;citationItems&quot;:[{&quot;id&quot;:&quot;efee9d41-80fa-3c39-8e28-f85d49feab44&quot;,&quot;itemData&quot;:{&quot;type&quot;:&quot;book&quot;,&quot;id&quot;:&quot;efee9d41-80fa-3c39-8e28-f85d49feab44&quot;,&quot;title&quot;:&quot;Toward a Translation Criticism: John Donee&quot;,&quot;author&quot;:[{&quot;family&quot;:&quot;Berman&quot;,&quot;given&quot;:&quot;Antoine.&quot;,&quot;parse-names&quot;:false,&quot;dropping-particle&quot;:&quot;&quot;,&quot;non-dropping-particle&quot;:&quot;&quot;}],&quot;accessed&quot;:{&quot;date-parts&quot;:[[2018,11,27]]},&quot;editor&quot;:[{&quot;family&quot;:&quot;Massardier-Kenney&quot;,&quot;given&quot;:&quot;Françoise&quot;,&quot;parse-names&quot;:false,&quot;dropping-particle&quot;:&quot;&quot;,&quot;non-dropping-particle&quot;:&quot;&quot;}],&quot;ISBN&quot;:&quot;1606350099&quot;,&quot;issued&quot;:{&quot;date-parts&quot;:[[2009]]},&quot;publisher-place&quot;:&quot;Kent&quot;,&quot;publisher&quot;:&quot;Kent State University Press&quot;,&quot;container-title-short&quot;:&quot;&quot;},&quot;locator&quot;:&quot;49&quot;,&quot;uris&quot;:[&quot;http://www.mendeley.com/documents/?uuid=efee9d41-80fa-3c39-8e28-f85d49feab44&quot;],&quot;isTemporary&quot;:false,&quot;legacyDesktopId&quot;:&quot;efee9d41-80fa-3c39-8e28-f85d49feab44&quot;}]},{&quot;citationID&quot;:&quot;MENDELEY_CITATION_bcac871a-8005-48a5-9de3-c809780bec5c&quot;,&quot;properties&quot;:{&quot;noteIndex&quot;:0},&quot;isEdited&quot;:false,&quot;manualOverride&quot;:{&quot;isManuallyOverridden&quot;:false,&quot;citeprocText&quot;:&quot;(2022)&quot;,&quot;manualOverrideText&quot;:&quot;&quot;},&quot;citationTag&quot;:&quot;MENDELEY_CITATION_v3_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&quot;,&quot;citationItems&quot;:[{&quot;label&quot;:&quot;page&quot;,&quot;id&quot;:&quot;d3c3756e-10af-391b-a4f6-c9c7ec41dd80&quot;,&quot;itemData&quot;:{&quot;type&quot;:&quot;webpage&quot;,&quot;id&quot;:&quot;d3c3756e-10af-391b-a4f6-c9c7ec41dd80&quot;,&quot;title&quot;:&quot;Rebranding translation, a lecture by Anthony Pym - YouTube&quot;,&quot;author&quot;:[{&quot;family&quot;:&quot;Pym&quot;,&quot;given&quot;:&quot;Anthony&quot;,&quot;parse-names&quot;:false,&quot;dropping-particle&quot;:&quot;&quot;,&quot;non-dropping-particle&quot;:&quot;&quot;}],&quot;container-title&quot;:&quot;YouTube&quot;,&quot;accessed&quot;:{&quot;date-parts&quot;:[[2022,7,19]]},&quot;URL&quot;:&quot;https://www.youtube.com/watch?v=_Zhm9FQmZ2g&amp;t=2859s&quot;,&quot;issued&quot;:{&quot;date-parts&quot;:[[2022]]},&quot;container-title-short&quot;:&quot;&quot;},&quot;isTemporary&quot;:false,&quot;suppress-author&quot;:true}]}]"/>
    <we:property name="MENDELEY_CITATIONS_STYLE" value="{&quot;id&quot;:&quot;https://www.zotero.org/styles/chicago-author-date&quot;,&quot;title&quot;:&quot;Chicago Manual of Style 17th edition (author-date)&quot;,&quot;format&quot;:&quot;author-date&quot;,&quot;defaultLocale&quot;:null}"/>
  </we:properties>
  <we:bindings/>
  <we:snapshot xmlns:r="http://schemas.openxmlformats.org/officeDocument/2006/relationships"/>
</we:webextension>
</file>

<file path=word/webextensions/webextension2.xml><?xml version="1.0" encoding="utf-8"?>
<we:webextension xmlns:we="http://schemas.microsoft.com/office/webextensions/webextension/2010/11" id="{1E670E69-7DB3-C944-95BA-5BEF1DF60D46}">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AB98DBC-E4C9-404C-BC9D-F3E88972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47</Pages>
  <Words>9032</Words>
  <Characters>54193</Characters>
  <Application>Microsoft Office Word</Application>
  <DocSecurity>0</DocSecurity>
  <Lines>3387</Lines>
  <Paragraphs>1663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OMAR SALEM ALZAHRANI</dc:creator>
  <cp:keywords/>
  <dc:description/>
  <cp:lastModifiedBy>MOHAMAD OMAR SALEM ALZAHRANI</cp:lastModifiedBy>
  <cp:revision>14</cp:revision>
  <dcterms:created xsi:type="dcterms:W3CDTF">2022-10-22T18:40:00Z</dcterms:created>
  <dcterms:modified xsi:type="dcterms:W3CDTF">2024-02-22T10:53:00Z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documentId_9212</vt:lpwstr>
  </property>
  <property fmtid="{D5CDD505-2E9C-101B-9397-08002B2CF9AE}" pid="3" name="grammarly_documentContext">
    <vt:lpwstr>{"goals":[],"domain":"general","emotions":[],"dialect":"american"}</vt:lpwstr>
  </property>
</Properties>
</file>