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8233" w14:textId="77777777" w:rsidR="00EC4524" w:rsidRDefault="00D013A9" w:rsidP="00D013A9">
      <w:pPr>
        <w:jc w:val="center"/>
        <w:rPr>
          <w:b/>
          <w:bCs/>
          <w:sz w:val="26"/>
          <w:szCs w:val="26"/>
        </w:rPr>
      </w:pPr>
      <w:r w:rsidRPr="00EC4524">
        <w:rPr>
          <w:b/>
          <w:bCs/>
          <w:sz w:val="26"/>
          <w:szCs w:val="26"/>
        </w:rPr>
        <w:t>Arabic Culture as Generator for New Approaches</w:t>
      </w:r>
    </w:p>
    <w:p w14:paraId="07E2A1CF" w14:textId="3F03715D" w:rsidR="00D013A9" w:rsidRPr="00EC4524" w:rsidRDefault="00D013A9" w:rsidP="00D013A9">
      <w:pPr>
        <w:jc w:val="center"/>
        <w:rPr>
          <w:b/>
          <w:bCs/>
          <w:sz w:val="26"/>
          <w:szCs w:val="26"/>
        </w:rPr>
      </w:pPr>
      <w:r w:rsidRPr="00EC4524">
        <w:rPr>
          <w:b/>
          <w:bCs/>
          <w:sz w:val="26"/>
          <w:szCs w:val="26"/>
        </w:rPr>
        <w:t xml:space="preserve"> </w:t>
      </w:r>
      <w:r w:rsidR="00CB4C85">
        <w:rPr>
          <w:b/>
          <w:bCs/>
          <w:sz w:val="26"/>
          <w:szCs w:val="26"/>
        </w:rPr>
        <w:t>To</w:t>
      </w:r>
      <w:r w:rsidRPr="00EC4524">
        <w:rPr>
          <w:b/>
          <w:bCs/>
          <w:sz w:val="26"/>
          <w:szCs w:val="26"/>
        </w:rPr>
        <w:t xml:space="preserve"> Medieval Jewish Law</w:t>
      </w:r>
    </w:p>
    <w:p w14:paraId="7626E47F" w14:textId="304D80A2" w:rsidR="00084EB4" w:rsidRPr="003672E4" w:rsidRDefault="00084EB4" w:rsidP="00D013A9">
      <w:pPr>
        <w:jc w:val="center"/>
      </w:pPr>
    </w:p>
    <w:p w14:paraId="1AFA5EEF" w14:textId="30AE08BE" w:rsidR="00D013A9" w:rsidRPr="003719F2" w:rsidRDefault="00D013A9" w:rsidP="00D013A9">
      <w:pPr>
        <w:jc w:val="center"/>
      </w:pPr>
      <w:r w:rsidRPr="003719F2">
        <w:t>Y. Zvi S</w:t>
      </w:r>
      <w:r w:rsidR="00EC4524" w:rsidRPr="003719F2">
        <w:t>t</w:t>
      </w:r>
      <w:r w:rsidRPr="003719F2">
        <w:t>ampfer</w:t>
      </w:r>
    </w:p>
    <w:p w14:paraId="23BAEC4F" w14:textId="77777777" w:rsidR="00EC4524" w:rsidRPr="003719F2" w:rsidRDefault="00EC4524" w:rsidP="00DD0B54"/>
    <w:p w14:paraId="3A12767B" w14:textId="77777777" w:rsidR="00D51346" w:rsidRDefault="00466EB0" w:rsidP="00466EB0">
      <w:pPr>
        <w:ind w:left="540" w:right="386"/>
        <w:rPr>
          <w:sz w:val="22"/>
          <w:szCs w:val="22"/>
        </w:rPr>
      </w:pPr>
      <w:r w:rsidRPr="00466EB0">
        <w:rPr>
          <w:sz w:val="22"/>
          <w:szCs w:val="22"/>
        </w:rPr>
        <w:t xml:space="preserve">Abstract: </w:t>
      </w:r>
    </w:p>
    <w:p w14:paraId="5EA78A28" w14:textId="271CC917" w:rsidR="00D51346" w:rsidRDefault="00D51346" w:rsidP="006B7D5F">
      <w:pPr>
        <w:ind w:left="1440" w:right="386"/>
        <w:rPr>
          <w:sz w:val="22"/>
          <w:szCs w:val="22"/>
        </w:rPr>
      </w:pPr>
      <w:r w:rsidRPr="00D51346">
        <w:rPr>
          <w:sz w:val="22"/>
          <w:szCs w:val="22"/>
        </w:rPr>
        <w:t>This study explores the formulation of Halakha (Jewish law) in Medieval Islamic</w:t>
      </w:r>
      <w:r w:rsidR="00C33578">
        <w:rPr>
          <w:sz w:val="22"/>
          <w:szCs w:val="22"/>
        </w:rPr>
        <w:t xml:space="preserve"> lands</w:t>
      </w:r>
      <w:r w:rsidRPr="00D51346">
        <w:rPr>
          <w:sz w:val="22"/>
          <w:szCs w:val="22"/>
        </w:rPr>
        <w:t xml:space="preserve">, </w:t>
      </w:r>
      <w:r w:rsidR="00C33578">
        <w:rPr>
          <w:sz w:val="22"/>
          <w:szCs w:val="22"/>
        </w:rPr>
        <w:t xml:space="preserve">highlighting </w:t>
      </w:r>
      <w:r w:rsidRPr="00D51346">
        <w:rPr>
          <w:sz w:val="22"/>
          <w:szCs w:val="22"/>
        </w:rPr>
        <w:t>the cultural dynamics of the Judeo-Arabic environment. Prominent Jewish scholars from this setting were often well-versed in multiple disciplines, including law, theology, philosophy, biblical interpretation, and linguistics. Such diverse knowledge influenced their legal perspectives, closely aligning them with their cultural insights. This research argues that a thorough grasp of this context offers a more refined understanding of the legal endeavors pursued by Jewish jurists between the 10th and 13th centuries.</w:t>
      </w:r>
    </w:p>
    <w:p w14:paraId="3526238C" w14:textId="77777777" w:rsidR="00D51346" w:rsidRDefault="00D51346" w:rsidP="00466EB0">
      <w:pPr>
        <w:ind w:left="540" w:right="386"/>
        <w:rPr>
          <w:sz w:val="22"/>
          <w:szCs w:val="22"/>
        </w:rPr>
      </w:pPr>
    </w:p>
    <w:p w14:paraId="379BD3F6" w14:textId="0F72A5BA" w:rsidR="006B7D5F" w:rsidRPr="006B7D5F" w:rsidRDefault="006B7D5F" w:rsidP="006B7D5F">
      <w:r w:rsidRPr="006B7D5F">
        <w:t>The thesis of this paper proposes a nuanced understanding of how the Halakha, or Jewish law, evolved during the medieval period within Islamic countries, deeply influenced by the surrounding Judeo-Arabic cultural context.</w:t>
      </w:r>
      <w:r w:rsidR="003D3764">
        <w:rPr>
          <w:rStyle w:val="FootnoteReference"/>
        </w:rPr>
        <w:footnoteReference w:id="1"/>
      </w:r>
      <w:r w:rsidRPr="006B7D5F">
        <w:t xml:space="preserve"> This period was marked by a rich intellectual exchange, where Jewish scholars were not only well-versed in </w:t>
      </w:r>
      <w:r w:rsidRPr="006B7D5F">
        <w:lastRenderedPageBreak/>
        <w:t>their traditional religious texts but were also engaged with a variety of secular disciplines prevalent in the Islamic world, such as law, theology, philosophy,</w:t>
      </w:r>
      <w:r w:rsidR="009757F8">
        <w:t xml:space="preserve"> </w:t>
      </w:r>
      <w:r w:rsidR="009757F8" w:rsidRPr="009757F8">
        <w:t>scriptural interpretation</w:t>
      </w:r>
      <w:r w:rsidRPr="006B7D5F">
        <w:t>, and linguistics. This interdisciplinary scholarship played a crucial role in shaping their legal perspectives, leading to a unique synthesis of Jewish legal thought and Arabic cultural elements.</w:t>
      </w:r>
    </w:p>
    <w:p w14:paraId="701F5D4E" w14:textId="77777777" w:rsidR="006B7D5F" w:rsidRPr="006B7D5F" w:rsidRDefault="006B7D5F" w:rsidP="006B7D5F">
      <w:pPr>
        <w:ind w:left="540" w:right="386"/>
      </w:pPr>
    </w:p>
    <w:p w14:paraId="7377D0CB" w14:textId="262B7A15" w:rsidR="003100CA" w:rsidRPr="006B7D5F" w:rsidRDefault="006B7D5F" w:rsidP="003100CA">
      <w:r w:rsidRPr="006B7D5F">
        <w:t>To substantiate this thesis, the article will delve into two illustrative case studies.</w:t>
      </w:r>
      <w:r w:rsidR="003100CA">
        <w:t xml:space="preserve"> </w:t>
      </w:r>
      <w:r w:rsidRPr="006B7D5F">
        <w:t xml:space="preserve"> The first case study focuses on th</w:t>
      </w:r>
      <w:r w:rsidR="003100CA">
        <w:t>e</w:t>
      </w:r>
      <w:r w:rsidR="003100CA" w:rsidRPr="006B7D5F">
        <w:t xml:space="preserve"> realm of commerce, specifically addressing the legal status of trading intangible items. This aspect of Jewish law, under the influence of prevailing Islamic philosophical thought, saw innovative interpretations and applications. By examining how Jewish scholars integrated Islamic philosophical concepts into their legal reasoning, this case study will highlight the dynamic and reciprocal relationship between Jewish legal theory and Arabic intellectual traditions.</w:t>
      </w:r>
    </w:p>
    <w:p w14:paraId="3F31C446" w14:textId="77777777" w:rsidR="003100CA" w:rsidRPr="006B7D5F" w:rsidRDefault="006B7D5F" w:rsidP="003100CA">
      <w:r w:rsidRPr="006B7D5F">
        <w:t xml:space="preserve">The second case study shifts the focus to </w:t>
      </w:r>
      <w:r w:rsidR="003100CA" w:rsidRPr="006B7D5F">
        <w:t>laws of testimony, particularly examining the challenges Jewish scholars faced in reconciling Talmudic principles with the practical realities of a judicial system where non-Jewish witnesses were a commonality. This exploration will reveal how these scholars adeptly navigated these challenges by incorporating their understanding of Islamic theological sources, thereby reflecting a broader cultural engagement and intellectual exchange between Jewish and Islamic legal traditions.</w:t>
      </w:r>
    </w:p>
    <w:p w14:paraId="4BB951FF" w14:textId="1CF2E1AB" w:rsidR="00DD0B54" w:rsidRPr="006B7D5F" w:rsidRDefault="006B7D5F" w:rsidP="006B7D5F">
      <w:r w:rsidRPr="006B7D5F">
        <w:t>Overall, these case studies aim to demonstrate that the development of medieval Jewish law was not an insular process but was significantly shaped by the broader Arabic cultural and intellectual environment. This intercultural dialogue led to a distinctive evolution in Jewish legal thought, showcasing the impact of Arabic culture on the formulation of new approaches in medieval Jewish law.</w:t>
      </w:r>
    </w:p>
    <w:p w14:paraId="4CB26256" w14:textId="77777777" w:rsidR="00D51346" w:rsidRPr="00466EB0" w:rsidRDefault="00D51346" w:rsidP="00466EB0">
      <w:pPr>
        <w:ind w:left="540" w:right="386"/>
        <w:rPr>
          <w:sz w:val="22"/>
          <w:szCs w:val="22"/>
        </w:rPr>
      </w:pPr>
    </w:p>
    <w:p w14:paraId="649B5734" w14:textId="161B5C73" w:rsidR="00E23834" w:rsidRDefault="00A57CDC" w:rsidP="00D51346">
      <w:pPr>
        <w:pStyle w:val="Heading2"/>
      </w:pPr>
      <w:r>
        <w:t>Connections of I</w:t>
      </w:r>
      <w:r w:rsidR="00E23834">
        <w:t xml:space="preserve">slamic law </w:t>
      </w:r>
      <w:r>
        <w:t>and</w:t>
      </w:r>
      <w:r w:rsidR="00E23834">
        <w:t xml:space="preserve"> Jewish law: s</w:t>
      </w:r>
      <w:r w:rsidR="00E23834" w:rsidRPr="00E23834">
        <w:t>tate of research</w:t>
      </w:r>
    </w:p>
    <w:p w14:paraId="4861EF45" w14:textId="77777777" w:rsidR="0060315A" w:rsidRDefault="0060315A" w:rsidP="0060315A"/>
    <w:p w14:paraId="4E620828" w14:textId="670B9BDB" w:rsidR="009F093F" w:rsidRDefault="009F093F" w:rsidP="0060315A">
      <w:r w:rsidRPr="009F093F">
        <w:t>The comparative study of Jewish and Islamic law has long fascinated scholars, leading to significant insights into the parallels and mutual influences between these two legal traditions. This research field has evolved through various methodological approaches, sparking debates particularly around the development and comparative analysis of Islamic Law. Initially, the classical academic approach, championed by Abraham Geiger in 1833</w:t>
      </w:r>
      <w:r w:rsidRPr="00707B84">
        <w:rPr>
          <w:rStyle w:val="FootnoteReference"/>
          <w:rFonts w:asciiTheme="majorBidi" w:hAnsiTheme="majorBidi" w:cstheme="majorBidi"/>
          <w:color w:val="4D5156"/>
          <w:shd w:val="clear" w:color="auto" w:fill="FFFFFF"/>
        </w:rPr>
        <w:footnoteReference w:id="2"/>
      </w:r>
      <w:r w:rsidRPr="009F093F">
        <w:t xml:space="preserve"> and later expanded by Prof. Goitein and others,</w:t>
      </w:r>
      <w:r w:rsidRPr="009F093F">
        <w:rPr>
          <w:rStyle w:val="FootnoteReference"/>
          <w:rFonts w:asciiTheme="majorBidi" w:hAnsiTheme="majorBidi" w:cstheme="majorBidi"/>
        </w:rPr>
        <w:t xml:space="preserve"> </w:t>
      </w:r>
      <w:r w:rsidRPr="00707B84">
        <w:rPr>
          <w:rStyle w:val="FootnoteReference"/>
          <w:rFonts w:asciiTheme="majorBidi" w:hAnsiTheme="majorBidi" w:cstheme="majorBidi"/>
        </w:rPr>
        <w:footnoteReference w:id="3"/>
      </w:r>
      <w:r w:rsidRPr="0060315A">
        <w:rPr>
          <w:rFonts w:asciiTheme="majorBidi" w:hAnsiTheme="majorBidi" w:cstheme="majorBidi"/>
        </w:rPr>
        <w:t xml:space="preserve"> </w:t>
      </w:r>
      <w:r w:rsidRPr="009F093F">
        <w:t xml:space="preserve"> posited a two-phase interaction: initially, Judaism's influence on Islam until the 8th century, followed by a period where Islamic law began to </w:t>
      </w:r>
      <w:r>
        <w:t>influence</w:t>
      </w:r>
      <w:r w:rsidRPr="009F093F">
        <w:t xml:space="preserve"> Jewish law. </w:t>
      </w:r>
    </w:p>
    <w:p w14:paraId="6845ED44" w14:textId="5248CFD3" w:rsidR="009F093F" w:rsidRDefault="009F093F" w:rsidP="0060315A">
      <w:r w:rsidRPr="009F093F">
        <w:t>Judith Romney Wegner's work further supports this view,</w:t>
      </w:r>
      <w:r>
        <w:rPr>
          <w:rStyle w:val="FootnoteReference"/>
          <w:rFonts w:asciiTheme="majorBidi" w:hAnsiTheme="majorBidi" w:cstheme="majorBidi"/>
        </w:rPr>
        <w:footnoteReference w:id="4"/>
      </w:r>
      <w:r w:rsidRPr="009F093F">
        <w:t xml:space="preserve"> emphasizing the geographical and chronological proximity of Jewish and Islamic legal systems, suggesting mutual cultural dynamics could have influenced the nascent Islamic law.</w:t>
      </w:r>
      <w:r>
        <w:t xml:space="preserve"> </w:t>
      </w:r>
      <w:r w:rsidRPr="009F093F">
        <w:t>The influence of Islamic law on Jewish law is observed through direct absorption of principles, indirect adaptation to socio-economic changes within the Islamic milieu, and defensive responses to established Islamic practices. Gideon Libson highlights these parallels, suggesting a significant influence of Islamic principles on Jewish law.</w:t>
      </w:r>
      <w:r w:rsidRPr="009F093F">
        <w:rPr>
          <w:rStyle w:val="FootnoteReference"/>
          <w:rFonts w:asciiTheme="majorBidi" w:hAnsiTheme="majorBidi" w:cstheme="majorBidi"/>
        </w:rPr>
        <w:t xml:space="preserve"> </w:t>
      </w:r>
      <w:r w:rsidRPr="00777A10">
        <w:rPr>
          <w:rStyle w:val="FootnoteReference"/>
          <w:rFonts w:asciiTheme="majorBidi" w:hAnsiTheme="majorBidi" w:cstheme="majorBidi"/>
        </w:rPr>
        <w:footnoteReference w:id="5"/>
      </w:r>
      <w:r w:rsidRPr="00A27767">
        <w:rPr>
          <w:rFonts w:asciiTheme="majorBidi" w:hAnsiTheme="majorBidi" w:cstheme="majorBidi"/>
        </w:rPr>
        <w:t xml:space="preserve"> </w:t>
      </w:r>
      <w:r w:rsidRPr="009F093F">
        <w:t xml:space="preserve"> </w:t>
      </w:r>
    </w:p>
    <w:p w14:paraId="5CD885A1" w14:textId="62DDDDE1" w:rsidR="00F3017D" w:rsidRDefault="009F093F" w:rsidP="00744312">
      <w:pPr>
        <w:rPr>
          <w:rFonts w:asciiTheme="majorBidi" w:hAnsiTheme="majorBidi" w:cstheme="majorBidi"/>
        </w:rPr>
      </w:pPr>
      <w:r w:rsidRPr="009F093F">
        <w:lastRenderedPageBreak/>
        <w:t>For instance, the concept of khul‘/iftidā‘ divorce in Islamic law, allowing a wife to initiate divorce through financial compensation, found echoes in medieval Judeo-Arabic texts, indicating a cross-cultural exchange that provided Jewish women a similar mechanism for exiting marriages.</w:t>
      </w:r>
      <w:r w:rsidRPr="009F093F">
        <w:rPr>
          <w:rStyle w:val="FootnoteReference"/>
          <w:rFonts w:asciiTheme="majorBidi" w:hAnsiTheme="majorBidi" w:cstheme="majorBidi"/>
        </w:rPr>
        <w:t xml:space="preserve"> </w:t>
      </w:r>
      <w:r w:rsidRPr="00777A10">
        <w:rPr>
          <w:rStyle w:val="FootnoteReference"/>
          <w:rFonts w:asciiTheme="majorBidi" w:hAnsiTheme="majorBidi" w:cstheme="majorBidi"/>
        </w:rPr>
        <w:footnoteReference w:id="6"/>
      </w:r>
      <w:r w:rsidR="00744312">
        <w:t xml:space="preserve"> </w:t>
      </w:r>
      <w:r w:rsidR="00E16023" w:rsidRPr="00E16023">
        <w:rPr>
          <w:rFonts w:asciiTheme="majorBidi" w:hAnsiTheme="majorBidi" w:cstheme="majorBidi"/>
        </w:rPr>
        <w:t xml:space="preserve">A defensive adaptation of Jewish law in response to Islamic practices is illustrated by the </w:t>
      </w:r>
      <w:r w:rsidR="00E16023" w:rsidRPr="00E16023">
        <w:rPr>
          <w:rFonts w:asciiTheme="majorBidi" w:hAnsiTheme="majorBidi" w:cstheme="majorBidi"/>
          <w:i/>
          <w:iCs/>
        </w:rPr>
        <w:t>Takanat Moredet</w:t>
      </w:r>
      <w:r w:rsidR="00E16023" w:rsidRPr="00E16023">
        <w:rPr>
          <w:rFonts w:asciiTheme="majorBidi" w:hAnsiTheme="majorBidi" w:cstheme="majorBidi"/>
        </w:rPr>
        <w:t xml:space="preserve"> (the rebellious wife enactment), allowing a wife to demand a divorce in court by declaring her repulsion towards her husband, contingent upon forfeiting her monetary rights. This enactment, attributed to a 10th-century Geonic source, emerged as a counteraction to Jewish women seeking divorce through Islamic courts, reflecting a realignment of Jewish legal practices </w:t>
      </w:r>
      <w:proofErr w:type="gramStart"/>
      <w:r w:rsidR="00E16023" w:rsidRPr="00E16023">
        <w:rPr>
          <w:rFonts w:asciiTheme="majorBidi" w:hAnsiTheme="majorBidi" w:cstheme="majorBidi"/>
        </w:rPr>
        <w:t>in light of</w:t>
      </w:r>
      <w:proofErr w:type="gramEnd"/>
      <w:r w:rsidR="00E16023" w:rsidRPr="00E16023">
        <w:rPr>
          <w:rFonts w:asciiTheme="majorBidi" w:hAnsiTheme="majorBidi" w:cstheme="majorBidi"/>
        </w:rPr>
        <w:t xml:space="preserve"> Islamic law and historical interactions</w:t>
      </w:r>
      <w:r w:rsidR="00C52912" w:rsidRPr="00AF471D">
        <w:rPr>
          <w:rFonts w:asciiTheme="majorBidi" w:hAnsiTheme="majorBidi" w:cstheme="majorBidi"/>
        </w:rPr>
        <w:t>.</w:t>
      </w:r>
      <w:r w:rsidR="005130E3" w:rsidRPr="00AF471D">
        <w:rPr>
          <w:rStyle w:val="FootnoteReference"/>
          <w:rFonts w:asciiTheme="majorBidi" w:hAnsiTheme="majorBidi" w:cstheme="majorBidi"/>
        </w:rPr>
        <w:footnoteReference w:id="7"/>
      </w:r>
      <w:r w:rsidR="00F3017D" w:rsidRPr="00AF471D">
        <w:rPr>
          <w:rFonts w:asciiTheme="majorBidi" w:hAnsiTheme="majorBidi" w:cstheme="majorBidi"/>
        </w:rPr>
        <w:t xml:space="preserve"> </w:t>
      </w:r>
    </w:p>
    <w:p w14:paraId="7DD1E95F" w14:textId="2587E427" w:rsidR="00031A78" w:rsidRDefault="00784A5F" w:rsidP="00031A78">
      <w:pPr>
        <w:rPr>
          <w:rFonts w:asciiTheme="majorBidi" w:hAnsiTheme="majorBidi" w:cstheme="majorBidi"/>
        </w:rPr>
      </w:pPr>
      <w:r>
        <w:rPr>
          <w:rFonts w:asciiTheme="majorBidi" w:hAnsiTheme="majorBidi" w:cstheme="majorBidi"/>
        </w:rPr>
        <w:t>H</w:t>
      </w:r>
      <w:r w:rsidRPr="00784A5F">
        <w:rPr>
          <w:rFonts w:asciiTheme="majorBidi" w:hAnsiTheme="majorBidi" w:cstheme="majorBidi"/>
        </w:rPr>
        <w:t>owever, this perspective is not without its critics. M.A. Friedman challenges the notion of direct borrowing, suggesting that practices like iftidāʾ in Jewish law may share terminology with Islamic law but diverge fundamentally in essence.</w:t>
      </w:r>
      <w:r w:rsidRPr="00784A5F">
        <w:rPr>
          <w:rStyle w:val="FootnoteReference"/>
          <w:rFonts w:asciiTheme="majorBidi" w:hAnsiTheme="majorBidi" w:cstheme="majorBidi"/>
          <w:sz w:val="20"/>
          <w:szCs w:val="20"/>
        </w:rPr>
        <w:t xml:space="preserve"> </w:t>
      </w:r>
      <w:r>
        <w:rPr>
          <w:rStyle w:val="FootnoteReference"/>
          <w:rFonts w:asciiTheme="majorBidi" w:hAnsiTheme="majorBidi" w:cstheme="majorBidi"/>
          <w:sz w:val="20"/>
          <w:szCs w:val="20"/>
        </w:rPr>
        <w:footnoteReference w:id="8"/>
      </w:r>
      <w:r w:rsidRPr="00784A5F">
        <w:rPr>
          <w:rFonts w:asciiTheme="majorBidi" w:hAnsiTheme="majorBidi" w:cstheme="majorBidi"/>
        </w:rPr>
        <w:t xml:space="preserve"> He calls for caution in asserting cross-cultural exchanges</w:t>
      </w:r>
      <w:r>
        <w:rPr>
          <w:rFonts w:asciiTheme="majorBidi" w:hAnsiTheme="majorBidi" w:cstheme="majorBidi"/>
        </w:rPr>
        <w:t>.</w:t>
      </w:r>
      <w:r w:rsidRPr="00784A5F">
        <w:rPr>
          <w:rFonts w:asciiTheme="majorBidi" w:hAnsiTheme="majorBidi" w:cstheme="majorBidi"/>
        </w:rPr>
        <w:t xml:space="preserve"> Oded Zinger's analysis of Cairo Genizah records, </w:t>
      </w:r>
      <w:r>
        <w:rPr>
          <w:rFonts w:asciiTheme="majorBidi" w:hAnsiTheme="majorBidi" w:cstheme="majorBidi"/>
        </w:rPr>
        <w:t xml:space="preserve">which </w:t>
      </w:r>
      <w:r w:rsidRPr="00784A5F">
        <w:rPr>
          <w:rFonts w:asciiTheme="majorBidi" w:hAnsiTheme="majorBidi" w:cstheme="majorBidi"/>
        </w:rPr>
        <w:t xml:space="preserve">reveals only a few cases of Jewish </w:t>
      </w:r>
      <w:r w:rsidR="006617BE">
        <w:rPr>
          <w:rFonts w:asciiTheme="majorBidi" w:hAnsiTheme="majorBidi" w:cstheme="majorBidi"/>
        </w:rPr>
        <w:t>wife</w:t>
      </w:r>
      <w:r w:rsidRPr="00784A5F">
        <w:rPr>
          <w:rFonts w:asciiTheme="majorBidi" w:hAnsiTheme="majorBidi" w:cstheme="majorBidi"/>
        </w:rPr>
        <w:t>-initiated divorces</w:t>
      </w:r>
      <w:r>
        <w:rPr>
          <w:rFonts w:asciiTheme="majorBidi" w:hAnsiTheme="majorBidi" w:cstheme="majorBidi"/>
        </w:rPr>
        <w:t xml:space="preserve">, </w:t>
      </w:r>
      <w:r w:rsidR="006617BE">
        <w:rPr>
          <w:rFonts w:asciiTheme="majorBidi" w:hAnsiTheme="majorBidi" w:cstheme="majorBidi"/>
        </w:rPr>
        <w:t>points</w:t>
      </w:r>
      <w:r w:rsidR="006617BE" w:rsidRPr="00784A5F">
        <w:rPr>
          <w:rFonts w:asciiTheme="majorBidi" w:hAnsiTheme="majorBidi" w:cstheme="majorBidi"/>
        </w:rPr>
        <w:t xml:space="preserve"> </w:t>
      </w:r>
      <w:r w:rsidR="006617BE">
        <w:rPr>
          <w:rFonts w:asciiTheme="majorBidi" w:hAnsiTheme="majorBidi" w:cstheme="majorBidi"/>
        </w:rPr>
        <w:t>to</w:t>
      </w:r>
      <w:r w:rsidR="006617BE" w:rsidRPr="00784A5F">
        <w:rPr>
          <w:rFonts w:asciiTheme="majorBidi" w:hAnsiTheme="majorBidi" w:cstheme="majorBidi"/>
        </w:rPr>
        <w:t xml:space="preserve"> </w:t>
      </w:r>
      <w:r w:rsidR="006617BE">
        <w:rPr>
          <w:rFonts w:asciiTheme="majorBidi" w:hAnsiTheme="majorBidi" w:cstheme="majorBidi"/>
        </w:rPr>
        <w:t>a</w:t>
      </w:r>
      <w:r w:rsidR="006617BE" w:rsidRPr="00784A5F">
        <w:rPr>
          <w:rFonts w:asciiTheme="majorBidi" w:hAnsiTheme="majorBidi" w:cstheme="majorBidi"/>
        </w:rPr>
        <w:t xml:space="preserve"> </w:t>
      </w:r>
      <w:r w:rsidRPr="00784A5F">
        <w:rPr>
          <w:rFonts w:asciiTheme="majorBidi" w:hAnsiTheme="majorBidi" w:cstheme="majorBidi"/>
        </w:rPr>
        <w:t>lack of evidence for such adaptations</w:t>
      </w:r>
      <w:r>
        <w:rPr>
          <w:rFonts w:asciiTheme="majorBidi" w:hAnsiTheme="majorBidi" w:cstheme="majorBidi"/>
        </w:rPr>
        <w:t>.</w:t>
      </w:r>
      <w:r w:rsidRPr="00784A5F">
        <w:rPr>
          <w:rFonts w:asciiTheme="majorBidi" w:hAnsiTheme="majorBidi" w:cstheme="majorBidi"/>
        </w:rPr>
        <w:t xml:space="preserve"> </w:t>
      </w:r>
      <w:r w:rsidRPr="0073639B">
        <w:rPr>
          <w:rFonts w:asciiTheme="majorBidi" w:hAnsiTheme="majorBidi" w:cstheme="majorBidi"/>
        </w:rPr>
        <w:t>.</w:t>
      </w:r>
      <w:r>
        <w:rPr>
          <w:rStyle w:val="FootnoteReference"/>
          <w:rFonts w:asciiTheme="majorBidi" w:hAnsiTheme="majorBidi" w:cstheme="majorBidi"/>
        </w:rPr>
        <w:footnoteReference w:id="9"/>
      </w:r>
      <w:r w:rsidRPr="0073639B">
        <w:rPr>
          <w:rFonts w:asciiTheme="majorBidi" w:hAnsiTheme="majorBidi" w:cstheme="majorBidi"/>
        </w:rPr>
        <w:t xml:space="preserve"> It's important to note that the survival of documents in the Cairo Genizah can be random, and other cases might have existed. However, the conspicuous absence in this context is indeed significant.</w:t>
      </w:r>
    </w:p>
    <w:p w14:paraId="5DCD59CA" w14:textId="5390B9A7" w:rsidR="00783688" w:rsidRDefault="00784A5F" w:rsidP="00784A5F">
      <w:pPr>
        <w:rPr>
          <w:rFonts w:asciiTheme="majorBidi" w:eastAsia="MillerText-Italic" w:hAnsiTheme="majorBidi" w:cstheme="majorBidi"/>
        </w:rPr>
      </w:pPr>
      <w:r w:rsidRPr="00784A5F">
        <w:rPr>
          <w:rFonts w:asciiTheme="majorBidi" w:hAnsiTheme="majorBidi" w:cstheme="majorBidi"/>
        </w:rPr>
        <w:lastRenderedPageBreak/>
        <w:t xml:space="preserve">Lena Salaymeh's research further </w:t>
      </w:r>
      <w:r>
        <w:rPr>
          <w:rFonts w:asciiTheme="majorBidi" w:hAnsiTheme="majorBidi" w:cstheme="majorBidi"/>
        </w:rPr>
        <w:t>challenge</w:t>
      </w:r>
      <w:r w:rsidR="006617BE">
        <w:rPr>
          <w:rFonts w:asciiTheme="majorBidi" w:hAnsiTheme="majorBidi" w:cstheme="majorBidi"/>
        </w:rPr>
        <w:t>s</w:t>
      </w:r>
      <w:r w:rsidRPr="00784A5F">
        <w:rPr>
          <w:rFonts w:asciiTheme="majorBidi" w:hAnsiTheme="majorBidi" w:cstheme="majorBidi"/>
        </w:rPr>
        <w:t xml:space="preserve"> the narrative, showing that medieval Muslim jurists' interpretations of prophetic traditions (hadith) often required the husband's consent or a definitive assignment of blame for wife-initiated divorces, suggesting that Islamic law itself was neither straightforward nor lenient in matters of divorce.</w:t>
      </w:r>
      <w:r w:rsidRPr="00784A5F">
        <w:rPr>
          <w:rStyle w:val="FootnoteReference"/>
          <w:rFonts w:asciiTheme="majorBidi" w:eastAsia="MillerText-Italic" w:hAnsiTheme="majorBidi" w:cstheme="majorBidi"/>
        </w:rPr>
        <w:t xml:space="preserve"> </w:t>
      </w:r>
      <w:r w:rsidRPr="00AF471D">
        <w:rPr>
          <w:rStyle w:val="FootnoteReference"/>
          <w:rFonts w:asciiTheme="majorBidi" w:eastAsia="MillerText-Italic" w:hAnsiTheme="majorBidi" w:cstheme="majorBidi"/>
        </w:rPr>
        <w:footnoteReference w:id="10"/>
      </w:r>
      <w:r w:rsidRPr="00784A5F">
        <w:rPr>
          <w:rFonts w:asciiTheme="majorBidi" w:hAnsiTheme="majorBidi" w:cstheme="majorBidi"/>
        </w:rPr>
        <w:t xml:space="preserve"> </w:t>
      </w:r>
      <w:r w:rsidR="00825F44">
        <w:rPr>
          <w:rFonts w:asciiTheme="majorBidi" w:hAnsiTheme="majorBidi" w:cstheme="majorBidi"/>
        </w:rPr>
        <w:t xml:space="preserve">This </w:t>
      </w:r>
      <w:r w:rsidR="006617BE">
        <w:rPr>
          <w:rFonts w:asciiTheme="majorBidi" w:hAnsiTheme="majorBidi" w:cstheme="majorBidi"/>
        </w:rPr>
        <w:t xml:space="preserve">effectively </w:t>
      </w:r>
      <w:r w:rsidR="00825F44">
        <w:rPr>
          <w:rFonts w:asciiTheme="majorBidi" w:hAnsiTheme="majorBidi" w:cstheme="majorBidi"/>
        </w:rPr>
        <w:t xml:space="preserve">dispels </w:t>
      </w:r>
      <w:r w:rsidR="008A0C12" w:rsidRPr="008A0C12">
        <w:rPr>
          <w:rFonts w:asciiTheme="majorBidi" w:hAnsiTheme="majorBidi" w:cstheme="majorBidi"/>
        </w:rPr>
        <w:t>the notion of any significant pressure on medieval Jewish jurists to assimilate Muslim law</w:t>
      </w:r>
      <w:r w:rsidR="008A0C12">
        <w:rPr>
          <w:rFonts w:asciiTheme="majorBidi" w:hAnsiTheme="majorBidi" w:cstheme="majorBidi"/>
        </w:rPr>
        <w:t xml:space="preserve">. </w:t>
      </w:r>
      <w:r w:rsidR="00783688" w:rsidRPr="00AF471D">
        <w:rPr>
          <w:rFonts w:asciiTheme="majorBidi" w:eastAsia="MillerText-Italic" w:hAnsiTheme="majorBidi" w:cstheme="majorBidi"/>
        </w:rPr>
        <w:t>She concludes</w:t>
      </w:r>
      <w:r w:rsidR="00783688">
        <w:rPr>
          <w:rFonts w:asciiTheme="majorBidi" w:eastAsia="MillerText-Italic" w:hAnsiTheme="majorBidi" w:cstheme="majorBidi"/>
        </w:rPr>
        <w:t>:</w:t>
      </w:r>
      <w:r w:rsidR="00C45D78">
        <w:rPr>
          <w:rStyle w:val="FootnoteReference"/>
          <w:rFonts w:asciiTheme="majorBidi" w:eastAsia="MillerText-Italic" w:hAnsiTheme="majorBidi" w:cstheme="majorBidi"/>
        </w:rPr>
        <w:footnoteReference w:id="11"/>
      </w:r>
    </w:p>
    <w:p w14:paraId="7F19CD19" w14:textId="66C3E258" w:rsidR="00783688" w:rsidRDefault="00783688" w:rsidP="00071468">
      <w:pPr>
        <w:ind w:left="720" w:right="746"/>
        <w:rPr>
          <w:rFonts w:asciiTheme="majorBidi" w:hAnsiTheme="majorBidi" w:cstheme="majorBidi"/>
        </w:rPr>
      </w:pPr>
      <w:r w:rsidRPr="00AF471D">
        <w:rPr>
          <w:rFonts w:asciiTheme="majorBidi" w:eastAsia="MillerText-Italic" w:hAnsiTheme="majorBidi" w:cstheme="majorBidi"/>
        </w:rPr>
        <w:t xml:space="preserve"> </w:t>
      </w:r>
      <w:r w:rsidR="00071468">
        <w:rPr>
          <w:rFonts w:asciiTheme="majorBidi" w:eastAsia="MillerText-Italic" w:hAnsiTheme="majorBidi" w:cstheme="majorBidi"/>
        </w:rPr>
        <w:t>T</w:t>
      </w:r>
      <w:r w:rsidRPr="00AF471D">
        <w:rPr>
          <w:rFonts w:asciiTheme="majorBidi" w:eastAsia="MillerText-Italic" w:hAnsiTheme="majorBidi" w:cstheme="majorBidi"/>
        </w:rPr>
        <w:t>his practical modification can be interpreted as reacting to an internal social demand – not necessarily “influence.” This type of legal change – motivated by “social welfare” or “public interest” – is endemic to all legal systems".</w:t>
      </w:r>
    </w:p>
    <w:p w14:paraId="16C853F7" w14:textId="694867BC" w:rsidR="00031A78" w:rsidRDefault="00072503" w:rsidP="00031A78">
      <w:pPr>
        <w:rPr>
          <w:rFonts w:asciiTheme="majorBidi" w:hAnsiTheme="majorBidi" w:cstheme="majorBidi"/>
        </w:rPr>
      </w:pPr>
      <w:r w:rsidRPr="00072503">
        <w:rPr>
          <w:rFonts w:asciiTheme="majorBidi" w:hAnsiTheme="majorBidi" w:cstheme="majorBidi"/>
        </w:rPr>
        <w:t>Salaymeh also observes that efforts to pinpoint the "birth" of Islamic law often overlook the dynamic influences that have shaped its development</w:t>
      </w:r>
      <w:r>
        <w:rPr>
          <w:rFonts w:asciiTheme="majorBidi" w:hAnsiTheme="majorBidi" w:cstheme="majorBidi"/>
        </w:rPr>
        <w:t xml:space="preserve">. </w:t>
      </w:r>
      <w:r w:rsidRPr="00A22CBB">
        <w:rPr>
          <w:rFonts w:asciiTheme="majorBidi" w:hAnsiTheme="majorBidi" w:cstheme="majorBidi"/>
        </w:rPr>
        <w:t>During the early Islamic era, a melting pot of diverse Near Eastern traditions blurred the distinctions between Islamic and pre-Islamic customs.</w:t>
      </w:r>
      <w:r>
        <w:rPr>
          <w:rStyle w:val="FootnoteReference"/>
          <w:rFonts w:asciiTheme="majorBidi" w:hAnsiTheme="majorBidi" w:cstheme="majorBidi"/>
        </w:rPr>
        <w:footnoteReference w:id="12"/>
      </w:r>
      <w:r>
        <w:rPr>
          <w:rFonts w:asciiTheme="majorBidi" w:hAnsiTheme="majorBidi" w:cstheme="majorBidi"/>
        </w:rPr>
        <w:t xml:space="preserve">She suggest </w:t>
      </w:r>
      <w:r w:rsidRPr="00072503">
        <w:rPr>
          <w:rFonts w:asciiTheme="majorBidi" w:hAnsiTheme="majorBidi" w:cstheme="majorBidi"/>
        </w:rPr>
        <w:t>that similarities between Jewish and Islamic legal systems often arise from regional customs and conditions rather than direct correspondences.</w:t>
      </w:r>
      <w:r w:rsidRPr="00072503">
        <w:rPr>
          <w:rStyle w:val="FootnoteReference"/>
          <w:rFonts w:asciiTheme="majorBidi" w:hAnsiTheme="majorBidi" w:cstheme="majorBidi"/>
        </w:rPr>
        <w:t xml:space="preserve"> </w:t>
      </w:r>
      <w:r>
        <w:rPr>
          <w:rStyle w:val="FootnoteReference"/>
          <w:rFonts w:asciiTheme="majorBidi" w:hAnsiTheme="majorBidi" w:cstheme="majorBidi"/>
        </w:rPr>
        <w:footnoteReference w:id="13"/>
      </w:r>
      <w:r w:rsidRPr="00072503">
        <w:rPr>
          <w:rFonts w:asciiTheme="majorBidi" w:hAnsiTheme="majorBidi" w:cstheme="majorBidi"/>
        </w:rPr>
        <w:t xml:space="preserve"> </w:t>
      </w:r>
      <w:r>
        <w:rPr>
          <w:rFonts w:asciiTheme="majorBidi" w:hAnsiTheme="majorBidi" w:cstheme="majorBidi"/>
        </w:rPr>
        <w:t xml:space="preserve">On the same </w:t>
      </w:r>
      <w:r w:rsidR="00031A78">
        <w:rPr>
          <w:rFonts w:asciiTheme="majorBidi" w:hAnsiTheme="majorBidi" w:cstheme="majorBidi"/>
        </w:rPr>
        <w:t>accord</w:t>
      </w:r>
      <w:r>
        <w:rPr>
          <w:rFonts w:asciiTheme="majorBidi" w:hAnsiTheme="majorBidi" w:cstheme="majorBidi"/>
        </w:rPr>
        <w:t xml:space="preserve">, </w:t>
      </w:r>
      <w:r w:rsidR="00031A78" w:rsidRPr="00031A78">
        <w:rPr>
          <w:rFonts w:asciiTheme="majorBidi" w:hAnsiTheme="majorBidi" w:cstheme="majorBidi"/>
        </w:rPr>
        <w:t xml:space="preserve">Mark Cohen's work, which shows how medieval Jewish jurists addressed the evolving economic landscape through their responsa and legal </w:t>
      </w:r>
      <w:r w:rsidR="006617BE">
        <w:rPr>
          <w:rFonts w:asciiTheme="majorBidi" w:hAnsiTheme="majorBidi" w:cstheme="majorBidi"/>
        </w:rPr>
        <w:t>works</w:t>
      </w:r>
      <w:r w:rsidR="00031A78" w:rsidRPr="00031A78">
        <w:rPr>
          <w:rFonts w:asciiTheme="majorBidi" w:hAnsiTheme="majorBidi" w:cstheme="majorBidi"/>
        </w:rPr>
        <w:t>, indicat</w:t>
      </w:r>
      <w:r w:rsidR="00825F44">
        <w:rPr>
          <w:rFonts w:asciiTheme="majorBidi" w:hAnsiTheme="majorBidi" w:cstheme="majorBidi"/>
        </w:rPr>
        <w:t>es</w:t>
      </w:r>
      <w:r w:rsidR="00031A78" w:rsidRPr="00031A78">
        <w:rPr>
          <w:rFonts w:asciiTheme="majorBidi" w:hAnsiTheme="majorBidi" w:cstheme="majorBidi"/>
        </w:rPr>
        <w:t xml:space="preserve"> a response to the mercantile economy rather than direct Islamic influence.</w:t>
      </w:r>
      <w:r w:rsidR="00031A78" w:rsidRPr="00031A78">
        <w:rPr>
          <w:rStyle w:val="FootnoteReference"/>
          <w:rFonts w:asciiTheme="majorBidi" w:hAnsiTheme="majorBidi" w:cstheme="majorBidi"/>
        </w:rPr>
        <w:t xml:space="preserve"> </w:t>
      </w:r>
      <w:r w:rsidR="00031A78">
        <w:rPr>
          <w:rStyle w:val="FootnoteReference"/>
          <w:rFonts w:asciiTheme="majorBidi" w:hAnsiTheme="majorBidi" w:cstheme="majorBidi"/>
        </w:rPr>
        <w:footnoteReference w:id="14"/>
      </w:r>
    </w:p>
    <w:p w14:paraId="04BB0C02" w14:textId="4984EF64" w:rsidR="00031A78" w:rsidRDefault="00031A78" w:rsidP="00072503">
      <w:pPr>
        <w:rPr>
          <w:rFonts w:asciiTheme="majorBidi" w:hAnsiTheme="majorBidi" w:cstheme="majorBidi"/>
        </w:rPr>
      </w:pPr>
      <w:r w:rsidRPr="00031A78">
        <w:rPr>
          <w:rFonts w:asciiTheme="majorBidi" w:hAnsiTheme="majorBidi" w:cstheme="majorBidi"/>
        </w:rPr>
        <w:lastRenderedPageBreak/>
        <w:t>The research on early Christian-Muslim relations by Jack Tannous</w:t>
      </w:r>
      <w:r>
        <w:rPr>
          <w:rStyle w:val="FootnoteReference"/>
          <w:rFonts w:asciiTheme="majorBidi" w:hAnsiTheme="majorBidi" w:cstheme="majorBidi"/>
          <w:color w:val="222222"/>
          <w:shd w:val="clear" w:color="auto" w:fill="FFFFFF"/>
        </w:rPr>
        <w:footnoteReference w:id="15"/>
      </w:r>
      <w:r w:rsidRPr="00031A78">
        <w:rPr>
          <w:rFonts w:asciiTheme="majorBidi" w:hAnsiTheme="majorBidi" w:cstheme="majorBidi"/>
        </w:rPr>
        <w:t xml:space="preserve"> </w:t>
      </w:r>
      <w:r w:rsidR="00744312">
        <w:rPr>
          <w:rFonts w:asciiTheme="majorBidi" w:hAnsiTheme="majorBidi" w:cstheme="majorBidi"/>
        </w:rPr>
        <w:t>as well as</w:t>
      </w:r>
      <w:r w:rsidRPr="00031A78">
        <w:rPr>
          <w:rFonts w:asciiTheme="majorBidi" w:hAnsiTheme="majorBidi" w:cstheme="majorBidi"/>
        </w:rPr>
        <w:t xml:space="preserve"> </w:t>
      </w:r>
      <w:r w:rsidR="00744312" w:rsidRPr="00E25C07">
        <w:rPr>
          <w:rFonts w:asciiTheme="majorBidi" w:hAnsiTheme="majorBidi" w:cstheme="majorBidi"/>
          <w:color w:val="222222"/>
          <w:shd w:val="clear" w:color="auto" w:fill="FFFFFF"/>
        </w:rPr>
        <w:t>Marc Herman</w:t>
      </w:r>
      <w:r w:rsidR="006617BE">
        <w:rPr>
          <w:rFonts w:asciiTheme="majorBidi" w:hAnsiTheme="majorBidi" w:cstheme="majorBidi"/>
          <w:color w:val="222222"/>
          <w:shd w:val="clear" w:color="auto" w:fill="FFFFFF"/>
        </w:rPr>
        <w:t>’s</w:t>
      </w:r>
      <w:r w:rsidR="00744312" w:rsidRPr="00744312">
        <w:rPr>
          <w:rStyle w:val="FootnoteReference"/>
          <w:rFonts w:asciiTheme="majorBidi" w:hAnsiTheme="majorBidi" w:cstheme="majorBidi"/>
          <w:color w:val="222222"/>
          <w:shd w:val="clear" w:color="auto" w:fill="FFFFFF"/>
        </w:rPr>
        <w:footnoteReference w:id="16"/>
      </w:r>
      <w:r w:rsidR="00744312">
        <w:rPr>
          <w:rFonts w:asciiTheme="majorBidi" w:hAnsiTheme="majorBidi" w:cstheme="majorBidi"/>
          <w:color w:val="222222"/>
          <w:shd w:val="clear" w:color="auto" w:fill="FFFFFF"/>
        </w:rPr>
        <w:t xml:space="preserve"> </w:t>
      </w:r>
      <w:r w:rsidRPr="00031A78">
        <w:rPr>
          <w:rFonts w:asciiTheme="majorBidi" w:hAnsiTheme="majorBidi" w:cstheme="majorBidi"/>
        </w:rPr>
        <w:t xml:space="preserve">insights </w:t>
      </w:r>
      <w:r>
        <w:rPr>
          <w:rFonts w:asciiTheme="majorBidi" w:hAnsiTheme="majorBidi" w:cstheme="majorBidi"/>
        </w:rPr>
        <w:t xml:space="preserve">on </w:t>
      </w:r>
      <w:r w:rsidRPr="00031A78">
        <w:rPr>
          <w:rFonts w:asciiTheme="majorBidi" w:hAnsiTheme="majorBidi" w:cstheme="majorBidi"/>
        </w:rPr>
        <w:t xml:space="preserve">the blending of religious practices among Christian converts to Islam further support the view of fluidity in religious interactions. This challenges the traditional notion of a distinct separation between religions, suggesting instead a landscape of blurred theological boundaries and </w:t>
      </w:r>
      <w:r w:rsidR="00825F44">
        <w:rPr>
          <w:rFonts w:asciiTheme="majorBidi" w:hAnsiTheme="majorBidi" w:cstheme="majorBidi"/>
        </w:rPr>
        <w:t xml:space="preserve">mutual </w:t>
      </w:r>
      <w:r w:rsidRPr="00031A78">
        <w:rPr>
          <w:rFonts w:asciiTheme="majorBidi" w:hAnsiTheme="majorBidi" w:cstheme="majorBidi"/>
        </w:rPr>
        <w:t>exchange.</w:t>
      </w:r>
    </w:p>
    <w:p w14:paraId="45EB0AFF" w14:textId="0BE0AA12" w:rsidR="00D013A9" w:rsidRDefault="00744312" w:rsidP="00744312">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T</w:t>
      </w:r>
      <w:r w:rsidRPr="00744312">
        <w:rPr>
          <w:rFonts w:asciiTheme="majorBidi" w:hAnsiTheme="majorBidi" w:cstheme="majorBidi"/>
          <w:color w:val="222222"/>
          <w:shd w:val="clear" w:color="auto" w:fill="FFFFFF"/>
        </w:rPr>
        <w:t xml:space="preserve">his paper adopts the concept of fluidity in religious interactions, aiming to shed light on the indirect influences that reveal deeper connections between Judaism and Islam. It focuses on the cultural, philosophical, and theological impacts on Jewish jurists and law, suggesting that Jewish scholars in the Islamic intellectual milieu interpreted </w:t>
      </w:r>
      <w:r w:rsidR="006617BE">
        <w:rPr>
          <w:rFonts w:asciiTheme="majorBidi" w:hAnsiTheme="majorBidi" w:cstheme="majorBidi"/>
          <w:color w:val="222222"/>
          <w:shd w:val="clear" w:color="auto" w:fill="FFFFFF"/>
        </w:rPr>
        <w:t xml:space="preserve">the Talmud’s </w:t>
      </w:r>
      <w:r w:rsidRPr="00744312">
        <w:rPr>
          <w:rFonts w:asciiTheme="majorBidi" w:hAnsiTheme="majorBidi" w:cstheme="majorBidi"/>
          <w:color w:val="222222"/>
          <w:shd w:val="clear" w:color="auto" w:fill="FFFFFF"/>
        </w:rPr>
        <w:t xml:space="preserve">legal statements through lenses borrowed from their Islamic surroundings, </w:t>
      </w:r>
      <w:r w:rsidR="00640810">
        <w:rPr>
          <w:rFonts w:asciiTheme="majorBidi" w:hAnsiTheme="majorBidi" w:cstheme="majorBidi"/>
          <w:color w:val="222222"/>
          <w:shd w:val="clear" w:color="auto" w:fill="FFFFFF"/>
        </w:rPr>
        <w:t xml:space="preserve">and </w:t>
      </w:r>
      <w:r w:rsidRPr="00744312">
        <w:rPr>
          <w:rFonts w:asciiTheme="majorBidi" w:hAnsiTheme="majorBidi" w:cstheme="majorBidi"/>
          <w:color w:val="222222"/>
          <w:shd w:val="clear" w:color="auto" w:fill="FFFFFF"/>
        </w:rPr>
        <w:t>often rooted in Greek philosophy. These scholars, deeply immersed in their environment, internalized certain philosophical concepts as universal truths, allowing these ideas to subtly transition from the abstract to the practical realm and influence shifts from philosophy/theology to law. This approach underscores the nuanced and multifaceted nature of legal and religious exchanges, highlighting the importance of considering the broader intellectual and cultural contexts in which these interactions occurred.</w:t>
      </w:r>
    </w:p>
    <w:p w14:paraId="59D2E6AB" w14:textId="77777777" w:rsidR="00C87CE2" w:rsidRPr="00744312" w:rsidRDefault="00C87CE2" w:rsidP="00744312">
      <w:pPr>
        <w:rPr>
          <w:rFonts w:asciiTheme="majorBidi" w:hAnsiTheme="majorBidi" w:cstheme="majorBidi"/>
          <w:color w:val="222222"/>
          <w:shd w:val="clear" w:color="auto" w:fill="FFFFFF"/>
        </w:rPr>
      </w:pPr>
    </w:p>
    <w:p w14:paraId="3E005C7B" w14:textId="44E926BE" w:rsidR="00D771D8" w:rsidRPr="006E4A16" w:rsidRDefault="00D771D8" w:rsidP="006A25F8">
      <w:pPr>
        <w:pStyle w:val="Heading2"/>
        <w:rPr>
          <w:color w:val="000000"/>
        </w:rPr>
      </w:pPr>
      <w:r w:rsidRPr="006E4A16">
        <w:t>Jewish law</w:t>
      </w:r>
      <w:r w:rsidR="00640810">
        <w:t>’s</w:t>
      </w:r>
      <w:r w:rsidRPr="006E4A16">
        <w:t xml:space="preserve"> approach </w:t>
      </w:r>
      <w:r w:rsidR="00640810">
        <w:t>to the</w:t>
      </w:r>
      <w:r w:rsidR="00640810" w:rsidRPr="006E4A16">
        <w:t xml:space="preserve"> </w:t>
      </w:r>
      <w:r w:rsidRPr="006E4A16">
        <w:t>commerce of intangible goods.</w:t>
      </w:r>
    </w:p>
    <w:p w14:paraId="3D36856D" w14:textId="3F801553" w:rsidR="00612808" w:rsidRDefault="00C87CE2" w:rsidP="00C87CE2">
      <w:pPr>
        <w:rPr>
          <w:color w:val="000000"/>
        </w:rPr>
      </w:pPr>
      <w:r w:rsidRPr="00C87CE2">
        <w:rPr>
          <w:color w:val="000000"/>
        </w:rPr>
        <w:t>The distinction between intangible and tangible goods has its roots in Roman law. In the second and third books of the 'Institutes', Gaius explores the concept of 'res,' or things, establishing a framework that differentiates between various types of objects from a legal perspective. At the beginning of Book II, Gaius</w:t>
      </w:r>
      <w:r>
        <w:rPr>
          <w:color w:val="000000"/>
        </w:rPr>
        <w:t xml:space="preserve"> </w:t>
      </w:r>
      <w:r w:rsidRPr="00C87CE2">
        <w:rPr>
          <w:color w:val="000000"/>
        </w:rPr>
        <w:t xml:space="preserve">categorizes objects into </w:t>
      </w:r>
      <w:r w:rsidRPr="00C87CE2">
        <w:rPr>
          <w:color w:val="000000"/>
        </w:rPr>
        <w:lastRenderedPageBreak/>
        <w:t xml:space="preserve">two main groups: </w:t>
      </w:r>
      <w:r w:rsidRPr="003A20A3">
        <w:rPr>
          <w:i/>
          <w:iCs/>
          <w:color w:val="000000"/>
        </w:rPr>
        <w:t>res corporales</w:t>
      </w:r>
      <w:r w:rsidRPr="00C87CE2">
        <w:rPr>
          <w:color w:val="000000"/>
        </w:rPr>
        <w:t xml:space="preserve">, which are tangible things that can be physically touched, and res </w:t>
      </w:r>
      <w:r w:rsidRPr="003A20A3">
        <w:rPr>
          <w:i/>
          <w:iCs/>
          <w:color w:val="000000"/>
        </w:rPr>
        <w:t>incorporales</w:t>
      </w:r>
      <w:r w:rsidRPr="00C87CE2">
        <w:rPr>
          <w:color w:val="000000"/>
        </w:rPr>
        <w:t xml:space="preserve">, which are intangible things that, although they cannot be touched, </w:t>
      </w:r>
      <w:r w:rsidR="00640810">
        <w:rPr>
          <w:color w:val="000000"/>
        </w:rPr>
        <w:t xml:space="preserve">still </w:t>
      </w:r>
      <w:r w:rsidRPr="00C87CE2">
        <w:rPr>
          <w:color w:val="000000"/>
        </w:rPr>
        <w:t>have existence within the realm of law ('in iure').</w:t>
      </w:r>
      <w:r w:rsidR="00612808">
        <w:rPr>
          <w:color w:val="000000"/>
        </w:rPr>
        <w:t xml:space="preserve"> Gaius explains:</w:t>
      </w:r>
      <w:r w:rsidR="00612808">
        <w:rPr>
          <w:rStyle w:val="FootnoteReference"/>
          <w:color w:val="000000"/>
        </w:rPr>
        <w:footnoteReference w:id="17"/>
      </w:r>
    </w:p>
    <w:p w14:paraId="76BC4B4B" w14:textId="4A00E2C7" w:rsidR="00612808" w:rsidRDefault="00612808" w:rsidP="00612808">
      <w:pPr>
        <w:pBdr>
          <w:top w:val="nil"/>
          <w:left w:val="nil"/>
          <w:bottom w:val="nil"/>
          <w:right w:val="nil"/>
          <w:between w:val="nil"/>
        </w:pBdr>
        <w:ind w:left="720" w:right="720"/>
        <w:rPr>
          <w:color w:val="000000"/>
        </w:rPr>
      </w:pPr>
      <w:r>
        <w:rPr>
          <w:color w:val="000000"/>
        </w:rPr>
        <w:t>(</w:t>
      </w:r>
      <w:r w:rsidRPr="00612808">
        <w:rPr>
          <w:color w:val="000000"/>
        </w:rPr>
        <w:t>12.</w:t>
      </w:r>
      <w:r>
        <w:rPr>
          <w:color w:val="000000"/>
        </w:rPr>
        <w:t>)</w:t>
      </w:r>
      <w:r w:rsidRPr="00612808">
        <w:rPr>
          <w:color w:val="000000"/>
        </w:rPr>
        <w:t xml:space="preserve"> Further, things (res) are divided into </w:t>
      </w:r>
      <w:r>
        <w:rPr>
          <w:color w:val="000000"/>
        </w:rPr>
        <w:t>'</w:t>
      </w:r>
      <w:r w:rsidRPr="00612808">
        <w:rPr>
          <w:color w:val="000000"/>
        </w:rPr>
        <w:t>corporeal</w:t>
      </w:r>
      <w:r>
        <w:rPr>
          <w:color w:val="000000"/>
        </w:rPr>
        <w:t>'</w:t>
      </w:r>
      <w:r w:rsidRPr="00612808">
        <w:rPr>
          <w:color w:val="000000"/>
        </w:rPr>
        <w:t xml:space="preserve"> and </w:t>
      </w:r>
      <w:r>
        <w:rPr>
          <w:color w:val="000000"/>
        </w:rPr>
        <w:t>'</w:t>
      </w:r>
      <w:r w:rsidRPr="00612808">
        <w:rPr>
          <w:color w:val="000000"/>
        </w:rPr>
        <w:t>incorporeal</w:t>
      </w:r>
      <w:r>
        <w:rPr>
          <w:color w:val="000000"/>
        </w:rPr>
        <w:t>'</w:t>
      </w:r>
      <w:r w:rsidRPr="00612808">
        <w:rPr>
          <w:color w:val="000000"/>
        </w:rPr>
        <w:t xml:space="preserve">. </w:t>
      </w:r>
      <w:r>
        <w:rPr>
          <w:color w:val="000000"/>
        </w:rPr>
        <w:t>(</w:t>
      </w:r>
      <w:r w:rsidRPr="00612808">
        <w:rPr>
          <w:color w:val="000000"/>
        </w:rPr>
        <w:t>13.</w:t>
      </w:r>
      <w:r>
        <w:rPr>
          <w:color w:val="000000"/>
        </w:rPr>
        <w:t>)</w:t>
      </w:r>
      <w:r w:rsidRPr="00612808">
        <w:rPr>
          <w:color w:val="000000"/>
        </w:rPr>
        <w:t xml:space="preserve"> </w:t>
      </w:r>
      <w:r>
        <w:rPr>
          <w:color w:val="000000"/>
        </w:rPr>
        <w:t>'</w:t>
      </w:r>
      <w:r w:rsidRPr="00612808">
        <w:rPr>
          <w:color w:val="000000"/>
        </w:rPr>
        <w:t>Corporeal</w:t>
      </w:r>
      <w:r>
        <w:rPr>
          <w:color w:val="000000"/>
        </w:rPr>
        <w:t>'</w:t>
      </w:r>
      <w:r w:rsidRPr="00612808">
        <w:rPr>
          <w:color w:val="000000"/>
        </w:rPr>
        <w:t xml:space="preserve"> things are tangible things, such as land, a slave, a garment, gold, silver, and countless other things. </w:t>
      </w:r>
    </w:p>
    <w:p w14:paraId="5580110C" w14:textId="6B6576F9" w:rsidR="00612808" w:rsidRDefault="00612808" w:rsidP="00612808">
      <w:pPr>
        <w:pBdr>
          <w:top w:val="nil"/>
          <w:left w:val="nil"/>
          <w:bottom w:val="nil"/>
          <w:right w:val="nil"/>
          <w:between w:val="nil"/>
        </w:pBdr>
        <w:ind w:left="720" w:right="720"/>
        <w:rPr>
          <w:color w:val="000000"/>
        </w:rPr>
      </w:pPr>
      <w:r>
        <w:rPr>
          <w:color w:val="000000"/>
        </w:rPr>
        <w:t>(</w:t>
      </w:r>
      <w:r w:rsidRPr="00612808">
        <w:rPr>
          <w:color w:val="000000"/>
        </w:rPr>
        <w:t>14.</w:t>
      </w:r>
      <w:r>
        <w:rPr>
          <w:color w:val="000000"/>
        </w:rPr>
        <w:t xml:space="preserve">) </w:t>
      </w:r>
      <w:r w:rsidRPr="00612808">
        <w:rPr>
          <w:color w:val="000000"/>
        </w:rPr>
        <w:t xml:space="preserve"> </w:t>
      </w:r>
      <w:r>
        <w:rPr>
          <w:color w:val="000000"/>
        </w:rPr>
        <w:t>'</w:t>
      </w:r>
      <w:r w:rsidRPr="00612808">
        <w:rPr>
          <w:color w:val="000000"/>
        </w:rPr>
        <w:t>Incorporeal</w:t>
      </w:r>
      <w:r>
        <w:rPr>
          <w:color w:val="000000"/>
        </w:rPr>
        <w:t>'</w:t>
      </w:r>
      <w:r w:rsidRPr="00612808">
        <w:rPr>
          <w:color w:val="000000"/>
        </w:rPr>
        <w:t xml:space="preserve"> </w:t>
      </w:r>
      <w:proofErr w:type="gramStart"/>
      <w:r w:rsidRPr="00612808">
        <w:rPr>
          <w:color w:val="000000"/>
        </w:rPr>
        <w:t xml:space="preserve">are things </w:t>
      </w:r>
      <w:r w:rsidRPr="00612808">
        <w:rPr>
          <w:color w:val="000000"/>
        </w:rPr>
        <w:t>that are</w:t>
      </w:r>
      <w:proofErr w:type="gramEnd"/>
      <w:r w:rsidRPr="00612808">
        <w:rPr>
          <w:color w:val="000000"/>
        </w:rPr>
        <w:t xml:space="preserve"> intangible, such as</w:t>
      </w:r>
      <w:r w:rsidRPr="00612808">
        <w:rPr>
          <w:color w:val="000000"/>
        </w:rPr>
        <w:t xml:space="preserve"> exist merely in law, for example an inheritance, a usufruct, obligations however contracted. It matters not that corporeal things are </w:t>
      </w:r>
      <w:r w:rsidRPr="00612808">
        <w:rPr>
          <w:color w:val="000000"/>
        </w:rPr>
        <w:t xml:space="preserve">comprised </w:t>
      </w:r>
      <w:r w:rsidRPr="00612808">
        <w:rPr>
          <w:color w:val="000000"/>
        </w:rPr>
        <w:t>in an inheritance, or that fruits gathered from land (subject to a usufruct) are corporeal, or that what is due under an obligation is commonly, for instance land, a slave, money; for the rights themselves, of inheritance, usufruct, and obligation, are incorporeal</w:t>
      </w:r>
      <w:r>
        <w:rPr>
          <w:color w:val="000000"/>
        </w:rPr>
        <w:t>.</w:t>
      </w:r>
    </w:p>
    <w:p w14:paraId="5A3AC054" w14:textId="072DD375" w:rsidR="00C87CE2" w:rsidRDefault="00C87CE2" w:rsidP="00C87CE2">
      <w:pPr>
        <w:rPr>
          <w:color w:val="000000"/>
        </w:rPr>
      </w:pPr>
      <w:r>
        <w:rPr>
          <w:color w:val="000000"/>
        </w:rPr>
        <w:t xml:space="preserve"> </w:t>
      </w:r>
      <w:r w:rsidR="00612808">
        <w:rPr>
          <w:color w:val="000000"/>
        </w:rPr>
        <w:t xml:space="preserve">It is important to stress that according to </w:t>
      </w:r>
      <w:r w:rsidR="005B653B">
        <w:rPr>
          <w:color w:val="000000"/>
        </w:rPr>
        <w:t>Roman</w:t>
      </w:r>
      <w:r w:rsidR="00612808">
        <w:rPr>
          <w:color w:val="000000"/>
        </w:rPr>
        <w:t xml:space="preserve"> law, t</w:t>
      </w:r>
      <w:r w:rsidRPr="00C87CE2">
        <w:rPr>
          <w:color w:val="000000"/>
        </w:rPr>
        <w:t>hese two categories are distinguished by the legal mechanisms governing their transactions.</w:t>
      </w:r>
      <w:r w:rsidR="00612808">
        <w:rPr>
          <w:color w:val="000000"/>
        </w:rPr>
        <w:t xml:space="preserve"> </w:t>
      </w:r>
    </w:p>
    <w:p w14:paraId="75CC4BFD" w14:textId="43A0A98F" w:rsidR="00D771D8" w:rsidRPr="00E67DE8" w:rsidRDefault="00D771D8" w:rsidP="00C87CE2">
      <w:pPr>
        <w:rPr>
          <w:color w:val="000000"/>
        </w:rPr>
      </w:pPr>
      <w:r w:rsidRPr="00E67DE8">
        <w:rPr>
          <w:color w:val="000000"/>
        </w:rPr>
        <w:t>The legal status of intangible goods is conspicuously absent in the Babylonian Talmud, which is the principal source of Jewish Law.</w:t>
      </w:r>
      <w:r w:rsidR="005773CA" w:rsidRPr="005773CA">
        <w:rPr>
          <w:color w:val="000000"/>
          <w:vertAlign w:val="superscript"/>
        </w:rPr>
        <w:t xml:space="preserve"> </w:t>
      </w:r>
      <w:r w:rsidR="005773CA">
        <w:rPr>
          <w:color w:val="000000"/>
          <w:vertAlign w:val="superscript"/>
        </w:rPr>
        <w:footnoteReference w:id="18"/>
      </w:r>
      <w:r w:rsidRPr="00E67DE8">
        <w:rPr>
          <w:color w:val="000000"/>
        </w:rPr>
        <w:t xml:space="preserve"> It appears that the initial endeavor to address this issue emerged at the cusp of the 10th and 11th centuries, undertaken by Rav Hayya Gaon, the </w:t>
      </w:r>
      <w:r>
        <w:rPr>
          <w:color w:val="000000"/>
        </w:rPr>
        <w:t>head</w:t>
      </w:r>
      <w:r w:rsidRPr="00E67DE8">
        <w:rPr>
          <w:color w:val="000000"/>
        </w:rPr>
        <w:t xml:space="preserve"> of the Pumbedita Jewish academy in Baghdad</w:t>
      </w:r>
      <w:r w:rsidRPr="00E67DE8">
        <w:rPr>
          <w:rStyle w:val="FootnoteReference"/>
          <w:color w:val="000000"/>
        </w:rPr>
        <w:t xml:space="preserve"> </w:t>
      </w:r>
      <w:r>
        <w:rPr>
          <w:rStyle w:val="FootnoteReference"/>
          <w:color w:val="000000"/>
        </w:rPr>
        <w:footnoteReference w:id="19"/>
      </w:r>
      <w:r>
        <w:rPr>
          <w:color w:val="000000"/>
        </w:rPr>
        <w:t xml:space="preserve"> in his treatise </w:t>
      </w:r>
      <w:r w:rsidRPr="001E0A3D">
        <w:rPr>
          <w:i/>
          <w:color w:val="000000"/>
        </w:rPr>
        <w:t>The Law of Sales</w:t>
      </w:r>
      <w:r>
        <w:rPr>
          <w:i/>
          <w:color w:val="000000"/>
        </w:rPr>
        <w:t>.</w:t>
      </w:r>
    </w:p>
    <w:p w14:paraId="58B91869" w14:textId="4EBC2A2E" w:rsidR="00D771D8" w:rsidRDefault="00D771D8" w:rsidP="00C87CE2">
      <w:pPr>
        <w:rPr>
          <w:color w:val="000000"/>
        </w:rPr>
      </w:pPr>
      <w:r w:rsidRPr="00E67DE8">
        <w:rPr>
          <w:color w:val="000000"/>
        </w:rPr>
        <w:lastRenderedPageBreak/>
        <w:t>Rav Hayya's approach to the commerce of intangible items is particularly intriguing. Here, he employed his diverse philosophical and legal knowledge to develop a novel framework, thereby facilitating the application of theory to a specific economic domain.</w:t>
      </w:r>
    </w:p>
    <w:p w14:paraId="6459B9D1" w14:textId="2FBEE3E0" w:rsidR="00D771D8" w:rsidRPr="001E0A3D" w:rsidRDefault="00D771D8" w:rsidP="00C87CE2">
      <w:pPr>
        <w:rPr>
          <w:color w:val="000000"/>
          <w:rtl/>
        </w:rPr>
      </w:pPr>
      <w:r w:rsidRPr="00BB1336">
        <w:rPr>
          <w:i/>
          <w:iCs/>
          <w:color w:val="000000"/>
        </w:rPr>
        <w:t>The Law of Sales</w:t>
      </w:r>
      <w:r w:rsidRPr="007064CC">
        <w:rPr>
          <w:color w:val="000000"/>
        </w:rPr>
        <w:t xml:space="preserve"> comprises sixty chapters. Each of these chapters articulates principles</w:t>
      </w:r>
      <w:r>
        <w:rPr>
          <w:color w:val="000000"/>
        </w:rPr>
        <w:t xml:space="preserve"> and details</w:t>
      </w:r>
      <w:r w:rsidRPr="007064CC">
        <w:rPr>
          <w:color w:val="000000"/>
        </w:rPr>
        <w:t xml:space="preserve"> of Jewish law </w:t>
      </w:r>
      <w:r>
        <w:rPr>
          <w:color w:val="000000"/>
        </w:rPr>
        <w:t>regarding buying and selling, all</w:t>
      </w:r>
      <w:r w:rsidRPr="007064CC">
        <w:rPr>
          <w:color w:val="000000"/>
        </w:rPr>
        <w:t xml:space="preserve"> draw</w:t>
      </w:r>
      <w:r w:rsidR="00640810">
        <w:rPr>
          <w:color w:val="000000"/>
        </w:rPr>
        <w:t>n</w:t>
      </w:r>
      <w:r w:rsidRPr="007064CC">
        <w:rPr>
          <w:color w:val="000000"/>
        </w:rPr>
        <w:t xml:space="preserve"> directly from Babylonian Talmudic sources. However, chapter </w:t>
      </w:r>
      <w:r w:rsidR="00EC4524">
        <w:rPr>
          <w:color w:val="000000"/>
        </w:rPr>
        <w:t>two,</w:t>
      </w:r>
      <w:r w:rsidRPr="007064CC">
        <w:rPr>
          <w:color w:val="000000"/>
        </w:rPr>
        <w:t xml:space="preserve"> which deals with intangible items, serves as the sole exception to this trend. In this chapter, Rav Hayya departs from his usual methodology of delineating the principles of sales within Jewish law.</w:t>
      </w:r>
      <w:r>
        <w:rPr>
          <w:color w:val="000000"/>
        </w:rPr>
        <w:t xml:space="preserve"> In this chapter </w:t>
      </w:r>
      <w:r w:rsidRPr="001E0A3D">
        <w:rPr>
          <w:color w:val="000000"/>
        </w:rPr>
        <w:t>Rav Hayya wrote:</w:t>
      </w:r>
      <w:r w:rsidRPr="001E0A3D">
        <w:rPr>
          <w:color w:val="000000"/>
          <w:vertAlign w:val="superscript"/>
        </w:rPr>
        <w:footnoteReference w:id="20"/>
      </w:r>
    </w:p>
    <w:p w14:paraId="613A85C7" w14:textId="77777777" w:rsidR="00D771D8" w:rsidRPr="001E0A3D" w:rsidRDefault="00D771D8" w:rsidP="002D47D0">
      <w:pPr>
        <w:pBdr>
          <w:top w:val="nil"/>
          <w:left w:val="nil"/>
          <w:bottom w:val="nil"/>
          <w:right w:val="nil"/>
          <w:between w:val="nil"/>
        </w:pBdr>
        <w:tabs>
          <w:tab w:val="left" w:pos="7513"/>
        </w:tabs>
        <w:rPr>
          <w:color w:val="000000"/>
        </w:rPr>
      </w:pPr>
    </w:p>
    <w:p w14:paraId="1D2B10FE" w14:textId="77777777" w:rsidR="00D771D8" w:rsidRPr="001E0A3D" w:rsidRDefault="00D771D8" w:rsidP="002D47D0">
      <w:pPr>
        <w:pBdr>
          <w:top w:val="nil"/>
          <w:left w:val="nil"/>
          <w:bottom w:val="nil"/>
          <w:right w:val="nil"/>
          <w:between w:val="nil"/>
        </w:pBdr>
        <w:ind w:left="720" w:right="720"/>
        <w:rPr>
          <w:color w:val="000000"/>
        </w:rPr>
      </w:pPr>
      <w:r w:rsidRPr="001E0A3D">
        <w:rPr>
          <w:color w:val="000000"/>
        </w:rPr>
        <w:t>The second chapter: A discussion on what can</w:t>
      </w:r>
      <w:r w:rsidRPr="001E0A3D">
        <w:rPr>
          <w:vertAlign w:val="superscript"/>
        </w:rPr>
        <w:footnoteReference w:id="21"/>
      </w:r>
      <w:r w:rsidRPr="001E0A3D">
        <w:rPr>
          <w:color w:val="000000"/>
        </w:rPr>
        <w:t xml:space="preserve"> constitute an object of a deed of sale.</w:t>
      </w:r>
    </w:p>
    <w:p w14:paraId="183790C1" w14:textId="77777777" w:rsidR="00D771D8" w:rsidRPr="001E0A3D" w:rsidRDefault="00D771D8" w:rsidP="002D47D0">
      <w:pPr>
        <w:pBdr>
          <w:top w:val="nil"/>
          <w:left w:val="nil"/>
          <w:bottom w:val="nil"/>
          <w:right w:val="nil"/>
          <w:between w:val="nil"/>
        </w:pBdr>
        <w:ind w:left="720" w:right="720"/>
        <w:rPr>
          <w:color w:val="000000"/>
        </w:rPr>
      </w:pPr>
      <w:r w:rsidRPr="001E0A3D">
        <w:rPr>
          <w:color w:val="000000"/>
        </w:rPr>
        <w:t>I would say that a sale agreement is valid if the objects satisfy four criteria. The first criterion is:</w:t>
      </w:r>
    </w:p>
    <w:p w14:paraId="26B90399" w14:textId="755D4C6A" w:rsidR="00D771D8" w:rsidRPr="001E0A3D" w:rsidRDefault="00D771D8" w:rsidP="002D47D0">
      <w:pPr>
        <w:pBdr>
          <w:top w:val="nil"/>
          <w:left w:val="nil"/>
          <w:bottom w:val="nil"/>
          <w:right w:val="nil"/>
          <w:between w:val="nil"/>
        </w:pBdr>
        <w:ind w:left="720" w:right="720"/>
        <w:rPr>
          <w:iCs/>
          <w:color w:val="000000"/>
        </w:rPr>
      </w:pPr>
      <w:r w:rsidRPr="001E0A3D">
        <w:rPr>
          <w:iCs/>
          <w:color w:val="000000"/>
          <w:sz w:val="20"/>
          <w:szCs w:val="20"/>
        </w:rPr>
        <w:t>/Variant a:</w:t>
      </w:r>
      <w:r w:rsidRPr="001E0A3D">
        <w:rPr>
          <w:color w:val="000000"/>
        </w:rPr>
        <w:t xml:space="preserve"> that the agreement will be on a </w:t>
      </w:r>
      <w:r w:rsidRPr="001E0A3D">
        <w:rPr>
          <w:iCs/>
          <w:color w:val="000000"/>
        </w:rPr>
        <w:t>physical object</w:t>
      </w:r>
      <w:r w:rsidRPr="001E0A3D">
        <w:rPr>
          <w:i/>
          <w:color w:val="000000"/>
        </w:rPr>
        <w:t xml:space="preserve"> </w:t>
      </w:r>
      <w:r w:rsidRPr="001E0A3D">
        <w:rPr>
          <w:iCs/>
          <w:color w:val="000000"/>
        </w:rPr>
        <w:t>(</w:t>
      </w:r>
      <w:r w:rsidRPr="001E0A3D">
        <w:rPr>
          <w:i/>
          <w:color w:val="000000"/>
        </w:rPr>
        <w:t>ʿayn</w:t>
      </w:r>
      <w:r w:rsidRPr="001E0A3D">
        <w:rPr>
          <w:iCs/>
          <w:color w:val="000000"/>
        </w:rPr>
        <w:t>)</w:t>
      </w:r>
      <w:r>
        <w:rPr>
          <w:iCs/>
          <w:color w:val="000000"/>
        </w:rPr>
        <w:t xml:space="preserve"> </w:t>
      </w:r>
      <w:r w:rsidRPr="001E0A3D">
        <w:rPr>
          <w:iCs/>
          <w:color w:val="000000"/>
        </w:rPr>
        <w:t>/</w:t>
      </w:r>
    </w:p>
    <w:p w14:paraId="22CBC300" w14:textId="77777777" w:rsidR="00D771D8" w:rsidRPr="001E0A3D" w:rsidRDefault="00D771D8" w:rsidP="002D47D0">
      <w:pPr>
        <w:pBdr>
          <w:top w:val="nil"/>
          <w:left w:val="nil"/>
          <w:bottom w:val="nil"/>
          <w:right w:val="nil"/>
          <w:between w:val="nil"/>
        </w:pBdr>
        <w:ind w:left="720" w:right="720"/>
        <w:rPr>
          <w:iCs/>
          <w:color w:val="000000"/>
        </w:rPr>
      </w:pPr>
      <w:r w:rsidRPr="001E0A3D">
        <w:rPr>
          <w:iCs/>
          <w:color w:val="000000"/>
        </w:rPr>
        <w:t>/</w:t>
      </w:r>
      <w:r w:rsidRPr="001E0A3D">
        <w:rPr>
          <w:i/>
          <w:color w:val="000000"/>
          <w:sz w:val="18"/>
          <w:szCs w:val="18"/>
        </w:rPr>
        <w:t>Variant b</w:t>
      </w:r>
      <w:r w:rsidRPr="001E0A3D">
        <w:rPr>
          <w:iCs/>
          <w:color w:val="000000"/>
          <w:sz w:val="18"/>
          <w:szCs w:val="18"/>
        </w:rPr>
        <w:t>:</w:t>
      </w:r>
      <w:r w:rsidRPr="001E0A3D">
        <w:rPr>
          <w:iCs/>
          <w:color w:val="000000"/>
        </w:rPr>
        <w:t xml:space="preserve"> That the object (</w:t>
      </w:r>
      <w:r w:rsidRPr="001E0A3D">
        <w:rPr>
          <w:i/>
          <w:color w:val="000000"/>
        </w:rPr>
        <w:t>shay</w:t>
      </w:r>
      <w:r w:rsidRPr="001E0A3D">
        <w:rPr>
          <w:iCs/>
          <w:color w:val="000000"/>
        </w:rPr>
        <w:t>) of the sale will be body</w:t>
      </w:r>
      <w:r w:rsidRPr="001E0A3D">
        <w:rPr>
          <w:i/>
          <w:iCs/>
          <w:color w:val="000000"/>
        </w:rPr>
        <w:t xml:space="preserve"> </w:t>
      </w:r>
      <w:r w:rsidRPr="001E0A3D">
        <w:rPr>
          <w:color w:val="000000"/>
        </w:rPr>
        <w:t>(</w:t>
      </w:r>
      <w:r w:rsidRPr="001E0A3D">
        <w:rPr>
          <w:i/>
          <w:iCs/>
          <w:color w:val="000000"/>
        </w:rPr>
        <w:t>jism)</w:t>
      </w:r>
      <w:r w:rsidRPr="001E0A3D">
        <w:rPr>
          <w:iCs/>
          <w:color w:val="000000"/>
        </w:rPr>
        <w:t>/</w:t>
      </w:r>
    </w:p>
    <w:p w14:paraId="7E04963C" w14:textId="77777777" w:rsidR="00D771D8" w:rsidRPr="001E0A3D" w:rsidRDefault="00D771D8" w:rsidP="002D47D0">
      <w:pPr>
        <w:pBdr>
          <w:top w:val="nil"/>
          <w:left w:val="nil"/>
          <w:bottom w:val="nil"/>
          <w:right w:val="nil"/>
          <w:between w:val="nil"/>
        </w:pBdr>
        <w:ind w:left="720" w:right="720"/>
        <w:rPr>
          <w:color w:val="000000"/>
        </w:rPr>
      </w:pPr>
      <w:r w:rsidRPr="001E0A3D">
        <w:rPr>
          <w:color w:val="000000"/>
        </w:rPr>
        <w:t xml:space="preserve"> as we have mentioned.</w:t>
      </w:r>
    </w:p>
    <w:p w14:paraId="110487B1" w14:textId="4938D03B" w:rsidR="00D771D8" w:rsidRPr="001E0A3D" w:rsidRDefault="00D771D8" w:rsidP="002D47D0">
      <w:pPr>
        <w:pBdr>
          <w:top w:val="nil"/>
          <w:left w:val="nil"/>
          <w:bottom w:val="nil"/>
          <w:right w:val="nil"/>
          <w:between w:val="nil"/>
        </w:pBdr>
        <w:ind w:left="720" w:right="720"/>
        <w:rPr>
          <w:color w:val="000000"/>
        </w:rPr>
      </w:pPr>
      <w:r w:rsidRPr="001E0A3D">
        <w:rPr>
          <w:color w:val="000000"/>
        </w:rPr>
        <w:t xml:space="preserve"> However, all the </w:t>
      </w:r>
      <w:r w:rsidRPr="001E0A3D">
        <w:rPr>
          <w:i/>
          <w:color w:val="000000"/>
        </w:rPr>
        <w:t>accidents</w:t>
      </w:r>
      <w:r w:rsidRPr="001E0A3D">
        <w:rPr>
          <w:color w:val="000000"/>
        </w:rPr>
        <w:t xml:space="preserve"> (Arabic: </w:t>
      </w:r>
      <w:r w:rsidR="00640810" w:rsidRPr="001E0A3D">
        <w:rPr>
          <w:i/>
          <w:iCs/>
          <w:color w:val="000000"/>
        </w:rPr>
        <w:t>ʾaʿr</w:t>
      </w:r>
      <w:r w:rsidR="00640810">
        <w:rPr>
          <w:i/>
          <w:iCs/>
          <w:color w:val="000000"/>
        </w:rPr>
        <w:t>ā</w:t>
      </w:r>
      <w:r w:rsidR="00640810" w:rsidRPr="001E0A3D">
        <w:rPr>
          <w:i/>
          <w:iCs/>
          <w:color w:val="000000"/>
        </w:rPr>
        <w:t>ḍ</w:t>
      </w:r>
      <w:r w:rsidRPr="001E0A3D">
        <w:rPr>
          <w:i/>
          <w:iCs/>
          <w:color w:val="000000"/>
        </w:rPr>
        <w:t xml:space="preserve">, </w:t>
      </w:r>
      <w:r w:rsidRPr="001E0A3D">
        <w:rPr>
          <w:color w:val="000000"/>
        </w:rPr>
        <w:t>plural of</w:t>
      </w:r>
      <w:r w:rsidRPr="001E0A3D">
        <w:rPr>
          <w:i/>
          <w:iCs/>
          <w:color w:val="000000"/>
        </w:rPr>
        <w:t xml:space="preserve"> ʿaraḍ</w:t>
      </w:r>
      <w:r w:rsidRPr="001E0A3D">
        <w:rPr>
          <w:color w:val="000000"/>
        </w:rPr>
        <w:t>) are not valid for a sale agreement.</w:t>
      </w:r>
      <w:r w:rsidRPr="001E0A3D">
        <w:rPr>
          <w:rStyle w:val="FootnoteReference"/>
          <w:iCs/>
          <w:color w:val="000000"/>
        </w:rPr>
        <w:t xml:space="preserve"> </w:t>
      </w:r>
      <w:r w:rsidRPr="001E0A3D">
        <w:rPr>
          <w:rStyle w:val="FootnoteReference"/>
          <w:iCs/>
          <w:color w:val="000000"/>
        </w:rPr>
        <w:footnoteReference w:id="22"/>
      </w:r>
    </w:p>
    <w:p w14:paraId="75D64992" w14:textId="77777777" w:rsidR="00D771D8" w:rsidRDefault="00D771D8" w:rsidP="002D47D0">
      <w:pPr>
        <w:pBdr>
          <w:top w:val="nil"/>
          <w:left w:val="nil"/>
          <w:bottom w:val="nil"/>
          <w:right w:val="nil"/>
          <w:between w:val="nil"/>
        </w:pBdr>
        <w:tabs>
          <w:tab w:val="left" w:pos="7513"/>
        </w:tabs>
        <w:rPr>
          <w:color w:val="000000"/>
        </w:rPr>
      </w:pPr>
    </w:p>
    <w:p w14:paraId="3FF97216" w14:textId="239948B1" w:rsidR="00D771D8" w:rsidRPr="001E0A3D" w:rsidRDefault="00D771D8" w:rsidP="00C87CE2">
      <w:pPr>
        <w:rPr>
          <w:color w:val="000000"/>
        </w:rPr>
      </w:pPr>
      <w:r w:rsidRPr="001E0A3D">
        <w:rPr>
          <w:color w:val="000000"/>
        </w:rPr>
        <w:lastRenderedPageBreak/>
        <w:t xml:space="preserve">Rav Hayya ruled that only physical objects with substance are valid as being marketable. </w:t>
      </w:r>
      <w:proofErr w:type="gramStart"/>
      <w:r w:rsidRPr="001E0A3D">
        <w:rPr>
          <w:color w:val="000000"/>
        </w:rPr>
        <w:t>That is to say, intangible</w:t>
      </w:r>
      <w:proofErr w:type="gramEnd"/>
      <w:r w:rsidRPr="001E0A3D">
        <w:rPr>
          <w:color w:val="000000"/>
        </w:rPr>
        <w:t xml:space="preserve"> items cannot be bought or sold. </w:t>
      </w:r>
      <w:r>
        <w:rPr>
          <w:color w:val="000000"/>
        </w:rPr>
        <w:t>I</w:t>
      </w:r>
      <w:r w:rsidRPr="003038A8">
        <w:rPr>
          <w:color w:val="000000"/>
        </w:rPr>
        <w:t xml:space="preserve">n this context, Rav Hayya does not refer </w:t>
      </w:r>
      <w:r>
        <w:rPr>
          <w:color w:val="000000"/>
        </w:rPr>
        <w:t xml:space="preserve">the reader </w:t>
      </w:r>
      <w:r w:rsidRPr="003038A8">
        <w:rPr>
          <w:color w:val="000000"/>
        </w:rPr>
        <w:t>to a single Talmudic source or even allude to a Talmudic discussion on the subject, as</w:t>
      </w:r>
      <w:r w:rsidR="00640810">
        <w:rPr>
          <w:color w:val="000000"/>
        </w:rPr>
        <w:t xml:space="preserve">, indeed, </w:t>
      </w:r>
      <w:r w:rsidRPr="003038A8">
        <w:rPr>
          <w:color w:val="000000"/>
        </w:rPr>
        <w:t>none exist.</w:t>
      </w:r>
      <w:r w:rsidR="005773CA">
        <w:rPr>
          <w:color w:val="000000"/>
          <w:vertAlign w:val="superscript"/>
        </w:rPr>
        <w:footnoteReference w:id="23"/>
      </w:r>
      <w:r w:rsidRPr="003038A8">
        <w:rPr>
          <w:color w:val="000000"/>
        </w:rPr>
        <w:t xml:space="preserve"> Instead, he addresses the </w:t>
      </w:r>
      <w:r w:rsidRPr="003038A8">
        <w:rPr>
          <w:i/>
          <w:iCs/>
          <w:color w:val="000000"/>
        </w:rPr>
        <w:t>categories</w:t>
      </w:r>
      <w:r w:rsidRPr="003038A8">
        <w:rPr>
          <w:color w:val="000000"/>
        </w:rPr>
        <w:t>, assuming his readers' familiarity with these classifications, and</w:t>
      </w:r>
      <w:r w:rsidR="009930FC">
        <w:rPr>
          <w:color w:val="000000"/>
        </w:rPr>
        <w:t>,</w:t>
      </w:r>
      <w:r w:rsidRPr="003038A8">
        <w:rPr>
          <w:color w:val="000000"/>
        </w:rPr>
        <w:t xml:space="preserve"> thus, he does not further elucidate this topic.</w:t>
      </w:r>
      <w:r>
        <w:rPr>
          <w:color w:val="000000"/>
        </w:rPr>
        <w:t xml:space="preserve"> </w:t>
      </w:r>
      <w:proofErr w:type="gramStart"/>
      <w:r w:rsidRPr="001E0A3D">
        <w:rPr>
          <w:color w:val="000000"/>
        </w:rPr>
        <w:t>In order to</w:t>
      </w:r>
      <w:proofErr w:type="gramEnd"/>
      <w:r w:rsidRPr="001E0A3D">
        <w:rPr>
          <w:color w:val="000000"/>
        </w:rPr>
        <w:t xml:space="preserve"> sharpen his rulings regarding intangible items, Rav Hayya applied definitions and philosophical concepts, originated by Aristotle, which continued</w:t>
      </w:r>
      <w:r w:rsidR="009930FC">
        <w:rPr>
          <w:color w:val="000000"/>
        </w:rPr>
        <w:t xml:space="preserve"> in use</w:t>
      </w:r>
      <w:r w:rsidRPr="001E0A3D">
        <w:rPr>
          <w:color w:val="000000"/>
        </w:rPr>
        <w:t xml:space="preserve"> throughout the middle-ages – </w:t>
      </w:r>
      <w:r w:rsidRPr="001E0A3D">
        <w:rPr>
          <w:i/>
          <w:color w:val="000000"/>
        </w:rPr>
        <w:t>accident</w:t>
      </w:r>
      <w:r w:rsidRPr="001E0A3D">
        <w:rPr>
          <w:color w:val="000000"/>
        </w:rPr>
        <w:t xml:space="preserve">, </w:t>
      </w:r>
      <w:r w:rsidRPr="001E0A3D">
        <w:rPr>
          <w:i/>
          <w:color w:val="000000"/>
        </w:rPr>
        <w:t>quality</w:t>
      </w:r>
      <w:r w:rsidRPr="001E0A3D">
        <w:rPr>
          <w:color w:val="000000"/>
        </w:rPr>
        <w:t xml:space="preserve">, </w:t>
      </w:r>
      <w:r w:rsidRPr="001E0A3D">
        <w:rPr>
          <w:i/>
          <w:color w:val="000000"/>
        </w:rPr>
        <w:t>position</w:t>
      </w:r>
      <w:r w:rsidRPr="001E0A3D">
        <w:rPr>
          <w:color w:val="000000"/>
        </w:rPr>
        <w:t xml:space="preserve">, </w:t>
      </w:r>
      <w:r w:rsidRPr="001E0A3D">
        <w:rPr>
          <w:i/>
          <w:color w:val="000000"/>
        </w:rPr>
        <w:t>categories</w:t>
      </w:r>
      <w:r w:rsidRPr="001E0A3D">
        <w:rPr>
          <w:color w:val="000000"/>
        </w:rPr>
        <w:t xml:space="preserve">, and more. </w:t>
      </w:r>
      <w:r>
        <w:rPr>
          <w:color w:val="000000"/>
        </w:rPr>
        <w:t xml:space="preserve">And </w:t>
      </w:r>
      <w:r>
        <w:rPr>
          <w:iCs/>
          <w:color w:val="000000"/>
        </w:rPr>
        <w:t xml:space="preserve">so, </w:t>
      </w:r>
      <w:r w:rsidRPr="00230A1A">
        <w:rPr>
          <w:iCs/>
          <w:color w:val="000000"/>
        </w:rPr>
        <w:t>he</w:t>
      </w:r>
      <w:r>
        <w:rPr>
          <w:i/>
          <w:color w:val="000000"/>
        </w:rPr>
        <w:t xml:space="preserve"> </w:t>
      </w:r>
      <w:r w:rsidRPr="001E0A3D">
        <w:rPr>
          <w:iCs/>
          <w:color w:val="000000"/>
        </w:rPr>
        <w:t>continues:</w:t>
      </w:r>
      <w:r w:rsidRPr="00C5438E">
        <w:rPr>
          <w:color w:val="000000"/>
          <w:vertAlign w:val="superscript"/>
        </w:rPr>
        <w:t xml:space="preserve"> </w:t>
      </w:r>
      <w:r w:rsidRPr="001E0A3D">
        <w:rPr>
          <w:color w:val="000000"/>
          <w:vertAlign w:val="superscript"/>
        </w:rPr>
        <w:footnoteReference w:id="24"/>
      </w:r>
    </w:p>
    <w:p w14:paraId="50EAF146" w14:textId="77777777" w:rsidR="00D771D8" w:rsidRPr="001E0A3D" w:rsidRDefault="00D771D8" w:rsidP="002D47D0">
      <w:pPr>
        <w:pBdr>
          <w:top w:val="nil"/>
          <w:left w:val="nil"/>
          <w:bottom w:val="nil"/>
          <w:right w:val="nil"/>
          <w:between w:val="nil"/>
        </w:pBdr>
        <w:tabs>
          <w:tab w:val="left" w:pos="7513"/>
        </w:tabs>
        <w:rPr>
          <w:color w:val="000000"/>
        </w:rPr>
      </w:pPr>
    </w:p>
    <w:p w14:paraId="6036D834" w14:textId="77777777" w:rsidR="00D771D8" w:rsidRPr="001E0A3D" w:rsidRDefault="00D771D8" w:rsidP="002D47D0">
      <w:pPr>
        <w:pBdr>
          <w:top w:val="nil"/>
          <w:left w:val="nil"/>
          <w:bottom w:val="nil"/>
          <w:right w:val="nil"/>
          <w:between w:val="nil"/>
        </w:pBdr>
        <w:ind w:left="720" w:right="720"/>
        <w:rPr>
          <w:color w:val="000000"/>
        </w:rPr>
      </w:pPr>
      <w:r w:rsidRPr="001E0A3D">
        <w:rPr>
          <w:color w:val="000000"/>
        </w:rPr>
        <w:t xml:space="preserve">Now we need to define </w:t>
      </w:r>
      <w:r w:rsidRPr="001E0A3D">
        <w:rPr>
          <w:i/>
          <w:color w:val="000000"/>
        </w:rPr>
        <w:t>body (</w:t>
      </w:r>
      <w:r w:rsidRPr="001E0A3D">
        <w:rPr>
          <w:i/>
          <w:iCs/>
          <w:color w:val="000000"/>
        </w:rPr>
        <w:t>jism</w:t>
      </w:r>
      <w:r w:rsidRPr="001E0A3D">
        <w:rPr>
          <w:color w:val="000000"/>
        </w:rPr>
        <w:t xml:space="preserve">) and </w:t>
      </w:r>
      <w:r w:rsidRPr="001E0A3D">
        <w:rPr>
          <w:i/>
          <w:color w:val="000000"/>
        </w:rPr>
        <w:t>accident</w:t>
      </w:r>
      <w:r w:rsidRPr="001E0A3D">
        <w:rPr>
          <w:color w:val="000000"/>
        </w:rPr>
        <w:t xml:space="preserve"> (</w:t>
      </w:r>
      <w:r w:rsidRPr="001E0A3D">
        <w:rPr>
          <w:i/>
          <w:iCs/>
          <w:color w:val="000000"/>
        </w:rPr>
        <w:t>ʿaraḍ</w:t>
      </w:r>
      <w:r w:rsidRPr="001E0A3D">
        <w:rPr>
          <w:color w:val="000000"/>
        </w:rPr>
        <w:t>).</w:t>
      </w:r>
    </w:p>
    <w:p w14:paraId="33113190" w14:textId="77777777" w:rsidR="00D771D8" w:rsidRPr="001E0A3D" w:rsidRDefault="00D771D8" w:rsidP="002D47D0">
      <w:pPr>
        <w:pBdr>
          <w:top w:val="nil"/>
          <w:left w:val="nil"/>
          <w:bottom w:val="nil"/>
          <w:right w:val="nil"/>
          <w:between w:val="nil"/>
        </w:pBdr>
        <w:ind w:left="720" w:right="720"/>
        <w:rPr>
          <w:color w:val="000000"/>
        </w:rPr>
      </w:pPr>
      <w:r w:rsidRPr="001E0A3D">
        <w:rPr>
          <w:color w:val="000000"/>
        </w:rPr>
        <w:t xml:space="preserve">We say that </w:t>
      </w:r>
      <w:r w:rsidRPr="001E0A3D">
        <w:rPr>
          <w:i/>
          <w:color w:val="000000"/>
        </w:rPr>
        <w:t>substance</w:t>
      </w:r>
      <w:r w:rsidRPr="001E0A3D">
        <w:rPr>
          <w:color w:val="000000"/>
        </w:rPr>
        <w:t xml:space="preserve"> (</w:t>
      </w:r>
      <w:r w:rsidRPr="001E0A3D">
        <w:rPr>
          <w:i/>
          <w:iCs/>
          <w:color w:val="000000"/>
        </w:rPr>
        <w:t>jism</w:t>
      </w:r>
      <w:r w:rsidRPr="001E0A3D">
        <w:rPr>
          <w:color w:val="000000"/>
        </w:rPr>
        <w:t xml:space="preserve">) </w:t>
      </w:r>
      <w:r w:rsidRPr="001E0A3D">
        <w:t>is</w:t>
      </w:r>
      <w:r w:rsidRPr="001E0A3D">
        <w:rPr>
          <w:color w:val="000000"/>
        </w:rPr>
        <w:t xml:space="preserve"> </w:t>
      </w:r>
      <w:r w:rsidRPr="001E0A3D">
        <w:rPr>
          <w:b/>
          <w:bCs/>
          <w:color w:val="000000"/>
        </w:rPr>
        <w:t xml:space="preserve">said </w:t>
      </w:r>
      <w:r w:rsidRPr="001E0A3D">
        <w:rPr>
          <w:b/>
          <w:bCs/>
        </w:rPr>
        <w:t>to exist on its own</w:t>
      </w:r>
      <w:r w:rsidRPr="001E0A3D">
        <w:t xml:space="preserve"> (</w:t>
      </w:r>
      <w:r w:rsidRPr="001E0A3D">
        <w:rPr>
          <w:i/>
          <w:iCs/>
          <w:color w:val="000000"/>
        </w:rPr>
        <w:t>qāʾiman</w:t>
      </w:r>
      <w:r w:rsidRPr="001E0A3D">
        <w:rPr>
          <w:color w:val="000000"/>
        </w:rPr>
        <w:t xml:space="preserve"> </w:t>
      </w:r>
      <w:r w:rsidRPr="001E0A3D">
        <w:rPr>
          <w:i/>
          <w:iCs/>
          <w:color w:val="000000"/>
        </w:rPr>
        <w:t>bi-nafsihi</w:t>
      </w:r>
      <w:r w:rsidRPr="001E0A3D">
        <w:rPr>
          <w:color w:val="000000"/>
        </w:rPr>
        <w:t>)</w:t>
      </w:r>
      <w:r w:rsidRPr="001E0A3D">
        <w:t xml:space="preserve">. </w:t>
      </w:r>
      <w:r w:rsidRPr="001E0A3D">
        <w:rPr>
          <w:color w:val="000000"/>
        </w:rPr>
        <w:t>i.e. length, width, and depth.</w:t>
      </w:r>
    </w:p>
    <w:p w14:paraId="35A71FA7" w14:textId="77777777" w:rsidR="00D771D8" w:rsidRPr="001E0A3D" w:rsidRDefault="00D771D8" w:rsidP="002D47D0">
      <w:pPr>
        <w:pBdr>
          <w:top w:val="nil"/>
          <w:left w:val="nil"/>
          <w:bottom w:val="nil"/>
          <w:right w:val="nil"/>
          <w:between w:val="nil"/>
        </w:pBdr>
        <w:ind w:left="720" w:right="720"/>
        <w:rPr>
          <w:color w:val="000000"/>
        </w:rPr>
      </w:pPr>
      <w:r w:rsidRPr="001E0A3D">
        <w:rPr>
          <w:color w:val="000000"/>
        </w:rPr>
        <w:t xml:space="preserve">An </w:t>
      </w:r>
      <w:r w:rsidRPr="001E0A3D">
        <w:rPr>
          <w:iCs/>
          <w:color w:val="000000"/>
        </w:rPr>
        <w:t>accident</w:t>
      </w:r>
      <w:r w:rsidRPr="001E0A3D">
        <w:rPr>
          <w:color w:val="000000"/>
        </w:rPr>
        <w:t xml:space="preserve"> (</w:t>
      </w:r>
      <w:r w:rsidRPr="001E0A3D">
        <w:rPr>
          <w:i/>
          <w:iCs/>
          <w:color w:val="000000"/>
        </w:rPr>
        <w:t>ʿaraḍ</w:t>
      </w:r>
      <w:r w:rsidRPr="001E0A3D">
        <w:rPr>
          <w:color w:val="000000"/>
        </w:rPr>
        <w:t xml:space="preserve">) is </w:t>
      </w:r>
      <w:r w:rsidRPr="001E0A3D">
        <w:rPr>
          <w:b/>
          <w:bCs/>
          <w:color w:val="000000"/>
        </w:rPr>
        <w:t xml:space="preserve">what will be in the object </w:t>
      </w:r>
      <w:r w:rsidRPr="001946C4">
        <w:rPr>
          <w:color w:val="000000"/>
        </w:rPr>
        <w:t>(Arabic:</w:t>
      </w:r>
      <w:r w:rsidRPr="001946C4">
        <w:rPr>
          <w:i/>
          <w:iCs/>
          <w:color w:val="000000"/>
        </w:rPr>
        <w:t xml:space="preserve"> shayʾ</w:t>
      </w:r>
      <w:proofErr w:type="gramStart"/>
      <w:r w:rsidRPr="001946C4">
        <w:rPr>
          <w:sz w:val="22"/>
          <w:szCs w:val="22"/>
        </w:rPr>
        <w:t>)</w:t>
      </w:r>
      <w:r w:rsidRPr="001946C4">
        <w:rPr>
          <w:color w:val="000000"/>
        </w:rPr>
        <w:t>,</w:t>
      </w:r>
      <w:r w:rsidRPr="001E0A3D">
        <w:rPr>
          <w:b/>
          <w:bCs/>
          <w:color w:val="000000"/>
        </w:rPr>
        <w:t xml:space="preserve"> and</w:t>
      </w:r>
      <w:proofErr w:type="gramEnd"/>
      <w:r w:rsidRPr="001E0A3D">
        <w:rPr>
          <w:b/>
          <w:bCs/>
          <w:color w:val="000000"/>
        </w:rPr>
        <w:t xml:space="preserve"> may vanish while the subject </w:t>
      </w:r>
      <w:r w:rsidRPr="001946C4">
        <w:rPr>
          <w:color w:val="000000"/>
        </w:rPr>
        <w:t>(</w:t>
      </w:r>
      <w:r w:rsidRPr="001946C4">
        <w:rPr>
          <w:i/>
          <w:iCs/>
          <w:color w:val="000000"/>
        </w:rPr>
        <w:t>mawḍiʿa</w:t>
      </w:r>
      <w:r w:rsidRPr="001946C4">
        <w:rPr>
          <w:color w:val="000000"/>
        </w:rPr>
        <w:t>)</w:t>
      </w:r>
      <w:r w:rsidRPr="001E0A3D">
        <w:rPr>
          <w:b/>
          <w:bCs/>
          <w:color w:val="000000"/>
        </w:rPr>
        <w:t xml:space="preserve"> will not vanish</w:t>
      </w:r>
      <w:r w:rsidRPr="001E0A3D">
        <w:rPr>
          <w:color w:val="000000"/>
        </w:rPr>
        <w:t xml:space="preserve">. </w:t>
      </w:r>
    </w:p>
    <w:p w14:paraId="6776284D" w14:textId="77777777" w:rsidR="00D771D8" w:rsidRPr="001E0A3D" w:rsidRDefault="00D771D8" w:rsidP="002D47D0">
      <w:pPr>
        <w:pBdr>
          <w:top w:val="nil"/>
          <w:left w:val="nil"/>
          <w:bottom w:val="nil"/>
          <w:right w:val="nil"/>
          <w:between w:val="nil"/>
        </w:pBdr>
        <w:ind w:left="720" w:right="720"/>
        <w:rPr>
          <w:color w:val="000000"/>
        </w:rPr>
      </w:pPr>
      <w:r w:rsidRPr="001E0A3D">
        <w:rPr>
          <w:color w:val="000000"/>
        </w:rPr>
        <w:t xml:space="preserve">Hence, a sale can be constituted on everything which has length, width, and depth, and cannot be constituted on its length, width, and depth by themselves </w:t>
      </w:r>
      <w:r w:rsidRPr="001E0A3D">
        <w:rPr>
          <w:b/>
          <w:bCs/>
          <w:color w:val="000000"/>
        </w:rPr>
        <w:t>as this is part of [the quantity,]</w:t>
      </w:r>
      <w:r w:rsidRPr="001E0A3D">
        <w:rPr>
          <w:color w:val="000000"/>
        </w:rPr>
        <w:t xml:space="preserve"> nor on its </w:t>
      </w:r>
      <w:r w:rsidRPr="001E0A3D">
        <w:rPr>
          <w:iCs/>
          <w:color w:val="000000"/>
        </w:rPr>
        <w:t>color,</w:t>
      </w:r>
      <w:r w:rsidRPr="001E0A3D">
        <w:rPr>
          <w:color w:val="000000"/>
        </w:rPr>
        <w:t xml:space="preserve"> as this is part of the </w:t>
      </w:r>
      <w:r w:rsidRPr="001E0A3D">
        <w:rPr>
          <w:b/>
          <w:bCs/>
          <w:color w:val="000000"/>
        </w:rPr>
        <w:t>quality</w:t>
      </w:r>
      <w:r w:rsidRPr="001E0A3D">
        <w:rPr>
          <w:i/>
          <w:iCs/>
          <w:color w:val="000000"/>
        </w:rPr>
        <w:t>.</w:t>
      </w:r>
    </w:p>
    <w:p w14:paraId="3AF4FB9F" w14:textId="77777777" w:rsidR="00D771D8" w:rsidRPr="001E0A3D" w:rsidRDefault="00D771D8" w:rsidP="002D47D0">
      <w:pPr>
        <w:pBdr>
          <w:top w:val="nil"/>
          <w:left w:val="nil"/>
          <w:bottom w:val="nil"/>
          <w:right w:val="nil"/>
          <w:between w:val="nil"/>
        </w:pBdr>
        <w:ind w:left="720" w:right="720"/>
        <w:rPr>
          <w:color w:val="000000"/>
        </w:rPr>
      </w:pPr>
      <w:r w:rsidRPr="001E0A3D">
        <w:rPr>
          <w:color w:val="000000"/>
        </w:rPr>
        <w:lastRenderedPageBreak/>
        <w:t xml:space="preserve">Neither (can the sale be </w:t>
      </w:r>
      <w:r w:rsidRPr="001E0A3D">
        <w:t xml:space="preserve">constituted) </w:t>
      </w:r>
      <w:r w:rsidRPr="001E0A3D">
        <w:rPr>
          <w:color w:val="000000"/>
        </w:rPr>
        <w:t xml:space="preserve">on anything of its </w:t>
      </w:r>
      <w:r w:rsidRPr="001E0A3D">
        <w:rPr>
          <w:b/>
          <w:bCs/>
          <w:iCs/>
          <w:color w:val="000000"/>
        </w:rPr>
        <w:t>position</w:t>
      </w:r>
      <w:r w:rsidRPr="001E0A3D">
        <w:rPr>
          <w:i/>
          <w:color w:val="000000"/>
        </w:rPr>
        <w:t xml:space="preserve"> </w:t>
      </w:r>
      <w:r w:rsidRPr="001E0A3D">
        <w:rPr>
          <w:color w:val="000000"/>
        </w:rPr>
        <w:t>such as standing sitting and lying</w:t>
      </w:r>
    </w:p>
    <w:p w14:paraId="6365E0F2" w14:textId="77777777" w:rsidR="00D771D8" w:rsidRPr="001E0A3D" w:rsidRDefault="00D771D8" w:rsidP="002D47D0">
      <w:pPr>
        <w:pBdr>
          <w:top w:val="nil"/>
          <w:left w:val="nil"/>
          <w:bottom w:val="nil"/>
          <w:right w:val="nil"/>
          <w:between w:val="nil"/>
        </w:pBdr>
        <w:ind w:left="720" w:right="720"/>
        <w:rPr>
          <w:color w:val="000000"/>
        </w:rPr>
      </w:pPr>
      <w:r w:rsidRPr="001E0A3D">
        <w:rPr>
          <w:color w:val="000000"/>
        </w:rPr>
        <w:t xml:space="preserve">The same is true for all the </w:t>
      </w:r>
      <w:r w:rsidRPr="001E0A3D">
        <w:rPr>
          <w:b/>
          <w:bCs/>
          <w:iCs/>
          <w:color w:val="000000"/>
        </w:rPr>
        <w:t>categories</w:t>
      </w:r>
      <w:r w:rsidRPr="001E0A3D">
        <w:rPr>
          <w:color w:val="000000"/>
        </w:rPr>
        <w:t xml:space="preserve">. </w:t>
      </w:r>
    </w:p>
    <w:p w14:paraId="56738A1D" w14:textId="77777777" w:rsidR="00D771D8" w:rsidRPr="001E0A3D" w:rsidRDefault="00D771D8" w:rsidP="002D47D0">
      <w:pPr>
        <w:pBdr>
          <w:top w:val="nil"/>
          <w:left w:val="nil"/>
          <w:bottom w:val="nil"/>
          <w:right w:val="nil"/>
          <w:between w:val="nil"/>
        </w:pBdr>
        <w:tabs>
          <w:tab w:val="left" w:pos="7513"/>
        </w:tabs>
        <w:ind w:firstLine="720"/>
        <w:rPr>
          <w:color w:val="000000"/>
        </w:rPr>
      </w:pPr>
    </w:p>
    <w:p w14:paraId="57BABD0D" w14:textId="77777777" w:rsidR="00D771D8" w:rsidRPr="000B3566" w:rsidRDefault="00D771D8" w:rsidP="000B0DB4">
      <w:pPr>
        <w:pBdr>
          <w:top w:val="nil"/>
          <w:left w:val="nil"/>
          <w:bottom w:val="nil"/>
          <w:right w:val="nil"/>
          <w:between w:val="nil"/>
        </w:pBdr>
        <w:tabs>
          <w:tab w:val="left" w:pos="7513"/>
        </w:tabs>
        <w:rPr>
          <w:color w:val="000000"/>
          <w:sz w:val="18"/>
          <w:szCs w:val="18"/>
          <w:rtl/>
        </w:rPr>
      </w:pPr>
    </w:p>
    <w:p w14:paraId="1DB3D297" w14:textId="2884EB15" w:rsidR="00D771D8" w:rsidRPr="001E0A3D" w:rsidRDefault="00D771D8" w:rsidP="00C9325A">
      <w:pPr>
        <w:rPr>
          <w:color w:val="000000"/>
        </w:rPr>
      </w:pPr>
      <w:r w:rsidRPr="001E0A3D">
        <w:rPr>
          <w:color w:val="000000"/>
        </w:rPr>
        <w:t xml:space="preserve">The terminology </w:t>
      </w:r>
      <w:r>
        <w:rPr>
          <w:color w:val="000000"/>
        </w:rPr>
        <w:t xml:space="preserve">used by Rav Hayya </w:t>
      </w:r>
      <w:r w:rsidRPr="001E0A3D">
        <w:rPr>
          <w:color w:val="000000"/>
        </w:rPr>
        <w:t xml:space="preserve">shows a clear connection to </w:t>
      </w:r>
      <w:r w:rsidRPr="001E0A3D">
        <w:t xml:space="preserve">the ten categories of Aristotle, </w:t>
      </w:r>
      <w:r w:rsidRPr="001E0A3D">
        <w:rPr>
          <w:color w:val="000000"/>
        </w:rPr>
        <w:t xml:space="preserve">in his </w:t>
      </w:r>
      <w:r w:rsidRPr="001E0A3D">
        <w:rPr>
          <w:i/>
          <w:color w:val="000000"/>
        </w:rPr>
        <w:t>Categories</w:t>
      </w:r>
      <w:r w:rsidRPr="001E0A3D">
        <w:rPr>
          <w:color w:val="000000"/>
        </w:rPr>
        <w:t xml:space="preserve"> in the</w:t>
      </w:r>
      <w:r w:rsidRPr="001E0A3D">
        <w:rPr>
          <w:i/>
          <w:color w:val="000000"/>
        </w:rPr>
        <w:t xml:space="preserve"> Organon</w:t>
      </w:r>
      <w:r w:rsidRPr="001E0A3D">
        <w:rPr>
          <w:color w:val="000000"/>
        </w:rPr>
        <w:t>.</w:t>
      </w:r>
      <w:r>
        <w:rPr>
          <w:color w:val="000000"/>
        </w:rPr>
        <w:t xml:space="preserve"> </w:t>
      </w:r>
      <w:r w:rsidRPr="001E0A3D">
        <w:t xml:space="preserve">A clear </w:t>
      </w:r>
      <w:r w:rsidRPr="001E0A3D">
        <w:rPr>
          <w:color w:val="000000"/>
        </w:rPr>
        <w:t xml:space="preserve">presentation of the concepts </w:t>
      </w:r>
      <w:r>
        <w:rPr>
          <w:color w:val="000000"/>
        </w:rPr>
        <w:t xml:space="preserve">in Arabic sources </w:t>
      </w:r>
      <w:r w:rsidRPr="001E0A3D">
        <w:rPr>
          <w:color w:val="000000"/>
        </w:rPr>
        <w:t xml:space="preserve">can be found in </w:t>
      </w:r>
      <w:r w:rsidRPr="001E0A3D">
        <w:rPr>
          <w:i/>
          <w:color w:val="000000"/>
        </w:rPr>
        <w:t xml:space="preserve">The Epistles of the </w:t>
      </w:r>
      <w:proofErr w:type="gramStart"/>
      <w:r w:rsidRPr="001E0A3D">
        <w:rPr>
          <w:i/>
          <w:color w:val="000000"/>
        </w:rPr>
        <w:t>Brethren</w:t>
      </w:r>
      <w:proofErr w:type="gramEnd"/>
      <w:r w:rsidRPr="001E0A3D">
        <w:rPr>
          <w:i/>
          <w:color w:val="000000"/>
        </w:rPr>
        <w:t xml:space="preserve"> of Purity</w:t>
      </w:r>
      <w:r w:rsidRPr="001E0A3D">
        <w:rPr>
          <w:color w:val="000000"/>
        </w:rPr>
        <w:t xml:space="preserve"> (</w:t>
      </w:r>
      <w:r w:rsidR="009930FC" w:rsidRPr="001E0A3D">
        <w:rPr>
          <w:i/>
          <w:iCs/>
        </w:rPr>
        <w:t>Ras</w:t>
      </w:r>
      <w:r w:rsidR="009930FC">
        <w:rPr>
          <w:i/>
          <w:iCs/>
        </w:rPr>
        <w:t>ā</w:t>
      </w:r>
      <w:r w:rsidR="009930FC" w:rsidRPr="001E0A3D">
        <w:rPr>
          <w:i/>
          <w:iCs/>
        </w:rPr>
        <w:t>ʾil ikhw</w:t>
      </w:r>
      <w:r w:rsidR="009930FC">
        <w:rPr>
          <w:i/>
          <w:iCs/>
        </w:rPr>
        <w:t>ā</w:t>
      </w:r>
      <w:r w:rsidR="009930FC" w:rsidRPr="001E0A3D">
        <w:rPr>
          <w:i/>
          <w:iCs/>
        </w:rPr>
        <w:t xml:space="preserve">n </w:t>
      </w:r>
      <w:r w:rsidRPr="001E0A3D">
        <w:rPr>
          <w:i/>
          <w:iCs/>
        </w:rPr>
        <w:t>al-</w:t>
      </w:r>
      <w:r w:rsidR="009930FC" w:rsidRPr="001E0A3D">
        <w:rPr>
          <w:i/>
          <w:iCs/>
        </w:rPr>
        <w:t>saf</w:t>
      </w:r>
      <w:r w:rsidR="009930FC">
        <w:rPr>
          <w:i/>
          <w:iCs/>
        </w:rPr>
        <w:t>ā</w:t>
      </w:r>
      <w:r w:rsidR="009930FC" w:rsidRPr="001E0A3D">
        <w:rPr>
          <w:i/>
          <w:iCs/>
        </w:rPr>
        <w:t>ʾ</w:t>
      </w:r>
      <w:r w:rsidRPr="001E0A3D">
        <w:rPr>
          <w:color w:val="000000"/>
        </w:rPr>
        <w:t xml:space="preserve">), an encyclopedia of </w:t>
      </w:r>
      <w:r w:rsidRPr="00C9325A">
        <w:rPr>
          <w:rFonts w:asciiTheme="majorBidi" w:hAnsiTheme="majorBidi" w:cstheme="majorBidi"/>
          <w:color w:val="000000"/>
        </w:rPr>
        <w:t>Neoplatonic</w:t>
      </w:r>
      <w:r w:rsidRPr="001E0A3D">
        <w:rPr>
          <w:color w:val="000000"/>
        </w:rPr>
        <w:t xml:space="preserve"> ideas </w:t>
      </w:r>
      <w:r w:rsidR="009930FC">
        <w:rPr>
          <w:color w:val="000000"/>
        </w:rPr>
        <w:t>composed in</w:t>
      </w:r>
      <w:r w:rsidR="009930FC" w:rsidRPr="001E0A3D">
        <w:rPr>
          <w:color w:val="000000"/>
        </w:rPr>
        <w:t xml:space="preserve"> </w:t>
      </w:r>
      <w:r w:rsidRPr="001E0A3D">
        <w:rPr>
          <w:color w:val="000000"/>
        </w:rPr>
        <w:t>tenth</w:t>
      </w:r>
      <w:r w:rsidR="009930FC">
        <w:rPr>
          <w:color w:val="000000"/>
        </w:rPr>
        <w:t>-</w:t>
      </w:r>
      <w:r w:rsidRPr="001E0A3D">
        <w:rPr>
          <w:color w:val="000000"/>
        </w:rPr>
        <w:t>century Iraq. Epistles 10</w:t>
      </w:r>
      <w:r w:rsidR="009930FC">
        <w:rPr>
          <w:color w:val="000000"/>
        </w:rPr>
        <w:t>–</w:t>
      </w:r>
      <w:r w:rsidRPr="001E0A3D">
        <w:rPr>
          <w:color w:val="000000"/>
        </w:rPr>
        <w:t xml:space="preserve">14 were devoted to “logic” and dealt with </w:t>
      </w:r>
      <w:r w:rsidR="009930FC">
        <w:rPr>
          <w:color w:val="000000"/>
        </w:rPr>
        <w:t>its</w:t>
      </w:r>
      <w:r w:rsidR="009930FC" w:rsidRPr="001E0A3D">
        <w:rPr>
          <w:color w:val="000000"/>
        </w:rPr>
        <w:t xml:space="preserve"> </w:t>
      </w:r>
      <w:r w:rsidRPr="001E0A3D">
        <w:rPr>
          <w:color w:val="000000"/>
        </w:rPr>
        <w:t xml:space="preserve">categories. </w:t>
      </w:r>
      <w:r>
        <w:rPr>
          <w:color w:val="000000"/>
        </w:rPr>
        <w:t>I</w:t>
      </w:r>
      <w:r w:rsidRPr="001E0A3D">
        <w:rPr>
          <w:color w:val="000000"/>
        </w:rPr>
        <w:t xml:space="preserve"> present it here for the sake of clarity</w:t>
      </w:r>
      <w:r>
        <w:rPr>
          <w:color w:val="000000"/>
        </w:rPr>
        <w:t xml:space="preserve">. </w:t>
      </w:r>
      <w:r w:rsidRPr="001E0A3D">
        <w:rPr>
          <w:color w:val="000000"/>
        </w:rPr>
        <w:t>In epistle 10, chapter 11 it states:</w:t>
      </w:r>
      <w:r w:rsidRPr="001E0A3D">
        <w:rPr>
          <w:color w:val="000000"/>
          <w:vertAlign w:val="superscript"/>
        </w:rPr>
        <w:footnoteReference w:id="25"/>
      </w:r>
      <w:r w:rsidRPr="001E0A3D">
        <w:rPr>
          <w:color w:val="000000"/>
        </w:rPr>
        <w:t xml:space="preserve"> </w:t>
      </w:r>
    </w:p>
    <w:p w14:paraId="16A2BE2E" w14:textId="77777777" w:rsidR="00D771D8" w:rsidRPr="001E0A3D" w:rsidRDefault="00D771D8" w:rsidP="008B69B8">
      <w:pPr>
        <w:pBdr>
          <w:top w:val="nil"/>
          <w:left w:val="nil"/>
          <w:bottom w:val="nil"/>
          <w:right w:val="nil"/>
          <w:between w:val="nil"/>
        </w:pBdr>
        <w:tabs>
          <w:tab w:val="left" w:pos="7513"/>
        </w:tabs>
        <w:rPr>
          <w:color w:val="000000"/>
        </w:rPr>
      </w:pPr>
    </w:p>
    <w:p w14:paraId="7C669D95" w14:textId="0E3B4033" w:rsidR="00D771D8" w:rsidRPr="001E0A3D" w:rsidRDefault="00D771D8" w:rsidP="008B69B8">
      <w:pPr>
        <w:pBdr>
          <w:top w:val="nil"/>
          <w:left w:val="nil"/>
          <w:bottom w:val="nil"/>
          <w:right w:val="nil"/>
          <w:between w:val="nil"/>
        </w:pBdr>
        <w:ind w:left="720" w:right="720"/>
        <w:rPr>
          <w:color w:val="000000"/>
        </w:rPr>
      </w:pPr>
      <w:r w:rsidRPr="001E0A3D">
        <w:rPr>
          <w:color w:val="000000"/>
        </w:rPr>
        <w:t>Know that the learned (</w:t>
      </w:r>
      <w:r w:rsidRPr="001E0A3D">
        <w:rPr>
          <w:i/>
          <w:iCs/>
          <w:color w:val="000000"/>
        </w:rPr>
        <w:t>ʿulamāʾ</w:t>
      </w:r>
      <w:r w:rsidRPr="001E0A3D">
        <w:rPr>
          <w:color w:val="000000"/>
        </w:rPr>
        <w:t>) said that all things (</w:t>
      </w:r>
      <w:r w:rsidRPr="001E0A3D">
        <w:rPr>
          <w:i/>
          <w:iCs/>
          <w:color w:val="000000"/>
        </w:rPr>
        <w:t>ʾashyāʾ</w:t>
      </w:r>
      <w:r w:rsidRPr="001E0A3D">
        <w:rPr>
          <w:color w:val="000000"/>
        </w:rPr>
        <w:t xml:space="preserve">) are of two species, substances </w:t>
      </w:r>
      <w:proofErr w:type="gramStart"/>
      <w:r w:rsidRPr="001E0A3D">
        <w:rPr>
          <w:color w:val="000000"/>
        </w:rPr>
        <w:t xml:space="preserve">( </w:t>
      </w:r>
      <w:r w:rsidRPr="001E0A3D">
        <w:rPr>
          <w:i/>
          <w:iCs/>
          <w:color w:val="000000"/>
        </w:rPr>
        <w:t>jawāhir</w:t>
      </w:r>
      <w:proofErr w:type="gramEnd"/>
      <w:r w:rsidRPr="001E0A3D">
        <w:rPr>
          <w:i/>
          <w:iCs/>
          <w:color w:val="000000"/>
        </w:rPr>
        <w:t xml:space="preserve">, </w:t>
      </w:r>
      <w:r w:rsidRPr="001E0A3D">
        <w:rPr>
          <w:color w:val="000000"/>
        </w:rPr>
        <w:t>plural of</w:t>
      </w:r>
      <w:r w:rsidRPr="001E0A3D">
        <w:rPr>
          <w:i/>
          <w:iCs/>
          <w:color w:val="000000"/>
        </w:rPr>
        <w:t xml:space="preserve"> jawhar</w:t>
      </w:r>
      <w:r w:rsidRPr="001E0A3D">
        <w:rPr>
          <w:color w:val="000000"/>
        </w:rPr>
        <w:t>) and accidents (</w:t>
      </w:r>
      <w:r w:rsidR="009930FC" w:rsidRPr="001E0A3D">
        <w:rPr>
          <w:i/>
          <w:iCs/>
          <w:color w:val="000000"/>
        </w:rPr>
        <w:t>ʾaʿr</w:t>
      </w:r>
      <w:r w:rsidR="009930FC">
        <w:rPr>
          <w:i/>
          <w:iCs/>
          <w:color w:val="000000"/>
        </w:rPr>
        <w:t>ā</w:t>
      </w:r>
      <w:r w:rsidR="009930FC" w:rsidRPr="001E0A3D">
        <w:rPr>
          <w:i/>
          <w:iCs/>
          <w:color w:val="000000"/>
        </w:rPr>
        <w:t>ḍ</w:t>
      </w:r>
      <w:r w:rsidRPr="001E0A3D">
        <w:rPr>
          <w:i/>
          <w:iCs/>
          <w:color w:val="000000"/>
        </w:rPr>
        <w:t xml:space="preserve">, </w:t>
      </w:r>
      <w:r w:rsidRPr="001E0A3D">
        <w:rPr>
          <w:color w:val="000000"/>
        </w:rPr>
        <w:t>plural of</w:t>
      </w:r>
      <w:r w:rsidRPr="001E0A3D">
        <w:rPr>
          <w:i/>
          <w:iCs/>
          <w:color w:val="000000"/>
        </w:rPr>
        <w:t xml:space="preserve"> ʿaraḍ</w:t>
      </w:r>
      <w:r w:rsidRPr="001E0A3D">
        <w:rPr>
          <w:color w:val="000000"/>
        </w:rPr>
        <w:t>); that all substances belong to the same genus,</w:t>
      </w:r>
      <w:r w:rsidRPr="001E0A3D">
        <w:rPr>
          <w:b/>
          <w:bCs/>
          <w:color w:val="000000"/>
        </w:rPr>
        <w:t xml:space="preserve"> subsisting in themselves (</w:t>
      </w:r>
      <w:r w:rsidRPr="001E0A3D">
        <w:rPr>
          <w:b/>
          <w:bCs/>
          <w:i/>
          <w:iCs/>
          <w:color w:val="000000"/>
        </w:rPr>
        <w:t>qāʾimah bi-dhāt-ha</w:t>
      </w:r>
      <w:r w:rsidRPr="001E0A3D">
        <w:rPr>
          <w:b/>
          <w:bCs/>
          <w:color w:val="000000"/>
        </w:rPr>
        <w:t xml:space="preserve">, variant b: </w:t>
      </w:r>
      <w:r w:rsidRPr="001E0A3D">
        <w:rPr>
          <w:b/>
          <w:bCs/>
          <w:i/>
          <w:iCs/>
          <w:color w:val="000000"/>
        </w:rPr>
        <w:t>bi-nafsihā</w:t>
      </w:r>
      <w:r w:rsidRPr="001E0A3D">
        <w:rPr>
          <w:b/>
          <w:bCs/>
          <w:color w:val="000000"/>
        </w:rPr>
        <w:t>)</w:t>
      </w:r>
      <w:r w:rsidRPr="001E0A3D">
        <w:rPr>
          <w:color w:val="000000"/>
        </w:rPr>
        <w:t xml:space="preserve"> while accidents belong to nine genera, and they reside in substance and are qualities of them…</w:t>
      </w:r>
    </w:p>
    <w:p w14:paraId="07B86A26" w14:textId="77777777" w:rsidR="00D771D8" w:rsidRPr="001E0A3D" w:rsidRDefault="00D771D8" w:rsidP="008B69B8">
      <w:pPr>
        <w:pBdr>
          <w:top w:val="nil"/>
          <w:left w:val="nil"/>
          <w:bottom w:val="nil"/>
          <w:right w:val="nil"/>
          <w:between w:val="nil"/>
        </w:pBdr>
        <w:tabs>
          <w:tab w:val="left" w:pos="7513"/>
        </w:tabs>
        <w:rPr>
          <w:color w:val="000000"/>
        </w:rPr>
      </w:pPr>
      <w:r w:rsidRPr="001E0A3D">
        <w:rPr>
          <w:color w:val="000000"/>
        </w:rPr>
        <w:t>And continue:</w:t>
      </w:r>
      <w:r w:rsidRPr="001E0A3D">
        <w:rPr>
          <w:color w:val="000000"/>
          <w:vertAlign w:val="superscript"/>
        </w:rPr>
        <w:t xml:space="preserve"> </w:t>
      </w:r>
      <w:r w:rsidRPr="001E0A3D">
        <w:rPr>
          <w:color w:val="000000"/>
          <w:vertAlign w:val="superscript"/>
        </w:rPr>
        <w:footnoteReference w:id="26"/>
      </w:r>
      <w:r w:rsidRPr="001E0A3D">
        <w:rPr>
          <w:color w:val="000000"/>
        </w:rPr>
        <w:t xml:space="preserve"> </w:t>
      </w:r>
    </w:p>
    <w:p w14:paraId="48CCE196" w14:textId="77777777" w:rsidR="00D771D8" w:rsidRPr="001E0A3D" w:rsidRDefault="00D771D8" w:rsidP="008B69B8">
      <w:pPr>
        <w:pBdr>
          <w:top w:val="nil"/>
          <w:left w:val="nil"/>
          <w:bottom w:val="nil"/>
          <w:right w:val="nil"/>
          <w:between w:val="nil"/>
        </w:pBdr>
        <w:ind w:left="720" w:right="720"/>
      </w:pPr>
      <w:r w:rsidRPr="001E0A3D">
        <w:rPr>
          <w:color w:val="000000"/>
        </w:rPr>
        <w:t xml:space="preserve"> The first (category) is “substance," and others are “quantity," “quality," “space," “time," “position” “relation," “possession," “activity," and </w:t>
      </w:r>
      <w:r w:rsidRPr="001E0A3D">
        <w:rPr>
          <w:color w:val="000000"/>
        </w:rPr>
        <w:lastRenderedPageBreak/>
        <w:t>“passivity." “</w:t>
      </w:r>
      <w:proofErr w:type="gramStart"/>
      <w:r w:rsidRPr="001E0A3D">
        <w:t>of</w:t>
      </w:r>
      <w:proofErr w:type="gramEnd"/>
      <w:r w:rsidRPr="001E0A3D">
        <w:t xml:space="preserve"> w</w:t>
      </w:r>
      <w:r w:rsidRPr="001E0A3D">
        <w:rPr>
          <w:color w:val="000000"/>
        </w:rPr>
        <w:t>hat quantity is it?” Is an inquiry into</w:t>
      </w:r>
      <w:r w:rsidRPr="001E0A3D">
        <w:t xml:space="preserve"> the</w:t>
      </w:r>
      <w:r w:rsidRPr="001E0A3D">
        <w:rPr>
          <w:color w:val="000000"/>
        </w:rPr>
        <w:t xml:space="preserve"> measure of the </w:t>
      </w:r>
      <w:r w:rsidRPr="001E0A3D">
        <w:t>thing</w:t>
      </w:r>
      <w:r w:rsidRPr="001E0A3D">
        <w:rPr>
          <w:color w:val="000000"/>
        </w:rPr>
        <w:t xml:space="preserve">; and there are four measures: numbered, weighed, measured by </w:t>
      </w:r>
      <w:r w:rsidRPr="001E0A3D">
        <w:rPr>
          <w:i/>
          <w:color w:val="000000"/>
        </w:rPr>
        <w:t>kayl</w:t>
      </w:r>
      <w:r w:rsidRPr="001E0A3D">
        <w:rPr>
          <w:color w:val="000000"/>
        </w:rPr>
        <w:t xml:space="preserve"> [a measure of weights], and measured by </w:t>
      </w:r>
      <w:r w:rsidRPr="001E0A3D">
        <w:rPr>
          <w:i/>
          <w:color w:val="000000"/>
        </w:rPr>
        <w:t>dhira</w:t>
      </w:r>
      <w:r w:rsidRPr="001E0A3D">
        <w:rPr>
          <w:color w:val="000000"/>
        </w:rPr>
        <w:t xml:space="preserve"> [a measure of length]. “How is it?” is an inquiry into its quality; and there are two species of qualities, accidental and substantial; substantial are those that determine the disappearance of the thing qualified with their disappearance, and accidental are those which do not cause the qualified to disappear along with their disappearance, like the body and its breadth and depth; and accidental qualities are complementary to the body, like its being square or triangular; indeed </w:t>
      </w:r>
      <w:r w:rsidRPr="001E0A3D">
        <w:rPr>
          <w:b/>
          <w:bCs/>
          <w:color w:val="000000"/>
        </w:rPr>
        <w:t>when these qualities disappear from the body, it does not disappear with their disappearance</w:t>
      </w:r>
      <w:r w:rsidRPr="001E0A3D">
        <w:rPr>
          <w:color w:val="000000"/>
        </w:rPr>
        <w:t>.</w:t>
      </w:r>
    </w:p>
    <w:p w14:paraId="7A93D106" w14:textId="121AA784" w:rsidR="00963930" w:rsidRDefault="00963930" w:rsidP="008B69B8">
      <w:pPr>
        <w:rPr>
          <w:color w:val="000000"/>
        </w:rPr>
      </w:pPr>
      <w:r w:rsidRPr="00963930">
        <w:rPr>
          <w:color w:val="000000"/>
        </w:rPr>
        <w:t>There is little room for doubt that Rav Hayya incorporated the concept and definition of categories into his work. However, pinpointing the exact source from which Rav Hayya drew inspiration proves to be a challenge. To our knowledge, Rav Hayya did not have proficiency in Ancient Greek.</w:t>
      </w:r>
      <w:r w:rsidRPr="00400926">
        <w:rPr>
          <w:color w:val="000000"/>
          <w:vertAlign w:val="superscript"/>
        </w:rPr>
        <w:t xml:space="preserve"> </w:t>
      </w:r>
      <w:r w:rsidRPr="001E0A3D">
        <w:rPr>
          <w:color w:val="000000"/>
          <w:vertAlign w:val="superscript"/>
        </w:rPr>
        <w:footnoteReference w:id="27"/>
      </w:r>
      <w:r w:rsidRPr="00400926">
        <w:rPr>
          <w:color w:val="000000"/>
        </w:rPr>
        <w:t xml:space="preserve"> </w:t>
      </w:r>
      <w:r w:rsidRPr="00963930">
        <w:rPr>
          <w:color w:val="000000"/>
        </w:rPr>
        <w:t>Nonetheless, Aristotle's construct of the ten categories was well-known within Islamic and Jewish scholarly circles.</w:t>
      </w:r>
    </w:p>
    <w:p w14:paraId="0AA4E76C" w14:textId="4ECCAEF3" w:rsidR="00963930" w:rsidRDefault="00963930" w:rsidP="007F7F5C">
      <w:pPr>
        <w:rPr>
          <w:color w:val="000000"/>
        </w:rPr>
      </w:pPr>
      <w:r w:rsidRPr="001E0A3D">
        <w:rPr>
          <w:color w:val="000000"/>
        </w:rPr>
        <w:t xml:space="preserve">Parts </w:t>
      </w:r>
      <w:r w:rsidRPr="00400926">
        <w:t xml:space="preserve">of </w:t>
      </w:r>
      <w:r w:rsidRPr="00963930">
        <w:rPr>
          <w:color w:val="000000"/>
        </w:rPr>
        <w:t xml:space="preserve">Aristotle's </w:t>
      </w:r>
      <w:r w:rsidRPr="00963930">
        <w:rPr>
          <w:i/>
          <w:iCs/>
          <w:color w:val="000000"/>
        </w:rPr>
        <w:t>Organon</w:t>
      </w:r>
      <w:r w:rsidRPr="00963930">
        <w:rPr>
          <w:color w:val="000000"/>
        </w:rPr>
        <w:t xml:space="preserve"> </w:t>
      </w:r>
      <w:r w:rsidRPr="00400926">
        <w:t xml:space="preserve">had been </w:t>
      </w:r>
      <w:r w:rsidRPr="00963930">
        <w:rPr>
          <w:color w:val="000000"/>
        </w:rPr>
        <w:t>translated into Arabic as early as the eighth century by Ibn al-Muqaffaʿ, and again in the ninth century by Abū Nūḥ al-Anbārī.</w:t>
      </w:r>
      <w:r w:rsidRPr="00963930">
        <w:rPr>
          <w:color w:val="000000"/>
          <w:vertAlign w:val="superscript"/>
        </w:rPr>
        <w:t xml:space="preserve"> </w:t>
      </w:r>
      <w:r w:rsidRPr="001E0A3D">
        <w:rPr>
          <w:color w:val="000000"/>
          <w:vertAlign w:val="superscript"/>
        </w:rPr>
        <w:footnoteReference w:id="28"/>
      </w:r>
      <w:r w:rsidRPr="001E0A3D">
        <w:rPr>
          <w:color w:val="000000"/>
        </w:rPr>
        <w:t xml:space="preserve"> </w:t>
      </w:r>
      <w:r w:rsidRPr="00963930">
        <w:rPr>
          <w:color w:val="000000"/>
        </w:rPr>
        <w:t xml:space="preserve"> Th</w:t>
      </w:r>
      <w:r>
        <w:rPr>
          <w:color w:val="000000"/>
        </w:rPr>
        <w:t xml:space="preserve">e concepts of the categories </w:t>
      </w:r>
      <w:r w:rsidRPr="00963930">
        <w:rPr>
          <w:color w:val="000000"/>
        </w:rPr>
        <w:t xml:space="preserve">extended to Jewish scholarship, as demonstrated by the 10th-century works of </w:t>
      </w:r>
      <w:r w:rsidR="00CA476C" w:rsidRPr="00CA476C">
        <w:rPr>
          <w:color w:val="000000"/>
        </w:rPr>
        <w:t>Dāwūd ibn Marwān al-Muqqamaṣ</w:t>
      </w:r>
      <w:r w:rsidR="00CA476C" w:rsidRPr="00CA476C">
        <w:rPr>
          <w:rFonts w:ascii="Arial" w:hAnsi="Arial" w:cs="Arial"/>
          <w:i/>
          <w:iCs/>
          <w:color w:val="202122"/>
          <w:sz w:val="21"/>
          <w:szCs w:val="21"/>
          <w:shd w:val="clear" w:color="auto" w:fill="FFFFFF"/>
        </w:rPr>
        <w:t xml:space="preserve"> </w:t>
      </w:r>
      <w:r w:rsidRPr="00963930">
        <w:rPr>
          <w:color w:val="000000"/>
        </w:rPr>
        <w:t xml:space="preserve"> </w:t>
      </w:r>
      <w:r w:rsidR="007F7F5C" w:rsidRPr="00963930">
        <w:rPr>
          <w:color w:val="000000"/>
        </w:rPr>
        <w:t xml:space="preserve">(d. 937, Raqqa, Syria) in his </w:t>
      </w:r>
      <w:r w:rsidR="007F7F5C" w:rsidRPr="00963930">
        <w:rPr>
          <w:color w:val="000000"/>
        </w:rPr>
        <w:lastRenderedPageBreak/>
        <w:t xml:space="preserve">work </w:t>
      </w:r>
      <w:r w:rsidR="007F7F5C" w:rsidRPr="00963930">
        <w:rPr>
          <w:i/>
          <w:iCs/>
          <w:color w:val="000000"/>
        </w:rPr>
        <w:t>Twenty Chapters</w:t>
      </w:r>
      <w:r w:rsidR="007F7F5C" w:rsidRPr="00963930">
        <w:rPr>
          <w:color w:val="000000"/>
        </w:rPr>
        <w:t xml:space="preserve"> (</w:t>
      </w:r>
      <w:r w:rsidR="009930FC" w:rsidRPr="00963930">
        <w:rPr>
          <w:i/>
          <w:iCs/>
          <w:color w:val="000000"/>
        </w:rPr>
        <w:t>Ishr</w:t>
      </w:r>
      <w:r w:rsidR="009930FC">
        <w:rPr>
          <w:i/>
          <w:iCs/>
          <w:color w:val="000000"/>
        </w:rPr>
        <w:t>ū</w:t>
      </w:r>
      <w:r w:rsidR="009930FC" w:rsidRPr="00963930">
        <w:rPr>
          <w:i/>
          <w:iCs/>
          <w:color w:val="000000"/>
        </w:rPr>
        <w:t>n Maḳ</w:t>
      </w:r>
      <w:r w:rsidR="009930FC">
        <w:rPr>
          <w:i/>
          <w:iCs/>
          <w:color w:val="000000"/>
        </w:rPr>
        <w:t>ā</w:t>
      </w:r>
      <w:r w:rsidR="009930FC" w:rsidRPr="00963930">
        <w:rPr>
          <w:i/>
          <w:iCs/>
          <w:color w:val="000000"/>
        </w:rPr>
        <w:t>lat</w:t>
      </w:r>
      <w:r w:rsidR="007F7F5C" w:rsidRPr="00963930">
        <w:rPr>
          <w:color w:val="000000"/>
        </w:rPr>
        <w:t>)</w:t>
      </w:r>
      <w:r w:rsidR="007F7F5C" w:rsidRPr="00963930">
        <w:rPr>
          <w:rStyle w:val="FootnoteReference"/>
        </w:rPr>
        <w:t xml:space="preserve"> </w:t>
      </w:r>
      <w:r w:rsidR="007F7F5C">
        <w:rPr>
          <w:rStyle w:val="FootnoteReference"/>
        </w:rPr>
        <w:footnoteReference w:id="29"/>
      </w:r>
      <w:r w:rsidRPr="00963930">
        <w:rPr>
          <w:color w:val="000000"/>
        </w:rPr>
        <w:t xml:space="preserve">and Rav </w:t>
      </w:r>
      <w:r w:rsidR="00CA476C">
        <w:rPr>
          <w:color w:val="000000"/>
        </w:rPr>
        <w:t>Saadia</w:t>
      </w:r>
      <w:r w:rsidRPr="00963930">
        <w:rPr>
          <w:color w:val="000000"/>
        </w:rPr>
        <w:t xml:space="preserve"> Gaon in the </w:t>
      </w:r>
      <w:r w:rsidRPr="007F7F5C">
        <w:rPr>
          <w:i/>
          <w:iCs/>
          <w:color w:val="000000"/>
        </w:rPr>
        <w:t>Book of Beliefs and Opinions</w:t>
      </w:r>
      <w:r w:rsidR="003A20A3">
        <w:rPr>
          <w:color w:val="000000"/>
        </w:rPr>
        <w:t>,</w:t>
      </w:r>
      <w:r w:rsidR="007F7F5C" w:rsidRPr="007F7F5C">
        <w:rPr>
          <w:vertAlign w:val="superscript"/>
        </w:rPr>
        <w:t xml:space="preserve"> </w:t>
      </w:r>
      <w:r w:rsidR="007F7F5C" w:rsidRPr="001E0A3D">
        <w:rPr>
          <w:vertAlign w:val="superscript"/>
        </w:rPr>
        <w:footnoteReference w:id="30"/>
      </w:r>
      <w:r w:rsidR="007F7F5C" w:rsidRPr="00963930">
        <w:rPr>
          <w:color w:val="000000"/>
        </w:rPr>
        <w:t xml:space="preserve"> </w:t>
      </w:r>
      <w:r w:rsidRPr="00963930">
        <w:rPr>
          <w:color w:val="000000"/>
        </w:rPr>
        <w:t xml:space="preserve">However, Rav Hayya's approach to the concept of categories does not directly align with that of his </w:t>
      </w:r>
      <w:r w:rsidR="007F7F5C">
        <w:rPr>
          <w:color w:val="000000"/>
        </w:rPr>
        <w:t xml:space="preserve">Jewish </w:t>
      </w:r>
      <w:r w:rsidRPr="00963930">
        <w:rPr>
          <w:color w:val="000000"/>
        </w:rPr>
        <w:t xml:space="preserve">predecessors, indicating that while he was part of a </w:t>
      </w:r>
      <w:r w:rsidR="007F7F5C">
        <w:rPr>
          <w:color w:val="000000"/>
        </w:rPr>
        <w:t xml:space="preserve">Jewish scholarly tradition, </w:t>
      </w:r>
      <w:r w:rsidRPr="00963930">
        <w:rPr>
          <w:color w:val="000000"/>
        </w:rPr>
        <w:t xml:space="preserve">his specific inspirations </w:t>
      </w:r>
      <w:r w:rsidR="007F7F5C">
        <w:rPr>
          <w:color w:val="000000"/>
        </w:rPr>
        <w:t xml:space="preserve">in this matter </w:t>
      </w:r>
      <w:r w:rsidRPr="00963930">
        <w:rPr>
          <w:color w:val="000000"/>
        </w:rPr>
        <w:t>might have come from elsewhere.</w:t>
      </w:r>
    </w:p>
    <w:p w14:paraId="03AE1C2D" w14:textId="77777777" w:rsidR="007F7F5C" w:rsidRDefault="007F7F5C" w:rsidP="008B69B8">
      <w:pPr>
        <w:rPr>
          <w:color w:val="000000"/>
        </w:rPr>
      </w:pPr>
    </w:p>
    <w:p w14:paraId="2529276C" w14:textId="2009CE72" w:rsidR="007F7F5C" w:rsidRDefault="007F7F5C" w:rsidP="008B69B8">
      <w:pPr>
        <w:rPr>
          <w:color w:val="000000"/>
        </w:rPr>
      </w:pPr>
      <w:r w:rsidRPr="007F7F5C">
        <w:rPr>
          <w:color w:val="000000"/>
        </w:rPr>
        <w:t>A closer examination of Rav Hayya's definition of 'accident' reveals a potential clue to his philosophical influences. He defines an accident as something that "will be in the object and may vanish while the subject will not vanish," a definition that closely mirrors that of Porphyry, a 3rd-century Neo-Platonic philosopher. Porphyry's definition,</w:t>
      </w:r>
      <w:r w:rsidRPr="007F7F5C">
        <w:rPr>
          <w:rStyle w:val="FootnoteReference"/>
          <w:color w:val="000000"/>
        </w:rPr>
        <w:t xml:space="preserve"> </w:t>
      </w:r>
      <w:r w:rsidRPr="001E0A3D">
        <w:rPr>
          <w:rStyle w:val="FootnoteReference"/>
          <w:color w:val="000000"/>
        </w:rPr>
        <w:footnoteReference w:id="31"/>
      </w:r>
      <w:r w:rsidRPr="007F7F5C">
        <w:rPr>
          <w:color w:val="000000"/>
        </w:rPr>
        <w:t xml:space="preserve"> "Accident is that which is present and absent without the destruction of its subject," suggests a direct philosophical lineage. Porphyry, who integrated Aristotelian concepts into Neo-Platonic thought, had his work, </w:t>
      </w:r>
      <w:r w:rsidRPr="007F7F5C">
        <w:rPr>
          <w:i/>
          <w:iCs/>
          <w:color w:val="000000"/>
        </w:rPr>
        <w:t>Isagoge</w:t>
      </w:r>
      <w:r w:rsidRPr="007F7F5C">
        <w:rPr>
          <w:color w:val="000000"/>
        </w:rPr>
        <w:t>—an introduction to Aristotle's logic—translated into Latin, Syriac, and Arabic, significantly impacting medieval scholarship across Islamic, Christian, and Jewish traditions.</w:t>
      </w:r>
      <w:r w:rsidRPr="007F7F5C">
        <w:rPr>
          <w:rStyle w:val="FootnoteReference"/>
        </w:rPr>
        <w:t xml:space="preserve"> </w:t>
      </w:r>
      <w:r w:rsidRPr="001E0A3D">
        <w:rPr>
          <w:rStyle w:val="FootnoteReference"/>
        </w:rPr>
        <w:footnoteReference w:id="32"/>
      </w:r>
    </w:p>
    <w:p w14:paraId="4148B917" w14:textId="751F065C" w:rsidR="007F7F5C" w:rsidRDefault="007F7F5C" w:rsidP="00054650">
      <w:pPr>
        <w:rPr>
          <w:color w:val="000000"/>
        </w:rPr>
      </w:pPr>
      <w:r w:rsidRPr="007F7F5C">
        <w:rPr>
          <w:color w:val="000000"/>
        </w:rPr>
        <w:lastRenderedPageBreak/>
        <w:t>The acceptance of Porphyry's definition among medieval Islamic scholars</w:t>
      </w:r>
      <w:r w:rsidRPr="001E0A3D">
        <w:rPr>
          <w:rStyle w:val="FootnoteReference"/>
          <w:color w:val="000000"/>
        </w:rPr>
        <w:footnoteReference w:id="33"/>
      </w:r>
      <w:r w:rsidRPr="007F7F5C">
        <w:rPr>
          <w:color w:val="000000"/>
        </w:rPr>
        <w:t xml:space="preserve"> and its acknowledgment by Jewish scholars in Baghdad further supports the possibility of Rav Hayya's indirect engagement with Porphyrian thought. This is substantiated by the citation and analysis of Porphyry's definition by Ibn Abī Saʿīd, a 10th-century Jewish Aristotelian philosopher from Iraq.</w:t>
      </w:r>
      <w:r w:rsidR="00054650" w:rsidRPr="00054650">
        <w:rPr>
          <w:rStyle w:val="FootnoteReference"/>
          <w:color w:val="000000"/>
        </w:rPr>
        <w:t xml:space="preserve"> </w:t>
      </w:r>
      <w:r w:rsidR="00054650" w:rsidRPr="001E0A3D">
        <w:rPr>
          <w:rStyle w:val="FootnoteReference"/>
          <w:color w:val="000000"/>
        </w:rPr>
        <w:footnoteReference w:id="34"/>
      </w:r>
      <w:r w:rsidR="00054650" w:rsidRPr="0073324A">
        <w:t xml:space="preserve"> </w:t>
      </w:r>
      <w:r w:rsidRPr="007F7F5C">
        <w:rPr>
          <w:color w:val="000000"/>
        </w:rPr>
        <w:t xml:space="preserve"> </w:t>
      </w:r>
      <w:r w:rsidR="00054650" w:rsidRPr="0073324A">
        <w:t>In a discourse concerning Aristotle's writings with his colleague, Yaḥyā ibn ʿAdī, a Christian philosopher based in Baghdad, Ibn Abī Saʿīd quoted the following definition: "... or as that which comes into being and passes away without the passing-away of its substratum".</w:t>
      </w:r>
      <w:r w:rsidR="00054650" w:rsidRPr="001E0A3D">
        <w:rPr>
          <w:rStyle w:val="FootnoteReference"/>
          <w:color w:val="000000"/>
        </w:rPr>
        <w:footnoteReference w:id="35"/>
      </w:r>
      <w:r w:rsidR="00054650">
        <w:t xml:space="preserve"> This </w:t>
      </w:r>
      <w:r w:rsidR="00054650">
        <w:rPr>
          <w:color w:val="000000"/>
        </w:rPr>
        <w:t xml:space="preserve">similarity may </w:t>
      </w:r>
      <w:r w:rsidRPr="007F7F5C">
        <w:rPr>
          <w:color w:val="000000"/>
        </w:rPr>
        <w:t>indicat</w:t>
      </w:r>
      <w:r w:rsidR="00054650">
        <w:rPr>
          <w:color w:val="000000"/>
        </w:rPr>
        <w:t>e</w:t>
      </w:r>
      <w:r w:rsidRPr="007F7F5C">
        <w:rPr>
          <w:color w:val="000000"/>
        </w:rPr>
        <w:t xml:space="preserve"> a shared intellectual heritage that could have influenced Rav Hayya's work. Thus, while Rav Hayya's direct sources remain uncertain, the broader intellectual milieu of his time, </w:t>
      </w:r>
      <w:r w:rsidRPr="007F7F5C">
        <w:rPr>
          <w:color w:val="000000"/>
        </w:rPr>
        <w:lastRenderedPageBreak/>
        <w:t xml:space="preserve">characterized by a synthesis of Aristotelian and </w:t>
      </w:r>
      <w:bookmarkStart w:id="1" w:name="_Hlk160354204"/>
      <w:r w:rsidRPr="007F7F5C">
        <w:rPr>
          <w:color w:val="000000"/>
        </w:rPr>
        <w:t xml:space="preserve">Neo-Platonic </w:t>
      </w:r>
      <w:bookmarkEnd w:id="1"/>
      <w:r w:rsidRPr="007F7F5C">
        <w:rPr>
          <w:color w:val="000000"/>
        </w:rPr>
        <w:t>thought, likely shaped his philosophical perspectives.</w:t>
      </w:r>
    </w:p>
    <w:p w14:paraId="197C8F67" w14:textId="6A2A5B68" w:rsidR="00D771D8" w:rsidRDefault="00D771D8" w:rsidP="0073324A">
      <w:pPr>
        <w:pBdr>
          <w:top w:val="nil"/>
          <w:left w:val="nil"/>
          <w:bottom w:val="nil"/>
          <w:right w:val="nil"/>
          <w:between w:val="nil"/>
        </w:pBdr>
        <w:tabs>
          <w:tab w:val="left" w:pos="7513"/>
        </w:tabs>
        <w:ind w:firstLine="720"/>
        <w:rPr>
          <w:color w:val="000000"/>
        </w:rPr>
      </w:pPr>
      <w:r w:rsidRPr="0073324A">
        <w:rPr>
          <w:color w:val="000000"/>
        </w:rPr>
        <w:t>An additional notable feature in Rav Hayya's terminology deserves attention. He employs the term 'body' (</w:t>
      </w:r>
      <w:r w:rsidRPr="0073324A">
        <w:rPr>
          <w:i/>
          <w:iCs/>
          <w:color w:val="000000"/>
        </w:rPr>
        <w:t>jism</w:t>
      </w:r>
      <w:r w:rsidRPr="0073324A">
        <w:rPr>
          <w:color w:val="000000"/>
        </w:rPr>
        <w:t xml:space="preserve">), categorizing it within the first category, yet he omits the more commonplace term </w:t>
      </w:r>
      <w:r w:rsidRPr="0073324A">
        <w:rPr>
          <w:i/>
          <w:iCs/>
          <w:color w:val="000000"/>
        </w:rPr>
        <w:t>'jawhar'</w:t>
      </w:r>
      <w:r w:rsidRPr="0073324A">
        <w:rPr>
          <w:color w:val="000000"/>
        </w:rPr>
        <w:t xml:space="preserve"> for substance. Furthermore, he emphasizes that dimensions constitute an accident, while bodies fall under the first category, equating to substances, as they serve as 'dimension bearers' (but are not dimensions themselves). He penned: "a sale can be constituted on everything which has length, width, and depth, and cannot be constituted on its length, width, and depth by themselves [as this is part of the </w:t>
      </w:r>
      <w:r w:rsidRPr="0073324A">
        <w:rPr>
          <w:i/>
          <w:iCs/>
          <w:color w:val="000000"/>
        </w:rPr>
        <w:t>quantity</w:t>
      </w:r>
      <w:r w:rsidRPr="0073324A">
        <w:rPr>
          <w:color w:val="000000"/>
        </w:rPr>
        <w:t xml:space="preserve"> nor] on its color as this is part of the </w:t>
      </w:r>
      <w:r w:rsidRPr="0073324A">
        <w:rPr>
          <w:i/>
          <w:iCs/>
          <w:color w:val="000000"/>
        </w:rPr>
        <w:t>quality</w:t>
      </w:r>
      <w:r w:rsidRPr="0073324A">
        <w:rPr>
          <w:color w:val="000000"/>
        </w:rPr>
        <w:t>".</w:t>
      </w:r>
    </w:p>
    <w:p w14:paraId="533591E4" w14:textId="470E9F66" w:rsidR="00D771D8" w:rsidRPr="00D41E17" w:rsidRDefault="00D771D8" w:rsidP="00D41E17">
      <w:pPr>
        <w:pBdr>
          <w:top w:val="nil"/>
          <w:left w:val="nil"/>
          <w:bottom w:val="nil"/>
          <w:right w:val="nil"/>
          <w:between w:val="nil"/>
        </w:pBdr>
        <w:tabs>
          <w:tab w:val="left" w:pos="7513"/>
        </w:tabs>
        <w:ind w:firstLine="720"/>
      </w:pPr>
      <w:r w:rsidRPr="00D41E17">
        <w:t>These very issues engaged the (Aristotelian</w:t>
      </w:r>
      <w:r w:rsidR="007B24A6">
        <w:t xml:space="preserve"> and </w:t>
      </w:r>
      <w:r w:rsidR="007B24A6" w:rsidRPr="007F7F5C">
        <w:rPr>
          <w:color w:val="000000"/>
        </w:rPr>
        <w:t>Neo-Platonic</w:t>
      </w:r>
      <w:r w:rsidRPr="00D41E17">
        <w:t xml:space="preserve">) philosophers of the 10th century based in Cairo and Baghdad. Some of these discussions have been preserved in a treatise by Yaḥyā ibn ʿAdī, titled 'On Whether Body Is a Substance </w:t>
      </w:r>
      <w:proofErr w:type="gramStart"/>
      <w:r w:rsidR="005919EF">
        <w:t>Or</w:t>
      </w:r>
      <w:proofErr w:type="gramEnd"/>
      <w:r w:rsidR="005919EF">
        <w:t xml:space="preserve"> </w:t>
      </w:r>
      <w:r w:rsidRPr="00D41E17">
        <w:t>a Quantity'. The introductory phrase reads: "A copy of what Yaḥyā ibn ʿAdī wrote in adjudicating between Ibrāhīm ibn ʿAlī (known as Abū Naṣr ibn ʿAdī) the Secretary and his Opponent, concerning their disagreement about whether body (</w:t>
      </w:r>
      <w:r w:rsidRPr="00D41E17">
        <w:rPr>
          <w:i/>
          <w:iCs/>
        </w:rPr>
        <w:t>jism</w:t>
      </w:r>
      <w:r w:rsidRPr="00D41E17">
        <w:t>) is a substance (</w:t>
      </w:r>
      <w:r w:rsidRPr="00D41E17">
        <w:rPr>
          <w:i/>
          <w:iCs/>
        </w:rPr>
        <w:t>jawhar</w:t>
      </w:r>
      <w:r w:rsidRPr="00D41E17">
        <w:t>) or an accident (</w:t>
      </w:r>
      <w:r w:rsidRPr="00D41E17">
        <w:rPr>
          <w:i/>
          <w:iCs/>
        </w:rPr>
        <w:t>ʿaraḍ</w:t>
      </w:r>
      <w:r w:rsidRPr="00D41E17">
        <w:t>); and [a copy of] what he wrote to Prince Sayf-al-Dawla Abū al-Ḥasan ʿAlī ibn ʿAbd-Allāh ibn Ḥamdān".</w:t>
      </w:r>
      <w:r w:rsidRPr="00D41E17">
        <w:rPr>
          <w:rStyle w:val="FootnoteReference"/>
        </w:rPr>
        <w:footnoteReference w:id="36"/>
      </w:r>
      <w:r w:rsidRPr="00D41E17">
        <w:t xml:space="preserve"> This treatise was written in response to a dispute over Yaḥyā's previous work concerning bodies, in which he posited that a body is a type of substance.</w:t>
      </w:r>
      <w:r w:rsidRPr="00D41E17">
        <w:rPr>
          <w:rStyle w:val="FootnoteReference"/>
        </w:rPr>
        <w:t xml:space="preserve"> </w:t>
      </w:r>
      <w:r w:rsidRPr="00D41E17">
        <w:rPr>
          <w:rStyle w:val="FootnoteReference"/>
        </w:rPr>
        <w:footnoteReference w:id="37"/>
      </w:r>
    </w:p>
    <w:p w14:paraId="492AC779" w14:textId="77777777" w:rsidR="00D771D8" w:rsidRPr="00D41E17" w:rsidRDefault="00D771D8" w:rsidP="00D41E17">
      <w:pPr>
        <w:pBdr>
          <w:top w:val="nil"/>
          <w:left w:val="nil"/>
          <w:bottom w:val="nil"/>
          <w:right w:val="nil"/>
          <w:between w:val="nil"/>
        </w:pBdr>
        <w:tabs>
          <w:tab w:val="left" w:pos="7513"/>
        </w:tabs>
        <w:ind w:firstLine="720"/>
      </w:pPr>
    </w:p>
    <w:p w14:paraId="276B5394" w14:textId="784CCE2F" w:rsidR="00D771D8" w:rsidRPr="00D41E17" w:rsidRDefault="00D771D8" w:rsidP="00D41E17">
      <w:pPr>
        <w:pBdr>
          <w:top w:val="nil"/>
          <w:left w:val="nil"/>
          <w:bottom w:val="nil"/>
          <w:right w:val="nil"/>
          <w:between w:val="nil"/>
        </w:pBdr>
        <w:tabs>
          <w:tab w:val="left" w:pos="7513"/>
        </w:tabs>
        <w:ind w:firstLine="720"/>
      </w:pPr>
      <w:r w:rsidRPr="00D41E17">
        <w:lastRenderedPageBreak/>
        <w:t>It appears that Rav Hayya concurred with the notion that a body is a substance, and therefore, he applied the definition of substance to body (</w:t>
      </w:r>
      <w:r w:rsidRPr="00D41E17">
        <w:rPr>
          <w:i/>
          <w:iCs/>
        </w:rPr>
        <w:t>jism</w:t>
      </w:r>
      <w:r w:rsidRPr="00D41E17">
        <w:t>). In his treatise 'On Whether Body Is a Substance</w:t>
      </w:r>
      <w:r w:rsidR="005919EF">
        <w:t xml:space="preserve"> </w:t>
      </w:r>
      <w:proofErr w:type="gramStart"/>
      <w:r w:rsidR="005919EF">
        <w:t>Or</w:t>
      </w:r>
      <w:proofErr w:type="gramEnd"/>
      <w:r w:rsidRPr="00D41E17">
        <w:t xml:space="preserve"> a Quantity', Yaḥyā also addresses the distinction between dimensions as an accident and the body as a 'dimension bearer'. Yaḥyā says:</w:t>
      </w:r>
      <w:r w:rsidRPr="00D41E17">
        <w:rPr>
          <w:rStyle w:val="FootnoteReference"/>
        </w:rPr>
        <w:footnoteReference w:id="38"/>
      </w:r>
    </w:p>
    <w:p w14:paraId="72429F5D" w14:textId="77777777" w:rsidR="00D771D8" w:rsidRDefault="00D771D8" w:rsidP="008B69B8">
      <w:pPr>
        <w:pBdr>
          <w:top w:val="nil"/>
          <w:left w:val="nil"/>
          <w:bottom w:val="nil"/>
          <w:right w:val="nil"/>
          <w:between w:val="nil"/>
        </w:pBdr>
        <w:tabs>
          <w:tab w:val="left" w:pos="7513"/>
        </w:tabs>
        <w:ind w:firstLine="720"/>
        <w:rPr>
          <w:color w:val="000000"/>
          <w:lang w:bidi="ar-JO"/>
        </w:rPr>
      </w:pPr>
    </w:p>
    <w:p w14:paraId="27C45F89" w14:textId="4F7FE273" w:rsidR="00D771D8" w:rsidRDefault="00D771D8" w:rsidP="008B69B8">
      <w:pPr>
        <w:pBdr>
          <w:top w:val="nil"/>
          <w:left w:val="nil"/>
          <w:bottom w:val="nil"/>
          <w:right w:val="nil"/>
          <w:between w:val="nil"/>
        </w:pBdr>
        <w:ind w:left="720" w:right="720"/>
        <w:rPr>
          <w:color w:val="000000"/>
        </w:rPr>
      </w:pPr>
      <w:r w:rsidRPr="001E0A3D">
        <w:rPr>
          <w:color w:val="000000"/>
        </w:rPr>
        <w:t>“</w:t>
      </w:r>
      <w:r>
        <w:rPr>
          <w:color w:val="000000"/>
        </w:rPr>
        <w:t>Y</w:t>
      </w:r>
      <w:r w:rsidRPr="001E0A3D">
        <w:rPr>
          <w:color w:val="000000"/>
        </w:rPr>
        <w:t xml:space="preserve">ou will find [that] the possessors of length, </w:t>
      </w:r>
      <w:proofErr w:type="gramStart"/>
      <w:r w:rsidRPr="001E0A3D">
        <w:rPr>
          <w:color w:val="000000"/>
        </w:rPr>
        <w:t>breadth</w:t>
      </w:r>
      <w:proofErr w:type="gramEnd"/>
      <w:r w:rsidRPr="001E0A3D">
        <w:rPr>
          <w:color w:val="000000"/>
        </w:rPr>
        <w:t xml:space="preserve"> and depth… cannot be affirmed as existing when length, breadth and depth have been separated from them, even in the imagination, let alone in actual existence. And this is the case of things that are constitutive of the thing they are in, and [are] the parts out of which its essence exists.</w:t>
      </w:r>
    </w:p>
    <w:p w14:paraId="7B369075" w14:textId="77777777" w:rsidR="00825B46" w:rsidRPr="001E0A3D" w:rsidRDefault="00825B46" w:rsidP="008B69B8">
      <w:pPr>
        <w:pBdr>
          <w:top w:val="nil"/>
          <w:left w:val="nil"/>
          <w:bottom w:val="nil"/>
          <w:right w:val="nil"/>
          <w:between w:val="nil"/>
        </w:pBdr>
        <w:ind w:left="720" w:right="720"/>
        <w:rPr>
          <w:color w:val="000000"/>
        </w:rPr>
      </w:pPr>
    </w:p>
    <w:p w14:paraId="419EDF77" w14:textId="4BC9DDB6" w:rsidR="00825B46" w:rsidRPr="00825B46" w:rsidRDefault="00825B46" w:rsidP="00825B46">
      <w:pPr>
        <w:pBdr>
          <w:top w:val="nil"/>
          <w:left w:val="nil"/>
          <w:bottom w:val="nil"/>
          <w:right w:val="nil"/>
          <w:between w:val="nil"/>
        </w:pBdr>
        <w:tabs>
          <w:tab w:val="left" w:pos="7513"/>
        </w:tabs>
        <w:ind w:firstLine="720"/>
        <w:rPr>
          <w:color w:val="000000"/>
        </w:rPr>
      </w:pPr>
      <w:r w:rsidRPr="00825B46">
        <w:rPr>
          <w:color w:val="000000"/>
        </w:rPr>
        <w:t>The overall impression suggests that Rav Hayya had some familiarity with the Iraqi philosophers of his era, likely within the circles of Yaḥyā ibn ʿAdī or similar, and he integrated their concepts into his judicial work.</w:t>
      </w:r>
      <w:r w:rsidR="00BF2697">
        <w:rPr>
          <w:rStyle w:val="FootnoteReference"/>
          <w:color w:val="000000"/>
        </w:rPr>
        <w:footnoteReference w:id="39"/>
      </w:r>
      <w:r w:rsidRPr="00825B46">
        <w:rPr>
          <w:color w:val="000000"/>
        </w:rPr>
        <w:t xml:space="preserve"> However, Rav Hayya’s choice to adopt these concepts was not insignificant. Several medieval theologians dismissed the Aristotelian approach and proposed alternate theories.</w:t>
      </w:r>
      <w:r w:rsidRPr="00825B46">
        <w:rPr>
          <w:color w:val="000000"/>
          <w:vertAlign w:val="superscript"/>
        </w:rPr>
        <w:t xml:space="preserve"> </w:t>
      </w:r>
      <w:r w:rsidRPr="001E0A3D">
        <w:rPr>
          <w:color w:val="000000"/>
          <w:vertAlign w:val="superscript"/>
        </w:rPr>
        <w:footnoteReference w:id="40"/>
      </w:r>
    </w:p>
    <w:p w14:paraId="7B642FBA" w14:textId="76FAD597" w:rsidR="00D771D8" w:rsidRPr="001E0A3D" w:rsidRDefault="00825B46" w:rsidP="00825B46">
      <w:pPr>
        <w:pBdr>
          <w:top w:val="nil"/>
          <w:left w:val="nil"/>
          <w:bottom w:val="nil"/>
          <w:right w:val="nil"/>
          <w:between w:val="nil"/>
        </w:pBdr>
        <w:tabs>
          <w:tab w:val="left" w:pos="7513"/>
        </w:tabs>
        <w:ind w:firstLine="720"/>
        <w:rPr>
          <w:color w:val="000000"/>
        </w:rPr>
      </w:pPr>
      <w:r w:rsidRPr="00825B46">
        <w:rPr>
          <w:color w:val="000000"/>
        </w:rPr>
        <w:t xml:space="preserve">For instance, the theory of time-atomism was developed by the early Muʿtazilī theologian Ḍirār b. ʿAmr (d. 815), who was </w:t>
      </w:r>
      <w:r w:rsidR="000D0577">
        <w:rPr>
          <w:color w:val="000000"/>
        </w:rPr>
        <w:t>active</w:t>
      </w:r>
      <w:r w:rsidR="000D0577" w:rsidRPr="00825B46">
        <w:rPr>
          <w:color w:val="000000"/>
        </w:rPr>
        <w:t xml:space="preserve"> </w:t>
      </w:r>
      <w:r w:rsidRPr="00825B46">
        <w:rPr>
          <w:color w:val="000000"/>
        </w:rPr>
        <w:t xml:space="preserve">in Baṣra. He </w:t>
      </w:r>
      <w:r w:rsidRPr="001E0A3D">
        <w:rPr>
          <w:color w:val="000000"/>
        </w:rPr>
        <w:t xml:space="preserve">rejected </w:t>
      </w:r>
      <w:r w:rsidRPr="00825B46">
        <w:rPr>
          <w:color w:val="000000"/>
        </w:rPr>
        <w:t xml:space="preserve">Aristotle’s theory of substance and accidents and asserted that there is no bodily substance. Instead, a physical object is a bundle of attributes, and these attributes solely exist within the physical object. The accidents cannot persist for two consecutive moments but are </w:t>
      </w:r>
      <w:r w:rsidRPr="00825B46">
        <w:rPr>
          <w:color w:val="000000"/>
        </w:rPr>
        <w:lastRenderedPageBreak/>
        <w:t>continually re-created by God.</w:t>
      </w:r>
      <w:r w:rsidRPr="001E0A3D">
        <w:rPr>
          <w:color w:val="000000"/>
          <w:vertAlign w:val="superscript"/>
        </w:rPr>
        <w:footnoteReference w:id="41"/>
      </w:r>
      <w:r w:rsidRPr="00825B46">
        <w:rPr>
          <w:color w:val="000000"/>
        </w:rPr>
        <w:t xml:space="preserve"> The Ashʿarite school</w:t>
      </w:r>
      <w:r w:rsidR="005919EF">
        <w:rPr>
          <w:rStyle w:val="FootnoteReference"/>
          <w:color w:val="000000"/>
        </w:rPr>
        <w:footnoteReference w:id="42"/>
      </w:r>
      <w:r w:rsidRPr="00825B46">
        <w:rPr>
          <w:color w:val="000000"/>
        </w:rPr>
        <w:t xml:space="preserve"> adopted the idea of time-atomism in a more sophisticated form, as highlighted by Fakhry:</w:t>
      </w:r>
      <w:r w:rsidR="00D771D8" w:rsidRPr="001E0A3D">
        <w:rPr>
          <w:color w:val="222222"/>
          <w:vertAlign w:val="superscript"/>
        </w:rPr>
        <w:footnoteReference w:id="43"/>
      </w:r>
    </w:p>
    <w:p w14:paraId="4D87DA58" w14:textId="77777777" w:rsidR="00D771D8" w:rsidRPr="001E0A3D" w:rsidRDefault="00D771D8" w:rsidP="008B69B8">
      <w:pPr>
        <w:pBdr>
          <w:top w:val="nil"/>
          <w:left w:val="nil"/>
          <w:bottom w:val="nil"/>
          <w:right w:val="nil"/>
          <w:between w:val="nil"/>
        </w:pBdr>
        <w:tabs>
          <w:tab w:val="left" w:pos="7513"/>
        </w:tabs>
        <w:rPr>
          <w:color w:val="000000"/>
        </w:rPr>
      </w:pPr>
    </w:p>
    <w:p w14:paraId="6FD051D6" w14:textId="77777777" w:rsidR="00D771D8" w:rsidRPr="001E0A3D" w:rsidRDefault="00D771D8" w:rsidP="008B69B8">
      <w:pPr>
        <w:pBdr>
          <w:top w:val="nil"/>
          <w:left w:val="nil"/>
          <w:bottom w:val="nil"/>
          <w:right w:val="nil"/>
          <w:between w:val="nil"/>
        </w:pBdr>
        <w:ind w:left="720" w:right="720"/>
        <w:rPr>
          <w:color w:val="000000"/>
        </w:rPr>
      </w:pPr>
      <w:r w:rsidRPr="001E0A3D">
        <w:rPr>
          <w:color w:val="000000"/>
        </w:rPr>
        <w:t xml:space="preserve">Perhaps the most characteristic feature of the accidents of Kalām </w:t>
      </w:r>
      <w:r w:rsidRPr="001E0A3D">
        <w:t>[</w:t>
      </w:r>
      <w:r w:rsidRPr="001E0A3D">
        <w:rPr>
          <w:color w:val="000000"/>
        </w:rPr>
        <w:t>=theology</w:t>
      </w:r>
      <w:r w:rsidRPr="001E0A3D">
        <w:t>]</w:t>
      </w:r>
      <w:r w:rsidRPr="001E0A3D">
        <w:rPr>
          <w:color w:val="000000"/>
        </w:rPr>
        <w:t xml:space="preserve"> is their perishable nature. The Ashʿarite school in general held that accidents were perishable by definition, so to </w:t>
      </w:r>
      <w:proofErr w:type="gramStart"/>
      <w:r w:rsidRPr="001E0A3D">
        <w:rPr>
          <w:color w:val="000000"/>
        </w:rPr>
        <w:t>speak;</w:t>
      </w:r>
      <w:proofErr w:type="gramEnd"/>
      <w:r w:rsidRPr="001E0A3D">
        <w:rPr>
          <w:color w:val="000000"/>
        </w:rPr>
        <w:t xml:space="preserve"> since their persistence in being was unthinkable. Al-Bāqilāni (d. 1013), for instance, who is credited with having refined the atomism of Islam defines the accident as “that which cannot endure … but perishes in the second instant of its coming-to-be."</w:t>
      </w:r>
    </w:p>
    <w:p w14:paraId="25E05FDA" w14:textId="77777777" w:rsidR="00D771D8" w:rsidRPr="001E0A3D" w:rsidRDefault="00D771D8" w:rsidP="008B69B8">
      <w:pPr>
        <w:pBdr>
          <w:top w:val="nil"/>
          <w:left w:val="nil"/>
          <w:bottom w:val="nil"/>
          <w:right w:val="nil"/>
          <w:between w:val="nil"/>
        </w:pBdr>
        <w:tabs>
          <w:tab w:val="left" w:pos="7513"/>
        </w:tabs>
        <w:rPr>
          <w:color w:val="000000"/>
        </w:rPr>
      </w:pPr>
    </w:p>
    <w:p w14:paraId="2BC9F142" w14:textId="77777777" w:rsidR="00D771D8" w:rsidRPr="001E0A3D" w:rsidRDefault="00D771D8" w:rsidP="008B69B8">
      <w:pPr>
        <w:pBdr>
          <w:top w:val="nil"/>
          <w:left w:val="nil"/>
          <w:bottom w:val="nil"/>
          <w:right w:val="nil"/>
          <w:between w:val="nil"/>
        </w:pBdr>
        <w:tabs>
          <w:tab w:val="left" w:pos="7513"/>
        </w:tabs>
        <w:rPr>
          <w:color w:val="000000"/>
          <w:vertAlign w:val="superscript"/>
        </w:rPr>
      </w:pPr>
      <w:bookmarkStart w:id="2" w:name="_heading=h.2et92p0" w:colFirst="0" w:colLast="0"/>
      <w:bookmarkEnd w:id="2"/>
      <w:r w:rsidRPr="001E0A3D">
        <w:rPr>
          <w:color w:val="000000"/>
        </w:rPr>
        <w:t>Fakhry goes on to explain:</w:t>
      </w:r>
      <w:r w:rsidRPr="001E0A3D">
        <w:rPr>
          <w:color w:val="000000"/>
          <w:vertAlign w:val="superscript"/>
        </w:rPr>
        <w:t xml:space="preserve"> </w:t>
      </w:r>
      <w:r w:rsidRPr="001E0A3D">
        <w:rPr>
          <w:color w:val="000000"/>
          <w:vertAlign w:val="superscript"/>
        </w:rPr>
        <w:footnoteReference w:id="44"/>
      </w:r>
    </w:p>
    <w:p w14:paraId="7D393A41" w14:textId="77777777" w:rsidR="00D771D8" w:rsidRDefault="00D771D8" w:rsidP="008B69B8">
      <w:pPr>
        <w:pBdr>
          <w:top w:val="nil"/>
          <w:left w:val="nil"/>
          <w:bottom w:val="nil"/>
          <w:right w:val="nil"/>
          <w:between w:val="nil"/>
        </w:pBdr>
        <w:ind w:left="720" w:right="720"/>
        <w:rPr>
          <w:color w:val="000000"/>
        </w:rPr>
      </w:pPr>
      <w:r w:rsidRPr="001E0A3D">
        <w:rPr>
          <w:color w:val="000000"/>
        </w:rPr>
        <w:lastRenderedPageBreak/>
        <w:t xml:space="preserve">What has </w:t>
      </w:r>
      <w:proofErr w:type="gramStart"/>
      <w:r w:rsidRPr="001E0A3D">
        <w:rPr>
          <w:color w:val="000000"/>
        </w:rPr>
        <w:t>actually happened</w:t>
      </w:r>
      <w:proofErr w:type="gramEnd"/>
      <w:r w:rsidRPr="001E0A3D">
        <w:rPr>
          <w:color w:val="000000"/>
        </w:rPr>
        <w:t xml:space="preserve">, the Mutakalims </w:t>
      </w:r>
      <w:r w:rsidRPr="001E0A3D">
        <w:t>[</w:t>
      </w:r>
      <w:r w:rsidRPr="001E0A3D">
        <w:rPr>
          <w:color w:val="000000"/>
        </w:rPr>
        <w:t>=theologians</w:t>
      </w:r>
      <w:r w:rsidRPr="001E0A3D">
        <w:t>]</w:t>
      </w:r>
      <w:r w:rsidRPr="001E0A3D">
        <w:rPr>
          <w:color w:val="000000"/>
        </w:rPr>
        <w:t xml:space="preserve"> argue, is that God, who is the true Agent of pigmentation, causes the accident white to cease upon the application of the red pigment and itself does not endure, so that God recreates in the garment a similar accident as long as He wishes. However, were He disposed there would be nothing to prevent Him from creating in it the accident yellow or the accident black. </w:t>
      </w:r>
    </w:p>
    <w:p w14:paraId="30237EB5" w14:textId="77777777" w:rsidR="00E865EC" w:rsidRPr="001E0A3D" w:rsidRDefault="00E865EC" w:rsidP="008B69B8">
      <w:pPr>
        <w:pBdr>
          <w:top w:val="nil"/>
          <w:left w:val="nil"/>
          <w:bottom w:val="nil"/>
          <w:right w:val="nil"/>
          <w:between w:val="nil"/>
        </w:pBdr>
        <w:ind w:left="720" w:right="720"/>
        <w:rPr>
          <w:color w:val="000000"/>
        </w:rPr>
      </w:pPr>
    </w:p>
    <w:p w14:paraId="4DE22D79" w14:textId="0FE0F3E6" w:rsidR="00E865EC" w:rsidRDefault="00E865EC" w:rsidP="00E865EC">
      <w:pPr>
        <w:pBdr>
          <w:top w:val="nil"/>
          <w:left w:val="nil"/>
          <w:bottom w:val="nil"/>
          <w:right w:val="nil"/>
          <w:between w:val="nil"/>
        </w:pBdr>
        <w:tabs>
          <w:tab w:val="left" w:pos="7513"/>
        </w:tabs>
        <w:ind w:firstLine="720"/>
        <w:rPr>
          <w:color w:val="000000"/>
        </w:rPr>
      </w:pPr>
      <w:r w:rsidRPr="00E865EC">
        <w:rPr>
          <w:color w:val="000000"/>
        </w:rPr>
        <w:t xml:space="preserve">Rav Hayya refrained from engaging with questions of physics, such as the constitution of the universe, be it comprised of four elements or atoms, or metaphysical queries pertaining to the nature of celestial bodies. His attention was directed entirely towards understanding the broader concept of categories, along with the definition of physical entities and their incidental characteristics. To my understanding, this represents the initial application of the ten categories </w:t>
      </w:r>
      <w:r w:rsidR="000D0577">
        <w:rPr>
          <w:color w:val="000000"/>
        </w:rPr>
        <w:t>to</w:t>
      </w:r>
      <w:r w:rsidR="000D0577" w:rsidRPr="00E865EC">
        <w:rPr>
          <w:color w:val="000000"/>
        </w:rPr>
        <w:t xml:space="preserve"> </w:t>
      </w:r>
      <w:r w:rsidRPr="00E865EC">
        <w:rPr>
          <w:color w:val="000000"/>
        </w:rPr>
        <w:t>the disciplines of economics and law</w:t>
      </w:r>
      <w:r>
        <w:rPr>
          <w:color w:val="000000"/>
        </w:rPr>
        <w:t>.</w:t>
      </w:r>
    </w:p>
    <w:p w14:paraId="426EB3F0" w14:textId="2394FE10" w:rsidR="00E865EC" w:rsidRDefault="00E865EC" w:rsidP="00E865EC">
      <w:pPr>
        <w:pBdr>
          <w:top w:val="nil"/>
          <w:left w:val="nil"/>
          <w:bottom w:val="nil"/>
          <w:right w:val="nil"/>
          <w:between w:val="nil"/>
        </w:pBdr>
        <w:tabs>
          <w:tab w:val="left" w:pos="7513"/>
        </w:tabs>
        <w:ind w:firstLine="720"/>
        <w:rPr>
          <w:color w:val="000000"/>
        </w:rPr>
      </w:pPr>
      <w:r w:rsidRPr="00E865EC">
        <w:rPr>
          <w:color w:val="000000"/>
        </w:rPr>
        <w:t xml:space="preserve">Rav Hayya's stance on the economic relevance of non-tangible items reflects a distinctive blend of theological and judicial perspectives. As a jurist, he struggled to locate Jewish precedents pertinent to this topic. Demonstrating remarkable creativity and adaptability, he co-opted the theory of the ten categories, implementing some modifications, and applied it to Jewish law. The outcome was </w:t>
      </w:r>
      <w:r>
        <w:rPr>
          <w:color w:val="000000"/>
        </w:rPr>
        <w:t>an all-inclusive framework for his legal structure</w:t>
      </w:r>
      <w:r w:rsidRPr="00E865EC">
        <w:rPr>
          <w:color w:val="000000"/>
        </w:rPr>
        <w:t>, influence of which permeated Jewish law from his era into the Middle Ages</w:t>
      </w:r>
      <w:r w:rsidR="005773CA">
        <w:rPr>
          <w:color w:val="000000"/>
        </w:rPr>
        <w:t xml:space="preserve"> and beyond</w:t>
      </w:r>
      <w:r w:rsidRPr="00E865EC">
        <w:rPr>
          <w:color w:val="000000"/>
        </w:rPr>
        <w:t>.</w:t>
      </w:r>
    </w:p>
    <w:p w14:paraId="2F276554" w14:textId="42C09B5A" w:rsidR="005919EF" w:rsidRPr="007A6626" w:rsidRDefault="0026264A" w:rsidP="007A6626">
      <w:pPr>
        <w:pBdr>
          <w:top w:val="nil"/>
          <w:left w:val="nil"/>
          <w:bottom w:val="nil"/>
          <w:right w:val="nil"/>
          <w:between w:val="nil"/>
        </w:pBdr>
        <w:tabs>
          <w:tab w:val="left" w:pos="7513"/>
        </w:tabs>
        <w:ind w:firstLine="720"/>
        <w:rPr>
          <w:color w:val="000000"/>
        </w:rPr>
      </w:pPr>
      <w:r w:rsidRPr="0026264A">
        <w:rPr>
          <w:color w:val="000000"/>
        </w:rPr>
        <w:t xml:space="preserve">Rav Hayya's ruling was consistently integrated by Jewish jurists into their legal writings, finding application in various cases involving transactions related to the legal right to use property owned by another party. Notably, these jurists adopted the Arabic </w:t>
      </w:r>
      <w:r w:rsidRPr="0026264A">
        <w:rPr>
          <w:color w:val="000000"/>
        </w:rPr>
        <w:lastRenderedPageBreak/>
        <w:t>ter</w:t>
      </w:r>
      <w:r>
        <w:rPr>
          <w:color w:val="000000"/>
        </w:rPr>
        <w:t>minology of the categories</w:t>
      </w:r>
      <w:r w:rsidRPr="0026264A">
        <w:rPr>
          <w:color w:val="000000"/>
        </w:rPr>
        <w:t xml:space="preserve"> but </w:t>
      </w:r>
      <w:r>
        <w:rPr>
          <w:color w:val="000000"/>
        </w:rPr>
        <w:t>at the same time</w:t>
      </w:r>
      <w:r w:rsidRPr="0026264A">
        <w:rPr>
          <w:color w:val="000000"/>
        </w:rPr>
        <w:t xml:space="preserve"> </w:t>
      </w:r>
      <w:r w:rsidR="000D0577">
        <w:rPr>
          <w:color w:val="000000"/>
        </w:rPr>
        <w:t>sought</w:t>
      </w:r>
      <w:r w:rsidRPr="0026264A">
        <w:rPr>
          <w:color w:val="000000"/>
        </w:rPr>
        <w:t xml:space="preserve"> Talmudic sources to substantiate these principles</w:t>
      </w:r>
      <w:r w:rsidR="005919EF" w:rsidRPr="005919EF">
        <w:t>.</w:t>
      </w:r>
      <w:r w:rsidR="005919EF">
        <w:rPr>
          <w:rStyle w:val="FootnoteReference"/>
        </w:rPr>
        <w:footnoteReference w:id="45"/>
      </w:r>
    </w:p>
    <w:p w14:paraId="4A42661E" w14:textId="7214A59B" w:rsidR="00650307" w:rsidRDefault="00650307" w:rsidP="009D1C0F">
      <w:pPr>
        <w:pBdr>
          <w:top w:val="nil"/>
          <w:left w:val="nil"/>
          <w:bottom w:val="nil"/>
          <w:right w:val="nil"/>
          <w:between w:val="nil"/>
        </w:pBdr>
        <w:tabs>
          <w:tab w:val="left" w:pos="7513"/>
        </w:tabs>
        <w:ind w:firstLine="720"/>
        <w:rPr>
          <w:color w:val="000000"/>
        </w:rPr>
      </w:pPr>
      <w:r w:rsidRPr="00650307">
        <w:rPr>
          <w:color w:val="000000"/>
        </w:rPr>
        <w:t xml:space="preserve">Contrary to Rav Hayya's assertion that only tangible items are tradable, </w:t>
      </w:r>
      <w:r w:rsidR="000D0577">
        <w:rPr>
          <w:color w:val="000000"/>
        </w:rPr>
        <w:t>such a</w:t>
      </w:r>
      <w:r w:rsidR="000D0577" w:rsidRPr="00650307">
        <w:rPr>
          <w:color w:val="000000"/>
        </w:rPr>
        <w:t xml:space="preserve"> </w:t>
      </w:r>
      <w:r w:rsidRPr="00650307">
        <w:rPr>
          <w:color w:val="000000"/>
        </w:rPr>
        <w:t>viewpoint was not universally held among Muslim jurists.</w:t>
      </w:r>
      <w:r w:rsidRPr="00650307">
        <w:rPr>
          <w:color w:val="000000"/>
          <w:vertAlign w:val="superscript"/>
        </w:rPr>
        <w:t xml:space="preserve"> </w:t>
      </w:r>
      <w:r w:rsidRPr="001E0A3D">
        <w:rPr>
          <w:color w:val="000000"/>
          <w:vertAlign w:val="superscript"/>
        </w:rPr>
        <w:footnoteReference w:id="46"/>
      </w:r>
      <w:r w:rsidRPr="00650307">
        <w:rPr>
          <w:color w:val="000000"/>
        </w:rPr>
        <w:t xml:space="preserve"> However, it is essential to acknowledge that one specific school, the Hanafi school, maintained that only physical objects can be part of commercial transactions. Al-Sarakhsī, a Hanafi jurist who lived two generations </w:t>
      </w:r>
      <w:proofErr w:type="gramStart"/>
      <w:r w:rsidRPr="00650307">
        <w:rPr>
          <w:color w:val="000000"/>
        </w:rPr>
        <w:t>subsequent to</w:t>
      </w:r>
      <w:proofErr w:type="gramEnd"/>
      <w:r w:rsidRPr="00650307">
        <w:rPr>
          <w:color w:val="000000"/>
        </w:rPr>
        <w:t xml:space="preserve"> Rav Hayya, declared that the item being traded ought to be a physical entity capable of possession and preservation. He elucidated as follows:</w:t>
      </w:r>
    </w:p>
    <w:p w14:paraId="3C8F8BE9" w14:textId="1D222A51" w:rsidR="00D771D8" w:rsidRPr="001E0A3D" w:rsidRDefault="00D771D8" w:rsidP="009D1C0F">
      <w:pPr>
        <w:pBdr>
          <w:top w:val="nil"/>
          <w:left w:val="nil"/>
          <w:bottom w:val="nil"/>
          <w:right w:val="nil"/>
          <w:between w:val="nil"/>
        </w:pBdr>
        <w:ind w:left="720" w:right="720"/>
      </w:pPr>
      <w:r w:rsidRPr="001E0A3D">
        <w:t>The reason is that</w:t>
      </w:r>
      <w:r w:rsidRPr="001E0A3D">
        <w:rPr>
          <w:color w:val="000000"/>
        </w:rPr>
        <w:t xml:space="preserve"> the financial character</w:t>
      </w:r>
      <w:r w:rsidRPr="001E0A3D">
        <w:t xml:space="preserve"> </w:t>
      </w:r>
      <w:r w:rsidRPr="001E0A3D">
        <w:rPr>
          <w:color w:val="000000"/>
        </w:rPr>
        <w:t xml:space="preserve">of the object </w:t>
      </w:r>
      <w:r w:rsidR="00FE5AC6" w:rsidRPr="001E0A3D">
        <w:t>(</w:t>
      </w:r>
      <w:r w:rsidR="00FE5AC6" w:rsidRPr="007A6626">
        <w:rPr>
          <w:i/>
          <w:iCs/>
        </w:rPr>
        <w:t>ṣifat al-māliyyat lil-shayʾ</w:t>
      </w:r>
      <w:r w:rsidR="00FE5AC6" w:rsidRPr="001E0A3D">
        <w:t>)</w:t>
      </w:r>
      <w:r w:rsidR="00FE5AC6">
        <w:t xml:space="preserve"> </w:t>
      </w:r>
      <w:r w:rsidRPr="001E0A3D">
        <w:rPr>
          <w:color w:val="000000"/>
        </w:rPr>
        <w:t xml:space="preserve">is carried by the property. The property is an object that can be preserved and stored for times of need. </w:t>
      </w:r>
      <w:r w:rsidRPr="004D0F4E">
        <w:t>Usufructs</w:t>
      </w:r>
      <w:r w:rsidRPr="001E0A3D">
        <w:t xml:space="preserve"> </w:t>
      </w:r>
      <w:r w:rsidR="008B273C">
        <w:t>(</w:t>
      </w:r>
      <w:r w:rsidR="008B273C" w:rsidRPr="008B273C">
        <w:rPr>
          <w:i/>
          <w:iCs/>
        </w:rPr>
        <w:t>manāfi</w:t>
      </w:r>
      <w:r w:rsidR="008B273C" w:rsidRPr="008B273C">
        <w:rPr>
          <w:i/>
          <w:iCs/>
          <w:color w:val="000000"/>
        </w:rPr>
        <w:t>ʿ</w:t>
      </w:r>
      <w:r w:rsidR="008B273C">
        <w:t xml:space="preserve">) </w:t>
      </w:r>
      <w:r w:rsidRPr="001E0A3D">
        <w:t>exist only instant by instant over time. They are accidents (</w:t>
      </w:r>
      <w:r w:rsidR="000D0577" w:rsidRPr="001E0A3D">
        <w:rPr>
          <w:i/>
        </w:rPr>
        <w:t>aʿr</w:t>
      </w:r>
      <w:r w:rsidR="000D0577">
        <w:rPr>
          <w:i/>
        </w:rPr>
        <w:t>ā</w:t>
      </w:r>
      <w:r w:rsidR="000D0577" w:rsidRPr="001E0A3D">
        <w:rPr>
          <w:i/>
        </w:rPr>
        <w:t>d</w:t>
      </w:r>
      <w:r w:rsidRPr="001E0A3D">
        <w:t>) that transfer from the sphere of nihility to the sphere of existence and fade immediately. (As a result) they cannot become/form a property...</w:t>
      </w:r>
      <w:bookmarkStart w:id="3" w:name="_Ref64540074"/>
      <w:r w:rsidRPr="001E0A3D">
        <w:rPr>
          <w:rStyle w:val="FootnoteReference"/>
        </w:rPr>
        <w:footnoteReference w:id="47"/>
      </w:r>
      <w:bookmarkEnd w:id="3"/>
    </w:p>
    <w:p w14:paraId="69F74FFF" w14:textId="42BE1468" w:rsidR="00D771D8" w:rsidRPr="001E0A3D" w:rsidRDefault="00D771D8" w:rsidP="009D1C0F">
      <w:pPr>
        <w:pBdr>
          <w:top w:val="nil"/>
          <w:left w:val="nil"/>
          <w:bottom w:val="nil"/>
          <w:right w:val="nil"/>
          <w:between w:val="nil"/>
        </w:pBdr>
        <w:ind w:left="720" w:right="720"/>
        <w:rPr>
          <w:color w:val="000000"/>
          <w:rtl/>
        </w:rPr>
      </w:pPr>
      <w:r w:rsidRPr="001E0A3D">
        <w:rPr>
          <w:color w:val="000000"/>
        </w:rPr>
        <w:t xml:space="preserve">The explanation </w:t>
      </w:r>
      <w:r w:rsidR="000D0577">
        <w:rPr>
          <w:color w:val="000000"/>
        </w:rPr>
        <w:t>of</w:t>
      </w:r>
      <w:r w:rsidR="000D0577" w:rsidRPr="001E0A3D">
        <w:rPr>
          <w:color w:val="000000"/>
        </w:rPr>
        <w:t xml:space="preserve"> </w:t>
      </w:r>
      <w:r w:rsidRPr="001E0A3D">
        <w:rPr>
          <w:color w:val="000000"/>
        </w:rPr>
        <w:t>this saying is that usufructs are accidents that exist (or appear) in the physical object</w:t>
      </w:r>
      <w:r w:rsidR="003C1084">
        <w:rPr>
          <w:color w:val="000000"/>
        </w:rPr>
        <w:t xml:space="preserve"> (</w:t>
      </w:r>
      <w:r w:rsidR="003C1084" w:rsidRPr="003C1084">
        <w:rPr>
          <w:i/>
          <w:iCs/>
          <w:color w:val="000000"/>
        </w:rPr>
        <w:t>al-manfa</w:t>
      </w:r>
      <w:r w:rsidR="003C1084" w:rsidRPr="003C1084">
        <w:rPr>
          <w:i/>
          <w:iCs/>
        </w:rPr>
        <w:t>ʿ</w:t>
      </w:r>
      <w:r w:rsidR="003C1084" w:rsidRPr="003C1084">
        <w:rPr>
          <w:i/>
          <w:iCs/>
          <w:color w:val="000000"/>
        </w:rPr>
        <w:t xml:space="preserve">ah </w:t>
      </w:r>
      <w:r w:rsidR="003C1084" w:rsidRPr="003C1084">
        <w:rPr>
          <w:i/>
          <w:iCs/>
        </w:rPr>
        <w:t>ʿ</w:t>
      </w:r>
      <w:r w:rsidR="003C1084" w:rsidRPr="003C1084">
        <w:rPr>
          <w:i/>
          <w:iCs/>
          <w:color w:val="000000"/>
        </w:rPr>
        <w:t>arḍ yaqūm bil-</w:t>
      </w:r>
      <w:r w:rsidR="003C1084" w:rsidRPr="003C1084">
        <w:rPr>
          <w:i/>
          <w:iCs/>
        </w:rPr>
        <w:t>ʿ</w:t>
      </w:r>
      <w:r w:rsidR="003C1084" w:rsidRPr="003C1084">
        <w:rPr>
          <w:i/>
          <w:iCs/>
          <w:color w:val="000000"/>
        </w:rPr>
        <w:t>ayn</w:t>
      </w:r>
      <w:r w:rsidR="003C1084">
        <w:rPr>
          <w:color w:val="000000"/>
        </w:rPr>
        <w:t>)</w:t>
      </w:r>
      <w:r w:rsidRPr="001E0A3D">
        <w:rPr>
          <w:color w:val="000000"/>
        </w:rPr>
        <w:t>. The physical object is a substance in which the accidents appear</w:t>
      </w:r>
      <w:r w:rsidR="003C1084">
        <w:rPr>
          <w:color w:val="000000"/>
        </w:rPr>
        <w:t xml:space="preserve"> (</w:t>
      </w:r>
      <w:r w:rsidR="003C1084" w:rsidRPr="003C1084">
        <w:rPr>
          <w:i/>
          <w:iCs/>
          <w:color w:val="000000"/>
        </w:rPr>
        <w:t>al-</w:t>
      </w:r>
      <w:r w:rsidR="003C1084" w:rsidRPr="003C1084">
        <w:rPr>
          <w:i/>
          <w:iCs/>
        </w:rPr>
        <w:t>ʿ</w:t>
      </w:r>
      <w:r w:rsidR="003C1084" w:rsidRPr="003C1084">
        <w:rPr>
          <w:i/>
          <w:iCs/>
          <w:color w:val="000000"/>
        </w:rPr>
        <w:t>ayn jawhar yaqūm bihi al-</w:t>
      </w:r>
      <w:r w:rsidR="003C1084" w:rsidRPr="003C1084">
        <w:rPr>
          <w:i/>
          <w:iCs/>
        </w:rPr>
        <w:t>ʿ</w:t>
      </w:r>
      <w:r w:rsidR="003C1084" w:rsidRPr="003C1084">
        <w:rPr>
          <w:i/>
          <w:iCs/>
          <w:color w:val="000000"/>
        </w:rPr>
        <w:t>arḍ</w:t>
      </w:r>
      <w:r w:rsidR="003C1084">
        <w:rPr>
          <w:color w:val="000000"/>
        </w:rPr>
        <w:t>)</w:t>
      </w:r>
      <w:r w:rsidRPr="001E0A3D">
        <w:rPr>
          <w:color w:val="000000"/>
        </w:rPr>
        <w:t>. Everybody knows the difference between these two: usufructs</w:t>
      </w:r>
      <w:r w:rsidRPr="001E0A3D">
        <w:t xml:space="preserve"> </w:t>
      </w:r>
      <w:r w:rsidRPr="001E0A3D">
        <w:rPr>
          <w:color w:val="000000"/>
        </w:rPr>
        <w:t>exist</w:t>
      </w:r>
      <w:r w:rsidRPr="001E0A3D">
        <w:t xml:space="preserve"> </w:t>
      </w:r>
      <w:r w:rsidRPr="001E0A3D">
        <w:rPr>
          <w:color w:val="000000"/>
        </w:rPr>
        <w:t>only instant by instant over</w:t>
      </w:r>
      <w:r w:rsidRPr="001E0A3D">
        <w:t xml:space="preserve"> </w:t>
      </w:r>
      <w:r w:rsidRPr="001E0A3D">
        <w:rPr>
          <w:color w:val="000000"/>
        </w:rPr>
        <w:t>time</w:t>
      </w:r>
      <w:r w:rsidRPr="001E0A3D">
        <w:t xml:space="preserve"> </w:t>
      </w:r>
      <w:r w:rsidRPr="001E0A3D">
        <w:rPr>
          <w:color w:val="000000"/>
        </w:rPr>
        <w:t xml:space="preserve">while the </w:t>
      </w:r>
      <w:r w:rsidRPr="001E0A3D">
        <w:rPr>
          <w:color w:val="000000"/>
        </w:rPr>
        <w:lastRenderedPageBreak/>
        <w:t>physical object can exist for a long time. There is a big difference between something that exists and something that does not exist.</w:t>
      </w:r>
      <w:r w:rsidRPr="001E0A3D">
        <w:rPr>
          <w:rStyle w:val="FootnoteReference"/>
          <w:color w:val="000000"/>
        </w:rPr>
        <w:footnoteReference w:id="48"/>
      </w:r>
    </w:p>
    <w:p w14:paraId="4FC4C81F" w14:textId="77777777" w:rsidR="00D771D8" w:rsidRPr="001E0A3D" w:rsidRDefault="00D771D8" w:rsidP="009D1C0F">
      <w:pPr>
        <w:pBdr>
          <w:top w:val="nil"/>
          <w:left w:val="nil"/>
          <w:bottom w:val="nil"/>
          <w:right w:val="nil"/>
          <w:between w:val="nil"/>
        </w:pBdr>
        <w:tabs>
          <w:tab w:val="left" w:pos="7513"/>
        </w:tabs>
        <w:ind w:firstLine="720"/>
        <w:rPr>
          <w:color w:val="000000"/>
        </w:rPr>
      </w:pPr>
    </w:p>
    <w:p w14:paraId="4B3E28F9" w14:textId="5450D3CE" w:rsidR="009D1C0F" w:rsidRDefault="00D771D8" w:rsidP="008D319A">
      <w:pPr>
        <w:rPr>
          <w:color w:val="000000"/>
        </w:rPr>
      </w:pPr>
      <w:r w:rsidRPr="001E0A3D">
        <w:rPr>
          <w:color w:val="000000"/>
        </w:rPr>
        <w:t>Sarakhsī adopted the time-atomism theory that the accident “perishes in the second instant of its coming-to-</w:t>
      </w:r>
      <w:sdt>
        <w:sdtPr>
          <w:tag w:val="goog_rdk_36"/>
          <w:id w:val="890464788"/>
        </w:sdtPr>
        <w:sdtContent/>
      </w:sdt>
      <w:r w:rsidRPr="001E0A3D">
        <w:rPr>
          <w:color w:val="000000"/>
        </w:rPr>
        <w:t>be."</w:t>
      </w:r>
      <w:r w:rsidRPr="001E0A3D">
        <w:rPr>
          <w:color w:val="000000"/>
          <w:vertAlign w:val="superscript"/>
        </w:rPr>
        <w:footnoteReference w:id="49"/>
      </w:r>
      <w:r w:rsidRPr="001E0A3D">
        <w:rPr>
          <w:color w:val="000000"/>
        </w:rPr>
        <w:t xml:space="preserve"> As a result, Sarakhsī said that one cannot sell the color or the smell or any intangibles relating to the object without the object itself.</w:t>
      </w:r>
      <w:r w:rsidRPr="001E0A3D">
        <w:rPr>
          <w:color w:val="000000"/>
          <w:vertAlign w:val="superscript"/>
        </w:rPr>
        <w:footnoteReference w:id="50"/>
      </w:r>
      <w:r w:rsidRPr="001E0A3D">
        <w:rPr>
          <w:color w:val="000000"/>
        </w:rPr>
        <w:t xml:space="preserve"> D</w:t>
      </w:r>
      <w:r w:rsidR="009D1C0F" w:rsidRPr="001E0A3D">
        <w:rPr>
          <w:color w:val="000000"/>
        </w:rPr>
        <w:t>espite these apparent similarities between Sarakhsī’s and Rav Hayya’s theory, it is important to note</w:t>
      </w:r>
      <w:r w:rsidR="009D1C0F" w:rsidRPr="001E0A3D">
        <w:t xml:space="preserve"> </w:t>
      </w:r>
      <w:r w:rsidR="009D1C0F" w:rsidRPr="001E0A3D">
        <w:rPr>
          <w:color w:val="000000"/>
        </w:rPr>
        <w:t xml:space="preserve">that on the theological level, </w:t>
      </w:r>
      <w:r w:rsidR="000D0577" w:rsidRPr="001E0A3D">
        <w:rPr>
          <w:color w:val="000000"/>
        </w:rPr>
        <w:t>Sarakhs</w:t>
      </w:r>
      <w:r w:rsidR="000D0577">
        <w:rPr>
          <w:color w:val="000000"/>
        </w:rPr>
        <w:t>ī</w:t>
      </w:r>
      <w:r w:rsidR="000D0577" w:rsidRPr="001E0A3D">
        <w:rPr>
          <w:color w:val="000000"/>
        </w:rPr>
        <w:t xml:space="preserve"> </w:t>
      </w:r>
      <w:r w:rsidR="009D1C0F" w:rsidRPr="001E0A3D">
        <w:rPr>
          <w:color w:val="000000"/>
        </w:rPr>
        <w:t>and Rav Hayya differ</w:t>
      </w:r>
      <w:r w:rsidR="009D1C0F">
        <w:rPr>
          <w:color w:val="000000"/>
        </w:rPr>
        <w:t xml:space="preserve"> (</w:t>
      </w:r>
      <w:r w:rsidR="000D0577">
        <w:rPr>
          <w:color w:val="000000"/>
        </w:rPr>
        <w:t>i</w:t>
      </w:r>
      <w:r w:rsidR="009D1C0F">
        <w:rPr>
          <w:color w:val="000000"/>
        </w:rPr>
        <w:t>n addition to the time gap)</w:t>
      </w:r>
      <w:r w:rsidR="009D1C0F" w:rsidRPr="001E0A3D">
        <w:rPr>
          <w:color w:val="000000"/>
        </w:rPr>
        <w:t>. Sarakhsī adopted the time-atomism theory, while Rav Hayya adopted the theory of Aristotelian categories. However, as jurists, both Sarakhsī and Rav Hayya agree that intangible items cannot be traded.</w:t>
      </w:r>
    </w:p>
    <w:p w14:paraId="3A67B604" w14:textId="77777777" w:rsidR="00B871F8" w:rsidRPr="008D319A" w:rsidRDefault="00B871F8" w:rsidP="008D319A"/>
    <w:p w14:paraId="3D4DF134" w14:textId="3BDA63F2" w:rsidR="00EC4524" w:rsidRPr="00EC4524" w:rsidRDefault="00EC4524" w:rsidP="00EC4524">
      <w:pPr>
        <w:pStyle w:val="Heading2"/>
        <w:rPr>
          <w:color w:val="000000"/>
        </w:rPr>
      </w:pPr>
      <w:r w:rsidRPr="006E4A16">
        <w:t>Jewish law</w:t>
      </w:r>
      <w:r w:rsidR="000D0577">
        <w:t>’s</w:t>
      </w:r>
      <w:r w:rsidRPr="006E4A16">
        <w:t xml:space="preserve"> approach </w:t>
      </w:r>
      <w:r w:rsidR="000D0577">
        <w:t>to the</w:t>
      </w:r>
      <w:r w:rsidR="000D0577" w:rsidRPr="006E4A16">
        <w:t xml:space="preserve"> </w:t>
      </w:r>
      <w:r>
        <w:t>testimony of non-Jewish witness</w:t>
      </w:r>
      <w:r w:rsidR="000D0577">
        <w:t>es</w:t>
      </w:r>
      <w:r w:rsidRPr="006E4A16">
        <w:t>.</w:t>
      </w:r>
    </w:p>
    <w:p w14:paraId="60F32497" w14:textId="5DACF879" w:rsidR="00DA4133" w:rsidRPr="008E4D16" w:rsidRDefault="00DA4133" w:rsidP="00DA4133">
      <w:pPr>
        <w:rPr>
          <w:rFonts w:asciiTheme="majorBidi" w:hAnsiTheme="majorBidi" w:cstheme="majorBidi"/>
        </w:rPr>
      </w:pPr>
      <w:r w:rsidRPr="008E4D16">
        <w:rPr>
          <w:rFonts w:asciiTheme="majorBidi" w:hAnsiTheme="majorBidi" w:cstheme="majorBidi"/>
        </w:rPr>
        <w:t>In Talmudic sources, there is a rule concerning the acceptance of non-Jewish witnesses in court. One source asserts that only Jewish men are qualified to provide testimony as witnesses.</w:t>
      </w:r>
      <w:r w:rsidRPr="008E4D16">
        <w:rPr>
          <w:rStyle w:val="FootnoteReference"/>
        </w:rPr>
        <w:t xml:space="preserve"> </w:t>
      </w:r>
      <w:r>
        <w:rPr>
          <w:rStyle w:val="FootnoteReference"/>
        </w:rPr>
        <w:footnoteReference w:id="51"/>
      </w:r>
      <w:r>
        <w:t xml:space="preserve"> </w:t>
      </w:r>
      <w:r w:rsidRPr="008E4D16">
        <w:rPr>
          <w:rFonts w:asciiTheme="majorBidi" w:hAnsiTheme="majorBidi" w:cstheme="majorBidi"/>
        </w:rPr>
        <w:t>In contrast, another Talmudic source seems to accept the testimony given by non-Jewish witnesses.</w:t>
      </w:r>
      <w:r w:rsidRPr="008E4D16">
        <w:rPr>
          <w:rStyle w:val="FootnoteReference"/>
        </w:rPr>
        <w:t xml:space="preserve"> </w:t>
      </w:r>
      <w:r>
        <w:rPr>
          <w:rStyle w:val="FootnoteReference"/>
        </w:rPr>
        <w:footnoteReference w:id="52"/>
      </w:r>
      <w:r w:rsidRPr="008E4D16">
        <w:rPr>
          <w:rFonts w:asciiTheme="majorBidi" w:hAnsiTheme="majorBidi" w:cstheme="majorBidi"/>
        </w:rPr>
        <w:t xml:space="preserve"> An examination of legal practices among </w:t>
      </w:r>
      <w:r w:rsidR="000D0577">
        <w:rPr>
          <w:rFonts w:asciiTheme="majorBidi" w:hAnsiTheme="majorBidi" w:cstheme="majorBidi"/>
        </w:rPr>
        <w:t>m</w:t>
      </w:r>
      <w:r w:rsidRPr="008E4D16">
        <w:rPr>
          <w:rFonts w:asciiTheme="majorBidi" w:hAnsiTheme="majorBidi" w:cstheme="majorBidi"/>
        </w:rPr>
        <w:t>edieval Jews in Islamic countries reveals that Jews often attend</w:t>
      </w:r>
      <w:r>
        <w:rPr>
          <w:rFonts w:asciiTheme="majorBidi" w:hAnsiTheme="majorBidi" w:cstheme="majorBidi"/>
        </w:rPr>
        <w:t>ed</w:t>
      </w:r>
      <w:r w:rsidRPr="008E4D16">
        <w:rPr>
          <w:rFonts w:asciiTheme="majorBidi" w:hAnsiTheme="majorBidi" w:cstheme="majorBidi"/>
        </w:rPr>
        <w:t xml:space="preserve"> Muslim courts, offering testimony and accepting that given by non-Jews.</w:t>
      </w:r>
      <w:r>
        <w:rPr>
          <w:rStyle w:val="FootnoteReference"/>
        </w:rPr>
        <w:footnoteReference w:id="53"/>
      </w:r>
      <w:r w:rsidRPr="008E4D16">
        <w:rPr>
          <w:rFonts w:asciiTheme="majorBidi" w:hAnsiTheme="majorBidi" w:cstheme="majorBidi"/>
        </w:rPr>
        <w:t xml:space="preserve"> Within the judicial works of the period, one </w:t>
      </w:r>
      <w:r w:rsidRPr="008E4D16">
        <w:rPr>
          <w:rFonts w:asciiTheme="majorBidi" w:hAnsiTheme="majorBidi" w:cstheme="majorBidi"/>
        </w:rPr>
        <w:lastRenderedPageBreak/>
        <w:t xml:space="preserve">can discern efforts to reconcile these two seemingly contradictory viewpoints </w:t>
      </w:r>
      <w:r>
        <w:rPr>
          <w:rFonts w:asciiTheme="majorBidi" w:hAnsiTheme="majorBidi" w:cstheme="majorBidi"/>
        </w:rPr>
        <w:t>of the Talmud</w:t>
      </w:r>
      <w:r w:rsidRPr="008E4D16">
        <w:rPr>
          <w:rFonts w:asciiTheme="majorBidi" w:hAnsiTheme="majorBidi" w:cstheme="majorBidi"/>
        </w:rPr>
        <w:t>. This paper is particularly interested in how Jewish scholars within the Judeo-Arabic context incorporated theological concepts to address this issue</w:t>
      </w:r>
      <w:r w:rsidRPr="008E4D16">
        <w:rPr>
          <w:rFonts w:asciiTheme="majorBidi" w:hAnsiTheme="majorBidi" w:cstheme="majorBidi"/>
          <w:rtl/>
        </w:rPr>
        <w:t>.</w:t>
      </w:r>
    </w:p>
    <w:p w14:paraId="6ACFA432" w14:textId="77777777" w:rsidR="00DA4133" w:rsidRPr="008E4D16" w:rsidRDefault="00DA4133" w:rsidP="00DA4133">
      <w:pPr>
        <w:rPr>
          <w:rFonts w:asciiTheme="majorBidi" w:hAnsiTheme="majorBidi" w:cstheme="majorBidi"/>
          <w:rtl/>
        </w:rPr>
      </w:pPr>
    </w:p>
    <w:p w14:paraId="3ADB0F38" w14:textId="77777777" w:rsidR="00DA4133" w:rsidRDefault="00DA4133" w:rsidP="00BA15FD">
      <w:r w:rsidRPr="008E4D16">
        <w:rPr>
          <w:rFonts w:asciiTheme="majorBidi" w:hAnsiTheme="majorBidi" w:cstheme="majorBidi"/>
        </w:rPr>
        <w:t>Muslim theologians during the Middle Ages deliberated on the means of determining truth. They developed methods to discern and define what is truthful. Among them, the Muʿtazilī theologians acknowledged the significance of a deep cognitive pursuit of truth, but also emphasized the "tranquility of the heart/soul". Prof. Joseph van Ess traced this concept back to Al-Jāḥiẓ (d. 868/9), an early Muʿtazilī Theologian. Van Ess observes</w:t>
      </w:r>
      <w:r w:rsidRPr="008E4D16">
        <w:rPr>
          <w:rFonts w:asciiTheme="majorBidi" w:hAnsiTheme="majorBidi" w:cstheme="majorBidi"/>
          <w:rtl/>
        </w:rPr>
        <w:t>:</w:t>
      </w:r>
      <w:r w:rsidRPr="008E4D16">
        <w:rPr>
          <w:rStyle w:val="FootnoteReference"/>
        </w:rPr>
        <w:t xml:space="preserve"> </w:t>
      </w:r>
      <w:r>
        <w:rPr>
          <w:rStyle w:val="FootnoteReference"/>
        </w:rPr>
        <w:footnoteReference w:id="54"/>
      </w:r>
    </w:p>
    <w:p w14:paraId="00E3B755" w14:textId="77777777" w:rsidR="00DA4133" w:rsidRPr="008E4D16" w:rsidRDefault="00DA4133" w:rsidP="00DA4133">
      <w:pPr>
        <w:ind w:left="720" w:right="566"/>
        <w:rPr>
          <w:rFonts w:asciiTheme="majorBidi" w:hAnsiTheme="majorBidi" w:cstheme="majorBidi"/>
        </w:rPr>
      </w:pPr>
      <w:r w:rsidRPr="008E4D16">
        <w:rPr>
          <w:rFonts w:asciiTheme="majorBidi" w:hAnsiTheme="majorBidi" w:cstheme="majorBidi"/>
          <w:rtl/>
        </w:rPr>
        <w:t>"</w:t>
      </w:r>
      <w:r w:rsidRPr="008E4D16">
        <w:rPr>
          <w:rFonts w:asciiTheme="majorBidi" w:hAnsiTheme="majorBidi" w:cstheme="majorBidi"/>
        </w:rPr>
        <w:t>Yet how do we recognize that we have hit upon the truth? The answer was: by feeling that this movement has come to an end, by reaching “quietude of the heart” (sukūn al-qalb), as al-Naẓẓām had argued. As long as you are not sure of something, you are nervous, but when you have come to a clear conclusion you feel relaxed; you are in a state of ἀταραξία, as the Greek expression had it</w:t>
      </w:r>
      <w:r w:rsidRPr="008E4D16">
        <w:rPr>
          <w:rFonts w:asciiTheme="majorBidi" w:hAnsiTheme="majorBidi" w:cstheme="majorBidi"/>
          <w:rtl/>
        </w:rPr>
        <w:t>."</w:t>
      </w:r>
    </w:p>
    <w:p w14:paraId="3AFCDF24" w14:textId="77777777" w:rsidR="00DA4133" w:rsidRPr="008E4D16" w:rsidRDefault="00DA4133" w:rsidP="00DA4133">
      <w:pPr>
        <w:rPr>
          <w:rFonts w:asciiTheme="majorBidi" w:hAnsiTheme="majorBidi" w:cstheme="majorBidi"/>
          <w:rtl/>
        </w:rPr>
      </w:pPr>
    </w:p>
    <w:p w14:paraId="120948D1" w14:textId="6A62B8F1" w:rsidR="00DA4133" w:rsidRPr="008E4D16" w:rsidRDefault="00DA4133" w:rsidP="00DA4133">
      <w:pPr>
        <w:rPr>
          <w:rFonts w:asciiTheme="majorBidi" w:hAnsiTheme="majorBidi" w:cstheme="majorBidi"/>
        </w:rPr>
      </w:pPr>
      <w:r w:rsidRPr="008E4D16">
        <w:rPr>
          <w:rFonts w:asciiTheme="majorBidi" w:hAnsiTheme="majorBidi" w:cstheme="majorBidi"/>
        </w:rPr>
        <w:t>Abd al-</w:t>
      </w:r>
      <w:r w:rsidR="000D0577" w:rsidRPr="008E4D16">
        <w:rPr>
          <w:rFonts w:asciiTheme="majorBidi" w:hAnsiTheme="majorBidi" w:cstheme="majorBidi"/>
        </w:rPr>
        <w:t>Jabb</w:t>
      </w:r>
      <w:r w:rsidR="000D0577">
        <w:rPr>
          <w:rFonts w:asciiTheme="majorBidi" w:hAnsiTheme="majorBidi" w:cstheme="majorBidi"/>
        </w:rPr>
        <w:t>ā</w:t>
      </w:r>
      <w:r w:rsidR="000D0577" w:rsidRPr="008E4D16">
        <w:rPr>
          <w:rFonts w:asciiTheme="majorBidi" w:hAnsiTheme="majorBidi" w:cstheme="majorBidi"/>
        </w:rPr>
        <w:t xml:space="preserve">r </w:t>
      </w:r>
      <w:r w:rsidRPr="008E4D16">
        <w:rPr>
          <w:rFonts w:asciiTheme="majorBidi" w:hAnsiTheme="majorBidi" w:cstheme="majorBidi"/>
        </w:rPr>
        <w:t>(935</w:t>
      </w:r>
      <w:r w:rsidR="000D0577">
        <w:rPr>
          <w:rFonts w:asciiTheme="majorBidi" w:hAnsiTheme="majorBidi" w:cstheme="majorBidi"/>
        </w:rPr>
        <w:t>–</w:t>
      </w:r>
      <w:r w:rsidRPr="008E4D16">
        <w:rPr>
          <w:rFonts w:asciiTheme="majorBidi" w:hAnsiTheme="majorBidi" w:cstheme="majorBidi"/>
        </w:rPr>
        <w:t>1025), a renowned Iranian Muslim jurist and theologian active in both Iran and Iraq, wrote extensively, with over 70 books to his credit. As a prominent figure of the Muʿtazil</w:t>
      </w:r>
      <w:r>
        <w:rPr>
          <w:rFonts w:asciiTheme="majorBidi" w:hAnsiTheme="majorBidi" w:cstheme="majorBidi"/>
        </w:rPr>
        <w:t>ate</w:t>
      </w:r>
      <w:r w:rsidRPr="008E4D16">
        <w:rPr>
          <w:rFonts w:asciiTheme="majorBidi" w:hAnsiTheme="majorBidi" w:cstheme="majorBidi"/>
        </w:rPr>
        <w:t xml:space="preserve"> school, he encapsulated its doctrines and principles. He reiterated the </w:t>
      </w:r>
      <w:proofErr w:type="gramStart"/>
      <w:r w:rsidRPr="008E4D16">
        <w:rPr>
          <w:rFonts w:asciiTheme="majorBidi" w:hAnsiTheme="majorBidi" w:cstheme="majorBidi"/>
        </w:rPr>
        <w:t>aforementioned perspective</w:t>
      </w:r>
      <w:proofErr w:type="gramEnd"/>
      <w:r w:rsidRPr="008E4D16">
        <w:rPr>
          <w:rFonts w:asciiTheme="majorBidi" w:hAnsiTheme="majorBidi" w:cstheme="majorBidi"/>
        </w:rPr>
        <w:t xml:space="preserve">, proposing two concurrent pathways to truth: the soothing impact of the information on the soul and the consistency of the new </w:t>
      </w:r>
      <w:r w:rsidRPr="008E4D16">
        <w:rPr>
          <w:rFonts w:asciiTheme="majorBidi" w:hAnsiTheme="majorBidi" w:cstheme="majorBidi"/>
        </w:rPr>
        <w:lastRenderedPageBreak/>
        <w:t>information with previously accepted logic. In his magnum opus, Kitāb Al-Mughnī Fī Abwāb Al-Tawḥīd wa Al-</w:t>
      </w:r>
      <w:r w:rsidR="00B17D15">
        <w:rPr>
          <w:rFonts w:asciiTheme="majorBidi" w:hAnsiTheme="majorBidi" w:cstheme="majorBidi"/>
        </w:rPr>
        <w:t>ʿ</w:t>
      </w:r>
      <w:r w:rsidR="00B17D15" w:rsidRPr="008E4D16">
        <w:rPr>
          <w:rFonts w:asciiTheme="majorBidi" w:hAnsiTheme="majorBidi" w:cstheme="majorBidi"/>
        </w:rPr>
        <w:t>Adl</w:t>
      </w:r>
      <w:r w:rsidRPr="008E4D16">
        <w:rPr>
          <w:rFonts w:asciiTheme="majorBidi" w:hAnsiTheme="majorBidi" w:cstheme="majorBidi"/>
        </w:rPr>
        <w:t>, he elaborates</w:t>
      </w:r>
      <w:r w:rsidRPr="008E4D16">
        <w:rPr>
          <w:rFonts w:asciiTheme="majorBidi" w:hAnsiTheme="majorBidi" w:cstheme="majorBidi"/>
          <w:rtl/>
        </w:rPr>
        <w:t>:</w:t>
      </w:r>
      <w:r w:rsidRPr="008E4D16">
        <w:rPr>
          <w:rStyle w:val="FootnoteReference"/>
          <w:rFonts w:asciiTheme="majorBidi" w:hAnsiTheme="majorBidi" w:cstheme="majorBidi"/>
        </w:rPr>
        <w:t xml:space="preserve"> </w:t>
      </w:r>
      <w:r w:rsidRPr="007B488D">
        <w:rPr>
          <w:rStyle w:val="FootnoteReference"/>
          <w:rFonts w:asciiTheme="majorBidi" w:hAnsiTheme="majorBidi" w:cstheme="majorBidi"/>
        </w:rPr>
        <w:footnoteReference w:id="55"/>
      </w:r>
    </w:p>
    <w:p w14:paraId="3D1EA78A" w14:textId="5E59B77B" w:rsidR="00DA4133" w:rsidRPr="008E4D16" w:rsidRDefault="00DA4133" w:rsidP="00DA4133">
      <w:pPr>
        <w:ind w:left="720" w:right="566"/>
        <w:rPr>
          <w:rFonts w:asciiTheme="majorBidi" w:hAnsiTheme="majorBidi" w:cstheme="majorBidi"/>
        </w:rPr>
      </w:pPr>
      <w:r w:rsidRPr="008E4D16">
        <w:rPr>
          <w:rFonts w:asciiTheme="majorBidi" w:hAnsiTheme="majorBidi" w:cstheme="majorBidi"/>
        </w:rPr>
        <w:t>We have already clarified the way one can discern that he has garnered new knowledge and that his contemplation is accurate. We determine this when: (a) he acknowledges, through his disposition, a sense of soulful tranquility concerning the newfound knowledge, and (b) this knowledge aligns with prior understanding, suggesting that tranquility follows genuine knowledge. In such situations, he is assured of his attainment of true knowledge, confident that his explorations yielded truth without any further inquiry</w:t>
      </w:r>
      <w:r w:rsidRPr="008E4D16">
        <w:rPr>
          <w:rFonts w:asciiTheme="majorBidi" w:hAnsiTheme="majorBidi" w:cstheme="majorBidi"/>
          <w:rtl/>
        </w:rPr>
        <w:t>.</w:t>
      </w:r>
    </w:p>
    <w:p w14:paraId="28B20187" w14:textId="77777777" w:rsidR="00DA4133" w:rsidRPr="008E4D16" w:rsidRDefault="00DA4133" w:rsidP="00DA4133">
      <w:pPr>
        <w:rPr>
          <w:rFonts w:asciiTheme="majorBidi" w:hAnsiTheme="majorBidi" w:cstheme="majorBidi"/>
        </w:rPr>
      </w:pPr>
      <w:r w:rsidRPr="008E4D16">
        <w:rPr>
          <w:rFonts w:asciiTheme="majorBidi" w:hAnsiTheme="majorBidi" w:cstheme="majorBidi"/>
        </w:rPr>
        <w:t>Additionally, he notes</w:t>
      </w:r>
      <w:r>
        <w:rPr>
          <w:rStyle w:val="FootnoteReference"/>
        </w:rPr>
        <w:footnoteReference w:id="56"/>
      </w:r>
      <w:r w:rsidRPr="008E4D16">
        <w:rPr>
          <w:rFonts w:asciiTheme="majorBidi" w:hAnsiTheme="majorBidi" w:cstheme="majorBidi"/>
          <w:rtl/>
        </w:rPr>
        <w:t>:</w:t>
      </w:r>
    </w:p>
    <w:p w14:paraId="4FF15269" w14:textId="77777777" w:rsidR="00DA4133" w:rsidRPr="008E4D16" w:rsidRDefault="00DA4133" w:rsidP="00DA4133">
      <w:pPr>
        <w:rPr>
          <w:rFonts w:asciiTheme="majorBidi" w:hAnsiTheme="majorBidi" w:cstheme="majorBidi"/>
          <w:rtl/>
        </w:rPr>
      </w:pPr>
    </w:p>
    <w:p w14:paraId="77F37316" w14:textId="77777777" w:rsidR="00DA4133" w:rsidRPr="008E4D16" w:rsidRDefault="00DA4133" w:rsidP="00DA4133">
      <w:pPr>
        <w:ind w:left="720" w:right="566"/>
        <w:rPr>
          <w:rFonts w:asciiTheme="majorBidi" w:hAnsiTheme="majorBidi" w:cstheme="majorBidi"/>
        </w:rPr>
      </w:pPr>
      <w:r w:rsidRPr="008E4D16">
        <w:rPr>
          <w:rFonts w:asciiTheme="majorBidi" w:hAnsiTheme="majorBidi" w:cstheme="majorBidi"/>
        </w:rPr>
        <w:t>A person's tranquility towards the knowledge acquired is not through perception but intuitive reasoning (bi-badīhat al</w:t>
      </w:r>
      <w:proofErr w:type="gramStart"/>
      <w:r w:rsidRPr="008E4D16">
        <w:rPr>
          <w:rFonts w:asciiTheme="majorBidi" w:hAnsiTheme="majorBidi" w:cstheme="majorBidi"/>
        </w:rPr>
        <w:t>-‘</w:t>
      </w:r>
      <w:proofErr w:type="gramEnd"/>
      <w:r w:rsidRPr="008E4D16">
        <w:rPr>
          <w:rFonts w:asciiTheme="majorBidi" w:hAnsiTheme="majorBidi" w:cstheme="majorBidi"/>
        </w:rPr>
        <w:t>aql) – akin to our understanding of the malevolence of injustice and the nobility of justice… This principle is foundational across all knowledge forms, and its application is imperative</w:t>
      </w:r>
      <w:r>
        <w:rPr>
          <w:rFonts w:asciiTheme="majorBidi" w:hAnsiTheme="majorBidi" w:cstheme="majorBidi"/>
        </w:rPr>
        <w:t>.</w:t>
      </w:r>
    </w:p>
    <w:p w14:paraId="12EF6FEE" w14:textId="77777777" w:rsidR="00DA4133" w:rsidRPr="008E4D16" w:rsidRDefault="00DA4133" w:rsidP="00DA4133">
      <w:pPr>
        <w:rPr>
          <w:rFonts w:asciiTheme="majorBidi" w:hAnsiTheme="majorBidi" w:cstheme="majorBidi"/>
        </w:rPr>
      </w:pPr>
      <w:r w:rsidRPr="008E4D16">
        <w:rPr>
          <w:rFonts w:asciiTheme="majorBidi" w:hAnsiTheme="majorBidi" w:cstheme="majorBidi"/>
        </w:rPr>
        <w:t>He underscores that the benchmark for ascertaining the veracity of any knowledge is the unique sense of soulful tranquility it engenders</w:t>
      </w:r>
      <w:r w:rsidRPr="008E4D16">
        <w:rPr>
          <w:rFonts w:asciiTheme="majorBidi" w:hAnsiTheme="majorBidi" w:cstheme="majorBidi"/>
          <w:rtl/>
        </w:rPr>
        <w:t>:</w:t>
      </w:r>
      <w:r w:rsidRPr="008E4D16">
        <w:rPr>
          <w:rStyle w:val="FootnoteReference"/>
        </w:rPr>
        <w:t xml:space="preserve"> </w:t>
      </w:r>
      <w:r>
        <w:rPr>
          <w:rStyle w:val="FootnoteReference"/>
        </w:rPr>
        <w:footnoteReference w:id="57"/>
      </w:r>
    </w:p>
    <w:p w14:paraId="1FA1006B" w14:textId="77777777" w:rsidR="00DA4133" w:rsidRPr="008E4D16" w:rsidRDefault="00DA4133" w:rsidP="00BA15FD">
      <w:pPr>
        <w:ind w:left="720" w:right="566"/>
      </w:pPr>
      <w:r w:rsidRPr="008E4D16">
        <w:rPr>
          <w:rFonts w:asciiTheme="majorBidi" w:hAnsiTheme="majorBidi" w:cstheme="majorBidi"/>
        </w:rPr>
        <w:t xml:space="preserve">The </w:t>
      </w:r>
      <w:proofErr w:type="gramStart"/>
      <w:r w:rsidRPr="008E4D16">
        <w:rPr>
          <w:rFonts w:asciiTheme="majorBidi" w:hAnsiTheme="majorBidi" w:cstheme="majorBidi"/>
        </w:rPr>
        <w:t xml:space="preserve">manner in </w:t>
      </w:r>
      <w:r w:rsidRPr="008E4D16">
        <w:rPr>
          <w:rFonts w:asciiTheme="majorBidi" w:hAnsiTheme="majorBidi" w:cstheme="majorBidi"/>
          <w:sz w:val="26"/>
          <w:szCs w:val="26"/>
        </w:rPr>
        <w:t>which</w:t>
      </w:r>
      <w:proofErr w:type="gramEnd"/>
      <w:r w:rsidRPr="008E4D16">
        <w:rPr>
          <w:rFonts w:asciiTheme="majorBidi" w:hAnsiTheme="majorBidi" w:cstheme="majorBidi"/>
        </w:rPr>
        <w:t xml:space="preserve"> the correctness of </w:t>
      </w:r>
      <w:r w:rsidRPr="008E4D16">
        <w:rPr>
          <w:rFonts w:asciiTheme="majorBidi" w:hAnsiTheme="majorBidi" w:cstheme="majorBidi"/>
          <w:b/>
          <w:bCs/>
        </w:rPr>
        <w:t>any sort of knowledge</w:t>
      </w:r>
      <w:r w:rsidRPr="008E4D16">
        <w:rPr>
          <w:rFonts w:asciiTheme="majorBidi" w:hAnsiTheme="majorBidi" w:cstheme="majorBidi"/>
        </w:rPr>
        <w:t xml:space="preserve"> can be defined is that the knowledge [in question] is the only one which </w:t>
      </w:r>
      <w:r w:rsidRPr="008E4D16">
        <w:rPr>
          <w:rFonts w:asciiTheme="majorBidi" w:hAnsiTheme="majorBidi" w:cstheme="majorBidi"/>
          <w:b/>
          <w:bCs/>
        </w:rPr>
        <w:t>can be characterized exclusively in terms of tranquility of the soul</w:t>
      </w:r>
      <w:r w:rsidRPr="008E4D16">
        <w:rPr>
          <w:rFonts w:asciiTheme="majorBidi" w:hAnsiTheme="majorBidi" w:cstheme="majorBidi"/>
        </w:rPr>
        <w:t>.</w:t>
      </w:r>
    </w:p>
    <w:p w14:paraId="7E99D6A5" w14:textId="77777777" w:rsidR="00DA4133" w:rsidRPr="008E4D16" w:rsidRDefault="00DA4133" w:rsidP="00DA4133">
      <w:pPr>
        <w:ind w:left="720" w:right="566"/>
        <w:rPr>
          <w:rFonts w:asciiTheme="majorBidi" w:hAnsiTheme="majorBidi" w:cstheme="majorBidi"/>
        </w:rPr>
      </w:pPr>
    </w:p>
    <w:p w14:paraId="56508CF6" w14:textId="43E726DC" w:rsidR="008F532B" w:rsidRPr="008F532B" w:rsidRDefault="0031586E" w:rsidP="00BA15FD">
      <w:pPr>
        <w:rPr>
          <w:rtl/>
        </w:rPr>
      </w:pPr>
      <w:r w:rsidRPr="0031586E">
        <w:lastRenderedPageBreak/>
        <w:t>It is important to n</w:t>
      </w:r>
      <w:r>
        <w:t>ote that there existed other approaches among Muslim theologians regarding the use of intuition for obtaining the truth.</w:t>
      </w:r>
      <w:r w:rsidR="00BA15FD">
        <w:t xml:space="preserve"> </w:t>
      </w:r>
      <w:r w:rsidR="008F532B" w:rsidRPr="008F532B">
        <w:t>One such example is f</w:t>
      </w:r>
      <w:r w:rsidR="008F532B">
        <w:t xml:space="preserve">rom </w:t>
      </w:r>
      <w:r w:rsidR="008F532B" w:rsidRPr="008F532B">
        <w:t>al-Fārābī</w:t>
      </w:r>
      <w:r w:rsidR="008F532B">
        <w:t xml:space="preserve">, the famous Muslim </w:t>
      </w:r>
      <w:r w:rsidR="008F532B" w:rsidRPr="00BA15FD">
        <w:rPr>
          <w:rFonts w:asciiTheme="majorBidi" w:hAnsiTheme="majorBidi" w:cstheme="majorBidi"/>
        </w:rPr>
        <w:t>Aristotelian</w:t>
      </w:r>
      <w:r w:rsidR="008F532B">
        <w:t xml:space="preserve"> philosopher (d. 951). As Prof. </w:t>
      </w:r>
      <w:r w:rsidR="008F532B" w:rsidRPr="008F532B">
        <w:t>Biesterfeldt</w:t>
      </w:r>
      <w:r w:rsidR="008F532B">
        <w:t xml:space="preserve"> put it in short:</w:t>
      </w:r>
      <w:r w:rsidR="008F532B">
        <w:rPr>
          <w:rStyle w:val="FootnoteReference"/>
          <w:rtl/>
        </w:rPr>
        <w:footnoteReference w:id="58"/>
      </w:r>
    </w:p>
    <w:p w14:paraId="663E0D5A" w14:textId="3FBD9351" w:rsidR="0031586E" w:rsidRPr="008F532B" w:rsidRDefault="00266977" w:rsidP="00BA15FD">
      <w:pPr>
        <w:ind w:left="720" w:right="566"/>
        <w:rPr>
          <w:rFonts w:asciiTheme="majorBidi" w:hAnsiTheme="majorBidi" w:cstheme="majorBidi"/>
        </w:rPr>
      </w:pPr>
      <w:r>
        <w:rPr>
          <w:rFonts w:asciiTheme="majorBidi" w:hAnsiTheme="majorBidi" w:cstheme="majorBidi"/>
        </w:rPr>
        <w:t>"</w:t>
      </w:r>
      <w:r w:rsidR="0031586E" w:rsidRPr="008F532B">
        <w:rPr>
          <w:rFonts w:asciiTheme="majorBidi" w:hAnsiTheme="majorBidi" w:cstheme="majorBidi"/>
        </w:rPr>
        <w:t>If the mutakallimūn think that they can reach certainty, says al-Fārābī, they are simply mistaken. The criterion for certainty they like to adduce: sukūn al-nafs, is a category which does not go beyond the level of a rhetorical proof. It means the satisfaction of having understood something regardless of the reliability of its contents; the truth, however, is frequently hard to accept and only swallowed with reluctance. Like the entire method, sukūn al-nafs seems to be, at least in the view of an Aristotelian, only the subjective feeling that one is right, but not the objective guarantee that one has discovered the truth. </w:t>
      </w:r>
      <w:r>
        <w:rPr>
          <w:rFonts w:asciiTheme="majorBidi" w:hAnsiTheme="majorBidi" w:cstheme="majorBidi"/>
        </w:rPr>
        <w:t>"</w:t>
      </w:r>
    </w:p>
    <w:p w14:paraId="2E414080" w14:textId="77777777" w:rsidR="00BA15FD" w:rsidRDefault="00BA15FD" w:rsidP="00D6416A">
      <w:pPr>
        <w:spacing w:after="160" w:line="259" w:lineRule="auto"/>
        <w:jc w:val="left"/>
        <w:rPr>
          <w:rFonts w:ascii="Arial" w:hAnsi="Arial" w:cs="Arial"/>
          <w:color w:val="BFBFBF" w:themeColor="background1" w:themeShade="BF"/>
          <w:sz w:val="22"/>
          <w:szCs w:val="22"/>
        </w:rPr>
      </w:pPr>
    </w:p>
    <w:p w14:paraId="74DED399" w14:textId="77777777" w:rsidR="0096417A" w:rsidRDefault="0096417A" w:rsidP="00D6416A">
      <w:pPr>
        <w:spacing w:after="160" w:line="259" w:lineRule="auto"/>
        <w:jc w:val="left"/>
        <w:rPr>
          <w:rFonts w:asciiTheme="majorBidi" w:hAnsiTheme="majorBidi" w:cstheme="majorBidi"/>
        </w:rPr>
      </w:pPr>
    </w:p>
    <w:p w14:paraId="33B3F8FC" w14:textId="2EF2C83D" w:rsidR="0096417A" w:rsidRPr="0096417A" w:rsidRDefault="0096417A" w:rsidP="0096417A">
      <w:pPr>
        <w:rPr>
          <w:rFonts w:asciiTheme="majorBidi" w:hAnsiTheme="majorBidi" w:cstheme="majorBidi"/>
          <w:color w:val="343541"/>
        </w:rPr>
      </w:pPr>
      <w:r w:rsidRPr="0096417A">
        <w:rPr>
          <w:rFonts w:asciiTheme="majorBidi" w:hAnsiTheme="majorBidi" w:cstheme="majorBidi"/>
        </w:rPr>
        <w:t>We will turn now the Medieval Jewish theologians</w:t>
      </w:r>
      <w:r w:rsidRPr="0096417A">
        <w:rPr>
          <w:rFonts w:asciiTheme="majorBidi" w:hAnsiTheme="majorBidi" w:cstheme="majorBidi"/>
          <w:color w:val="343541"/>
        </w:rPr>
        <w:t xml:space="preserve">. </w:t>
      </w:r>
      <w:r w:rsidRPr="0096417A">
        <w:rPr>
          <w:rFonts w:asciiTheme="majorBidi" w:hAnsiTheme="majorBidi" w:cstheme="majorBidi"/>
        </w:rPr>
        <w:t>Saadia Gaon</w:t>
      </w:r>
      <w:r>
        <w:rPr>
          <w:rFonts w:asciiTheme="majorBidi" w:hAnsiTheme="majorBidi" w:cstheme="majorBidi"/>
        </w:rPr>
        <w:t xml:space="preserve"> </w:t>
      </w:r>
      <w:r w:rsidRPr="0096417A">
        <w:rPr>
          <w:rFonts w:asciiTheme="majorBidi" w:hAnsiTheme="majorBidi" w:cstheme="majorBidi"/>
        </w:rPr>
        <w:t>(d. 942, Baghdad), in his quest to define truth, posits that both the mind and the soul must work in tandem. He articulates:</w:t>
      </w:r>
      <w:r w:rsidRPr="0096417A">
        <w:rPr>
          <w:rStyle w:val="FootnoteReference"/>
          <w:rFonts w:asciiTheme="majorBidi" w:hAnsiTheme="majorBidi" w:cstheme="majorBidi"/>
        </w:rPr>
        <w:t xml:space="preserve"> </w:t>
      </w:r>
      <w:r w:rsidRPr="0096417A">
        <w:rPr>
          <w:rStyle w:val="FootnoteReference"/>
          <w:rFonts w:asciiTheme="majorBidi" w:hAnsiTheme="majorBidi" w:cstheme="majorBidi"/>
        </w:rPr>
        <w:footnoteReference w:id="59"/>
      </w:r>
      <w:r w:rsidRPr="0096417A">
        <w:rPr>
          <w:rFonts w:asciiTheme="majorBidi" w:hAnsiTheme="majorBidi" w:cstheme="majorBidi"/>
          <w:color w:val="343541"/>
        </w:rPr>
        <w:t xml:space="preserve"> </w:t>
      </w:r>
    </w:p>
    <w:p w14:paraId="1A63AEDF" w14:textId="77777777" w:rsidR="0096417A" w:rsidRDefault="0096417A" w:rsidP="0096417A">
      <w:pPr>
        <w:ind w:left="720" w:right="566"/>
        <w:rPr>
          <w:rFonts w:asciiTheme="majorBidi" w:hAnsiTheme="majorBidi" w:cstheme="majorBidi"/>
        </w:rPr>
      </w:pPr>
      <w:r w:rsidRPr="0096417A">
        <w:rPr>
          <w:rFonts w:asciiTheme="majorBidi" w:hAnsiTheme="majorBidi" w:cstheme="majorBidi"/>
        </w:rPr>
        <w:t xml:space="preserve">Truth is that which is inherent in those </w:t>
      </w:r>
      <w:r w:rsidRPr="0096417A">
        <w:rPr>
          <w:rFonts w:asciiTheme="majorBidi" w:hAnsiTheme="majorBidi" w:cstheme="majorBidi"/>
          <w:b/>
          <w:bCs/>
        </w:rPr>
        <w:t>minds</w:t>
      </w:r>
      <w:r w:rsidRPr="0096417A">
        <w:rPr>
          <w:rFonts w:asciiTheme="majorBidi" w:hAnsiTheme="majorBidi" w:cstheme="majorBidi"/>
        </w:rPr>
        <w:t xml:space="preserve"> that are free of defects</w:t>
      </w:r>
      <w:r>
        <w:rPr>
          <w:rFonts w:asciiTheme="majorBidi" w:hAnsiTheme="majorBidi" w:cstheme="majorBidi"/>
        </w:rPr>
        <w:t>,</w:t>
      </w:r>
    </w:p>
    <w:p w14:paraId="7D3853E2" w14:textId="77777777" w:rsidR="0096417A" w:rsidRPr="0096417A" w:rsidRDefault="0096417A" w:rsidP="0096417A">
      <w:pPr>
        <w:ind w:left="720" w:right="566"/>
        <w:rPr>
          <w:rFonts w:asciiTheme="majorBidi" w:hAnsiTheme="majorBidi" w:cstheme="majorBidi"/>
        </w:rPr>
      </w:pPr>
      <w:r w:rsidRPr="0096417A">
        <w:rPr>
          <w:rFonts w:asciiTheme="majorBidi" w:hAnsiTheme="majorBidi" w:cstheme="majorBidi"/>
        </w:rPr>
        <w:t xml:space="preserve">and is considered sound by the </w:t>
      </w:r>
      <w:r w:rsidRPr="0096417A">
        <w:rPr>
          <w:rFonts w:asciiTheme="majorBidi" w:hAnsiTheme="majorBidi" w:cstheme="majorBidi"/>
          <w:b/>
          <w:bCs/>
        </w:rPr>
        <w:t>souls</w:t>
      </w:r>
      <w:r w:rsidRPr="0096417A">
        <w:rPr>
          <w:rFonts w:asciiTheme="majorBidi" w:hAnsiTheme="majorBidi" w:cstheme="majorBidi"/>
        </w:rPr>
        <w:t xml:space="preserve"> who follow it. </w:t>
      </w:r>
    </w:p>
    <w:p w14:paraId="1AD68DB4" w14:textId="32F88C73" w:rsidR="0096417A" w:rsidRDefault="0096417A" w:rsidP="0096417A">
      <w:pPr>
        <w:rPr>
          <w:rFonts w:asciiTheme="majorBidi" w:hAnsiTheme="majorBidi" w:cstheme="majorBidi"/>
        </w:rPr>
      </w:pPr>
      <w:r w:rsidRPr="0096417A">
        <w:rPr>
          <w:rFonts w:asciiTheme="majorBidi" w:hAnsiTheme="majorBidi" w:cstheme="majorBidi"/>
        </w:rPr>
        <w:t xml:space="preserve"> </w:t>
      </w:r>
    </w:p>
    <w:p w14:paraId="0C5F57EC" w14:textId="685DEA36" w:rsidR="0096417A" w:rsidRDefault="0096417A" w:rsidP="0096417A">
      <w:pPr>
        <w:rPr>
          <w:rFonts w:asciiTheme="majorBidi" w:hAnsiTheme="majorBidi" w:cstheme="majorBidi"/>
        </w:rPr>
      </w:pPr>
      <w:r w:rsidRPr="0096417A">
        <w:rPr>
          <w:rFonts w:asciiTheme="majorBidi" w:hAnsiTheme="majorBidi" w:cstheme="majorBidi"/>
        </w:rPr>
        <w:t xml:space="preserve"> From this perspective, Rav Saadia Gaon emphasizes that truth isn't solely an intellectual pursuit; it necessitates the soul's involvement. Although he doesn't employ </w:t>
      </w:r>
      <w:r w:rsidRPr="0096417A">
        <w:rPr>
          <w:rFonts w:asciiTheme="majorBidi" w:hAnsiTheme="majorBidi" w:cstheme="majorBidi"/>
        </w:rPr>
        <w:lastRenderedPageBreak/>
        <w:t xml:space="preserve">identical phrasing, his perspective may resonate with the </w:t>
      </w:r>
      <w:proofErr w:type="gramStart"/>
      <w:r w:rsidR="00B17D15" w:rsidRPr="0096417A">
        <w:rPr>
          <w:rFonts w:asciiTheme="majorBidi" w:hAnsiTheme="majorBidi" w:cstheme="majorBidi"/>
        </w:rPr>
        <w:t>Mu</w:t>
      </w:r>
      <w:r w:rsidR="00B17D15">
        <w:rPr>
          <w:rFonts w:asciiTheme="majorBidi" w:hAnsiTheme="majorBidi" w:cstheme="majorBidi"/>
        </w:rPr>
        <w:t>‘</w:t>
      </w:r>
      <w:proofErr w:type="gramEnd"/>
      <w:r w:rsidR="00B17D15" w:rsidRPr="0096417A">
        <w:rPr>
          <w:rFonts w:asciiTheme="majorBidi" w:hAnsiTheme="majorBidi" w:cstheme="majorBidi"/>
        </w:rPr>
        <w:t xml:space="preserve">tazilite </w:t>
      </w:r>
      <w:r w:rsidRPr="0096417A">
        <w:rPr>
          <w:rFonts w:asciiTheme="majorBidi" w:hAnsiTheme="majorBidi" w:cstheme="majorBidi"/>
        </w:rPr>
        <w:t>approach to truth determination.</w:t>
      </w:r>
    </w:p>
    <w:p w14:paraId="6C585E44" w14:textId="662C9137" w:rsidR="0097532A" w:rsidRDefault="0096417A" w:rsidP="004C4099">
      <w:pPr>
        <w:rPr>
          <w:rFonts w:asciiTheme="majorBidi" w:hAnsiTheme="majorBidi" w:cstheme="majorBidi"/>
          <w:rtl/>
        </w:rPr>
      </w:pPr>
      <w:r w:rsidRPr="0096417A">
        <w:rPr>
          <w:rFonts w:asciiTheme="majorBidi" w:hAnsiTheme="majorBidi" w:cstheme="majorBidi"/>
          <w:color w:val="343541"/>
        </w:rPr>
        <w:t xml:space="preserve">An example from Geonic literature illustrates the utilization of the concept of tranquility in the context of determining truth. Rav Shmuel Ben Ḥofni, a Jewish jurist and </w:t>
      </w:r>
      <w:proofErr w:type="gramStart"/>
      <w:r w:rsidRPr="0096417A">
        <w:rPr>
          <w:rFonts w:asciiTheme="majorBidi" w:hAnsiTheme="majorBidi" w:cstheme="majorBidi"/>
          <w:color w:val="343541"/>
        </w:rPr>
        <w:t>Mu</w:t>
      </w:r>
      <w:r w:rsidR="00B17D15">
        <w:rPr>
          <w:rFonts w:asciiTheme="majorBidi" w:hAnsiTheme="majorBidi" w:cstheme="majorBidi"/>
          <w:color w:val="343541"/>
        </w:rPr>
        <w:t>‘</w:t>
      </w:r>
      <w:proofErr w:type="gramEnd"/>
      <w:r w:rsidRPr="0096417A">
        <w:rPr>
          <w:rFonts w:asciiTheme="majorBidi" w:hAnsiTheme="majorBidi" w:cstheme="majorBidi"/>
          <w:color w:val="343541"/>
        </w:rPr>
        <w:t xml:space="preserve">tazilite theologian </w:t>
      </w:r>
      <w:r>
        <w:rPr>
          <w:rFonts w:asciiTheme="majorBidi" w:hAnsiTheme="majorBidi" w:cstheme="majorBidi"/>
          <w:color w:val="343541"/>
        </w:rPr>
        <w:t>served as the head of Sura academy in Baghdad (d.</w:t>
      </w:r>
      <w:r w:rsidRPr="0096417A">
        <w:rPr>
          <w:rFonts w:asciiTheme="majorBidi" w:hAnsiTheme="majorBidi" w:cstheme="majorBidi"/>
          <w:color w:val="343541"/>
        </w:rPr>
        <w:t xml:space="preserve"> </w:t>
      </w:r>
      <w:r w:rsidR="005D1AB4">
        <w:rPr>
          <w:rFonts w:asciiTheme="majorBidi" w:hAnsiTheme="majorBidi" w:cstheme="majorBidi"/>
          <w:color w:val="343541"/>
        </w:rPr>
        <w:t>1034)</w:t>
      </w:r>
      <w:r w:rsidRPr="0096417A">
        <w:rPr>
          <w:rFonts w:asciiTheme="majorBidi" w:hAnsiTheme="majorBidi" w:cstheme="majorBidi"/>
          <w:color w:val="343541"/>
        </w:rPr>
        <w:t xml:space="preserve">, offers insights in his treatise </w:t>
      </w:r>
      <w:r w:rsidR="00B17D15">
        <w:rPr>
          <w:rFonts w:asciiTheme="majorBidi" w:hAnsiTheme="majorBidi" w:cstheme="majorBidi"/>
          <w:i/>
          <w:iCs/>
          <w:color w:val="343541"/>
        </w:rPr>
        <w:t>L</w:t>
      </w:r>
      <w:r w:rsidR="005D1AB4" w:rsidRPr="005D1AB4">
        <w:rPr>
          <w:rFonts w:asciiTheme="majorBidi" w:hAnsiTheme="majorBidi" w:cstheme="majorBidi"/>
          <w:i/>
          <w:iCs/>
          <w:color w:val="343541"/>
        </w:rPr>
        <w:t>aws of</w:t>
      </w:r>
      <w:r w:rsidRPr="005D1AB4">
        <w:rPr>
          <w:rFonts w:asciiTheme="majorBidi" w:hAnsiTheme="majorBidi" w:cstheme="majorBidi"/>
          <w:i/>
          <w:iCs/>
          <w:color w:val="343541"/>
        </w:rPr>
        <w:t xml:space="preserve"> </w:t>
      </w:r>
      <w:r w:rsidR="00B17D15">
        <w:rPr>
          <w:rFonts w:asciiTheme="majorBidi" w:hAnsiTheme="majorBidi" w:cstheme="majorBidi"/>
          <w:i/>
          <w:iCs/>
          <w:color w:val="343541"/>
        </w:rPr>
        <w:t>D</w:t>
      </w:r>
      <w:r w:rsidR="00B17D15" w:rsidRPr="005D1AB4">
        <w:rPr>
          <w:rFonts w:asciiTheme="majorBidi" w:hAnsiTheme="majorBidi" w:cstheme="majorBidi"/>
          <w:i/>
          <w:iCs/>
          <w:color w:val="343541"/>
        </w:rPr>
        <w:t>ivorce</w:t>
      </w:r>
      <w:r w:rsidRPr="0096417A">
        <w:rPr>
          <w:rFonts w:asciiTheme="majorBidi" w:hAnsiTheme="majorBidi" w:cstheme="majorBidi"/>
          <w:color w:val="343541"/>
        </w:rPr>
        <w:t xml:space="preserve">. He references the Talmudic edict that mandates a husband to divorce his wife if two witnesses confirm her consensual relations with another man. </w:t>
      </w:r>
      <w:r w:rsidR="005D1AB4">
        <w:rPr>
          <w:rFonts w:asciiTheme="majorBidi" w:hAnsiTheme="majorBidi" w:cstheme="majorBidi"/>
          <w:color w:val="343541"/>
        </w:rPr>
        <w:t xml:space="preserve">The Talmud also states that </w:t>
      </w:r>
      <w:r w:rsidR="005D1AB4" w:rsidRPr="0096417A">
        <w:rPr>
          <w:rFonts w:asciiTheme="majorBidi" w:hAnsiTheme="majorBidi" w:cstheme="majorBidi"/>
          <w:color w:val="343541"/>
        </w:rPr>
        <w:t>a singular, highly credible witness can be deemed equivalent to two witnesses</w:t>
      </w:r>
      <w:r w:rsidR="005D1AB4">
        <w:rPr>
          <w:rFonts w:asciiTheme="majorBidi" w:hAnsiTheme="majorBidi" w:cstheme="majorBidi"/>
          <w:color w:val="343541"/>
        </w:rPr>
        <w:t xml:space="preserve">. </w:t>
      </w:r>
      <w:r w:rsidR="005D1AB4">
        <w:rPr>
          <w:rStyle w:val="FootnoteReference"/>
          <w:rFonts w:asciiTheme="majorBidi" w:hAnsiTheme="majorBidi" w:cstheme="majorBidi"/>
        </w:rPr>
        <w:footnoteReference w:id="60"/>
      </w:r>
      <w:r w:rsidRPr="0096417A">
        <w:rPr>
          <w:rFonts w:asciiTheme="majorBidi" w:hAnsiTheme="majorBidi" w:cstheme="majorBidi"/>
          <w:color w:val="343541"/>
        </w:rPr>
        <w:t xml:space="preserve">Building on the Talmudic foundation, </w:t>
      </w:r>
      <w:r w:rsidRPr="004C4099">
        <w:rPr>
          <w:rFonts w:asciiTheme="majorBidi" w:hAnsiTheme="majorBidi" w:cstheme="majorBidi"/>
        </w:rPr>
        <w:t>Rav</w:t>
      </w:r>
      <w:r w:rsidRPr="0096417A">
        <w:rPr>
          <w:rFonts w:asciiTheme="majorBidi" w:hAnsiTheme="majorBidi" w:cstheme="majorBidi"/>
          <w:color w:val="343541"/>
        </w:rPr>
        <w:t xml:space="preserve"> Shmuel Ben Ḥofni employs the term "tranquility" to elucidate this notion. He observes</w:t>
      </w:r>
      <w:r w:rsidR="00382643">
        <w:rPr>
          <w:rFonts w:asciiTheme="majorBidi" w:hAnsiTheme="majorBidi" w:cstheme="majorBidi"/>
        </w:rPr>
        <w:t>:</w:t>
      </w:r>
      <w:r w:rsidR="008D57D7">
        <w:rPr>
          <w:rStyle w:val="FootnoteReference"/>
          <w:rFonts w:asciiTheme="majorBidi" w:hAnsiTheme="majorBidi" w:cstheme="majorBidi"/>
        </w:rPr>
        <w:footnoteReference w:id="61"/>
      </w:r>
      <w:r w:rsidR="00382643">
        <w:rPr>
          <w:rFonts w:asciiTheme="majorBidi" w:hAnsiTheme="majorBidi" w:cstheme="majorBidi"/>
        </w:rPr>
        <w:t xml:space="preserve"> </w:t>
      </w:r>
    </w:p>
    <w:p w14:paraId="7A708911" w14:textId="56CBE962" w:rsidR="00382643" w:rsidRDefault="00266977" w:rsidP="00382643">
      <w:pPr>
        <w:ind w:left="1080" w:right="1106"/>
        <w:rPr>
          <w:rFonts w:asciiTheme="majorBidi" w:hAnsiTheme="majorBidi" w:cstheme="majorBidi"/>
        </w:rPr>
      </w:pPr>
      <w:r>
        <w:rPr>
          <w:rFonts w:asciiTheme="majorBidi" w:hAnsiTheme="majorBidi" w:cstheme="majorBidi"/>
        </w:rPr>
        <w:t>"</w:t>
      </w:r>
      <w:r w:rsidR="00382643" w:rsidRPr="0011366F">
        <w:rPr>
          <w:rFonts w:asciiTheme="majorBidi" w:hAnsiTheme="majorBidi" w:cstheme="majorBidi"/>
        </w:rPr>
        <w:t>Even</w:t>
      </w:r>
      <w:r w:rsidR="00382643">
        <w:rPr>
          <w:rFonts w:asciiTheme="majorBidi" w:hAnsiTheme="majorBidi" w:cstheme="majorBidi"/>
        </w:rPr>
        <w:t xml:space="preserve"> in the case</w:t>
      </w:r>
      <w:r w:rsidR="00382643" w:rsidRPr="007C0B2E">
        <w:rPr>
          <w:rFonts w:asciiTheme="majorBidi" w:hAnsiTheme="majorBidi" w:cstheme="majorBidi"/>
        </w:rPr>
        <w:t xml:space="preserve"> </w:t>
      </w:r>
      <w:r w:rsidR="00382643">
        <w:rPr>
          <w:rFonts w:asciiTheme="majorBidi" w:hAnsiTheme="majorBidi" w:cstheme="majorBidi"/>
        </w:rPr>
        <w:t xml:space="preserve">that </w:t>
      </w:r>
      <w:r w:rsidR="00382643" w:rsidRPr="007C0B2E">
        <w:rPr>
          <w:rFonts w:asciiTheme="majorBidi" w:hAnsiTheme="majorBidi" w:cstheme="majorBidi"/>
        </w:rPr>
        <w:t xml:space="preserve">there was a testimony (on the wife's adultery) by one witness </w:t>
      </w:r>
      <w:r w:rsidR="00382643">
        <w:rPr>
          <w:rFonts w:asciiTheme="majorBidi" w:hAnsiTheme="majorBidi" w:cstheme="majorBidi"/>
        </w:rPr>
        <w:t xml:space="preserve">(only, but one) </w:t>
      </w:r>
      <w:r w:rsidR="00B17D15">
        <w:rPr>
          <w:rFonts w:asciiTheme="majorBidi" w:hAnsiTheme="majorBidi" w:cstheme="majorBidi"/>
        </w:rPr>
        <w:t xml:space="preserve">on </w:t>
      </w:r>
      <w:r w:rsidR="00BD3CFB">
        <w:rPr>
          <w:rFonts w:asciiTheme="majorBidi" w:hAnsiTheme="majorBidi" w:cstheme="majorBidi"/>
        </w:rPr>
        <w:t>whom</w:t>
      </w:r>
      <w:r w:rsidR="00382643">
        <w:rPr>
          <w:rFonts w:asciiTheme="majorBidi" w:hAnsiTheme="majorBidi" w:cstheme="majorBidi"/>
        </w:rPr>
        <w:t xml:space="preserve"> </w:t>
      </w:r>
      <w:r w:rsidR="00382643" w:rsidRPr="007C0B2E">
        <w:rPr>
          <w:rFonts w:asciiTheme="majorBidi" w:hAnsiTheme="majorBidi" w:cstheme="majorBidi"/>
        </w:rPr>
        <w:t>the husband rel</w:t>
      </w:r>
      <w:r w:rsidR="00382643" w:rsidRPr="0011366F">
        <w:rPr>
          <w:rFonts w:asciiTheme="majorBidi" w:hAnsiTheme="majorBidi" w:cstheme="majorBidi"/>
        </w:rPr>
        <w:t>ied</w:t>
      </w:r>
      <w:r w:rsidR="00382643" w:rsidRPr="007C0B2E">
        <w:rPr>
          <w:rFonts w:asciiTheme="majorBidi" w:hAnsiTheme="majorBidi" w:cstheme="majorBidi"/>
        </w:rPr>
        <w:t xml:space="preserve"> as two witnesses</w:t>
      </w:r>
      <w:r w:rsidR="00382643">
        <w:rPr>
          <w:rFonts w:asciiTheme="majorBidi" w:hAnsiTheme="majorBidi" w:cstheme="majorBidi"/>
        </w:rPr>
        <w:t>,</w:t>
      </w:r>
      <w:r w:rsidR="00382643" w:rsidRPr="007C0B2E">
        <w:rPr>
          <w:rFonts w:asciiTheme="majorBidi" w:hAnsiTheme="majorBidi" w:cstheme="majorBidi"/>
        </w:rPr>
        <w:t xml:space="preserve"> </w:t>
      </w:r>
      <w:r w:rsidR="00AB3BD8">
        <w:rPr>
          <w:rFonts w:asciiTheme="majorBidi" w:hAnsiTheme="majorBidi" w:cstheme="majorBidi"/>
        </w:rPr>
        <w:t>and/i.e.</w:t>
      </w:r>
      <w:r w:rsidR="00382643" w:rsidRPr="007C0B2E">
        <w:rPr>
          <w:rFonts w:asciiTheme="majorBidi" w:hAnsiTheme="majorBidi" w:cstheme="majorBidi"/>
        </w:rPr>
        <w:t xml:space="preserve"> </w:t>
      </w:r>
      <w:r w:rsidR="00382643" w:rsidRPr="001B73E6">
        <w:rPr>
          <w:rFonts w:asciiTheme="majorBidi" w:hAnsiTheme="majorBidi" w:cstheme="majorBidi"/>
          <w:b/>
          <w:bCs/>
        </w:rPr>
        <w:t>he was tranquil</w:t>
      </w:r>
      <w:r w:rsidR="00382643" w:rsidRPr="007C0B2E">
        <w:rPr>
          <w:rFonts w:asciiTheme="majorBidi" w:hAnsiTheme="majorBidi" w:cstheme="majorBidi"/>
        </w:rPr>
        <w:t xml:space="preserve"> towards his words</w:t>
      </w:r>
      <w:r w:rsidR="00382643">
        <w:rPr>
          <w:rFonts w:asciiTheme="majorBidi" w:hAnsiTheme="majorBidi" w:cstheme="majorBidi"/>
        </w:rPr>
        <w:t>...</w:t>
      </w:r>
      <w:r>
        <w:rPr>
          <w:rFonts w:asciiTheme="majorBidi" w:hAnsiTheme="majorBidi" w:cstheme="majorBidi"/>
        </w:rPr>
        <w:t>"</w:t>
      </w:r>
    </w:p>
    <w:p w14:paraId="7D8B8DB6" w14:textId="67C53ED9" w:rsidR="005D1AB4" w:rsidRDefault="005D1AB4" w:rsidP="00CC48C4">
      <w:pPr>
        <w:rPr>
          <w:rFonts w:asciiTheme="majorBidi" w:hAnsiTheme="majorBidi" w:cstheme="majorBidi"/>
        </w:rPr>
      </w:pPr>
      <w:r w:rsidRPr="005D1AB4">
        <w:rPr>
          <w:rFonts w:asciiTheme="majorBidi" w:hAnsiTheme="majorBidi" w:cstheme="majorBidi"/>
        </w:rPr>
        <w:t xml:space="preserve">The choice of the term "tranquility" to express certainty regarding such a grave matter as infidelity is intriguing. This suggests that Rav Shmuel Ben Ḥofni likely borrowed this terminology from </w:t>
      </w:r>
      <w:proofErr w:type="gramStart"/>
      <w:r w:rsidRPr="005D1AB4">
        <w:rPr>
          <w:rFonts w:asciiTheme="majorBidi" w:hAnsiTheme="majorBidi" w:cstheme="majorBidi"/>
        </w:rPr>
        <w:t>Mu</w:t>
      </w:r>
      <w:r w:rsidR="00B17D15">
        <w:rPr>
          <w:rFonts w:asciiTheme="majorBidi" w:hAnsiTheme="majorBidi" w:cstheme="majorBidi"/>
        </w:rPr>
        <w:t>‘</w:t>
      </w:r>
      <w:proofErr w:type="gramEnd"/>
      <w:r w:rsidRPr="005D1AB4">
        <w:rPr>
          <w:rFonts w:asciiTheme="majorBidi" w:hAnsiTheme="majorBidi" w:cstheme="majorBidi"/>
        </w:rPr>
        <w:t>tazilite theology</w:t>
      </w:r>
      <w:r>
        <w:rPr>
          <w:rFonts w:asciiTheme="majorBidi" w:hAnsiTheme="majorBidi" w:cstheme="majorBidi"/>
        </w:rPr>
        <w:t xml:space="preserve"> </w:t>
      </w:r>
      <w:r w:rsidR="00B17D15">
        <w:rPr>
          <w:rFonts w:asciiTheme="majorBidi" w:hAnsiTheme="majorBidi" w:cstheme="majorBidi"/>
        </w:rPr>
        <w:t xml:space="preserve">as </w:t>
      </w:r>
      <w:r>
        <w:rPr>
          <w:rFonts w:asciiTheme="majorBidi" w:hAnsiTheme="majorBidi" w:cstheme="majorBidi"/>
        </w:rPr>
        <w:t>mentioned above</w:t>
      </w:r>
      <w:r w:rsidRPr="005D1AB4">
        <w:rPr>
          <w:rFonts w:asciiTheme="majorBidi" w:hAnsiTheme="majorBidi" w:cstheme="majorBidi"/>
        </w:rPr>
        <w:t>, which equates the attainment of truth with a sense of tranquility.</w:t>
      </w:r>
    </w:p>
    <w:p w14:paraId="66661F41" w14:textId="77777777" w:rsidR="005D1AB4" w:rsidRDefault="005D1AB4" w:rsidP="00CC48C4">
      <w:pPr>
        <w:rPr>
          <w:rFonts w:asciiTheme="majorBidi" w:hAnsiTheme="majorBidi" w:cstheme="majorBidi"/>
        </w:rPr>
      </w:pPr>
    </w:p>
    <w:p w14:paraId="0E42E943" w14:textId="7836EDC2" w:rsidR="00266977" w:rsidRDefault="00B17D15" w:rsidP="00CC48C4">
      <w:pPr>
        <w:rPr>
          <w:rFonts w:asciiTheme="majorBidi" w:hAnsiTheme="majorBidi" w:cstheme="majorBidi"/>
        </w:rPr>
      </w:pPr>
      <w:r>
        <w:rPr>
          <w:rFonts w:asciiTheme="majorBidi" w:hAnsiTheme="majorBidi" w:cstheme="majorBidi"/>
        </w:rPr>
        <w:t>Nearly two centuries later</w:t>
      </w:r>
      <w:r w:rsidR="00266977">
        <w:rPr>
          <w:rFonts w:asciiTheme="majorBidi" w:hAnsiTheme="majorBidi" w:cstheme="majorBidi"/>
        </w:rPr>
        <w:t xml:space="preserve">, Maimonides </w:t>
      </w:r>
      <w:r w:rsidR="00AB3BD8">
        <w:rPr>
          <w:rFonts w:asciiTheme="majorBidi" w:hAnsiTheme="majorBidi" w:cstheme="majorBidi"/>
        </w:rPr>
        <w:t xml:space="preserve">(d. </w:t>
      </w:r>
      <w:r>
        <w:rPr>
          <w:rFonts w:asciiTheme="majorBidi" w:hAnsiTheme="majorBidi" w:cstheme="majorBidi"/>
        </w:rPr>
        <w:t>1204</w:t>
      </w:r>
      <w:r w:rsidR="00AB3BD8">
        <w:rPr>
          <w:rFonts w:asciiTheme="majorBidi" w:hAnsiTheme="majorBidi" w:cstheme="majorBidi"/>
        </w:rPr>
        <w:t xml:space="preserve">) </w:t>
      </w:r>
      <w:r w:rsidR="00266977">
        <w:rPr>
          <w:rFonts w:asciiTheme="majorBidi" w:hAnsiTheme="majorBidi" w:cstheme="majorBidi"/>
        </w:rPr>
        <w:t>adopted Rav Shmuel</w:t>
      </w:r>
      <w:r>
        <w:rPr>
          <w:rFonts w:asciiTheme="majorBidi" w:hAnsiTheme="majorBidi" w:cstheme="majorBidi"/>
        </w:rPr>
        <w:t>’s</w:t>
      </w:r>
      <w:r w:rsidR="00266977">
        <w:rPr>
          <w:rFonts w:asciiTheme="majorBidi" w:hAnsiTheme="majorBidi" w:cstheme="majorBidi"/>
        </w:rPr>
        <w:t xml:space="preserve"> approach. </w:t>
      </w:r>
      <w:r w:rsidR="00AB3BD8">
        <w:rPr>
          <w:rFonts w:asciiTheme="majorBidi" w:hAnsiTheme="majorBidi" w:cstheme="majorBidi"/>
        </w:rPr>
        <w:t>He</w:t>
      </w:r>
      <w:r>
        <w:rPr>
          <w:rFonts w:asciiTheme="majorBidi" w:hAnsiTheme="majorBidi" w:cstheme="majorBidi"/>
        </w:rPr>
        <w:t xml:space="preserve"> </w:t>
      </w:r>
      <w:r w:rsidR="00266977">
        <w:rPr>
          <w:rFonts w:asciiTheme="majorBidi" w:hAnsiTheme="majorBidi" w:cstheme="majorBidi"/>
        </w:rPr>
        <w:t>wrote (</w:t>
      </w:r>
      <w:r w:rsidR="00266977" w:rsidRPr="00266977">
        <w:rPr>
          <w:rFonts w:asciiTheme="majorBidi" w:hAnsiTheme="majorBidi" w:cstheme="majorBidi"/>
        </w:rPr>
        <w:t>Mishne</w:t>
      </w:r>
      <w:r w:rsidR="00AB3BD8">
        <w:rPr>
          <w:rFonts w:asciiTheme="majorBidi" w:hAnsiTheme="majorBidi" w:cstheme="majorBidi"/>
        </w:rPr>
        <w:t>-</w:t>
      </w:r>
      <w:r w:rsidR="00266977" w:rsidRPr="00266977">
        <w:rPr>
          <w:rFonts w:asciiTheme="majorBidi" w:hAnsiTheme="majorBidi" w:cstheme="majorBidi"/>
        </w:rPr>
        <w:t>Tora, Marriage 24:12</w:t>
      </w:r>
      <w:r w:rsidR="00266977">
        <w:rPr>
          <w:rFonts w:asciiTheme="majorBidi" w:hAnsiTheme="majorBidi" w:cstheme="majorBidi"/>
        </w:rPr>
        <w:t>):</w:t>
      </w:r>
    </w:p>
    <w:p w14:paraId="69719D67" w14:textId="77777777" w:rsidR="00195C6F" w:rsidRDefault="00195C6F" w:rsidP="00CC48C4">
      <w:pPr>
        <w:rPr>
          <w:rFonts w:asciiTheme="majorBidi" w:hAnsiTheme="majorBidi" w:cstheme="majorBidi"/>
        </w:rPr>
      </w:pPr>
    </w:p>
    <w:p w14:paraId="157DEBDD" w14:textId="30EE0FD0" w:rsidR="00195C6F" w:rsidRPr="00195C6F" w:rsidRDefault="00E20ACD" w:rsidP="00266977">
      <w:pPr>
        <w:ind w:left="1080" w:right="1106"/>
      </w:pPr>
      <w:r>
        <w:lastRenderedPageBreak/>
        <w:t>"</w:t>
      </w:r>
      <w:r w:rsidR="00195C6F" w:rsidRPr="00195C6F">
        <w:t xml:space="preserve">When a man </w:t>
      </w:r>
      <w:r w:rsidR="00195C6F" w:rsidRPr="00266977">
        <w:rPr>
          <w:rFonts w:asciiTheme="majorBidi" w:hAnsiTheme="majorBidi" w:cstheme="majorBidi"/>
        </w:rPr>
        <w:t>sees</w:t>
      </w:r>
      <w:r w:rsidR="00195C6F" w:rsidRPr="00195C6F">
        <w:t xml:space="preserve"> his wife commit adultery, or he was informed of this by one of his relatives or her relatives - whether male or female - </w:t>
      </w:r>
      <w:r w:rsidR="00195C6F" w:rsidRPr="009831D0">
        <w:rPr>
          <w:b/>
          <w:bCs/>
        </w:rPr>
        <w:t xml:space="preserve">whom he believes and his mind </w:t>
      </w:r>
      <w:r w:rsidR="00113BE4">
        <w:rPr>
          <w:b/>
          <w:bCs/>
        </w:rPr>
        <w:t>rests</w:t>
      </w:r>
      <w:r w:rsidR="00195C6F" w:rsidRPr="009831D0">
        <w:rPr>
          <w:b/>
          <w:bCs/>
        </w:rPr>
        <w:t xml:space="preserve"> </w:t>
      </w:r>
      <w:r w:rsidR="00CC212C">
        <w:rPr>
          <w:b/>
          <w:bCs/>
        </w:rPr>
        <w:t>(</w:t>
      </w:r>
      <w:r w:rsidR="00CC212C">
        <w:rPr>
          <w:rFonts w:hint="cs"/>
          <w:b/>
          <w:bCs/>
          <w:rtl/>
          <w:lang w:bidi="ar-JO"/>
        </w:rPr>
        <w:t>=</w:t>
      </w:r>
      <w:r w:rsidR="00CC212C">
        <w:rPr>
          <w:rFonts w:hint="cs"/>
          <w:b/>
          <w:bCs/>
          <w:rtl/>
        </w:rPr>
        <w:t>סומכת דעתו</w:t>
      </w:r>
      <w:r w:rsidR="00CC212C">
        <w:rPr>
          <w:b/>
          <w:bCs/>
          <w:lang w:bidi="ar-JO"/>
        </w:rPr>
        <w:t xml:space="preserve">) </w:t>
      </w:r>
      <w:r w:rsidR="00CC212C" w:rsidRPr="009831D0">
        <w:rPr>
          <w:b/>
          <w:bCs/>
        </w:rPr>
        <w:t xml:space="preserve">upon </w:t>
      </w:r>
      <w:r w:rsidR="00AB3BD8">
        <w:rPr>
          <w:b/>
          <w:bCs/>
        </w:rPr>
        <w:t>his</w:t>
      </w:r>
      <w:r w:rsidR="00195C6F" w:rsidRPr="009831D0">
        <w:rPr>
          <w:b/>
          <w:bCs/>
        </w:rPr>
        <w:t xml:space="preserve"> </w:t>
      </w:r>
      <w:r w:rsidR="00AB3BD8">
        <w:rPr>
          <w:b/>
          <w:bCs/>
        </w:rPr>
        <w:t>words</w:t>
      </w:r>
      <w:r w:rsidR="00195C6F" w:rsidRPr="00195C6F">
        <w:t>, he is obligated to divorce her and is forbidden to engage in relations with her, for he relies on their word as true</w:t>
      </w:r>
      <w:r>
        <w:t>"</w:t>
      </w:r>
      <w:r w:rsidR="00195C6F" w:rsidRPr="00195C6F">
        <w:t>.</w:t>
      </w:r>
    </w:p>
    <w:p w14:paraId="2365E9BD" w14:textId="7B45C32E" w:rsidR="009070E5" w:rsidRPr="005D1AB4" w:rsidRDefault="005D1AB4" w:rsidP="009070E5">
      <w:pPr>
        <w:rPr>
          <w:rFonts w:asciiTheme="majorBidi" w:hAnsiTheme="majorBidi" w:cstheme="majorBidi"/>
        </w:rPr>
      </w:pPr>
      <w:r w:rsidRPr="005D1AB4">
        <w:rPr>
          <w:rFonts w:asciiTheme="majorBidi" w:hAnsiTheme="majorBidi" w:cstheme="majorBidi"/>
        </w:rPr>
        <w:t xml:space="preserve">Maimonides </w:t>
      </w:r>
      <w:r>
        <w:rPr>
          <w:rFonts w:asciiTheme="majorBidi" w:hAnsiTheme="majorBidi" w:cstheme="majorBidi"/>
        </w:rPr>
        <w:t>was</w:t>
      </w:r>
      <w:r w:rsidRPr="005D1AB4">
        <w:rPr>
          <w:rFonts w:asciiTheme="majorBidi" w:hAnsiTheme="majorBidi" w:cstheme="majorBidi"/>
        </w:rPr>
        <w:t xml:space="preserve"> deeply immersed in the Judeo-Arabic milieu, </w:t>
      </w:r>
      <w:r>
        <w:rPr>
          <w:rFonts w:asciiTheme="majorBidi" w:hAnsiTheme="majorBidi" w:cstheme="majorBidi"/>
        </w:rPr>
        <w:t xml:space="preserve">but </w:t>
      </w:r>
      <w:r w:rsidRPr="005D1AB4">
        <w:rPr>
          <w:rFonts w:asciiTheme="majorBidi" w:hAnsiTheme="majorBidi" w:cstheme="majorBidi"/>
        </w:rPr>
        <w:t xml:space="preserve">his "Mishne-Tora" was authored in Hebrew. Thus, while the original Arabic terminology isn't explicitly present, </w:t>
      </w:r>
      <w:r w:rsidR="00B17D15">
        <w:rPr>
          <w:rFonts w:asciiTheme="majorBidi" w:hAnsiTheme="majorBidi" w:cstheme="majorBidi"/>
        </w:rPr>
        <w:t xml:space="preserve">clear </w:t>
      </w:r>
      <w:r w:rsidRPr="005D1AB4">
        <w:rPr>
          <w:rFonts w:asciiTheme="majorBidi" w:hAnsiTheme="majorBidi" w:cstheme="majorBidi"/>
        </w:rPr>
        <w:t>echoes of Rav Shmuel's phrasing can be discerned. Maimonides translates the Arabic expression</w:t>
      </w:r>
      <w:r w:rsidR="009070E5">
        <w:rPr>
          <w:rFonts w:asciiTheme="majorBidi" w:hAnsiTheme="majorBidi" w:cstheme="majorBidi"/>
        </w:rPr>
        <w:t xml:space="preserve"> in Rav Shmuel</w:t>
      </w:r>
      <w:r w:rsidR="00B17D15">
        <w:rPr>
          <w:rFonts w:asciiTheme="majorBidi" w:hAnsiTheme="majorBidi" w:cstheme="majorBidi"/>
        </w:rPr>
        <w:t>’s</w:t>
      </w:r>
      <w:r w:rsidR="009070E5">
        <w:rPr>
          <w:rFonts w:asciiTheme="majorBidi" w:hAnsiTheme="majorBidi" w:cstheme="majorBidi"/>
        </w:rPr>
        <w:t xml:space="preserve"> work</w:t>
      </w:r>
      <w:r w:rsidRPr="005D1AB4">
        <w:rPr>
          <w:rFonts w:asciiTheme="majorBidi" w:hAnsiTheme="majorBidi" w:cstheme="majorBidi"/>
        </w:rPr>
        <w:t>, suggesting a husband's reliance and tranquility towards a witness's words, into Hebrew</w:t>
      </w:r>
      <w:r w:rsidR="009070E5">
        <w:rPr>
          <w:rFonts w:asciiTheme="majorBidi" w:hAnsiTheme="majorBidi" w:cstheme="majorBidi"/>
        </w:rPr>
        <w:t>. Rav Shmuel</w:t>
      </w:r>
      <w:r w:rsidR="00B17D15">
        <w:rPr>
          <w:rFonts w:asciiTheme="majorBidi" w:hAnsiTheme="majorBidi" w:cstheme="majorBidi"/>
        </w:rPr>
        <w:t>’s</w:t>
      </w:r>
      <w:r w:rsidR="009070E5">
        <w:rPr>
          <w:rFonts w:asciiTheme="majorBidi" w:hAnsiTheme="majorBidi" w:cstheme="majorBidi"/>
        </w:rPr>
        <w:t xml:space="preserve"> phrasing "</w:t>
      </w:r>
      <w:r w:rsidR="00B17D15">
        <w:rPr>
          <w:rFonts w:asciiTheme="majorBidi" w:hAnsiTheme="majorBidi" w:cstheme="majorBidi"/>
        </w:rPr>
        <w:t xml:space="preserve">on </w:t>
      </w:r>
      <w:r w:rsidR="009070E5">
        <w:rPr>
          <w:rFonts w:asciiTheme="majorBidi" w:hAnsiTheme="majorBidi" w:cstheme="majorBidi"/>
        </w:rPr>
        <w:t xml:space="preserve">whom </w:t>
      </w:r>
      <w:r w:rsidR="009070E5" w:rsidRPr="007C0B2E">
        <w:rPr>
          <w:rFonts w:asciiTheme="majorBidi" w:hAnsiTheme="majorBidi" w:cstheme="majorBidi"/>
        </w:rPr>
        <w:t xml:space="preserve">the husband </w:t>
      </w:r>
      <w:r w:rsidR="009070E5" w:rsidRPr="009070E5">
        <w:rPr>
          <w:rFonts w:asciiTheme="majorBidi" w:hAnsiTheme="majorBidi" w:cstheme="majorBidi"/>
          <w:b/>
          <w:bCs/>
        </w:rPr>
        <w:t xml:space="preserve">relied </w:t>
      </w:r>
      <w:r w:rsidR="009070E5" w:rsidRPr="007C0B2E">
        <w:rPr>
          <w:rFonts w:asciiTheme="majorBidi" w:hAnsiTheme="majorBidi" w:cstheme="majorBidi"/>
        </w:rPr>
        <w:t>as two witnesses</w:t>
      </w:r>
      <w:r w:rsidR="009070E5">
        <w:rPr>
          <w:rFonts w:asciiTheme="majorBidi" w:hAnsiTheme="majorBidi" w:cstheme="majorBidi"/>
        </w:rPr>
        <w:t>,</w:t>
      </w:r>
      <w:r w:rsidR="009070E5" w:rsidRPr="007C0B2E">
        <w:rPr>
          <w:rFonts w:asciiTheme="majorBidi" w:hAnsiTheme="majorBidi" w:cstheme="majorBidi"/>
        </w:rPr>
        <w:t xml:space="preserve"> </w:t>
      </w:r>
      <w:r w:rsidR="009070E5">
        <w:rPr>
          <w:rFonts w:asciiTheme="majorBidi" w:hAnsiTheme="majorBidi" w:cstheme="majorBidi"/>
        </w:rPr>
        <w:t>and/i.e.</w:t>
      </w:r>
      <w:r w:rsidR="009070E5" w:rsidRPr="007C0B2E">
        <w:rPr>
          <w:rFonts w:asciiTheme="majorBidi" w:hAnsiTheme="majorBidi" w:cstheme="majorBidi"/>
        </w:rPr>
        <w:t xml:space="preserve"> </w:t>
      </w:r>
      <w:r w:rsidR="009070E5" w:rsidRPr="001B73E6">
        <w:rPr>
          <w:rFonts w:asciiTheme="majorBidi" w:hAnsiTheme="majorBidi" w:cstheme="majorBidi"/>
          <w:b/>
          <w:bCs/>
        </w:rPr>
        <w:t>he was tranquil</w:t>
      </w:r>
      <w:r w:rsidR="009070E5" w:rsidRPr="007C0B2E">
        <w:rPr>
          <w:rFonts w:asciiTheme="majorBidi" w:hAnsiTheme="majorBidi" w:cstheme="majorBidi"/>
        </w:rPr>
        <w:t xml:space="preserve"> towards his words</w:t>
      </w:r>
      <w:r w:rsidR="009070E5">
        <w:rPr>
          <w:rFonts w:asciiTheme="majorBidi" w:hAnsiTheme="majorBidi" w:cstheme="majorBidi"/>
        </w:rPr>
        <w:t>" was translated to Hebrew as: "</w:t>
      </w:r>
      <w:r w:rsidR="009070E5" w:rsidRPr="009831D0">
        <w:rPr>
          <w:b/>
          <w:bCs/>
        </w:rPr>
        <w:t xml:space="preserve">whom he believes and his mind </w:t>
      </w:r>
      <w:r w:rsidR="009070E5">
        <w:rPr>
          <w:b/>
          <w:bCs/>
        </w:rPr>
        <w:t xml:space="preserve">rests </w:t>
      </w:r>
      <w:r w:rsidR="009070E5" w:rsidRPr="009831D0">
        <w:rPr>
          <w:b/>
          <w:bCs/>
        </w:rPr>
        <w:t xml:space="preserve">upon </w:t>
      </w:r>
      <w:r w:rsidR="009070E5">
        <w:rPr>
          <w:b/>
          <w:bCs/>
        </w:rPr>
        <w:t>his</w:t>
      </w:r>
      <w:r w:rsidR="009070E5" w:rsidRPr="009831D0">
        <w:rPr>
          <w:b/>
          <w:bCs/>
        </w:rPr>
        <w:t xml:space="preserve"> </w:t>
      </w:r>
      <w:r w:rsidR="009070E5">
        <w:rPr>
          <w:b/>
          <w:bCs/>
        </w:rPr>
        <w:t xml:space="preserve">words". </w:t>
      </w:r>
    </w:p>
    <w:p w14:paraId="77E2D908" w14:textId="17A780F5" w:rsidR="00195C6F" w:rsidRDefault="005D1AB4" w:rsidP="00CA476C">
      <w:pPr>
        <w:rPr>
          <w:rFonts w:asciiTheme="majorBidi" w:hAnsiTheme="majorBidi" w:cstheme="majorBidi"/>
        </w:rPr>
      </w:pPr>
      <w:r w:rsidRPr="005D1AB4">
        <w:rPr>
          <w:rFonts w:asciiTheme="majorBidi" w:hAnsiTheme="majorBidi" w:cstheme="majorBidi"/>
        </w:rPr>
        <w:t xml:space="preserve">The Arabic root "SKN," denoting tranquility, can be translated into Hebrew to imply 'reliance', 'trust', or 'restfulness'. Both Maimonides and Rav Shmuel base their directives on the Talmudic source, emphasizing that a husband's obligation to divorce stems either from two witnesses or one </w:t>
      </w:r>
      <w:r w:rsidR="009070E5">
        <w:rPr>
          <w:rFonts w:asciiTheme="majorBidi" w:hAnsiTheme="majorBidi" w:cstheme="majorBidi"/>
        </w:rPr>
        <w:t xml:space="preserve">witness </w:t>
      </w:r>
      <w:r w:rsidRPr="005D1AB4">
        <w:rPr>
          <w:rFonts w:asciiTheme="majorBidi" w:hAnsiTheme="majorBidi" w:cstheme="majorBidi"/>
        </w:rPr>
        <w:t xml:space="preserve">whose words inspire such profound trust that the husband finds </w:t>
      </w:r>
      <w:r w:rsidR="009070E5">
        <w:rPr>
          <w:rFonts w:asciiTheme="majorBidi" w:hAnsiTheme="majorBidi" w:cstheme="majorBidi"/>
        </w:rPr>
        <w:t>tranquility</w:t>
      </w:r>
      <w:r w:rsidRPr="005D1AB4">
        <w:rPr>
          <w:rFonts w:asciiTheme="majorBidi" w:hAnsiTheme="majorBidi" w:cstheme="majorBidi"/>
        </w:rPr>
        <w:t xml:space="preserve"> in them.</w:t>
      </w:r>
      <w:r w:rsidR="00CA476C" w:rsidRPr="00CA476C">
        <w:t xml:space="preserve"> </w:t>
      </w:r>
      <w:r w:rsidR="00CA476C" w:rsidRPr="00CA476C">
        <w:rPr>
          <w:rFonts w:asciiTheme="majorBidi" w:hAnsiTheme="majorBidi" w:cstheme="majorBidi"/>
        </w:rPr>
        <w:t xml:space="preserve">Maimonides adapted the concept </w:t>
      </w:r>
      <w:r w:rsidR="00CA476C" w:rsidRPr="00CA476C">
        <w:rPr>
          <w:rFonts w:asciiTheme="majorBidi" w:hAnsiTheme="majorBidi" w:cstheme="majorBidi"/>
        </w:rPr>
        <w:t>slightly but</w:t>
      </w:r>
      <w:r w:rsidR="00CA476C">
        <w:rPr>
          <w:rFonts w:asciiTheme="majorBidi" w:hAnsiTheme="majorBidi" w:cstheme="majorBidi"/>
        </w:rPr>
        <w:t>,</w:t>
      </w:r>
      <w:r w:rsidR="00CA476C" w:rsidRPr="00CA476C">
        <w:rPr>
          <w:rFonts w:asciiTheme="majorBidi" w:hAnsiTheme="majorBidi" w:cstheme="majorBidi"/>
        </w:rPr>
        <w:t xml:space="preserve"> </w:t>
      </w:r>
      <w:r w:rsidR="00CA476C">
        <w:rPr>
          <w:rFonts w:asciiTheme="majorBidi" w:hAnsiTheme="majorBidi" w:cstheme="majorBidi"/>
        </w:rPr>
        <w:t xml:space="preserve">he </w:t>
      </w:r>
      <w:r w:rsidR="00CA476C" w:rsidRPr="00CA476C">
        <w:rPr>
          <w:rFonts w:asciiTheme="majorBidi" w:hAnsiTheme="majorBidi" w:cstheme="majorBidi"/>
        </w:rPr>
        <w:t xml:space="preserve">adopted it in its essentials as regards </w:t>
      </w:r>
      <w:r w:rsidR="00CA476C">
        <w:rPr>
          <w:rFonts w:asciiTheme="majorBidi" w:hAnsiTheme="majorBidi" w:cstheme="majorBidi"/>
        </w:rPr>
        <w:t>rhetoric</w:t>
      </w:r>
      <w:r w:rsidR="00CA476C" w:rsidRPr="00CA476C">
        <w:rPr>
          <w:rFonts w:asciiTheme="majorBidi" w:hAnsiTheme="majorBidi" w:cstheme="majorBidi"/>
        </w:rPr>
        <w:t xml:space="preserve"> </w:t>
      </w:r>
      <w:r w:rsidR="00CA476C">
        <w:rPr>
          <w:rFonts w:asciiTheme="majorBidi" w:hAnsiTheme="majorBidi" w:cstheme="majorBidi"/>
        </w:rPr>
        <w:t xml:space="preserve">and </w:t>
      </w:r>
      <w:r w:rsidR="00CA476C" w:rsidRPr="00CA476C">
        <w:rPr>
          <w:rFonts w:asciiTheme="majorBidi" w:hAnsiTheme="majorBidi" w:cstheme="majorBidi"/>
        </w:rPr>
        <w:t>arguments made before a judge</w:t>
      </w:r>
      <w:r w:rsidR="00CA476C">
        <w:rPr>
          <w:rFonts w:asciiTheme="majorBidi" w:hAnsiTheme="majorBidi" w:cstheme="majorBidi"/>
        </w:rPr>
        <w:t xml:space="preserve">. </w:t>
      </w:r>
      <w:r w:rsidR="000C4AB0">
        <w:rPr>
          <w:rFonts w:asciiTheme="majorBidi" w:hAnsiTheme="majorBidi" w:cstheme="majorBidi"/>
        </w:rPr>
        <w:t>W</w:t>
      </w:r>
      <w:r w:rsidR="00782573">
        <w:rPr>
          <w:rFonts w:asciiTheme="majorBidi" w:hAnsiTheme="majorBidi" w:cstheme="majorBidi"/>
        </w:rPr>
        <w:t>e will return to his view at the end of this section.</w:t>
      </w:r>
    </w:p>
    <w:p w14:paraId="64A62CEC" w14:textId="77777777" w:rsidR="009070E5" w:rsidRDefault="009070E5" w:rsidP="005D1AB4">
      <w:pPr>
        <w:rPr>
          <w:rFonts w:asciiTheme="majorBidi" w:hAnsiTheme="majorBidi" w:cstheme="majorBidi"/>
        </w:rPr>
      </w:pPr>
    </w:p>
    <w:p w14:paraId="1489E71A" w14:textId="2A47310E" w:rsidR="009070E5" w:rsidRDefault="009070E5" w:rsidP="00E20ACD">
      <w:pPr>
        <w:rPr>
          <w:rFonts w:asciiTheme="majorBidi" w:hAnsiTheme="majorBidi" w:cstheme="majorBidi"/>
        </w:rPr>
      </w:pPr>
      <w:r w:rsidRPr="009070E5">
        <w:rPr>
          <w:rFonts w:asciiTheme="majorBidi" w:hAnsiTheme="majorBidi" w:cstheme="majorBidi"/>
        </w:rPr>
        <w:t xml:space="preserve">The most striking instance of a Jewish jurist integrating the </w:t>
      </w:r>
      <w:proofErr w:type="gramStart"/>
      <w:r w:rsidR="005B3398" w:rsidRPr="009070E5">
        <w:rPr>
          <w:rFonts w:asciiTheme="majorBidi" w:hAnsiTheme="majorBidi" w:cstheme="majorBidi"/>
        </w:rPr>
        <w:t>Mu</w:t>
      </w:r>
      <w:r w:rsidR="005B3398">
        <w:rPr>
          <w:rFonts w:asciiTheme="majorBidi" w:hAnsiTheme="majorBidi" w:cstheme="majorBidi"/>
        </w:rPr>
        <w:t>‘</w:t>
      </w:r>
      <w:proofErr w:type="gramEnd"/>
      <w:r w:rsidR="005B3398" w:rsidRPr="009070E5">
        <w:rPr>
          <w:rFonts w:asciiTheme="majorBidi" w:hAnsiTheme="majorBidi" w:cstheme="majorBidi"/>
        </w:rPr>
        <w:t xml:space="preserve">tazilite </w:t>
      </w:r>
      <w:r w:rsidRPr="009070E5">
        <w:rPr>
          <w:rFonts w:asciiTheme="majorBidi" w:hAnsiTheme="majorBidi" w:cstheme="majorBidi"/>
        </w:rPr>
        <w:t xml:space="preserve">principle—both in terms of concept and terminology—emerges from a previously unpublished fragment discovered in the Cairo Genizah. This judicial document, dated to the 11th or 12th century, delves into the laws governing witnesses. Within it, the author grapples with </w:t>
      </w:r>
      <w:r w:rsidRPr="009070E5">
        <w:rPr>
          <w:rFonts w:asciiTheme="majorBidi" w:hAnsiTheme="majorBidi" w:cstheme="majorBidi"/>
        </w:rPr>
        <w:lastRenderedPageBreak/>
        <w:t xml:space="preserve">an apparent inconsistency found in the Talmud concerning testimonies: on one hand, there's a source that legitimizes the testimonies of non-Jewish witnesses, while on the other, some sources dismiss such testimonies. The author begins by laying out </w:t>
      </w:r>
      <w:r w:rsidR="005B3398">
        <w:rPr>
          <w:rFonts w:asciiTheme="majorBidi" w:hAnsiTheme="majorBidi" w:cstheme="majorBidi"/>
        </w:rPr>
        <w:t>the</w:t>
      </w:r>
      <w:r w:rsidR="005B3398" w:rsidRPr="009070E5">
        <w:rPr>
          <w:rFonts w:asciiTheme="majorBidi" w:hAnsiTheme="majorBidi" w:cstheme="majorBidi"/>
        </w:rPr>
        <w:t xml:space="preserve"> </w:t>
      </w:r>
      <w:r w:rsidRPr="009070E5">
        <w:rPr>
          <w:rFonts w:asciiTheme="majorBidi" w:hAnsiTheme="majorBidi" w:cstheme="majorBidi"/>
        </w:rPr>
        <w:t>contradiction:</w:t>
      </w:r>
      <w:r w:rsidRPr="009070E5">
        <w:rPr>
          <w:rStyle w:val="FootnoteReference"/>
          <w:rFonts w:asciiTheme="majorBidi" w:hAnsiTheme="majorBidi" w:cstheme="majorBidi"/>
        </w:rPr>
        <w:t xml:space="preserve"> </w:t>
      </w:r>
      <w:r>
        <w:rPr>
          <w:rStyle w:val="FootnoteReference"/>
          <w:rFonts w:asciiTheme="majorBidi" w:hAnsiTheme="majorBidi" w:cstheme="majorBidi"/>
        </w:rPr>
        <w:footnoteReference w:id="62"/>
      </w:r>
    </w:p>
    <w:p w14:paraId="76048A70" w14:textId="62F697A4" w:rsidR="00BA057C" w:rsidRPr="00BA057C" w:rsidRDefault="00BA057C" w:rsidP="00BA057C">
      <w:pPr>
        <w:ind w:left="630" w:right="836"/>
        <w:rPr>
          <w:rFonts w:asciiTheme="majorBidi" w:hAnsiTheme="majorBidi" w:cstheme="majorBidi"/>
        </w:rPr>
      </w:pPr>
      <w:r w:rsidRPr="00BA057C">
        <w:rPr>
          <w:rFonts w:asciiTheme="majorBidi" w:hAnsiTheme="majorBidi" w:cstheme="majorBidi"/>
        </w:rPr>
        <w:t xml:space="preserve">We say that a non-Jew is not counted among the testifiers, since the </w:t>
      </w:r>
      <w:r w:rsidR="005B3398">
        <w:rPr>
          <w:rFonts w:asciiTheme="majorBidi" w:hAnsiTheme="majorBidi" w:cstheme="majorBidi"/>
        </w:rPr>
        <w:t>B</w:t>
      </w:r>
      <w:r w:rsidRPr="00BA057C">
        <w:rPr>
          <w:rFonts w:asciiTheme="majorBidi" w:hAnsiTheme="majorBidi" w:cstheme="majorBidi"/>
        </w:rPr>
        <w:t xml:space="preserve">ible </w:t>
      </w:r>
      <w:r w:rsidR="005B3398">
        <w:rPr>
          <w:rFonts w:asciiTheme="majorBidi" w:hAnsiTheme="majorBidi" w:cstheme="majorBidi"/>
        </w:rPr>
        <w:t>draws a connection</w:t>
      </w:r>
      <w:r w:rsidR="005B3398" w:rsidRPr="00BA057C">
        <w:rPr>
          <w:rFonts w:asciiTheme="majorBidi" w:hAnsiTheme="majorBidi" w:cstheme="majorBidi"/>
        </w:rPr>
        <w:t xml:space="preserve"> </w:t>
      </w:r>
      <w:r w:rsidRPr="00BA057C">
        <w:rPr>
          <w:rFonts w:asciiTheme="majorBidi" w:hAnsiTheme="majorBidi" w:cstheme="majorBidi"/>
        </w:rPr>
        <w:t>between Jews and testimony, as it states (Exodus 20:13) "you shall not bear false witness against your neighbor", and (Deuteronomy 19:16</w:t>
      </w:r>
      <w:r w:rsidR="005B3398">
        <w:rPr>
          <w:rFonts w:asciiTheme="majorBidi" w:hAnsiTheme="majorBidi" w:cstheme="majorBidi"/>
        </w:rPr>
        <w:t>–</w:t>
      </w:r>
      <w:r w:rsidRPr="00BA057C">
        <w:rPr>
          <w:rFonts w:asciiTheme="majorBidi" w:hAnsiTheme="majorBidi" w:cstheme="majorBidi"/>
        </w:rPr>
        <w:t>19) "if a man appears against another to testify maliciously and gives a false testimony against him… you shall do to him as he schemed to do to his fellow (lit.: brother)". And the sages said explicitly "</w:t>
      </w:r>
      <w:r w:rsidR="005B3398">
        <w:rPr>
          <w:rFonts w:asciiTheme="majorBidi" w:hAnsiTheme="majorBidi" w:cstheme="majorBidi"/>
        </w:rPr>
        <w:t xml:space="preserve">a </w:t>
      </w:r>
      <w:r w:rsidRPr="00BA057C">
        <w:rPr>
          <w:rFonts w:asciiTheme="majorBidi" w:hAnsiTheme="majorBidi" w:cstheme="majorBidi"/>
        </w:rPr>
        <w:t>non-Jew is not qualified to testify "…</w:t>
      </w:r>
    </w:p>
    <w:p w14:paraId="080D1648" w14:textId="5A2D1DC3" w:rsidR="00BA057C" w:rsidRDefault="00BA057C" w:rsidP="00BA057C">
      <w:pPr>
        <w:ind w:left="630" w:right="836"/>
        <w:rPr>
          <w:rFonts w:asciiTheme="majorBidi" w:hAnsiTheme="majorBidi" w:cstheme="majorBidi"/>
        </w:rPr>
      </w:pPr>
      <w:r w:rsidRPr="00BA057C">
        <w:rPr>
          <w:rFonts w:asciiTheme="majorBidi" w:hAnsiTheme="majorBidi" w:cstheme="majorBidi"/>
        </w:rPr>
        <w:t xml:space="preserve">One may ask how did the Sages state categorically that non-Jews are not qualified to testify, </w:t>
      </w:r>
      <w:r w:rsidR="005B3398">
        <w:rPr>
          <w:rFonts w:asciiTheme="majorBidi" w:hAnsiTheme="majorBidi" w:cstheme="majorBidi"/>
        </w:rPr>
        <w:t>yet</w:t>
      </w:r>
      <w:r w:rsidR="005B3398" w:rsidRPr="00BA057C">
        <w:rPr>
          <w:rFonts w:asciiTheme="majorBidi" w:hAnsiTheme="majorBidi" w:cstheme="majorBidi"/>
        </w:rPr>
        <w:t xml:space="preserve"> </w:t>
      </w:r>
      <w:r w:rsidRPr="00BA057C">
        <w:rPr>
          <w:rFonts w:asciiTheme="majorBidi" w:hAnsiTheme="majorBidi" w:cstheme="majorBidi"/>
        </w:rPr>
        <w:t>they stated: "Any document that is approved by a non-Jewish court, despite the fact that those who signed it are Gentiles, is valid, except for bills of divorce</w:t>
      </w:r>
      <w:r w:rsidR="005919EF">
        <w:rPr>
          <w:rFonts w:asciiTheme="majorBidi" w:hAnsiTheme="majorBidi" w:cstheme="majorBidi"/>
        </w:rPr>
        <w:t>,</w:t>
      </w:r>
      <w:r w:rsidRPr="00BA057C">
        <w:rPr>
          <w:rFonts w:asciiTheme="majorBidi" w:hAnsiTheme="majorBidi" w:cstheme="majorBidi"/>
        </w:rPr>
        <w:t xml:space="preserve"> </w:t>
      </w:r>
      <w:r w:rsidR="00061335" w:rsidRPr="00061335">
        <w:rPr>
          <w:rFonts w:asciiTheme="majorBidi" w:hAnsiTheme="majorBidi" w:cstheme="majorBidi"/>
        </w:rPr>
        <w:t>the manumitting of slaves</w:t>
      </w:r>
      <w:r w:rsidR="00061335">
        <w:rPr>
          <w:rFonts w:asciiTheme="majorBidi" w:hAnsiTheme="majorBidi" w:cstheme="majorBidi"/>
        </w:rPr>
        <w:t>,</w:t>
      </w:r>
      <w:r w:rsidR="00061335" w:rsidRPr="00061335">
        <w:rPr>
          <w:rFonts w:asciiTheme="majorBidi" w:hAnsiTheme="majorBidi" w:cstheme="majorBidi"/>
        </w:rPr>
        <w:t xml:space="preserve"> </w:t>
      </w:r>
      <w:r w:rsidRPr="00BA057C">
        <w:rPr>
          <w:rFonts w:asciiTheme="majorBidi" w:hAnsiTheme="majorBidi" w:cstheme="majorBidi"/>
        </w:rPr>
        <w:t xml:space="preserve">and </w:t>
      </w:r>
      <w:r w:rsidR="005B3398">
        <w:rPr>
          <w:rFonts w:asciiTheme="majorBidi" w:hAnsiTheme="majorBidi" w:cstheme="majorBidi"/>
        </w:rPr>
        <w:t>the like</w:t>
      </w:r>
      <w:r w:rsidRPr="00BA057C">
        <w:rPr>
          <w:rFonts w:asciiTheme="majorBidi" w:hAnsiTheme="majorBidi" w:cstheme="majorBidi"/>
        </w:rPr>
        <w:t>"?</w:t>
      </w:r>
    </w:p>
    <w:p w14:paraId="2163AA3B" w14:textId="31BC74EB" w:rsidR="00006A4F" w:rsidRDefault="009070E5" w:rsidP="009070E5">
      <w:pPr>
        <w:rPr>
          <w:rFonts w:asciiTheme="majorBidi" w:hAnsiTheme="majorBidi" w:cstheme="majorBidi"/>
        </w:rPr>
      </w:pPr>
      <w:r w:rsidRPr="009070E5">
        <w:rPr>
          <w:rFonts w:asciiTheme="majorBidi" w:hAnsiTheme="majorBidi" w:cstheme="majorBidi"/>
        </w:rPr>
        <w:t xml:space="preserve">To reconcile the apparent contradictions between the two Talmudic rulings, the author introduces a differentiation based on the purpose or function of testimony. He postulates that in certain instances testimony possesses a ceremonial or ritualistic dimension. In such cases, it is imperative for the witness to be Jewish. Conversely, in situations where the testimony's primary goal is the mere elucidation of truth, devoid of any ceremonial undertones, any means of procuring the truth is deemed acceptable. Thus, in these </w:t>
      </w:r>
      <w:r w:rsidRPr="009070E5">
        <w:rPr>
          <w:rFonts w:asciiTheme="majorBidi" w:hAnsiTheme="majorBidi" w:cstheme="majorBidi"/>
        </w:rPr>
        <w:lastRenderedPageBreak/>
        <w:t>scenarios, testimonies from non-Jews, and other groups typically excluded from ceremonial testimonies, are deemed valid. He articulates</w:t>
      </w:r>
      <w:r w:rsidR="00006A4F">
        <w:rPr>
          <w:rFonts w:asciiTheme="majorBidi" w:hAnsiTheme="majorBidi" w:cstheme="majorBidi"/>
        </w:rPr>
        <w:t>:</w:t>
      </w:r>
      <w:r w:rsidR="00006A4F">
        <w:rPr>
          <w:rStyle w:val="FootnoteReference"/>
          <w:rFonts w:asciiTheme="majorBidi" w:hAnsiTheme="majorBidi" w:cstheme="majorBidi"/>
        </w:rPr>
        <w:footnoteReference w:id="63"/>
      </w:r>
    </w:p>
    <w:p w14:paraId="05DE57DF" w14:textId="77777777" w:rsidR="009070E5" w:rsidRDefault="009070E5" w:rsidP="009070E5">
      <w:pPr>
        <w:rPr>
          <w:rFonts w:asciiTheme="majorBidi" w:hAnsiTheme="majorBidi" w:cstheme="majorBidi"/>
        </w:rPr>
      </w:pPr>
    </w:p>
    <w:p w14:paraId="636361F9" w14:textId="77777777" w:rsidR="00006A4F" w:rsidRPr="00006A4F" w:rsidRDefault="00006A4F" w:rsidP="00006A4F">
      <w:pPr>
        <w:ind w:left="630" w:right="836"/>
        <w:rPr>
          <w:rFonts w:asciiTheme="majorBidi" w:hAnsiTheme="majorBidi" w:cstheme="majorBidi"/>
        </w:rPr>
      </w:pPr>
      <w:r w:rsidRPr="00006A4F">
        <w:rPr>
          <w:rFonts w:asciiTheme="majorBidi" w:hAnsiTheme="majorBidi" w:cstheme="majorBidi"/>
        </w:rPr>
        <w:t>We will respond and unravel [the meaning of] this statement, in accordance with God's guidance and His clarification of its vagueness.</w:t>
      </w:r>
    </w:p>
    <w:p w14:paraId="76B2868A" w14:textId="77777777" w:rsidR="00006A4F" w:rsidRPr="00006A4F" w:rsidRDefault="00006A4F" w:rsidP="00006A4F">
      <w:pPr>
        <w:ind w:left="630" w:right="836"/>
        <w:rPr>
          <w:rFonts w:asciiTheme="majorBidi" w:hAnsiTheme="majorBidi" w:cstheme="majorBidi"/>
        </w:rPr>
      </w:pPr>
      <w:r w:rsidRPr="00006A4F">
        <w:rPr>
          <w:rFonts w:asciiTheme="majorBidi" w:hAnsiTheme="majorBidi" w:cstheme="majorBidi"/>
        </w:rPr>
        <w:t xml:space="preserve">We say that the Sages did not advocate signing such documents for the sake of testimony, and testimony has no relevance to this. Rather the Sages wrote [opined?] that when knowledge (‘ilm) reached them regarding any monetary matter in a way that </w:t>
      </w:r>
      <w:r w:rsidRPr="00006A4F">
        <w:rPr>
          <w:rFonts w:asciiTheme="majorBidi" w:hAnsiTheme="majorBidi" w:cstheme="majorBidi"/>
          <w:b/>
          <w:bCs/>
        </w:rPr>
        <w:t>made their souls tranquil</w:t>
      </w:r>
      <w:r w:rsidRPr="00006A4F">
        <w:rPr>
          <w:rFonts w:asciiTheme="majorBidi" w:hAnsiTheme="majorBidi" w:cstheme="majorBidi"/>
        </w:rPr>
        <w:t xml:space="preserve"> towards it, they ruled in accordance with that. </w:t>
      </w:r>
    </w:p>
    <w:p w14:paraId="32619064" w14:textId="39E04A5A" w:rsidR="0074307B" w:rsidRPr="007C0B2E" w:rsidRDefault="00006A4F" w:rsidP="00006A4F">
      <w:pPr>
        <w:ind w:left="630" w:right="836"/>
        <w:rPr>
          <w:rFonts w:asciiTheme="majorBidi" w:hAnsiTheme="majorBidi" w:cstheme="majorBidi"/>
          <w:rtl/>
        </w:rPr>
      </w:pPr>
      <w:r w:rsidRPr="00006A4F">
        <w:rPr>
          <w:rFonts w:asciiTheme="majorBidi" w:hAnsiTheme="majorBidi" w:cstheme="majorBidi"/>
        </w:rPr>
        <w:t>This is not through the method of testimony, but rather the method of clarification of the issue in any manner.</w:t>
      </w:r>
      <w:r w:rsidR="00DB4DB1">
        <w:rPr>
          <w:rFonts w:asciiTheme="majorBidi" w:hAnsiTheme="majorBidi" w:cstheme="majorBidi"/>
        </w:rPr>
        <w:t xml:space="preserve"> </w:t>
      </w:r>
    </w:p>
    <w:p w14:paraId="611F1824" w14:textId="0E8753B7" w:rsidR="00BA37BA" w:rsidRDefault="00BA37BA" w:rsidP="00BA37BA">
      <w:pPr>
        <w:rPr>
          <w:rFonts w:asciiTheme="majorBidi" w:hAnsiTheme="majorBidi" w:cstheme="majorBidi"/>
        </w:rPr>
      </w:pPr>
      <w:r w:rsidRPr="00BA37BA">
        <w:rPr>
          <w:rFonts w:asciiTheme="majorBidi" w:hAnsiTheme="majorBidi" w:cstheme="majorBidi"/>
        </w:rPr>
        <w:t>.</w:t>
      </w:r>
    </w:p>
    <w:p w14:paraId="205CDAD0" w14:textId="57C91481" w:rsidR="001246D6" w:rsidRDefault="001246D6" w:rsidP="00BA37BA">
      <w:pPr>
        <w:rPr>
          <w:rFonts w:asciiTheme="majorBidi" w:hAnsiTheme="majorBidi" w:cstheme="majorBidi"/>
        </w:rPr>
      </w:pPr>
      <w:r>
        <w:rPr>
          <w:rFonts w:asciiTheme="majorBidi" w:hAnsiTheme="majorBidi" w:cstheme="majorBidi"/>
        </w:rPr>
        <w:t xml:space="preserve">In the Talmud there is no hint regarding tranquility of soul and accepting testimony based upon such concepts.  </w:t>
      </w:r>
      <w:r w:rsidR="00006A4F">
        <w:rPr>
          <w:rFonts w:asciiTheme="majorBidi" w:hAnsiTheme="majorBidi" w:cstheme="majorBidi"/>
        </w:rPr>
        <w:t xml:space="preserve">In using the concept of </w:t>
      </w:r>
      <w:r>
        <w:rPr>
          <w:rFonts w:asciiTheme="majorBidi" w:hAnsiTheme="majorBidi" w:cstheme="majorBidi"/>
        </w:rPr>
        <w:t>"</w:t>
      </w:r>
      <w:r w:rsidR="00006A4F">
        <w:rPr>
          <w:rFonts w:asciiTheme="majorBidi" w:hAnsiTheme="majorBidi" w:cstheme="majorBidi"/>
        </w:rPr>
        <w:t>tranquility of the soul</w:t>
      </w:r>
      <w:r>
        <w:rPr>
          <w:rFonts w:asciiTheme="majorBidi" w:hAnsiTheme="majorBidi" w:cstheme="majorBidi"/>
        </w:rPr>
        <w:t>"</w:t>
      </w:r>
      <w:r w:rsidR="00006A4F">
        <w:rPr>
          <w:rFonts w:asciiTheme="majorBidi" w:hAnsiTheme="majorBidi" w:cstheme="majorBidi"/>
        </w:rPr>
        <w:t xml:space="preserve">, it seems clear that </w:t>
      </w:r>
      <w:r w:rsidR="00230EB4">
        <w:rPr>
          <w:rFonts w:asciiTheme="majorBidi" w:hAnsiTheme="majorBidi" w:cstheme="majorBidi"/>
        </w:rPr>
        <w:t xml:space="preserve">this </w:t>
      </w:r>
      <w:r>
        <w:rPr>
          <w:rFonts w:asciiTheme="majorBidi" w:hAnsiTheme="majorBidi" w:cstheme="majorBidi"/>
        </w:rPr>
        <w:t>author</w:t>
      </w:r>
      <w:r w:rsidR="00006A4F">
        <w:rPr>
          <w:rFonts w:asciiTheme="majorBidi" w:hAnsiTheme="majorBidi" w:cstheme="majorBidi"/>
        </w:rPr>
        <w:t xml:space="preserve"> has </w:t>
      </w:r>
      <w:r>
        <w:rPr>
          <w:rFonts w:asciiTheme="majorBidi" w:hAnsiTheme="majorBidi" w:cstheme="majorBidi"/>
        </w:rPr>
        <w:t xml:space="preserve">integrated the </w:t>
      </w:r>
      <w:proofErr w:type="gramStart"/>
      <w:r>
        <w:rPr>
          <w:rFonts w:asciiTheme="majorBidi" w:hAnsiTheme="majorBidi" w:cstheme="majorBidi"/>
        </w:rPr>
        <w:t>Mu</w:t>
      </w:r>
      <w:r w:rsidR="005B3398">
        <w:rPr>
          <w:rFonts w:asciiTheme="majorBidi" w:hAnsiTheme="majorBidi" w:cstheme="majorBidi"/>
        </w:rPr>
        <w:t>‘</w:t>
      </w:r>
      <w:proofErr w:type="gramEnd"/>
      <w:r>
        <w:rPr>
          <w:rFonts w:asciiTheme="majorBidi" w:hAnsiTheme="majorBidi" w:cstheme="majorBidi"/>
        </w:rPr>
        <w:t>tazilite approach to obtaining truth</w:t>
      </w:r>
      <w:r w:rsidR="00230EB4">
        <w:rPr>
          <w:rFonts w:asciiTheme="majorBidi" w:hAnsiTheme="majorBidi" w:cstheme="majorBidi"/>
        </w:rPr>
        <w:t>, and solved a</w:t>
      </w:r>
      <w:r w:rsidR="005B3398">
        <w:rPr>
          <w:rFonts w:asciiTheme="majorBidi" w:hAnsiTheme="majorBidi" w:cstheme="majorBidi"/>
        </w:rPr>
        <w:t>n internal</w:t>
      </w:r>
      <w:r w:rsidR="00230EB4">
        <w:rPr>
          <w:rFonts w:asciiTheme="majorBidi" w:hAnsiTheme="majorBidi" w:cstheme="majorBidi"/>
        </w:rPr>
        <w:t xml:space="preserve"> Talmudic contradiction.</w:t>
      </w:r>
    </w:p>
    <w:p w14:paraId="707B284C" w14:textId="404B098D" w:rsidR="00230EB4" w:rsidRDefault="00230EB4" w:rsidP="00BA37BA">
      <w:pPr>
        <w:rPr>
          <w:rFonts w:asciiTheme="majorBidi" w:hAnsiTheme="majorBidi" w:cstheme="majorBidi"/>
        </w:rPr>
      </w:pPr>
      <w:r>
        <w:rPr>
          <w:rFonts w:asciiTheme="majorBidi" w:hAnsiTheme="majorBidi" w:cstheme="majorBidi"/>
        </w:rPr>
        <w:t>This author broadens the application of "tranquility of soul" as a source for obtaining truth in all legal cases that do not have a ceremonial component.</w:t>
      </w:r>
    </w:p>
    <w:p w14:paraId="19BF9169" w14:textId="221B1D86" w:rsidR="00230EB4" w:rsidRDefault="00230EB4" w:rsidP="00BA37BA">
      <w:pPr>
        <w:rPr>
          <w:rFonts w:asciiTheme="majorBidi" w:hAnsiTheme="majorBidi" w:cstheme="majorBidi"/>
        </w:rPr>
      </w:pPr>
      <w:r>
        <w:rPr>
          <w:rFonts w:asciiTheme="majorBidi" w:hAnsiTheme="majorBidi" w:cstheme="majorBidi"/>
        </w:rPr>
        <w:t>He writes:</w:t>
      </w:r>
      <w:r>
        <w:rPr>
          <w:rStyle w:val="FootnoteReference"/>
          <w:rFonts w:asciiTheme="majorBidi" w:hAnsiTheme="majorBidi" w:cstheme="majorBidi"/>
        </w:rPr>
        <w:footnoteReference w:id="64"/>
      </w:r>
    </w:p>
    <w:p w14:paraId="74FE2290" w14:textId="77777777" w:rsidR="001246D6" w:rsidRPr="001246D6" w:rsidRDefault="001246D6" w:rsidP="001246D6">
      <w:pPr>
        <w:ind w:left="630" w:right="836"/>
        <w:rPr>
          <w:rFonts w:asciiTheme="majorBidi" w:hAnsiTheme="majorBidi" w:cstheme="majorBidi"/>
        </w:rPr>
      </w:pPr>
      <w:r w:rsidRPr="001246D6">
        <w:rPr>
          <w:rFonts w:asciiTheme="majorBidi" w:hAnsiTheme="majorBidi" w:cstheme="majorBidi"/>
        </w:rPr>
        <w:t>For monetary matters require testimony only to prevent deceit, as they stated, "Witnesses exist only because of liars."</w:t>
      </w:r>
    </w:p>
    <w:p w14:paraId="168CAA58" w14:textId="1382F1FA" w:rsidR="001246D6" w:rsidRDefault="001246D6" w:rsidP="001246D6">
      <w:pPr>
        <w:ind w:left="630" w:right="836"/>
        <w:rPr>
          <w:rFonts w:asciiTheme="majorBidi" w:hAnsiTheme="majorBidi" w:cstheme="majorBidi"/>
        </w:rPr>
      </w:pPr>
      <w:r w:rsidRPr="001246D6">
        <w:rPr>
          <w:rFonts w:asciiTheme="majorBidi" w:hAnsiTheme="majorBidi" w:cstheme="majorBidi"/>
        </w:rPr>
        <w:lastRenderedPageBreak/>
        <w:t>Therefore, in case</w:t>
      </w:r>
      <w:r w:rsidR="00230EB4">
        <w:rPr>
          <w:rFonts w:asciiTheme="majorBidi" w:hAnsiTheme="majorBidi" w:cstheme="majorBidi"/>
        </w:rPr>
        <w:t>s where</w:t>
      </w:r>
      <w:r w:rsidRPr="001246D6">
        <w:rPr>
          <w:rFonts w:asciiTheme="majorBidi" w:hAnsiTheme="majorBidi" w:cstheme="majorBidi"/>
        </w:rPr>
        <w:t xml:space="preserve"> it became clear to them that one of the litigants was lying and </w:t>
      </w:r>
      <w:r w:rsidRPr="00230EB4">
        <w:rPr>
          <w:rFonts w:asciiTheme="majorBidi" w:hAnsiTheme="majorBidi" w:cstheme="majorBidi"/>
          <w:b/>
          <w:bCs/>
        </w:rPr>
        <w:t>the truth became manifest in any manner that</w:t>
      </w:r>
      <w:r w:rsidRPr="001246D6">
        <w:rPr>
          <w:rFonts w:asciiTheme="majorBidi" w:hAnsiTheme="majorBidi" w:cstheme="majorBidi"/>
        </w:rPr>
        <w:t xml:space="preserve"> </w:t>
      </w:r>
      <w:r w:rsidRPr="00230EB4">
        <w:rPr>
          <w:rFonts w:asciiTheme="majorBidi" w:hAnsiTheme="majorBidi" w:cstheme="majorBidi"/>
          <w:b/>
          <w:bCs/>
        </w:rPr>
        <w:t>made their souls tranquil</w:t>
      </w:r>
      <w:r w:rsidRPr="001246D6">
        <w:rPr>
          <w:rFonts w:asciiTheme="majorBidi" w:hAnsiTheme="majorBidi" w:cstheme="majorBidi"/>
        </w:rPr>
        <w:t xml:space="preserve"> towards it, they would rule accordingly.  </w:t>
      </w:r>
    </w:p>
    <w:p w14:paraId="5AEBE197" w14:textId="77777777" w:rsidR="001246D6" w:rsidRDefault="001246D6" w:rsidP="00BA37BA">
      <w:pPr>
        <w:rPr>
          <w:rFonts w:asciiTheme="majorBidi" w:hAnsiTheme="majorBidi" w:cstheme="majorBidi"/>
        </w:rPr>
      </w:pPr>
    </w:p>
    <w:p w14:paraId="592F1421" w14:textId="0C0BB5A4" w:rsidR="00D820B1" w:rsidRDefault="001246D6" w:rsidP="00BA37BA">
      <w:pPr>
        <w:rPr>
          <w:rFonts w:asciiTheme="majorBidi" w:hAnsiTheme="majorBidi" w:cstheme="majorBidi"/>
        </w:rPr>
      </w:pPr>
      <w:r>
        <w:rPr>
          <w:rFonts w:asciiTheme="majorBidi" w:hAnsiTheme="majorBidi" w:cstheme="majorBidi"/>
        </w:rPr>
        <w:t xml:space="preserve">The integration of the </w:t>
      </w:r>
      <w:proofErr w:type="gramStart"/>
      <w:r>
        <w:rPr>
          <w:rFonts w:asciiTheme="majorBidi" w:hAnsiTheme="majorBidi" w:cstheme="majorBidi"/>
        </w:rPr>
        <w:t>Mu</w:t>
      </w:r>
      <w:r w:rsidR="005B3398">
        <w:rPr>
          <w:rFonts w:asciiTheme="majorBidi" w:hAnsiTheme="majorBidi" w:cstheme="majorBidi"/>
        </w:rPr>
        <w:t>‘</w:t>
      </w:r>
      <w:proofErr w:type="gramEnd"/>
      <w:r w:rsidR="005B3398">
        <w:rPr>
          <w:rFonts w:asciiTheme="majorBidi" w:hAnsiTheme="majorBidi" w:cstheme="majorBidi"/>
        </w:rPr>
        <w:t xml:space="preserve">tazilite </w:t>
      </w:r>
      <w:r>
        <w:rPr>
          <w:rFonts w:asciiTheme="majorBidi" w:hAnsiTheme="majorBidi" w:cstheme="majorBidi"/>
        </w:rPr>
        <w:t xml:space="preserve">theology vis a vis obtaining truth follows a </w:t>
      </w:r>
      <w:r w:rsidR="00230EB4">
        <w:rPr>
          <w:rFonts w:asciiTheme="majorBidi" w:hAnsiTheme="majorBidi" w:cstheme="majorBidi"/>
        </w:rPr>
        <w:t>developmental path.  First Rav Saadia incorporated the</w:t>
      </w:r>
      <w:r w:rsidR="00D820B1">
        <w:rPr>
          <w:rFonts w:asciiTheme="majorBidi" w:hAnsiTheme="majorBidi" w:cstheme="majorBidi"/>
        </w:rPr>
        <w:t xml:space="preserve">se concepts in </w:t>
      </w:r>
      <w:r w:rsidR="005B3398">
        <w:rPr>
          <w:rFonts w:asciiTheme="majorBidi" w:hAnsiTheme="majorBidi" w:cstheme="majorBidi"/>
        </w:rPr>
        <w:t xml:space="preserve">the </w:t>
      </w:r>
      <w:r w:rsidR="00EC187B">
        <w:rPr>
          <w:rFonts w:asciiTheme="majorBidi" w:hAnsiTheme="majorBidi" w:cstheme="majorBidi"/>
        </w:rPr>
        <w:t>theological</w:t>
      </w:r>
      <w:r w:rsidR="00D820B1">
        <w:rPr>
          <w:rFonts w:asciiTheme="majorBidi" w:hAnsiTheme="majorBidi" w:cstheme="majorBidi"/>
        </w:rPr>
        <w:t xml:space="preserve"> introduction to his judicial work on testimonies.  Following this, Rav Shmuel Ben Hofni introduced this concept to explain the Talmudic ruling that the testimony of one witness can be considered valid even though generally Jewish law requires two witnesses.</w:t>
      </w:r>
    </w:p>
    <w:p w14:paraId="5E6248D4" w14:textId="77777777" w:rsidR="00EC187B" w:rsidRDefault="00EC187B" w:rsidP="00BA37BA">
      <w:pPr>
        <w:rPr>
          <w:rFonts w:asciiTheme="majorBidi" w:hAnsiTheme="majorBidi" w:cstheme="majorBidi"/>
        </w:rPr>
      </w:pPr>
    </w:p>
    <w:p w14:paraId="739F76E1" w14:textId="77777777" w:rsidR="00EC187B" w:rsidRDefault="00EC187B" w:rsidP="00BA37BA">
      <w:pPr>
        <w:rPr>
          <w:rFonts w:asciiTheme="majorBidi" w:hAnsiTheme="majorBidi" w:cstheme="majorBidi"/>
        </w:rPr>
      </w:pPr>
    </w:p>
    <w:p w14:paraId="185DD15A" w14:textId="77777777" w:rsidR="00EC187B" w:rsidRDefault="00EC187B" w:rsidP="00EC187B">
      <w:pPr>
        <w:rPr>
          <w:rFonts w:asciiTheme="majorBidi" w:hAnsiTheme="majorBidi" w:cstheme="majorBidi"/>
        </w:rPr>
      </w:pPr>
      <w:r w:rsidRPr="00EC187B">
        <w:rPr>
          <w:rFonts w:asciiTheme="majorBidi" w:hAnsiTheme="majorBidi" w:cstheme="majorBidi"/>
        </w:rPr>
        <w:t xml:space="preserve">Once Geonic scholars adopted this concept, it paved the way for wider usage in judicial decisions. The </w:t>
      </w:r>
      <w:proofErr w:type="gramStart"/>
      <w:r w:rsidRPr="00EC187B">
        <w:rPr>
          <w:rFonts w:asciiTheme="majorBidi" w:hAnsiTheme="majorBidi" w:cstheme="majorBidi"/>
        </w:rPr>
        <w:t>aforementioned author</w:t>
      </w:r>
      <w:proofErr w:type="gramEnd"/>
      <w:r w:rsidRPr="00EC187B">
        <w:rPr>
          <w:rFonts w:asciiTheme="majorBidi" w:hAnsiTheme="majorBidi" w:cstheme="majorBidi"/>
        </w:rPr>
        <w:t xml:space="preserve"> extends the application of this concept beyond philosophical deliberations and resolving specific Talmudic contradictions. He delves deeper, utilizing the principle to authenticate testimonies from groups previously viewed with skepticism or outright rejection. A notable case he examines involves the testimony of non-Jews. He further asserts that this concept has universal applicability.</w:t>
      </w:r>
    </w:p>
    <w:p w14:paraId="37B63F97" w14:textId="05DA077C" w:rsidR="00EC187B" w:rsidRDefault="00EC187B" w:rsidP="00EC187B">
      <w:pPr>
        <w:rPr>
          <w:rFonts w:asciiTheme="majorBidi" w:hAnsiTheme="majorBidi" w:cstheme="majorBidi"/>
        </w:rPr>
      </w:pPr>
      <w:r w:rsidRPr="00EC187B">
        <w:rPr>
          <w:rFonts w:asciiTheme="majorBidi" w:hAnsiTheme="majorBidi" w:cstheme="majorBidi"/>
        </w:rPr>
        <w:t xml:space="preserve"> </w:t>
      </w:r>
    </w:p>
    <w:p w14:paraId="5DBF468A" w14:textId="244C3A64" w:rsidR="007B7F12" w:rsidRDefault="007B7F12" w:rsidP="00D820B1">
      <w:pPr>
        <w:rPr>
          <w:rFonts w:asciiTheme="majorBidi" w:hAnsiTheme="majorBidi" w:cstheme="majorBidi"/>
          <w:lang w:bidi="ar-JO"/>
        </w:rPr>
      </w:pPr>
      <w:r>
        <w:rPr>
          <w:rFonts w:asciiTheme="majorBidi" w:hAnsiTheme="majorBidi" w:cstheme="majorBidi"/>
          <w:lang w:bidi="ar-JO"/>
        </w:rPr>
        <w:t xml:space="preserve">According to this, </w:t>
      </w:r>
      <w:r w:rsidR="005B3398">
        <w:rPr>
          <w:rFonts w:asciiTheme="majorBidi" w:hAnsiTheme="majorBidi" w:cstheme="majorBidi"/>
          <w:lang w:bidi="ar-JO"/>
        </w:rPr>
        <w:t xml:space="preserve">as regards the </w:t>
      </w:r>
      <w:r>
        <w:rPr>
          <w:rFonts w:asciiTheme="majorBidi" w:hAnsiTheme="majorBidi" w:cstheme="majorBidi"/>
          <w:lang w:bidi="ar-JO"/>
        </w:rPr>
        <w:t>testimony of women, children and other populations that are generally not accepted for standard testimony</w:t>
      </w:r>
      <w:r w:rsidR="005B3398">
        <w:rPr>
          <w:rFonts w:asciiTheme="majorBidi" w:hAnsiTheme="majorBidi" w:cstheme="majorBidi"/>
          <w:lang w:bidi="ar-JO"/>
        </w:rPr>
        <w:t xml:space="preserve">, </w:t>
      </w:r>
      <w:proofErr w:type="gramStart"/>
      <w:r w:rsidR="005B3398">
        <w:rPr>
          <w:rFonts w:asciiTheme="majorBidi" w:hAnsiTheme="majorBidi" w:cstheme="majorBidi"/>
          <w:lang w:bidi="ar-JO"/>
        </w:rPr>
        <w:t>a</w:t>
      </w:r>
      <w:r>
        <w:rPr>
          <w:rFonts w:asciiTheme="majorBidi" w:hAnsiTheme="majorBidi" w:cstheme="majorBidi"/>
          <w:lang w:bidi="ar-JO"/>
        </w:rPr>
        <w:t>s long as</w:t>
      </w:r>
      <w:proofErr w:type="gramEnd"/>
      <w:r>
        <w:rPr>
          <w:rFonts w:asciiTheme="majorBidi" w:hAnsiTheme="majorBidi" w:cstheme="majorBidi"/>
          <w:lang w:bidi="ar-JO"/>
        </w:rPr>
        <w:t xml:space="preserve"> the judges find that </w:t>
      </w:r>
      <w:r w:rsidR="005B3398">
        <w:rPr>
          <w:rFonts w:asciiTheme="majorBidi" w:hAnsiTheme="majorBidi" w:cstheme="majorBidi"/>
          <w:lang w:bidi="ar-JO"/>
        </w:rPr>
        <w:t xml:space="preserve">the </w:t>
      </w:r>
      <w:r>
        <w:rPr>
          <w:rFonts w:asciiTheme="majorBidi" w:hAnsiTheme="majorBidi" w:cstheme="majorBidi"/>
          <w:lang w:bidi="ar-JO"/>
        </w:rPr>
        <w:t>testimony sits well with both logic and intuition it can be accepted.</w:t>
      </w:r>
    </w:p>
    <w:p w14:paraId="7C01263B" w14:textId="77777777" w:rsidR="007B7F12" w:rsidRDefault="007B7F12" w:rsidP="00D820B1">
      <w:pPr>
        <w:rPr>
          <w:rFonts w:asciiTheme="majorBidi" w:hAnsiTheme="majorBidi" w:cstheme="majorBidi"/>
          <w:lang w:bidi="ar-JO"/>
        </w:rPr>
      </w:pPr>
    </w:p>
    <w:p w14:paraId="3D750CAC" w14:textId="49907376" w:rsidR="007B7F12" w:rsidRDefault="00DF6A04" w:rsidP="00D820B1">
      <w:pPr>
        <w:rPr>
          <w:rFonts w:asciiTheme="majorBidi" w:hAnsiTheme="majorBidi" w:cstheme="majorBidi"/>
          <w:lang w:bidi="ar-JO"/>
        </w:rPr>
      </w:pPr>
      <w:r>
        <w:rPr>
          <w:rFonts w:asciiTheme="majorBidi" w:hAnsiTheme="majorBidi" w:cstheme="majorBidi"/>
          <w:lang w:bidi="ar-JO"/>
        </w:rPr>
        <w:t>This concept became deeply integrated into Jewish law. The concept appears in various places in different forms, with the same underlying basis</w:t>
      </w:r>
      <w:r w:rsidR="005B3398">
        <w:rPr>
          <w:rFonts w:asciiTheme="majorBidi" w:hAnsiTheme="majorBidi" w:cstheme="majorBidi"/>
          <w:lang w:bidi="ar-JO"/>
        </w:rPr>
        <w:t>: t</w:t>
      </w:r>
      <w:r>
        <w:rPr>
          <w:rFonts w:asciiTheme="majorBidi" w:hAnsiTheme="majorBidi" w:cstheme="majorBidi"/>
          <w:lang w:bidi="ar-JO"/>
        </w:rPr>
        <w:t xml:space="preserve">hat one can establish truth without two proper </w:t>
      </w:r>
      <w:proofErr w:type="gramStart"/>
      <w:r>
        <w:rPr>
          <w:rFonts w:asciiTheme="majorBidi" w:hAnsiTheme="majorBidi" w:cstheme="majorBidi"/>
          <w:lang w:bidi="ar-JO"/>
        </w:rPr>
        <w:t>witnesses</w:t>
      </w:r>
      <w:proofErr w:type="gramEnd"/>
      <w:r>
        <w:rPr>
          <w:rFonts w:asciiTheme="majorBidi" w:hAnsiTheme="majorBidi" w:cstheme="majorBidi"/>
          <w:lang w:bidi="ar-JO"/>
        </w:rPr>
        <w:t xml:space="preserve"> and it </w:t>
      </w:r>
      <w:r w:rsidR="005B3398">
        <w:rPr>
          <w:rFonts w:asciiTheme="majorBidi" w:hAnsiTheme="majorBidi" w:cstheme="majorBidi"/>
          <w:lang w:bidi="ar-JO"/>
        </w:rPr>
        <w:t xml:space="preserve">remains </w:t>
      </w:r>
      <w:r>
        <w:rPr>
          <w:rFonts w:asciiTheme="majorBidi" w:hAnsiTheme="majorBidi" w:cstheme="majorBidi"/>
          <w:lang w:bidi="ar-JO"/>
        </w:rPr>
        <w:t xml:space="preserve">binding by Jewish law.  For </w:t>
      </w:r>
      <w:proofErr w:type="gramStart"/>
      <w:r>
        <w:rPr>
          <w:rFonts w:asciiTheme="majorBidi" w:hAnsiTheme="majorBidi" w:cstheme="majorBidi"/>
          <w:lang w:bidi="ar-JO"/>
        </w:rPr>
        <w:t>example</w:t>
      </w:r>
      <w:proofErr w:type="gramEnd"/>
      <w:r>
        <w:rPr>
          <w:rFonts w:asciiTheme="majorBidi" w:hAnsiTheme="majorBidi" w:cstheme="majorBidi"/>
          <w:lang w:bidi="ar-JO"/>
        </w:rPr>
        <w:t xml:space="preserve"> </w:t>
      </w:r>
      <w:r>
        <w:rPr>
          <w:rFonts w:asciiTheme="majorBidi" w:hAnsiTheme="majorBidi" w:cstheme="majorBidi"/>
        </w:rPr>
        <w:t xml:space="preserve">Rabbi </w:t>
      </w:r>
      <w:r>
        <w:rPr>
          <w:rFonts w:asciiTheme="majorBidi" w:hAnsiTheme="majorBidi" w:cstheme="majorBidi"/>
        </w:rPr>
        <w:lastRenderedPageBreak/>
        <w:t xml:space="preserve">Shlomo ibn Aderet of </w:t>
      </w:r>
      <w:r w:rsidRPr="00DF6A04">
        <w:rPr>
          <w:rFonts w:asciiTheme="majorBidi" w:hAnsiTheme="majorBidi" w:cstheme="majorBidi"/>
        </w:rPr>
        <w:t>Barcelona</w:t>
      </w:r>
      <w:r>
        <w:rPr>
          <w:rFonts w:asciiTheme="majorBidi" w:hAnsiTheme="majorBidi" w:cstheme="majorBidi"/>
        </w:rPr>
        <w:t xml:space="preserve"> (d. 1310) was asked about the validity of testimony of non-Jews regarding the biblical prohibition of slaughtering a mother cow and its calf on the same day (responsum</w:t>
      </w:r>
      <w:r w:rsidR="005B3398">
        <w:rPr>
          <w:rFonts w:asciiTheme="majorBidi" w:hAnsiTheme="majorBidi" w:cstheme="majorBidi"/>
        </w:rPr>
        <w:t xml:space="preserve"> </w:t>
      </w:r>
      <w:r>
        <w:rPr>
          <w:rFonts w:asciiTheme="majorBidi" w:hAnsiTheme="majorBidi" w:cstheme="majorBidi"/>
        </w:rPr>
        <w:t>I</w:t>
      </w:r>
      <w:r w:rsidR="00053D60">
        <w:rPr>
          <w:rFonts w:asciiTheme="majorBidi" w:hAnsiTheme="majorBidi" w:cstheme="majorBidi"/>
        </w:rPr>
        <w:t>,118).  He replied that in principle this testimony is invalid. However, after discussion, he quotes the Talmudic phrase mentioned above, and concludes: "If he believes the one witness, then he forbids (to slaughter them on the same day), as if there were two (valid) witnesses. Because it goes by intuition (</w:t>
      </w:r>
      <w:r w:rsidR="00053D60">
        <w:rPr>
          <w:rFonts w:asciiTheme="majorBidi" w:hAnsiTheme="majorBidi" w:cstheme="majorBidi"/>
          <w:lang w:bidi="ar-JO"/>
        </w:rPr>
        <w:t>Ha'amanat ha-lev)".</w:t>
      </w:r>
    </w:p>
    <w:p w14:paraId="141A5404" w14:textId="77777777" w:rsidR="009142F6" w:rsidRDefault="009142F6" w:rsidP="001F215E">
      <w:pPr>
        <w:rPr>
          <w:rFonts w:asciiTheme="majorBidi" w:hAnsiTheme="majorBidi" w:cstheme="majorBidi"/>
        </w:rPr>
      </w:pPr>
    </w:p>
    <w:p w14:paraId="572CD787" w14:textId="2B9F59ED" w:rsidR="001F215E" w:rsidRDefault="00111F02" w:rsidP="00111F02">
      <w:pPr>
        <w:rPr>
          <w:rFonts w:asciiTheme="majorBidi" w:hAnsiTheme="majorBidi" w:cstheme="majorBidi"/>
        </w:rPr>
      </w:pPr>
      <w:r>
        <w:rPr>
          <w:rFonts w:asciiTheme="majorBidi" w:hAnsiTheme="majorBidi" w:cstheme="majorBidi"/>
        </w:rPr>
        <w:t>A</w:t>
      </w:r>
      <w:r w:rsidR="005B3398">
        <w:rPr>
          <w:rFonts w:asciiTheme="majorBidi" w:hAnsiTheme="majorBidi" w:cstheme="majorBidi"/>
        </w:rPr>
        <w:t xml:space="preserve">n interesting additional </w:t>
      </w:r>
      <w:r>
        <w:rPr>
          <w:rFonts w:asciiTheme="majorBidi" w:hAnsiTheme="majorBidi" w:cstheme="majorBidi"/>
        </w:rPr>
        <w:t xml:space="preserve">item for further research is to analyse the way Maimonides integrates this concept into his judicial writings. </w:t>
      </w:r>
      <w:r w:rsidR="005B3398">
        <w:rPr>
          <w:rFonts w:asciiTheme="majorBidi" w:hAnsiTheme="majorBidi" w:cstheme="majorBidi"/>
        </w:rPr>
        <w:t xml:space="preserve">One notable </w:t>
      </w:r>
      <w:r>
        <w:rPr>
          <w:rFonts w:asciiTheme="majorBidi" w:hAnsiTheme="majorBidi" w:cstheme="majorBidi"/>
        </w:rPr>
        <w:t>example of many is his ruling in Hil</w:t>
      </w:r>
      <w:r w:rsidR="005B3398">
        <w:rPr>
          <w:rFonts w:asciiTheme="majorBidi" w:hAnsiTheme="majorBidi" w:cstheme="majorBidi"/>
        </w:rPr>
        <w:t>k</w:t>
      </w:r>
      <w:r>
        <w:rPr>
          <w:rFonts w:asciiTheme="majorBidi" w:hAnsiTheme="majorBidi" w:cstheme="majorBidi"/>
        </w:rPr>
        <w:t>hot Sanhedrin.  There he writes</w:t>
      </w:r>
      <w:r w:rsidR="001F215E">
        <w:rPr>
          <w:rFonts w:asciiTheme="majorBidi" w:hAnsiTheme="majorBidi" w:cstheme="majorBidi"/>
        </w:rPr>
        <w:t xml:space="preserve"> (Mishne-Tora, Sanhedrin 24, 1</w:t>
      </w:r>
      <w:r w:rsidR="005B3398">
        <w:rPr>
          <w:rFonts w:asciiTheme="majorBidi" w:hAnsiTheme="majorBidi" w:cstheme="majorBidi"/>
        </w:rPr>
        <w:t>–</w:t>
      </w:r>
      <w:r w:rsidR="009142F6">
        <w:rPr>
          <w:rFonts w:asciiTheme="majorBidi" w:hAnsiTheme="majorBidi" w:cstheme="majorBidi"/>
        </w:rPr>
        <w:t>2</w:t>
      </w:r>
      <w:r w:rsidR="001F215E">
        <w:rPr>
          <w:rFonts w:asciiTheme="majorBidi" w:hAnsiTheme="majorBidi" w:cstheme="majorBidi"/>
        </w:rPr>
        <w:t>)</w:t>
      </w:r>
      <w:r>
        <w:rPr>
          <w:rFonts w:asciiTheme="majorBidi" w:hAnsiTheme="majorBidi" w:cstheme="majorBidi"/>
        </w:rPr>
        <w:t>:</w:t>
      </w:r>
    </w:p>
    <w:p w14:paraId="47061C1C" w14:textId="734EAAC8" w:rsidR="001F215E" w:rsidRPr="001F215E" w:rsidRDefault="009070E5" w:rsidP="00782573">
      <w:pPr>
        <w:ind w:left="630" w:right="836"/>
      </w:pPr>
      <w:r>
        <w:t>"</w:t>
      </w:r>
      <w:r w:rsidR="001F215E" w:rsidRPr="001F215E">
        <w:t>A judge may adjudicate cases involving monetary law base</w:t>
      </w:r>
      <w:r w:rsidR="005B3398">
        <w:t>d</w:t>
      </w:r>
      <w:r w:rsidR="001F215E" w:rsidRPr="001F215E">
        <w:t xml:space="preserve"> on factors that he is inclined to regard as true and concerning which he feels strongly in his </w:t>
      </w:r>
      <w:r w:rsidR="001F215E" w:rsidRPr="00782573">
        <w:rPr>
          <w:rFonts w:asciiTheme="majorBidi" w:hAnsiTheme="majorBidi" w:cstheme="majorBidi"/>
        </w:rPr>
        <w:t>heart</w:t>
      </w:r>
      <w:r w:rsidR="001F215E" w:rsidRPr="001F215E">
        <w:t xml:space="preserve"> are correct even though he does not have proof of the matters</w:t>
      </w:r>
      <w:r w:rsidR="009142F6">
        <w:t xml:space="preserve">… Nevertheless… </w:t>
      </w:r>
      <w:r w:rsidR="009142F6" w:rsidRPr="001F215E">
        <w:t>most of</w:t>
      </w:r>
      <w:r w:rsidR="001F215E" w:rsidRPr="001F215E">
        <w:t xml:space="preserve"> the courts among the Jewish people agreed</w:t>
      </w:r>
      <w:r w:rsidR="009142F6">
        <w:t xml:space="preserve">… </w:t>
      </w:r>
      <w:r w:rsidR="001F215E" w:rsidRPr="001F215E">
        <w:t xml:space="preserve">not to disqualify a promissory note </w:t>
      </w:r>
      <w:proofErr w:type="gramStart"/>
      <w:r w:rsidR="001F215E" w:rsidRPr="001F215E">
        <w:t>on the basis of</w:t>
      </w:r>
      <w:proofErr w:type="gramEnd"/>
      <w:r w:rsidR="001F215E" w:rsidRPr="001F215E">
        <w:t xml:space="preserve"> the testimony of a woman or an unacceptable witness, nor accept their testimony with regard to all other judgments, nor to judge according to the inclinations of one's thoughts without firm knowledge.</w:t>
      </w:r>
      <w:r w:rsidR="009142F6">
        <w:t xml:space="preserve"> </w:t>
      </w:r>
      <w:r w:rsidR="001F215E" w:rsidRPr="001F215E">
        <w:t>The rationale for this stringency is to prevent any simple person from saying: "</w:t>
      </w:r>
      <w:r w:rsidR="001F215E" w:rsidRPr="001F215E">
        <w:rPr>
          <w:b/>
          <w:bCs/>
        </w:rPr>
        <w:t>My heart trusts this person's words and my mind relies on this</w:t>
      </w:r>
      <w:r w:rsidR="001F215E" w:rsidRPr="001F215E">
        <w:t>."</w:t>
      </w:r>
      <w:r>
        <w:t>"</w:t>
      </w:r>
    </w:p>
    <w:p w14:paraId="046B1F99" w14:textId="6A93D5F1" w:rsidR="00006A4F" w:rsidRDefault="00006A4F" w:rsidP="00D820B1">
      <w:pPr>
        <w:rPr>
          <w:rFonts w:asciiTheme="majorBidi" w:hAnsiTheme="majorBidi" w:cstheme="majorBidi"/>
          <w:lang w:bidi="ar-JO"/>
        </w:rPr>
      </w:pPr>
    </w:p>
    <w:p w14:paraId="0374F98B" w14:textId="2BFAB58A" w:rsidR="00614EDA" w:rsidRDefault="00782573" w:rsidP="00130263">
      <w:pPr>
        <w:rPr>
          <w:rFonts w:asciiTheme="majorBidi" w:hAnsiTheme="majorBidi" w:cstheme="majorBidi"/>
        </w:rPr>
      </w:pPr>
      <w:r w:rsidRPr="00782573">
        <w:rPr>
          <w:rFonts w:asciiTheme="majorBidi" w:hAnsiTheme="majorBidi" w:cstheme="majorBidi"/>
        </w:rPr>
        <w:t xml:space="preserve">It appears that while Maimonides was acquainted with this principle, he was also aware of critiques, such as those presented by Al </w:t>
      </w:r>
      <w:r w:rsidR="005B3398" w:rsidRPr="00782573">
        <w:rPr>
          <w:rFonts w:asciiTheme="majorBidi" w:hAnsiTheme="majorBidi" w:cstheme="majorBidi"/>
        </w:rPr>
        <w:t>F</w:t>
      </w:r>
      <w:r w:rsidR="005B3398">
        <w:rPr>
          <w:rFonts w:asciiTheme="majorBidi" w:hAnsiTheme="majorBidi" w:cstheme="majorBidi"/>
        </w:rPr>
        <w:t>ā</w:t>
      </w:r>
      <w:r w:rsidR="005B3398" w:rsidRPr="00782573">
        <w:rPr>
          <w:rFonts w:asciiTheme="majorBidi" w:hAnsiTheme="majorBidi" w:cstheme="majorBidi"/>
        </w:rPr>
        <w:t>r</w:t>
      </w:r>
      <w:r w:rsidR="005B3398">
        <w:rPr>
          <w:rFonts w:asciiTheme="majorBidi" w:hAnsiTheme="majorBidi" w:cstheme="majorBidi"/>
        </w:rPr>
        <w:t>ā</w:t>
      </w:r>
      <w:r w:rsidR="005B3398" w:rsidRPr="00782573">
        <w:rPr>
          <w:rFonts w:asciiTheme="majorBidi" w:hAnsiTheme="majorBidi" w:cstheme="majorBidi"/>
        </w:rPr>
        <w:t>b</w:t>
      </w:r>
      <w:r w:rsidR="005B3398">
        <w:rPr>
          <w:rFonts w:asciiTheme="majorBidi" w:hAnsiTheme="majorBidi" w:cstheme="majorBidi"/>
        </w:rPr>
        <w:t>ī</w:t>
      </w:r>
      <w:r w:rsidRPr="00782573">
        <w:rPr>
          <w:rFonts w:asciiTheme="majorBidi" w:hAnsiTheme="majorBidi" w:cstheme="majorBidi"/>
        </w:rPr>
        <w:t>. This theory warrants comprehensive research beyond this paper's purview.</w:t>
      </w:r>
    </w:p>
    <w:p w14:paraId="60417592" w14:textId="77777777" w:rsidR="00CA11DE" w:rsidRDefault="00CA11DE" w:rsidP="00130263">
      <w:pPr>
        <w:rPr>
          <w:rFonts w:asciiTheme="majorBidi" w:hAnsiTheme="majorBidi" w:cstheme="majorBidi"/>
        </w:rPr>
      </w:pPr>
    </w:p>
    <w:p w14:paraId="319C2CC9" w14:textId="274EF64B" w:rsidR="00CA11DE" w:rsidRDefault="00CA11DE" w:rsidP="00CA11DE">
      <w:pPr>
        <w:pStyle w:val="Heading2"/>
        <w:rPr>
          <w:rFonts w:asciiTheme="majorBidi" w:hAnsiTheme="majorBidi"/>
        </w:rPr>
      </w:pPr>
      <w:r>
        <w:t>conclusion</w:t>
      </w:r>
    </w:p>
    <w:p w14:paraId="5029190B" w14:textId="0A202DAF" w:rsidR="00CA11DE" w:rsidRDefault="00CA11DE" w:rsidP="00061335">
      <w:pPr>
        <w:rPr>
          <w:rtl/>
        </w:rPr>
      </w:pPr>
      <w:r>
        <w:t xml:space="preserve">This paper has illuminated the integration of theological concepts into legal practices among </w:t>
      </w:r>
      <w:r w:rsidR="005B3398">
        <w:t>m</w:t>
      </w:r>
      <w:r>
        <w:t>edieval Jewish scholars, revealing a rich tapestry of intellectual and cultural interplay. The exploration of theological notions, such as the tranquility of the soul in adjudicating truth and the nuanced acceptance of testimony from non-Jews, underscores the depth of cross-cultural influences on legal thought. Additionally, the examination of the reconciliation of Talmudic contradictions and the incorporation of Islamic philosophical principles into Jewish law, particularly in the realm of commerce with intangible assets</w:t>
      </w:r>
      <w:r w:rsidR="00061335">
        <w:t>.</w:t>
      </w:r>
    </w:p>
    <w:p w14:paraId="53B2962F" w14:textId="1A425160" w:rsidR="00CA11DE" w:rsidRDefault="00CA11DE" w:rsidP="00CA11DE">
      <w:r>
        <w:t xml:space="preserve">The profound impact of Islamic philosophy and legal principles on </w:t>
      </w:r>
      <w:r w:rsidR="005960EB">
        <w:t>m</w:t>
      </w:r>
      <w:r>
        <w:t xml:space="preserve">edieval Jewish law, exemplified by the scholarly endeavors of figures such as Rav Hayya Gaon, has been a focal point of this study. By weaving Aristotelian categories into Jewish jurisprudence, these scholars facilitated a form of intellectual symbiosis that enriched Jewish legal frameworks, for example, concerning the trade of intangible items. </w:t>
      </w:r>
    </w:p>
    <w:p w14:paraId="05386517" w14:textId="7C19A51B" w:rsidR="00CA11DE" w:rsidRDefault="00CA11DE" w:rsidP="00CA11DE">
      <w:r>
        <w:t xml:space="preserve">Through case studies on </w:t>
      </w:r>
      <w:r w:rsidR="005960EB">
        <w:t xml:space="preserve">the </w:t>
      </w:r>
      <w:r>
        <w:t>laws</w:t>
      </w:r>
      <w:r w:rsidR="005960EB">
        <w:t xml:space="preserve"> of testimony</w:t>
      </w:r>
      <w:r>
        <w:t xml:space="preserve"> and the commerce of intangibles, this paper has argued for the undeniable influence of Arabic culture on Jewish legal thought. The synthesis of diverse knowledge with Arabic cultural elements by Jewish scholars residing in Islamic countries led to the development of a unique legal perspective. Although the extent of this influence remains a subject of scholarly debate, the evidence presented supports </w:t>
      </w:r>
      <w:r w:rsidR="005960EB">
        <w:t>the</w:t>
      </w:r>
      <w:r>
        <w:t xml:space="preserve"> clear impact of Islamic thought on the evolution of Jewish law.</w:t>
      </w:r>
    </w:p>
    <w:p w14:paraId="5F8AD8ED" w14:textId="77777777" w:rsidR="00CA11DE" w:rsidRDefault="00CA11DE" w:rsidP="00CA11DE">
      <w:r>
        <w:t xml:space="preserve">As we reflect on the intricate interactions between Jewish and Islamic legal systems, it becomes evident that it was influenced by the surrounding intellectual landscape of the Islamic world. This study underscores the importance of recognizing the interconnectedness of these legal traditions, demonstrating how the blending of diverse </w:t>
      </w:r>
      <w:r>
        <w:lastRenderedPageBreak/>
        <w:t>intellectual streams contributed to the development of a rich, multifaceted legal thought that continues to resonate within Jewish jurisprudential discourse.</w:t>
      </w:r>
    </w:p>
    <w:p w14:paraId="6DF0F663" w14:textId="77777777" w:rsidR="00CA11DE" w:rsidRPr="007C0B2E" w:rsidRDefault="00CA11DE" w:rsidP="00130263">
      <w:pPr>
        <w:rPr>
          <w:rFonts w:asciiTheme="majorBidi" w:hAnsiTheme="majorBidi" w:cstheme="majorBidi"/>
        </w:rPr>
      </w:pPr>
    </w:p>
    <w:sectPr w:rsidR="00CA11DE" w:rsidRPr="007C0B2E" w:rsidSect="00677D0E">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CA92" w14:textId="77777777" w:rsidR="00677D0E" w:rsidRDefault="00677D0E" w:rsidP="000B0DB4">
      <w:pPr>
        <w:spacing w:line="240" w:lineRule="auto"/>
      </w:pPr>
      <w:r>
        <w:separator/>
      </w:r>
    </w:p>
  </w:endnote>
  <w:endnote w:type="continuationSeparator" w:id="0">
    <w:p w14:paraId="4B1F0647" w14:textId="77777777" w:rsidR="00677D0E" w:rsidRDefault="00677D0E" w:rsidP="000B0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llerText-Roman">
    <w:altName w:val="Yu Gothic"/>
    <w:panose1 w:val="00000000000000000000"/>
    <w:charset w:val="80"/>
    <w:family w:val="roman"/>
    <w:notTrueType/>
    <w:pitch w:val="default"/>
    <w:sig w:usb0="00000001" w:usb1="08070000" w:usb2="00000010" w:usb3="00000000" w:csb0="00020000" w:csb1="00000000"/>
  </w:font>
  <w:font w:name="MillerText-Italic">
    <w:altName w:val="Yu Gothic"/>
    <w:panose1 w:val="00000000000000000000"/>
    <w:charset w:val="80"/>
    <w:family w:val="roman"/>
    <w:notTrueType/>
    <w:pitch w:val="default"/>
    <w:sig w:usb0="00000001" w:usb1="08070000" w:usb2="00000010" w:usb3="00000000" w:csb0="00020000" w:csb1="00000000"/>
  </w:font>
  <w:font w:name="Narkisim">
    <w:panose1 w:val="020E0502050101010101"/>
    <w:charset w:val="00"/>
    <w:family w:val="swiss"/>
    <w:pitch w:val="variable"/>
    <w:sig w:usb0="00000803" w:usb1="00000000" w:usb2="00000000" w:usb3="00000000" w:csb0="00000021" w:csb1="00000000"/>
  </w:font>
  <w:font w:name="Junicode">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18B0" w14:textId="77777777" w:rsidR="00677D0E" w:rsidRDefault="00677D0E" w:rsidP="000B0DB4">
      <w:pPr>
        <w:spacing w:line="240" w:lineRule="auto"/>
      </w:pPr>
      <w:r>
        <w:separator/>
      </w:r>
    </w:p>
  </w:footnote>
  <w:footnote w:type="continuationSeparator" w:id="0">
    <w:p w14:paraId="753F9DD2" w14:textId="77777777" w:rsidR="00677D0E" w:rsidRDefault="00677D0E" w:rsidP="000B0DB4">
      <w:pPr>
        <w:spacing w:line="240" w:lineRule="auto"/>
      </w:pPr>
      <w:r>
        <w:continuationSeparator/>
      </w:r>
    </w:p>
  </w:footnote>
  <w:footnote w:id="1">
    <w:p w14:paraId="1C888290" w14:textId="009DE2E2" w:rsidR="009B0AE0" w:rsidRDefault="003D3764" w:rsidP="009B0AE0">
      <w:pPr>
        <w:pStyle w:val="FootnoteText"/>
      </w:pPr>
      <w:r>
        <w:rPr>
          <w:rStyle w:val="FootnoteReference"/>
        </w:rPr>
        <w:footnoteRef/>
      </w:r>
      <w:r w:rsidRPr="002D778A">
        <w:t xml:space="preserve"> </w:t>
      </w:r>
      <w:r w:rsidR="009B0AE0">
        <w:t>Having the opportunity to be part of the research group 'Rethinking Premodern Jewish Legal Cultures' and present a draft of this article at the seminar held by the Katz Center for Advanced Judaic Studies at the University of Pennsylvania was an immense privilege. The depth of insight offered by the participants has significantly enriched the content of this article. I am profoundly thankful to my esteemed colleagues</w:t>
      </w:r>
      <w:r w:rsidR="009B0AE0">
        <w:t xml:space="preserve"> of this </w:t>
      </w:r>
      <w:r w:rsidR="009B0AE0">
        <w:t>group, Professors Menahem Ben-Sasson, Guy Darshan, Natalie B. Dohrmann, Talya Fishman, Alyssa M. Gray, Simcha Gross, Chaya T. Halberstam, Louise Hecht, Marc Herman, Tirza Y. Kelman, Evelyne Oliel-Grausz, Micha J. Perry, Daniel Strum, and Yael Wilfand—for their invaluable contributions and support.</w:t>
      </w:r>
    </w:p>
    <w:p w14:paraId="3C4C8EFC" w14:textId="3C05A23C" w:rsidR="003D3764" w:rsidRPr="002D778A" w:rsidRDefault="009B0AE0" w:rsidP="009B0AE0">
      <w:pPr>
        <w:pStyle w:val="FootnoteText"/>
      </w:pPr>
      <w:r>
        <w:t xml:space="preserve">I also express my gratitude to Professors Aviram Ravitzky and Yair Lorberbaum for their friendly review and insightful feedback. My deep appreciation extends to my dear friend Joel Guberman for many years of weekly study, which has profoundly impacted the refinement of this article's prose. Lastly, my thanks to the editors and reviewers, </w:t>
      </w:r>
      <w:proofErr w:type="gramStart"/>
      <w:r>
        <w:t>whose</w:t>
      </w:r>
      <w:proofErr w:type="gramEnd"/>
      <w:r>
        <w:t xml:space="preserve"> constructive and kind comments have further enhanced this work.</w:t>
      </w:r>
    </w:p>
  </w:footnote>
  <w:footnote w:id="2">
    <w:p w14:paraId="377FE34F" w14:textId="77777777" w:rsidR="009F093F" w:rsidRPr="00C45D78" w:rsidRDefault="009F093F" w:rsidP="009F093F">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lang w:val="de-DE"/>
        </w:rPr>
        <w:t xml:space="preserve"> </w:t>
      </w:r>
      <w:r w:rsidRPr="004A5D01">
        <w:rPr>
          <w:rFonts w:asciiTheme="majorBidi" w:hAnsiTheme="majorBidi" w:cstheme="majorBidi"/>
          <w:lang w:val="de-DE"/>
        </w:rPr>
        <w:t xml:space="preserve">Abraham Geiger, </w:t>
      </w:r>
      <w:r w:rsidRPr="004A5D01">
        <w:rPr>
          <w:rFonts w:asciiTheme="majorBidi" w:hAnsiTheme="majorBidi" w:cstheme="majorBidi"/>
          <w:i/>
          <w:iCs/>
          <w:lang w:val="de-DE"/>
        </w:rPr>
        <w:t>Was hat Mohammed aus dem Judenthume aufgenommen?</w:t>
      </w:r>
      <w:r w:rsidRPr="004A5D01">
        <w:rPr>
          <w:rFonts w:asciiTheme="majorBidi" w:hAnsiTheme="majorBidi" w:cstheme="majorBidi"/>
          <w:lang w:val="de-DE"/>
        </w:rPr>
        <w:t xml:space="preserve"> </w:t>
      </w:r>
      <w:r w:rsidRPr="004A5D01">
        <w:rPr>
          <w:rFonts w:asciiTheme="majorBidi" w:hAnsiTheme="majorBidi" w:cstheme="majorBidi"/>
        </w:rPr>
        <w:t xml:space="preserve">(=What has Mohammed Derived from Judaism?), Baden, 1833; </w:t>
      </w:r>
      <w:r w:rsidRPr="004A5D01">
        <w:rPr>
          <w:rFonts w:asciiTheme="majorBidi" w:hAnsiTheme="majorBidi" w:cstheme="majorBidi"/>
          <w:i/>
          <w:iCs/>
        </w:rPr>
        <w:t>Judaism and Islam</w:t>
      </w:r>
      <w:r w:rsidRPr="004A5D01">
        <w:rPr>
          <w:rFonts w:asciiTheme="majorBidi" w:hAnsiTheme="majorBidi" w:cstheme="majorBidi"/>
        </w:rPr>
        <w:t xml:space="preserve">, Eng. trans. F. M. Young, </w:t>
      </w:r>
      <w:proofErr w:type="gramStart"/>
      <w:r w:rsidRPr="004A5D01">
        <w:rPr>
          <w:rFonts w:asciiTheme="majorBidi" w:hAnsiTheme="majorBidi" w:cstheme="majorBidi"/>
        </w:rPr>
        <w:t>1898 ;</w:t>
      </w:r>
      <w:proofErr w:type="gramEnd"/>
      <w:r w:rsidRPr="004A5D01">
        <w:rPr>
          <w:rFonts w:asciiTheme="majorBidi" w:hAnsiTheme="majorBidi" w:cstheme="majorBidi"/>
        </w:rPr>
        <w:t xml:space="preserve"> reprint ed., with a Prolegomenon by Moshe Pearlmann, New York, 1970.</w:t>
      </w:r>
    </w:p>
  </w:footnote>
  <w:footnote w:id="3">
    <w:p w14:paraId="27D1A32B" w14:textId="77777777" w:rsidR="009F093F" w:rsidRPr="00C45D78" w:rsidRDefault="009F093F" w:rsidP="009F093F">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For a comprehensive review of research conducted from the 19th century through the end of the 20th century on the influence of Jewish law on Islamic law, see: </w:t>
      </w:r>
      <w:r w:rsidRPr="00C45D78">
        <w:rPr>
          <w:rFonts w:asciiTheme="majorBidi" w:eastAsia="MillerText-Roman" w:hAnsiTheme="majorBidi" w:cstheme="majorBidi"/>
        </w:rPr>
        <w:t>Libson, Gideon</w:t>
      </w:r>
      <w:r>
        <w:rPr>
          <w:rFonts w:asciiTheme="majorBidi" w:eastAsia="MillerText-Roman" w:hAnsiTheme="majorBidi" w:cstheme="majorBidi"/>
        </w:rPr>
        <w:t>.</w:t>
      </w:r>
      <w:r w:rsidRPr="00C45D78">
        <w:rPr>
          <w:rFonts w:asciiTheme="majorBidi" w:hAnsiTheme="majorBidi" w:cstheme="majorBidi"/>
        </w:rPr>
        <w:t xml:space="preserve"> </w:t>
      </w:r>
      <w:r w:rsidRPr="00C45D78">
        <w:rPr>
          <w:rFonts w:asciiTheme="majorBidi" w:eastAsia="MillerText-Italic" w:hAnsiTheme="majorBidi" w:cstheme="majorBidi"/>
          <w:i/>
          <w:iCs/>
        </w:rPr>
        <w:t>Jewish and Islamic Law: A Comparative Study of Custom during the Geonic Period</w:t>
      </w:r>
      <w:r w:rsidRPr="00C45D78">
        <w:rPr>
          <w:rFonts w:asciiTheme="majorBidi" w:eastAsia="MillerText-Roman" w:hAnsiTheme="majorBidi" w:cstheme="majorBidi"/>
        </w:rPr>
        <w:t>. Cambridge, MA: Harvard Law School, 2003</w:t>
      </w:r>
      <w:r w:rsidRPr="00C45D78">
        <w:rPr>
          <w:rFonts w:asciiTheme="majorBidi" w:hAnsiTheme="majorBidi" w:cstheme="majorBidi"/>
        </w:rPr>
        <w:t>, 2-7; 186, n. 15.</w:t>
      </w:r>
    </w:p>
  </w:footnote>
  <w:footnote w:id="4">
    <w:p w14:paraId="307F3A77" w14:textId="77777777" w:rsidR="009F093F" w:rsidRDefault="009F093F" w:rsidP="009F093F">
      <w:pPr>
        <w:pStyle w:val="FootnoteText"/>
      </w:pPr>
      <w:r>
        <w:rPr>
          <w:rStyle w:val="FootnoteReference"/>
        </w:rPr>
        <w:footnoteRef/>
      </w:r>
      <w:r>
        <w:t xml:space="preserve"> </w:t>
      </w:r>
      <w:r w:rsidRPr="008D55AD">
        <w:t xml:space="preserve">Wegner, Judith Romney. “Islamic and Talmudic Jurisprudence: The Four Roots of Islamic Law and Their Talmudic Counterparts.” The American Journal of Legal History 26, no. 1 (1982): 25–71. </w:t>
      </w:r>
    </w:p>
  </w:footnote>
  <w:footnote w:id="5">
    <w:p w14:paraId="06C349C2" w14:textId="1D03D9AA" w:rsidR="009F093F" w:rsidRPr="00C45D78" w:rsidRDefault="009F093F" w:rsidP="009F093F">
      <w:pPr>
        <w:autoSpaceDE w:val="0"/>
        <w:autoSpaceDN w:val="0"/>
        <w:adjustRightInd w:val="0"/>
        <w:spacing w:line="240" w:lineRule="auto"/>
        <w:rPr>
          <w:rFonts w:asciiTheme="majorBidi" w:hAnsiTheme="majorBidi" w:cstheme="majorBidi"/>
          <w:sz w:val="20"/>
          <w:szCs w:val="20"/>
          <w:rtl/>
        </w:rPr>
      </w:pPr>
      <w:r w:rsidRPr="00C45D78">
        <w:rPr>
          <w:rStyle w:val="FootnoteReference"/>
          <w:rFonts w:asciiTheme="majorBidi" w:hAnsiTheme="majorBidi" w:cstheme="majorBidi"/>
          <w:sz w:val="20"/>
          <w:szCs w:val="20"/>
        </w:rPr>
        <w:footnoteRef/>
      </w:r>
      <w:r w:rsidRPr="00C45D78">
        <w:rPr>
          <w:rFonts w:asciiTheme="majorBidi" w:hAnsiTheme="majorBidi" w:cstheme="majorBidi"/>
          <w:sz w:val="20"/>
          <w:szCs w:val="20"/>
        </w:rPr>
        <w:t xml:space="preserve"> See: Ḥ. Z. (J. W.) Hirschberg. Review of Rav </w:t>
      </w:r>
      <w:r w:rsidR="00CA476C">
        <w:rPr>
          <w:rFonts w:asciiTheme="majorBidi" w:hAnsiTheme="majorBidi" w:cstheme="majorBidi"/>
          <w:sz w:val="20"/>
          <w:szCs w:val="20"/>
        </w:rPr>
        <w:t>Saadia</w:t>
      </w:r>
      <w:r w:rsidRPr="00C45D78">
        <w:rPr>
          <w:rFonts w:asciiTheme="majorBidi" w:hAnsiTheme="majorBidi" w:cstheme="majorBidi"/>
          <w:sz w:val="20"/>
          <w:szCs w:val="20"/>
        </w:rPr>
        <w:t xml:space="preserve"> Gaon's Translation of the</w:t>
      </w:r>
      <w:r w:rsidR="00CA476C">
        <w:rPr>
          <w:rFonts w:asciiTheme="majorBidi" w:hAnsiTheme="majorBidi" w:cstheme="majorBidi"/>
          <w:sz w:val="20"/>
          <w:szCs w:val="20"/>
        </w:rPr>
        <w:t xml:space="preserve"> </w:t>
      </w:r>
      <w:r w:rsidRPr="00C45D78">
        <w:rPr>
          <w:rFonts w:asciiTheme="majorBidi" w:hAnsiTheme="majorBidi" w:cstheme="majorBidi"/>
          <w:sz w:val="20"/>
          <w:szCs w:val="20"/>
        </w:rPr>
        <w:t xml:space="preserve">Torah, Tarbiz, 31 (1962), pp 414-422. (on p.421); </w:t>
      </w:r>
      <w:r w:rsidRPr="00C45D78">
        <w:rPr>
          <w:rFonts w:asciiTheme="majorBidi" w:eastAsiaTheme="minorHAnsi" w:hAnsiTheme="majorBidi" w:cstheme="majorBidi"/>
          <w:sz w:val="20"/>
          <w:szCs w:val="20"/>
        </w:rPr>
        <w:t xml:space="preserve">G. Libson, "Legal Status of the Jewish Woman in the Gaonic Period: Muslim Influence – Overt and Covert,” in </w:t>
      </w:r>
      <w:r w:rsidRPr="00C45D78">
        <w:rPr>
          <w:rFonts w:asciiTheme="majorBidi" w:eastAsiaTheme="minorHAnsi" w:hAnsiTheme="majorBidi" w:cstheme="majorBidi"/>
          <w:i/>
          <w:iCs/>
          <w:sz w:val="20"/>
          <w:szCs w:val="20"/>
        </w:rPr>
        <w:t>Developments in Austrian and Israeli Private Law</w:t>
      </w:r>
      <w:r w:rsidRPr="00C45D78">
        <w:rPr>
          <w:rFonts w:asciiTheme="majorBidi" w:eastAsiaTheme="minorHAnsi" w:hAnsiTheme="majorBidi" w:cstheme="majorBidi"/>
          <w:sz w:val="20"/>
          <w:szCs w:val="20"/>
        </w:rPr>
        <w:t>, ed. H. Hausmaninger et al. (Wien and New York: Springer-Verlag, 1999), 213-43.</w:t>
      </w:r>
      <w:r w:rsidRPr="00C45D78">
        <w:rPr>
          <w:rFonts w:asciiTheme="majorBidi" w:hAnsiTheme="majorBidi" w:cstheme="majorBidi"/>
          <w:sz w:val="20"/>
          <w:szCs w:val="20"/>
        </w:rPr>
        <w:t xml:space="preserve"> P. 242; G, Libson, </w:t>
      </w:r>
      <w:r w:rsidRPr="00C45D78">
        <w:rPr>
          <w:rFonts w:asciiTheme="majorBidi" w:eastAsiaTheme="minorHAnsi" w:hAnsiTheme="majorBidi" w:cstheme="majorBidi"/>
          <w:i/>
          <w:iCs/>
          <w:sz w:val="20"/>
          <w:szCs w:val="20"/>
        </w:rPr>
        <w:t>Jewish and Islamic Law: a comparative study of custom during the Geonic period</w:t>
      </w:r>
      <w:r w:rsidRPr="00C45D78">
        <w:rPr>
          <w:rFonts w:asciiTheme="majorBidi" w:eastAsiaTheme="minorHAnsi" w:hAnsiTheme="majorBidi" w:cstheme="majorBidi"/>
          <w:sz w:val="20"/>
          <w:szCs w:val="20"/>
        </w:rPr>
        <w:t>. Cambridge, MA: Harvard Law School, 2003</w:t>
      </w:r>
      <w:r w:rsidRPr="00C45D78">
        <w:rPr>
          <w:rFonts w:asciiTheme="majorBidi" w:hAnsiTheme="majorBidi" w:cstheme="majorBidi"/>
          <w:sz w:val="20"/>
          <w:szCs w:val="20"/>
        </w:rPr>
        <w:t>, eps. p. 158</w:t>
      </w:r>
    </w:p>
  </w:footnote>
  <w:footnote w:id="6">
    <w:p w14:paraId="556B0A5B" w14:textId="77777777" w:rsidR="009F093F" w:rsidRPr="00C45D78" w:rsidRDefault="009F093F" w:rsidP="009F093F">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See: Mordechai A. Friedman, “The Ransom-Divorce: Divorce Proceedings Initiated by the Wife in Medieval Jewish Practice,” Israel Oriental Studies 6 (1976), 288–307; See: </w:t>
      </w:r>
      <w:r w:rsidRPr="00C45D78">
        <w:rPr>
          <w:rFonts w:asciiTheme="majorBidi" w:eastAsia="MillerText-Roman" w:hAnsiTheme="majorBidi" w:cstheme="majorBidi"/>
        </w:rPr>
        <w:t xml:space="preserve">Friedman, Divorce upon the Wife’s Demand as Reflected in Manuscripts from the Cairo Geniza.” </w:t>
      </w:r>
      <w:r w:rsidRPr="00C45D78">
        <w:rPr>
          <w:rFonts w:asciiTheme="majorBidi" w:eastAsia="MillerText-Italic" w:hAnsiTheme="majorBidi" w:cstheme="majorBidi"/>
          <w:i/>
          <w:iCs/>
        </w:rPr>
        <w:t xml:space="preserve">Jewish Law Annual </w:t>
      </w:r>
      <w:r w:rsidRPr="00C45D78">
        <w:rPr>
          <w:rFonts w:asciiTheme="majorBidi" w:eastAsia="MillerText-Roman" w:hAnsiTheme="majorBidi" w:cstheme="majorBidi"/>
        </w:rPr>
        <w:t>4 (1981): 103– 126;</w:t>
      </w:r>
      <w:r w:rsidRPr="00C45D78">
        <w:rPr>
          <w:rFonts w:asciiTheme="majorBidi" w:hAnsiTheme="majorBidi" w:cstheme="majorBidi"/>
        </w:rPr>
        <w:t xml:space="preserve"> Krakowski, Eve. Coming of Age in Medieval Egypt: Female Adolescence, Jewish Law, and Ordinary Culture. Princeton: Princeton University Press, 2018, pp. 257-258; Baskin, Judith R. "Chapter 3: The </w:t>
      </w:r>
      <w:r w:rsidRPr="00C45D78">
        <w:rPr>
          <w:rFonts w:asciiTheme="majorBidi" w:hAnsiTheme="majorBidi" w:cstheme="majorBidi"/>
          <w:i/>
          <w:iCs/>
        </w:rPr>
        <w:t>Taqqanah</w:t>
      </w:r>
      <w:r w:rsidRPr="00C45D78">
        <w:rPr>
          <w:rFonts w:asciiTheme="majorBidi" w:hAnsiTheme="majorBidi" w:cstheme="majorBidi"/>
        </w:rPr>
        <w:t xml:space="preserve"> of the Moredet in the Middle Ages". In Accounting for the Commandments in Medieval Judaism, (Leiden, The Netherlands: Brill, 2022). </w:t>
      </w:r>
    </w:p>
  </w:footnote>
  <w:footnote w:id="7">
    <w:p w14:paraId="3324ACD9" w14:textId="0C013EC0" w:rsidR="00A91AE9" w:rsidRPr="00C45D78" w:rsidRDefault="005130E3" w:rsidP="004D1720">
      <w:pPr>
        <w:pStyle w:val="FootnoteText"/>
        <w:rPr>
          <w:rFonts w:asciiTheme="majorBidi" w:eastAsia="MillerText-Italic" w:hAnsiTheme="majorBidi" w:cstheme="majorBidi"/>
          <w:i/>
          <w:iCs/>
        </w:rPr>
      </w:pPr>
      <w:r w:rsidRPr="00C45D78">
        <w:rPr>
          <w:rStyle w:val="FootnoteReference"/>
          <w:rFonts w:asciiTheme="majorBidi" w:hAnsiTheme="majorBidi" w:cstheme="majorBidi"/>
        </w:rPr>
        <w:footnoteRef/>
      </w:r>
      <w:r w:rsidRPr="00C45D78">
        <w:rPr>
          <w:rFonts w:asciiTheme="majorBidi" w:hAnsiTheme="majorBidi" w:cstheme="majorBidi"/>
        </w:rPr>
        <w:t xml:space="preserve"> See </w:t>
      </w:r>
      <w:r w:rsidR="0056521B" w:rsidRPr="00C45D78">
        <w:rPr>
          <w:rFonts w:asciiTheme="majorBidi" w:hAnsiTheme="majorBidi" w:cstheme="majorBidi"/>
        </w:rPr>
        <w:t xml:space="preserve">G, Libson, </w:t>
      </w:r>
      <w:r w:rsidR="0056521B" w:rsidRPr="00C45D78">
        <w:rPr>
          <w:rFonts w:asciiTheme="majorBidi" w:eastAsiaTheme="minorHAnsi" w:hAnsiTheme="majorBidi" w:cstheme="majorBidi"/>
          <w:i/>
          <w:iCs/>
        </w:rPr>
        <w:t>Jewish and Islamic Law: a comparative study of custom during the Geonic period</w:t>
      </w:r>
      <w:r w:rsidR="0056521B" w:rsidRPr="00C45D78">
        <w:rPr>
          <w:rFonts w:asciiTheme="majorBidi" w:eastAsiaTheme="minorHAnsi" w:hAnsiTheme="majorBidi" w:cstheme="majorBidi"/>
        </w:rPr>
        <w:t>. Cambridge, MA: Harvard Law School, 2003</w:t>
      </w:r>
      <w:r w:rsidR="0056521B" w:rsidRPr="00C45D78">
        <w:rPr>
          <w:rFonts w:asciiTheme="majorBidi" w:hAnsiTheme="majorBidi" w:cstheme="majorBidi"/>
        </w:rPr>
        <w:t>,</w:t>
      </w:r>
      <w:r w:rsidRPr="00C45D78">
        <w:rPr>
          <w:rFonts w:asciiTheme="majorBidi" w:hAnsiTheme="majorBidi" w:cstheme="majorBidi"/>
        </w:rPr>
        <w:t xml:space="preserve"> p. 111. </w:t>
      </w:r>
    </w:p>
  </w:footnote>
  <w:footnote w:id="8">
    <w:p w14:paraId="2B3871DB" w14:textId="77777777" w:rsidR="00784A5F" w:rsidRPr="00C45D78" w:rsidRDefault="00784A5F" w:rsidP="00784A5F">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Ibid, note, 000.</w:t>
      </w:r>
    </w:p>
  </w:footnote>
  <w:footnote w:id="9">
    <w:p w14:paraId="1F6F1DCF" w14:textId="77777777" w:rsidR="00784A5F" w:rsidRPr="00C45D78" w:rsidRDefault="00784A5F" w:rsidP="00784A5F">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Zinger, Oded. Living with the Law: Gender and Community Among the Jews of Medieval Egypt. Philadelphia: University of Pennsylvania Press, 2023, chapter 3:</w:t>
      </w:r>
      <w:r w:rsidRPr="00C45D78">
        <w:rPr>
          <w:rFonts w:asciiTheme="majorBidi" w:hAnsiTheme="majorBidi" w:cstheme="majorBidi"/>
          <w:rtl/>
        </w:rPr>
        <w:t xml:space="preserve"> </w:t>
      </w:r>
      <w:r w:rsidRPr="00C45D78">
        <w:rPr>
          <w:rFonts w:asciiTheme="majorBidi" w:hAnsiTheme="majorBidi" w:cstheme="majorBidi"/>
        </w:rPr>
        <w:t>Compromising Women, pp. 78-109.</w:t>
      </w:r>
    </w:p>
  </w:footnote>
  <w:footnote w:id="10">
    <w:p w14:paraId="348D5AF7" w14:textId="77777777" w:rsidR="00784A5F" w:rsidRPr="00C45D78" w:rsidRDefault="00784A5F" w:rsidP="00784A5F">
      <w:pPr>
        <w:pStyle w:val="FootnoteText"/>
        <w:rPr>
          <w:rFonts w:asciiTheme="majorBidi" w:eastAsia="MillerText-Italic"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Pr="00C45D78">
        <w:rPr>
          <w:rFonts w:asciiTheme="majorBidi" w:eastAsia="MillerText-Italic" w:hAnsiTheme="majorBidi" w:cstheme="majorBidi"/>
          <w:i/>
          <w:iCs/>
        </w:rPr>
        <w:t xml:space="preserve">Lena Salaymeh, The Beginnings of Islamic Law: Late Antique Islamicate Legal Traditions, </w:t>
      </w:r>
      <w:r w:rsidRPr="00C45D78">
        <w:rPr>
          <w:rFonts w:asciiTheme="majorBidi" w:eastAsia="MillerText-Italic" w:hAnsiTheme="majorBidi" w:cstheme="majorBidi"/>
        </w:rPr>
        <w:t xml:space="preserve">Cambridge: Cambridge University Press, 2016, </w:t>
      </w:r>
      <w:proofErr w:type="gramStart"/>
      <w:r w:rsidRPr="00C45D78">
        <w:rPr>
          <w:rFonts w:asciiTheme="majorBidi" w:eastAsia="MillerText-Italic" w:hAnsiTheme="majorBidi" w:cstheme="majorBidi"/>
        </w:rPr>
        <w:t>ch,.</w:t>
      </w:r>
      <w:proofErr w:type="gramEnd"/>
      <w:r w:rsidRPr="00C45D78">
        <w:rPr>
          <w:rFonts w:asciiTheme="majorBidi" w:eastAsia="MillerText-Italic" w:hAnsiTheme="majorBidi" w:cstheme="majorBidi"/>
        </w:rPr>
        <w:t xml:space="preserve"> 6, pp. 163–96 (the chapter was published previously in: </w:t>
      </w:r>
      <w:r w:rsidRPr="00C45D78">
        <w:rPr>
          <w:rFonts w:asciiTheme="majorBidi" w:hAnsiTheme="majorBidi" w:cstheme="majorBidi"/>
          <w:color w:val="000000"/>
          <w:shd w:val="clear" w:color="auto" w:fill="FFFFFF"/>
        </w:rPr>
        <w:t>Lena Salaymeh, </w:t>
      </w:r>
      <w:r w:rsidRPr="00C45D78">
        <w:rPr>
          <w:rStyle w:val="Emphasis"/>
          <w:rFonts w:asciiTheme="majorBidi" w:hAnsiTheme="majorBidi" w:cstheme="majorBidi"/>
          <w:i w:val="0"/>
          <w:iCs w:val="0"/>
          <w:color w:val="000000"/>
          <w:bdr w:val="none" w:sz="0" w:space="0" w:color="auto" w:frame="1"/>
          <w:shd w:val="clear" w:color="auto" w:fill="FFFFFF"/>
        </w:rPr>
        <w:t>"Every Law Tells a Story: Orthodox Divorce in Jewish and Islamic Legal Histories</w:t>
      </w:r>
      <w:r>
        <w:rPr>
          <w:rStyle w:val="Emphasis"/>
          <w:rFonts w:asciiTheme="majorBidi" w:hAnsiTheme="majorBidi" w:cstheme="majorBidi"/>
          <w:i w:val="0"/>
          <w:iCs w:val="0"/>
          <w:color w:val="000000"/>
          <w:bdr w:val="none" w:sz="0" w:space="0" w:color="auto" w:frame="1"/>
          <w:shd w:val="clear" w:color="auto" w:fill="FFFFFF"/>
        </w:rPr>
        <w:t>"</w:t>
      </w:r>
      <w:r w:rsidRPr="00C45D78">
        <w:rPr>
          <w:rFonts w:asciiTheme="majorBidi" w:hAnsiTheme="majorBidi" w:cstheme="majorBidi"/>
          <w:color w:val="000000"/>
          <w:shd w:val="clear" w:color="auto" w:fill="FFFFFF"/>
        </w:rPr>
        <w:t>, </w:t>
      </w:r>
      <w:r w:rsidRPr="00C45D78">
        <w:rPr>
          <w:rStyle w:val="smallcaps"/>
          <w:rFonts w:asciiTheme="majorBidi" w:hAnsiTheme="majorBidi" w:cstheme="majorBidi"/>
          <w:i/>
          <w:iCs/>
          <w:color w:val="000000"/>
          <w:bdr w:val="none" w:sz="0" w:space="0" w:color="auto" w:frame="1"/>
          <w:shd w:val="clear" w:color="auto" w:fill="FFFFFF"/>
        </w:rPr>
        <w:t>UC Irvine Law Review</w:t>
      </w:r>
      <w:r w:rsidRPr="00C45D78">
        <w:rPr>
          <w:rStyle w:val="smallcaps"/>
          <w:rFonts w:asciiTheme="majorBidi" w:hAnsiTheme="majorBidi" w:cstheme="majorBidi"/>
          <w:color w:val="000000"/>
          <w:bdr w:val="none" w:sz="0" w:space="0" w:color="auto" w:frame="1"/>
          <w:shd w:val="clear" w:color="auto" w:fill="FFFFFF"/>
        </w:rPr>
        <w:t>,</w:t>
      </w:r>
      <w:r>
        <w:rPr>
          <w:rStyle w:val="smallcaps"/>
          <w:rFonts w:asciiTheme="majorBidi" w:hAnsiTheme="majorBidi" w:cstheme="majorBidi"/>
          <w:color w:val="000000"/>
          <w:bdr w:val="none" w:sz="0" w:space="0" w:color="auto" w:frame="1"/>
          <w:shd w:val="clear" w:color="auto" w:fill="FFFFFF"/>
        </w:rPr>
        <w:t xml:space="preserve"> 4 (2014),</w:t>
      </w:r>
      <w:r w:rsidRPr="00C45D78">
        <w:rPr>
          <w:rStyle w:val="smallcaps"/>
          <w:rFonts w:asciiTheme="majorBidi" w:hAnsiTheme="majorBidi" w:cstheme="majorBidi"/>
          <w:color w:val="000000"/>
          <w:bdr w:val="none" w:sz="0" w:space="0" w:color="auto" w:frame="1"/>
          <w:shd w:val="clear" w:color="auto" w:fill="FFFFFF"/>
        </w:rPr>
        <w:t xml:space="preserve"> pp.</w:t>
      </w:r>
      <w:r w:rsidRPr="00C45D78">
        <w:rPr>
          <w:rFonts w:asciiTheme="majorBidi" w:hAnsiTheme="majorBidi" w:cstheme="majorBidi"/>
          <w:color w:val="000000"/>
          <w:shd w:val="clear" w:color="auto" w:fill="FFFFFF"/>
        </w:rPr>
        <w:t> 19-63.</w:t>
      </w:r>
      <w:r w:rsidRPr="00C45D78">
        <w:rPr>
          <w:rFonts w:asciiTheme="majorBidi" w:eastAsia="MillerText-Italic" w:hAnsiTheme="majorBidi" w:cstheme="majorBidi"/>
        </w:rPr>
        <w:t xml:space="preserve"> </w:t>
      </w:r>
    </w:p>
  </w:footnote>
  <w:footnote w:id="11">
    <w:p w14:paraId="0171328D" w14:textId="7A577955" w:rsidR="00C45D78" w:rsidRPr="00EC7774" w:rsidRDefault="00C45D78" w:rsidP="00EC7774">
      <w:pPr>
        <w:pStyle w:val="FootnoteText"/>
        <w:rPr>
          <w:rFonts w:asciiTheme="majorBidi" w:hAnsiTheme="majorBidi" w:cstheme="majorBidi"/>
          <w:color w:val="000000"/>
          <w:shd w:val="clear" w:color="auto" w:fill="FFFFFF"/>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Pr="00C45D78">
        <w:rPr>
          <w:rFonts w:asciiTheme="majorBidi" w:hAnsiTheme="majorBidi" w:cstheme="majorBidi"/>
          <w:color w:val="000000"/>
          <w:shd w:val="clear" w:color="auto" w:fill="FFFFFF"/>
        </w:rPr>
        <w:t>Salaymeh, </w:t>
      </w:r>
      <w:r w:rsidR="00EC7774" w:rsidRPr="00C45D78">
        <w:rPr>
          <w:rFonts w:asciiTheme="majorBidi" w:eastAsia="MillerText-Italic" w:hAnsiTheme="majorBidi" w:cstheme="majorBidi"/>
          <w:i/>
          <w:iCs/>
        </w:rPr>
        <w:t>The Beginnings of Islamic Law</w:t>
      </w:r>
      <w:r w:rsidR="00EC7774">
        <w:rPr>
          <w:rFonts w:asciiTheme="majorBidi" w:hAnsiTheme="majorBidi" w:cstheme="majorBidi"/>
          <w:color w:val="000000"/>
          <w:shd w:val="clear" w:color="auto" w:fill="FFFFFF"/>
        </w:rPr>
        <w:t>, p. 183 (</w:t>
      </w:r>
      <w:r w:rsidR="00EC7774" w:rsidRPr="00C45D78">
        <w:rPr>
          <w:rStyle w:val="Emphasis"/>
          <w:rFonts w:asciiTheme="majorBidi" w:hAnsiTheme="majorBidi" w:cstheme="majorBidi"/>
          <w:i w:val="0"/>
          <w:iCs w:val="0"/>
          <w:color w:val="000000"/>
          <w:bdr w:val="none" w:sz="0" w:space="0" w:color="auto" w:frame="1"/>
          <w:shd w:val="clear" w:color="auto" w:fill="FFFFFF"/>
        </w:rPr>
        <w:t>Orthodox Divorce</w:t>
      </w:r>
      <w:r w:rsidR="00EC7774">
        <w:rPr>
          <w:rFonts w:asciiTheme="majorBidi" w:hAnsiTheme="majorBidi" w:cstheme="majorBidi"/>
          <w:color w:val="000000"/>
          <w:shd w:val="clear" w:color="auto" w:fill="FFFFFF"/>
        </w:rPr>
        <w:t>, p. 48).</w:t>
      </w:r>
    </w:p>
  </w:footnote>
  <w:footnote w:id="12">
    <w:p w14:paraId="17C086D3" w14:textId="77777777" w:rsidR="00072503" w:rsidRDefault="00072503" w:rsidP="00072503">
      <w:pPr>
        <w:pStyle w:val="FootnoteText"/>
      </w:pPr>
      <w:r>
        <w:rPr>
          <w:rStyle w:val="FootnoteReference"/>
        </w:rPr>
        <w:footnoteRef/>
      </w:r>
      <w:r>
        <w:t xml:space="preserve"> </w:t>
      </w:r>
      <w:r w:rsidRPr="00056E3B">
        <w:t xml:space="preserve"> </w:t>
      </w:r>
      <w:r w:rsidRPr="00EC7774">
        <w:rPr>
          <w:rFonts w:asciiTheme="majorBidi" w:hAnsiTheme="majorBidi" w:cstheme="majorBidi"/>
        </w:rPr>
        <w:t>Salaymeh, Lena</w:t>
      </w:r>
      <w:r>
        <w:rPr>
          <w:rFonts w:asciiTheme="majorBidi" w:hAnsiTheme="majorBidi" w:cstheme="majorBidi"/>
        </w:rPr>
        <w:t>, "</w:t>
      </w:r>
      <w:r w:rsidRPr="00056E3B">
        <w:t>Legal-historical Hybridity – Tracing Islam in its Islamicate Context</w:t>
      </w:r>
      <w:r>
        <w:t>"</w:t>
      </w:r>
      <w:r w:rsidRPr="00056E3B">
        <w:t xml:space="preserve">. In: The </w:t>
      </w:r>
      <w:r w:rsidRPr="00056E3B">
        <w:rPr>
          <w:i/>
          <w:iCs/>
        </w:rPr>
        <w:t>Beginnings of Islamic Law: Late Antique Islamicate Legal Traditions</w:t>
      </w:r>
      <w:r w:rsidRPr="00056E3B">
        <w:t>. Cambridge University Press; 2016:84-104</w:t>
      </w:r>
    </w:p>
  </w:footnote>
  <w:footnote w:id="13">
    <w:p w14:paraId="5B6600F2" w14:textId="77777777" w:rsidR="00072503" w:rsidRPr="00C45D78" w:rsidRDefault="00072503" w:rsidP="00072503">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Pr="00EC7774">
        <w:rPr>
          <w:rFonts w:asciiTheme="majorBidi" w:hAnsiTheme="majorBidi" w:cstheme="majorBidi"/>
        </w:rPr>
        <w:t>Salaymeh, Lena</w:t>
      </w:r>
      <w:r>
        <w:rPr>
          <w:rFonts w:asciiTheme="majorBidi" w:hAnsiTheme="majorBidi" w:cstheme="majorBidi"/>
        </w:rPr>
        <w:t>, "'</w:t>
      </w:r>
      <w:r w:rsidRPr="00EC7774">
        <w:rPr>
          <w:rFonts w:asciiTheme="majorBidi" w:hAnsiTheme="majorBidi" w:cstheme="majorBidi"/>
        </w:rPr>
        <w:t>Comparing</w:t>
      </w:r>
      <w:r>
        <w:rPr>
          <w:rFonts w:asciiTheme="majorBidi" w:hAnsiTheme="majorBidi" w:cstheme="majorBidi"/>
        </w:rPr>
        <w:t>'</w:t>
      </w:r>
      <w:r w:rsidRPr="00EC7774">
        <w:rPr>
          <w:rFonts w:asciiTheme="majorBidi" w:hAnsiTheme="majorBidi" w:cstheme="majorBidi"/>
        </w:rPr>
        <w:t xml:space="preserve"> Jewish and Islamic Legal Traditions: Between Disciplinarity and Critical Historical Jurisprudence</w:t>
      </w:r>
      <w:r>
        <w:rPr>
          <w:rFonts w:asciiTheme="majorBidi" w:hAnsiTheme="majorBidi" w:cstheme="majorBidi"/>
        </w:rPr>
        <w:t xml:space="preserve">", </w:t>
      </w:r>
      <w:r w:rsidRPr="00EC7774">
        <w:rPr>
          <w:rFonts w:asciiTheme="majorBidi" w:hAnsiTheme="majorBidi" w:cstheme="majorBidi"/>
          <w:i/>
          <w:iCs/>
        </w:rPr>
        <w:t>Critical Analysis of Law</w:t>
      </w:r>
      <w:r>
        <w:rPr>
          <w:rFonts w:asciiTheme="majorBidi" w:hAnsiTheme="majorBidi" w:cstheme="majorBidi"/>
        </w:rPr>
        <w:t xml:space="preserve">, </w:t>
      </w:r>
      <w:r w:rsidRPr="00EC7774">
        <w:rPr>
          <w:rFonts w:asciiTheme="majorBidi" w:hAnsiTheme="majorBidi" w:cstheme="majorBidi"/>
        </w:rPr>
        <w:t>Vol. 2 No. 1 (2015)</w:t>
      </w:r>
      <w:r>
        <w:rPr>
          <w:rFonts w:asciiTheme="majorBidi" w:hAnsiTheme="majorBidi" w:cstheme="majorBidi"/>
        </w:rPr>
        <w:t>, pp. 153-172.</w:t>
      </w:r>
      <w:r w:rsidRPr="00EC7774">
        <w:rPr>
          <w:rFonts w:asciiTheme="majorBidi" w:hAnsiTheme="majorBidi" w:cstheme="majorBidi"/>
        </w:rPr>
        <w:t>]</w:t>
      </w:r>
    </w:p>
  </w:footnote>
  <w:footnote w:id="14">
    <w:p w14:paraId="7AF160EE" w14:textId="77777777" w:rsidR="00031A78" w:rsidRPr="00C45D78" w:rsidRDefault="00031A78" w:rsidP="00031A78">
      <w:pPr>
        <w:pStyle w:val="FootnoteText"/>
        <w:rPr>
          <w:rFonts w:asciiTheme="majorBidi" w:hAnsiTheme="majorBidi" w:cstheme="majorBidi"/>
          <w:lang w:bidi="ar-JO"/>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Pr="00B871F8">
        <w:rPr>
          <w:rFonts w:asciiTheme="majorBidi" w:hAnsiTheme="majorBidi" w:cstheme="majorBidi"/>
          <w:lang w:bidi="ar-JO"/>
        </w:rPr>
        <w:t xml:space="preserve">Cohen, Mark </w:t>
      </w:r>
      <w:proofErr w:type="gramStart"/>
      <w:r w:rsidRPr="00B871F8">
        <w:rPr>
          <w:rFonts w:asciiTheme="majorBidi" w:hAnsiTheme="majorBidi" w:cstheme="majorBidi"/>
          <w:lang w:bidi="ar-JO"/>
        </w:rPr>
        <w:t>R..</w:t>
      </w:r>
      <w:proofErr w:type="gramEnd"/>
      <w:r w:rsidRPr="00B871F8">
        <w:rPr>
          <w:rFonts w:asciiTheme="majorBidi" w:hAnsiTheme="majorBidi" w:cstheme="majorBidi"/>
          <w:lang w:bidi="ar-JO"/>
        </w:rPr>
        <w:t xml:space="preserve"> </w:t>
      </w:r>
      <w:r w:rsidRPr="00B871F8">
        <w:rPr>
          <w:rFonts w:asciiTheme="majorBidi" w:hAnsiTheme="majorBidi" w:cstheme="majorBidi"/>
          <w:i/>
          <w:iCs/>
          <w:lang w:bidi="ar-JO"/>
        </w:rPr>
        <w:t>Maimonides and the Merchants: Jewish Law and Society in the Medieval Islamic World</w:t>
      </w:r>
      <w:r w:rsidRPr="00B871F8">
        <w:rPr>
          <w:rFonts w:asciiTheme="majorBidi" w:hAnsiTheme="majorBidi" w:cstheme="majorBidi"/>
          <w:lang w:bidi="ar-JO"/>
        </w:rPr>
        <w:t>, Philadelphia: University of Pennsylvania Press, 2017.</w:t>
      </w:r>
    </w:p>
  </w:footnote>
  <w:footnote w:id="15">
    <w:p w14:paraId="759CB1DE" w14:textId="77777777" w:rsidR="00031A78" w:rsidRDefault="00031A78" w:rsidP="00031A78">
      <w:pPr>
        <w:pStyle w:val="FootnoteText"/>
      </w:pPr>
      <w:r>
        <w:rPr>
          <w:rStyle w:val="FootnoteReference"/>
        </w:rPr>
        <w:footnoteRef/>
      </w:r>
      <w:r>
        <w:t xml:space="preserve"> </w:t>
      </w:r>
      <w:r w:rsidRPr="00B10826">
        <w:t>Tannous, Jack. "CHAPTER 12: Conversion and the Simple—The More Things Change, the More They Stay the Same". The Making of the Medieval Middle East: Religion, Society, and Simple Believers, Princeton: Princeton University Press, 2019,</w:t>
      </w:r>
      <w:r>
        <w:t xml:space="preserve"> </w:t>
      </w:r>
      <w:r w:rsidRPr="00B10826">
        <w:t>pp. 363, 395-396</w:t>
      </w:r>
      <w:r>
        <w:t>.</w:t>
      </w:r>
    </w:p>
  </w:footnote>
  <w:footnote w:id="16">
    <w:p w14:paraId="1D75A32B" w14:textId="77777777" w:rsidR="00744312" w:rsidRDefault="00744312" w:rsidP="00744312">
      <w:pPr>
        <w:pStyle w:val="FootnoteText"/>
      </w:pPr>
      <w:r>
        <w:rPr>
          <w:rStyle w:val="FootnoteReference"/>
        </w:rPr>
        <w:footnoteRef/>
      </w:r>
      <w:r>
        <w:t xml:space="preserve"> Forthcoming. I would like to thank the author for sharing this chapter. </w:t>
      </w:r>
    </w:p>
  </w:footnote>
  <w:footnote w:id="17">
    <w:p w14:paraId="346261A0" w14:textId="4E8897F3" w:rsidR="00612808" w:rsidRDefault="00612808">
      <w:pPr>
        <w:pStyle w:val="FootnoteText"/>
      </w:pPr>
      <w:r>
        <w:rPr>
          <w:rStyle w:val="FootnoteReference"/>
        </w:rPr>
        <w:footnoteRef/>
      </w:r>
      <w:r>
        <w:t xml:space="preserve"> </w:t>
      </w:r>
      <w:r w:rsidRPr="00612808">
        <w:rPr>
          <w:color w:val="000000"/>
        </w:rPr>
        <w:t>G.2.12–14</w:t>
      </w:r>
      <w:r>
        <w:rPr>
          <w:color w:val="000000"/>
        </w:rPr>
        <w:t xml:space="preserve">; </w:t>
      </w:r>
      <w:r w:rsidRPr="00612808">
        <w:rPr>
          <w:color w:val="000000"/>
        </w:rPr>
        <w:t xml:space="preserve">Francis de Zulueta, </w:t>
      </w:r>
      <w:r w:rsidRPr="00612808">
        <w:rPr>
          <w:i/>
          <w:iCs/>
          <w:color w:val="000000"/>
        </w:rPr>
        <w:t>The Institutes of Gaius</w:t>
      </w:r>
      <w:r w:rsidRPr="00612808">
        <w:rPr>
          <w:color w:val="000000"/>
        </w:rPr>
        <w:t xml:space="preserve"> (Oxford: Clarendon Press, 1946), vol, 1, 67, 69.</w:t>
      </w:r>
    </w:p>
  </w:footnote>
  <w:footnote w:id="18">
    <w:p w14:paraId="6DAF8A33" w14:textId="38A2789E" w:rsidR="005773CA" w:rsidRPr="009318F6" w:rsidRDefault="005773CA"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A precedent relating to the sale of intangibles seems to exist in the Talmud Yerushalmi (Bava Batra </w:t>
      </w:r>
      <w:r w:rsidRPr="009318F6">
        <w:rPr>
          <w:rFonts w:asciiTheme="majorBidi" w:hAnsiTheme="majorBidi" w:cstheme="majorBidi"/>
          <w:color w:val="000000"/>
          <w:sz w:val="20"/>
          <w:szCs w:val="20"/>
        </w:rPr>
        <w:t>13:4). Jewish law as formulated in the Geonic period was based mainly on the Babylonian Talmud.</w:t>
      </w:r>
    </w:p>
  </w:footnote>
  <w:footnote w:id="19">
    <w:p w14:paraId="22A8AF14" w14:textId="2468FFD7" w:rsidR="00D771D8" w:rsidRPr="00C45D78" w:rsidRDefault="00D771D8" w:rsidP="004D1720">
      <w:pPr>
        <w:pStyle w:val="FootnoteText"/>
        <w:rPr>
          <w:rFonts w:asciiTheme="majorBidi" w:hAnsiTheme="majorBidi" w:cstheme="majorBidi"/>
        </w:rPr>
      </w:pPr>
      <w:r w:rsidRPr="009318F6">
        <w:rPr>
          <w:rStyle w:val="FootnoteReference"/>
          <w:rFonts w:asciiTheme="majorBidi" w:hAnsiTheme="majorBidi" w:cstheme="majorBidi"/>
        </w:rPr>
        <w:footnoteRef/>
      </w:r>
      <w:r w:rsidRPr="009318F6">
        <w:rPr>
          <w:rFonts w:asciiTheme="majorBidi" w:hAnsiTheme="majorBidi" w:cstheme="majorBidi"/>
        </w:rPr>
        <w:t xml:space="preserve"> For Rav Hay</w:t>
      </w:r>
      <w:r w:rsidR="009318F6" w:rsidRPr="009318F6">
        <w:rPr>
          <w:rFonts w:asciiTheme="majorBidi" w:hAnsiTheme="majorBidi" w:cstheme="majorBidi"/>
        </w:rPr>
        <w:t>y</w:t>
      </w:r>
      <w:r w:rsidRPr="009318F6">
        <w:rPr>
          <w:rFonts w:asciiTheme="majorBidi" w:hAnsiTheme="majorBidi" w:cstheme="majorBidi"/>
        </w:rPr>
        <w:t>a</w:t>
      </w:r>
      <w:r w:rsidR="00640810">
        <w:rPr>
          <w:rFonts w:asciiTheme="majorBidi" w:hAnsiTheme="majorBidi" w:cstheme="majorBidi"/>
        </w:rPr>
        <w:t>’s</w:t>
      </w:r>
      <w:r w:rsidRPr="009318F6">
        <w:rPr>
          <w:rFonts w:asciiTheme="majorBidi" w:hAnsiTheme="majorBidi" w:cstheme="majorBidi"/>
        </w:rPr>
        <w:t xml:space="preserve"> </w:t>
      </w:r>
      <w:r w:rsidR="009318F6" w:rsidRPr="009318F6">
        <w:rPr>
          <w:rFonts w:asciiTheme="majorBidi" w:hAnsiTheme="majorBidi" w:cstheme="majorBidi"/>
        </w:rPr>
        <w:t>bibliography</w:t>
      </w:r>
      <w:r w:rsidRPr="009318F6">
        <w:rPr>
          <w:rFonts w:asciiTheme="majorBidi" w:hAnsiTheme="majorBidi" w:cstheme="majorBidi"/>
        </w:rPr>
        <w:t xml:space="preserve"> see:</w:t>
      </w:r>
      <w:r w:rsidR="009318F6" w:rsidRPr="009318F6">
        <w:rPr>
          <w:rFonts w:asciiTheme="majorBidi" w:hAnsiTheme="majorBidi" w:cstheme="majorBidi"/>
        </w:rPr>
        <w:t xml:space="preserve"> Robert Brody, “Hay (Hayya) Gaon”, in: </w:t>
      </w:r>
      <w:r w:rsidR="009318F6" w:rsidRPr="00830F81">
        <w:rPr>
          <w:rFonts w:asciiTheme="majorBidi" w:hAnsiTheme="majorBidi" w:cstheme="majorBidi"/>
          <w:i/>
          <w:iCs/>
        </w:rPr>
        <w:t>Encyclopedia of Jews in the Islamic World</w:t>
      </w:r>
      <w:r w:rsidR="009318F6" w:rsidRPr="009318F6">
        <w:rPr>
          <w:rFonts w:asciiTheme="majorBidi" w:hAnsiTheme="majorBidi" w:cstheme="majorBidi"/>
        </w:rPr>
        <w:t xml:space="preserve">, Executive Editor Norman A. Stillman. </w:t>
      </w:r>
    </w:p>
  </w:footnote>
  <w:footnote w:id="20">
    <w:p w14:paraId="3FD2818D" w14:textId="77777777" w:rsidR="00D771D8" w:rsidRPr="00C45D78" w:rsidRDefault="00D771D8"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CUL T-S 10Fa2.4, fol. 1. Original Judeo-Arabic: “</w:t>
      </w:r>
      <w:r w:rsidRPr="00C45D78">
        <w:rPr>
          <w:rFonts w:asciiTheme="majorBidi" w:hAnsiTheme="majorBidi" w:cstheme="majorBidi"/>
          <w:color w:val="000000"/>
          <w:sz w:val="20"/>
          <w:szCs w:val="20"/>
          <w:rtl/>
        </w:rPr>
        <w:t>ואלפצל אלב' אלקול פי מא יצח עליה עקד אלביע (ומא לא יצח עליה עקד אלביע). פאקול אן אלבאיע יצח מנה עקד אלביע עלי מא אגתמעת פיה ד' אוצאף.</w:t>
      </w:r>
      <w:r w:rsidRPr="00C45D78">
        <w:rPr>
          <w:rFonts w:asciiTheme="majorBidi" w:hAnsiTheme="majorBidi" w:cstheme="majorBidi"/>
          <w:color w:val="000000"/>
          <w:sz w:val="20"/>
          <w:szCs w:val="20"/>
        </w:rPr>
        <w:t>."</w:t>
      </w:r>
    </w:p>
  </w:footnote>
  <w:footnote w:id="21">
    <w:p w14:paraId="09C0CF73" w14:textId="77777777" w:rsidR="00D771D8" w:rsidRPr="00C45D78" w:rsidRDefault="00D771D8" w:rsidP="004D1720">
      <w:pPr>
        <w:rPr>
          <w:rFonts w:asciiTheme="majorBidi" w:hAnsiTheme="majorBidi" w:cstheme="majorBidi"/>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sz w:val="20"/>
          <w:szCs w:val="20"/>
        </w:rPr>
        <w:t xml:space="preserve"> </w:t>
      </w:r>
      <w:r w:rsidRPr="00C45D78">
        <w:rPr>
          <w:rFonts w:asciiTheme="majorBidi" w:hAnsiTheme="majorBidi" w:cstheme="majorBidi"/>
          <w:color w:val="000000"/>
          <w:sz w:val="20"/>
          <w:szCs w:val="20"/>
        </w:rPr>
        <w:t>Variant b (written on the margin of the manuscript): ‘and cannot.'</w:t>
      </w:r>
    </w:p>
  </w:footnote>
  <w:footnote w:id="22">
    <w:p w14:paraId="44E31E5B" w14:textId="77777777" w:rsidR="00D771D8" w:rsidRPr="00C45D78" w:rsidRDefault="00D771D8"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Pr="00C45D78">
        <w:rPr>
          <w:rFonts w:asciiTheme="majorBidi" w:hAnsiTheme="majorBidi" w:cstheme="majorBidi"/>
          <w:color w:val="000000"/>
        </w:rPr>
        <w:t xml:space="preserve">Original Judeo-Arabic: </w:t>
      </w:r>
      <w:r w:rsidRPr="00C45D78">
        <w:rPr>
          <w:rFonts w:asciiTheme="majorBidi" w:hAnsiTheme="majorBidi" w:cstheme="majorBidi"/>
        </w:rPr>
        <w:t xml:space="preserve"> </w:t>
      </w:r>
      <w:r w:rsidRPr="00C45D78">
        <w:rPr>
          <w:rFonts w:asciiTheme="majorBidi" w:hAnsiTheme="majorBidi" w:cstheme="majorBidi"/>
          <w:color w:val="000000"/>
          <w:rtl/>
        </w:rPr>
        <w:t>אלוצף אלאול אן יכן (!) אלעקד עלי עין /אן יכון אלשי אלמעקוד עליה אלביע גסמא/ כמא דכרנא ואמא גמיע אלאעראץ' פלן יצח עליהא עקד אלביע</w:t>
      </w:r>
    </w:p>
  </w:footnote>
  <w:footnote w:id="23">
    <w:p w14:paraId="08188831" w14:textId="77777777" w:rsidR="005773CA" w:rsidRPr="00C45D78" w:rsidRDefault="005773CA"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For research around Talmudic sources on the status of usufructs, see Yitsḥak Brand, </w:t>
      </w:r>
      <w:r w:rsidRPr="00C45D78">
        <w:rPr>
          <w:rFonts w:asciiTheme="majorBidi" w:hAnsiTheme="majorBidi" w:cstheme="majorBidi"/>
          <w:i/>
          <w:iCs/>
          <w:color w:val="000000"/>
          <w:sz w:val="20"/>
          <w:szCs w:val="20"/>
        </w:rPr>
        <w:t xml:space="preserve">Yesh me-ayin: ʻisḳaʼot bi-nekhasim mufshaṭim ba-mispaṭ ha-Talmudi </w:t>
      </w:r>
      <w:r w:rsidRPr="00C45D78">
        <w:rPr>
          <w:rFonts w:asciiTheme="majorBidi" w:hAnsiTheme="majorBidi" w:cstheme="majorBidi"/>
          <w:color w:val="000000"/>
          <w:sz w:val="20"/>
          <w:szCs w:val="20"/>
        </w:rPr>
        <w:t xml:space="preserve">“Out of Nothing”: Transactions in </w:t>
      </w:r>
      <w:r w:rsidRPr="00C45D78">
        <w:rPr>
          <w:rFonts w:asciiTheme="majorBidi" w:hAnsiTheme="majorBidi" w:cstheme="majorBidi"/>
          <w:sz w:val="20"/>
          <w:szCs w:val="20"/>
        </w:rPr>
        <w:t xml:space="preserve">Incorporeal </w:t>
      </w:r>
      <w:r w:rsidRPr="00C45D78">
        <w:rPr>
          <w:rFonts w:asciiTheme="majorBidi" w:hAnsiTheme="majorBidi" w:cstheme="majorBidi"/>
          <w:color w:val="000000"/>
          <w:sz w:val="20"/>
          <w:szCs w:val="20"/>
        </w:rPr>
        <w:t>Estate in Talmudic Law] (Jerusalem, 2017), 172-190, 204-216; on “property” that the debtor owes, see 313-366 and 394-412 of that work.</w:t>
      </w:r>
    </w:p>
  </w:footnote>
  <w:footnote w:id="24">
    <w:p w14:paraId="27686E3D" w14:textId="0C47B808" w:rsidR="00C9325A" w:rsidRPr="00C87CE2" w:rsidRDefault="00D771D8" w:rsidP="00C9325A">
      <w:pPr>
        <w:pStyle w:val="FootnoteText"/>
        <w:rPr>
          <w:rFonts w:asciiTheme="majorBidi" w:hAnsiTheme="majorBidi" w:cstheme="majorBidi"/>
          <w:color w:val="000000"/>
        </w:rPr>
      </w:pPr>
      <w:r w:rsidRPr="00C45D78">
        <w:rPr>
          <w:rFonts w:asciiTheme="majorBidi" w:hAnsiTheme="majorBidi" w:cstheme="majorBidi"/>
          <w:vertAlign w:val="superscript"/>
        </w:rPr>
        <w:footnoteRef/>
      </w:r>
      <w:r w:rsidRPr="00C45D78">
        <w:rPr>
          <w:rFonts w:asciiTheme="majorBidi" w:hAnsiTheme="majorBidi" w:cstheme="majorBidi"/>
          <w:color w:val="000000"/>
        </w:rPr>
        <w:t xml:space="preserve"> CUL T-S 10Fa2.4, fol. 1.</w:t>
      </w:r>
      <w:r w:rsidR="00BF2697">
        <w:rPr>
          <w:rFonts w:asciiTheme="majorBidi" w:hAnsiTheme="majorBidi" w:cstheme="majorBidi"/>
          <w:color w:val="000000"/>
        </w:rPr>
        <w:t xml:space="preserve"> </w:t>
      </w:r>
      <w:r w:rsidR="00C9325A">
        <w:rPr>
          <w:rFonts w:asciiTheme="majorBidi" w:hAnsiTheme="majorBidi" w:cstheme="majorBidi"/>
          <w:color w:val="000000"/>
        </w:rPr>
        <w:t xml:space="preserve">I </w:t>
      </w:r>
      <w:r w:rsidR="00BF2697" w:rsidRPr="00BF2697">
        <w:rPr>
          <w:rFonts w:asciiTheme="majorBidi" w:hAnsiTheme="majorBidi" w:cstheme="majorBidi"/>
          <w:color w:val="000000"/>
        </w:rPr>
        <w:t>marked the words that will be in focus in the following discussion in bold</w:t>
      </w:r>
      <w:r w:rsidR="00BF2697">
        <w:rPr>
          <w:rFonts w:asciiTheme="majorBidi" w:hAnsiTheme="majorBidi" w:cstheme="majorBidi"/>
          <w:color w:val="000000"/>
        </w:rPr>
        <w:t>.</w:t>
      </w:r>
      <w:r w:rsidR="00C87CE2" w:rsidRPr="00C87CE2">
        <w:rPr>
          <w:rFonts w:asciiTheme="majorBidi" w:hAnsiTheme="majorBidi" w:cstheme="majorBidi"/>
          <w:color w:val="000000"/>
        </w:rPr>
        <w:t xml:space="preserve"> </w:t>
      </w:r>
      <w:r w:rsidR="00C9325A" w:rsidRPr="00C9325A">
        <w:rPr>
          <w:rFonts w:asciiTheme="majorBidi" w:hAnsiTheme="majorBidi" w:cstheme="majorBidi"/>
          <w:color w:val="000000"/>
        </w:rPr>
        <w:t xml:space="preserve">Original Judeo-Arabic:  </w:t>
      </w:r>
      <w:r w:rsidR="00C9325A" w:rsidRPr="00C9325A">
        <w:rPr>
          <w:rFonts w:asciiTheme="majorBidi" w:hAnsiTheme="majorBidi" w:cstheme="majorBidi"/>
          <w:color w:val="000000"/>
          <w:rtl/>
        </w:rPr>
        <w:t>ויגב אן נחד אלגסם ואלערץ' ההנא ונק[ול] אן אלגסם</w:t>
      </w:r>
      <w:r w:rsidR="00C9325A" w:rsidRPr="00C9325A">
        <w:rPr>
          <w:rFonts w:asciiTheme="majorBidi" w:hAnsiTheme="majorBidi" w:cstheme="majorBidi" w:hint="cs"/>
          <w:color w:val="000000"/>
          <w:rtl/>
        </w:rPr>
        <w:t xml:space="preserve"> </w:t>
      </w:r>
      <w:r w:rsidR="00C9325A" w:rsidRPr="00C9325A">
        <w:rPr>
          <w:rFonts w:asciiTheme="majorBidi" w:hAnsiTheme="majorBidi" w:cstheme="majorBidi"/>
          <w:color w:val="000000"/>
          <w:rtl/>
        </w:rPr>
        <w:t>הו מא כאן קאימא בנפסה דא טול וערץ'</w:t>
      </w:r>
      <w:r w:rsidR="00C9325A" w:rsidRPr="00C9325A">
        <w:rPr>
          <w:rFonts w:asciiTheme="majorBidi" w:hAnsiTheme="majorBidi" w:cstheme="majorBidi" w:hint="cs"/>
          <w:color w:val="000000"/>
          <w:rtl/>
        </w:rPr>
        <w:t xml:space="preserve"> </w:t>
      </w:r>
      <w:r w:rsidR="00C9325A" w:rsidRPr="00C9325A">
        <w:rPr>
          <w:rFonts w:asciiTheme="majorBidi" w:hAnsiTheme="majorBidi" w:cstheme="majorBidi"/>
          <w:color w:val="000000"/>
          <w:rtl/>
        </w:rPr>
        <w:t>ועמק ואלערץ' [הו] מא יכון פי אלשי ויפסד מן גיר [פסאד] אלמוצ'ע.</w:t>
      </w:r>
      <w:r w:rsidR="00C9325A" w:rsidRPr="00C9325A">
        <w:rPr>
          <w:rFonts w:asciiTheme="majorBidi" w:hAnsiTheme="majorBidi" w:cstheme="majorBidi" w:hint="cs"/>
          <w:color w:val="000000"/>
          <w:rtl/>
        </w:rPr>
        <w:t xml:space="preserve"> </w:t>
      </w:r>
      <w:r w:rsidR="00C9325A" w:rsidRPr="00C9325A">
        <w:rPr>
          <w:rFonts w:asciiTheme="majorBidi" w:hAnsiTheme="majorBidi" w:cstheme="majorBidi"/>
          <w:color w:val="000000"/>
          <w:rtl/>
        </w:rPr>
        <w:t>פאלביע יצח עלי כל מא כאן טוילא [עריצ'א] עמיקא  והו חד אלגסם ולא יצח עלי טולה או ערצ'[ה ועמקה]   ודלך  מ[ן אלכמיאת] ולא עלי אלואנה דונה ודלך מן אלכיפיא[ת] ולא עלי ש[י מן א]פעאלה כאלקיאם או אלקעוד או אלאנצ'גאע וכדלך גמיע אלמקולאת</w:t>
      </w:r>
      <w:r w:rsidR="00C9325A" w:rsidRPr="00C9325A">
        <w:rPr>
          <w:rFonts w:asciiTheme="majorBidi" w:hAnsiTheme="majorBidi" w:cstheme="majorBidi" w:hint="cs"/>
          <w:color w:val="000000"/>
          <w:rtl/>
        </w:rPr>
        <w:t>.</w:t>
      </w:r>
      <w:r w:rsidR="00C9325A">
        <w:rPr>
          <w:rFonts w:ascii="Narkisim" w:hAnsi="Narkisim" w:cs="Narkisim"/>
          <w:sz w:val="24"/>
          <w:szCs w:val="24"/>
        </w:rPr>
        <w:t>.</w:t>
      </w:r>
    </w:p>
  </w:footnote>
  <w:footnote w:id="25">
    <w:p w14:paraId="7940F7AB" w14:textId="77777777" w:rsidR="00D771D8" w:rsidRPr="00C45D78" w:rsidRDefault="00D771D8" w:rsidP="00C9325A">
      <w:pPr>
        <w:pStyle w:val="FootnoteText"/>
        <w:rPr>
          <w:rFonts w:asciiTheme="majorBidi" w:hAnsiTheme="majorBidi" w:cstheme="majorBidi"/>
          <w:color w:val="000000"/>
        </w:rPr>
      </w:pPr>
      <w:r w:rsidRPr="00C45D78">
        <w:rPr>
          <w:rFonts w:asciiTheme="majorBidi" w:hAnsiTheme="majorBidi" w:cstheme="majorBidi"/>
          <w:vertAlign w:val="superscript"/>
        </w:rPr>
        <w:footnoteRef/>
      </w:r>
      <w:r w:rsidRPr="00C45D78">
        <w:rPr>
          <w:rFonts w:asciiTheme="majorBidi" w:hAnsiTheme="majorBidi" w:cstheme="majorBidi"/>
          <w:color w:val="000000"/>
        </w:rPr>
        <w:t xml:space="preserve"> Carmela Baffioni, </w:t>
      </w:r>
      <w:r w:rsidRPr="00C45D78">
        <w:rPr>
          <w:rFonts w:asciiTheme="majorBidi" w:hAnsiTheme="majorBidi" w:cstheme="majorBidi"/>
          <w:i/>
          <w:color w:val="000000"/>
        </w:rPr>
        <w:t>On Logic: An Arabic Critical Edition and English Translation of Epistles 10–14</w:t>
      </w:r>
      <w:r w:rsidRPr="00C45D78">
        <w:rPr>
          <w:rFonts w:asciiTheme="majorBidi" w:hAnsiTheme="majorBidi" w:cstheme="majorBidi"/>
          <w:color w:val="000000"/>
        </w:rPr>
        <w:t xml:space="preserve"> (Oxford , 2010), 79. I do not claim that Rav Hayya was influenced directly by this source, but we know that Hayya was familiar with ideas that can be found in the Epistles of the Brethren of Purity (see: S Y. Zvi Stampfer, “Genizah within the Genizah: Muslim Works Incorporated into Judeo-Arabic Manuscripts in the Cairo Genizah,</w:t>
      </w:r>
      <w:r w:rsidRPr="00C45D78">
        <w:rPr>
          <w:rFonts w:asciiTheme="majorBidi" w:hAnsiTheme="majorBidi" w:cstheme="majorBidi"/>
          <w:i/>
          <w:color w:val="000000"/>
        </w:rPr>
        <w:t>“</w:t>
      </w:r>
      <w:r w:rsidRPr="00C45D78">
        <w:rPr>
          <w:rFonts w:asciiTheme="majorBidi" w:hAnsiTheme="majorBidi" w:cstheme="majorBidi"/>
          <w:color w:val="000000"/>
        </w:rPr>
        <w:t xml:space="preserve"> </w:t>
      </w:r>
      <w:r w:rsidRPr="00C45D78">
        <w:rPr>
          <w:rFonts w:asciiTheme="majorBidi" w:hAnsiTheme="majorBidi" w:cstheme="majorBidi"/>
          <w:i/>
          <w:color w:val="000000"/>
        </w:rPr>
        <w:t>Intellectual History of the Islamicate World</w:t>
      </w:r>
      <w:r w:rsidRPr="00C45D78">
        <w:rPr>
          <w:rFonts w:asciiTheme="majorBidi" w:hAnsiTheme="majorBidi" w:cstheme="majorBidi"/>
          <w:color w:val="000000"/>
        </w:rPr>
        <w:t xml:space="preserve"> 8 (2020) p. 287 n. 27. This source presents the concept for the ten categories which appears in Rav Hayya's work in a clear fashion. </w:t>
      </w:r>
    </w:p>
  </w:footnote>
  <w:footnote w:id="26">
    <w:p w14:paraId="4C6A425F" w14:textId="77777777" w:rsidR="00D771D8" w:rsidRPr="00C45D78" w:rsidRDefault="00D771D8"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Ibid (</w:t>
      </w:r>
      <w:r w:rsidRPr="00C45D78">
        <w:rPr>
          <w:rFonts w:asciiTheme="majorBidi" w:hAnsiTheme="majorBidi" w:cstheme="majorBidi"/>
          <w:i/>
          <w:color w:val="000000"/>
          <w:sz w:val="20"/>
          <w:szCs w:val="20"/>
        </w:rPr>
        <w:t>On Logic</w:t>
      </w:r>
      <w:r w:rsidRPr="00C45D78">
        <w:rPr>
          <w:rFonts w:asciiTheme="majorBidi" w:hAnsiTheme="majorBidi" w:cstheme="majorBidi"/>
          <w:iCs/>
          <w:color w:val="000000"/>
          <w:sz w:val="20"/>
          <w:szCs w:val="20"/>
        </w:rPr>
        <w:t>), p.81</w:t>
      </w:r>
    </w:p>
  </w:footnote>
  <w:footnote w:id="27">
    <w:p w14:paraId="4E2561DC" w14:textId="77777777" w:rsidR="00963930" w:rsidRPr="00C45D78" w:rsidRDefault="00963930" w:rsidP="0096393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Robert Brody, </w:t>
      </w:r>
      <w:r w:rsidRPr="00C45D78">
        <w:rPr>
          <w:rFonts w:asciiTheme="majorBidi" w:hAnsiTheme="majorBidi" w:cstheme="majorBidi"/>
          <w:i/>
          <w:color w:val="000000"/>
          <w:sz w:val="20"/>
          <w:szCs w:val="20"/>
        </w:rPr>
        <w:t xml:space="preserve">The Geonim of </w:t>
      </w:r>
      <w:proofErr w:type="gramStart"/>
      <w:r w:rsidRPr="00C45D78">
        <w:rPr>
          <w:rFonts w:asciiTheme="majorBidi" w:hAnsiTheme="majorBidi" w:cstheme="majorBidi"/>
          <w:i/>
          <w:color w:val="000000"/>
          <w:sz w:val="20"/>
          <w:szCs w:val="20"/>
        </w:rPr>
        <w:t>Babylonia</w:t>
      </w:r>
      <w:proofErr w:type="gramEnd"/>
      <w:r w:rsidRPr="00C45D78">
        <w:rPr>
          <w:rFonts w:asciiTheme="majorBidi" w:hAnsiTheme="majorBidi" w:cstheme="majorBidi"/>
          <w:i/>
          <w:color w:val="000000"/>
          <w:sz w:val="20"/>
          <w:szCs w:val="20"/>
        </w:rPr>
        <w:t xml:space="preserve"> and the Shaping of Medieval Jewish Culture</w:t>
      </w:r>
      <w:r w:rsidRPr="00C45D78">
        <w:rPr>
          <w:rFonts w:asciiTheme="majorBidi" w:hAnsiTheme="majorBidi" w:cstheme="majorBidi"/>
          <w:color w:val="000000"/>
          <w:sz w:val="20"/>
          <w:szCs w:val="20"/>
        </w:rPr>
        <w:t xml:space="preserve"> (New Haven, 1998),</w:t>
      </w:r>
      <w:r w:rsidRPr="00C45D78" w:rsidDel="00DF2A0F">
        <w:rPr>
          <w:rFonts w:asciiTheme="majorBidi" w:hAnsiTheme="majorBidi" w:cstheme="majorBidi"/>
          <w:color w:val="000000"/>
          <w:sz w:val="20"/>
          <w:szCs w:val="20"/>
        </w:rPr>
        <w:t xml:space="preserve"> </w:t>
      </w:r>
      <w:r w:rsidRPr="00C45D78">
        <w:rPr>
          <w:rFonts w:asciiTheme="majorBidi" w:hAnsiTheme="majorBidi" w:cstheme="majorBidi"/>
          <w:color w:val="000000"/>
          <w:sz w:val="20"/>
          <w:szCs w:val="20"/>
          <w:rtl/>
        </w:rPr>
        <w:t>140</w:t>
      </w:r>
    </w:p>
  </w:footnote>
  <w:footnote w:id="28">
    <w:p w14:paraId="109829A2" w14:textId="77777777" w:rsidR="00963930" w:rsidRPr="00C45D78" w:rsidRDefault="00963930" w:rsidP="0096393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See Joseph van Ess, </w:t>
      </w:r>
      <w:r w:rsidRPr="00C45D78">
        <w:rPr>
          <w:rFonts w:asciiTheme="majorBidi" w:hAnsiTheme="majorBidi" w:cstheme="majorBidi"/>
          <w:i/>
          <w:color w:val="000000"/>
          <w:sz w:val="20"/>
          <w:szCs w:val="20"/>
        </w:rPr>
        <w:t>Theology and Society in the Second and Third Centuries of the Hijra</w:t>
      </w:r>
      <w:r w:rsidRPr="00C45D78">
        <w:rPr>
          <w:rFonts w:asciiTheme="majorBidi" w:hAnsiTheme="majorBidi" w:cstheme="majorBidi"/>
          <w:color w:val="000000"/>
          <w:sz w:val="20"/>
          <w:szCs w:val="20"/>
        </w:rPr>
        <w:t>, trans. John O'Kane, 5 vols. (Leiden, 2016-20), 2:30-31, 530 n. 2.</w:t>
      </w:r>
    </w:p>
  </w:footnote>
  <w:footnote w:id="29">
    <w:p w14:paraId="01DDD3DA" w14:textId="00EC9A06" w:rsidR="007F7F5C" w:rsidRDefault="007F7F5C" w:rsidP="007F7F5C">
      <w:pPr>
        <w:pStyle w:val="FootnoteText"/>
      </w:pPr>
      <w:r>
        <w:rPr>
          <w:rStyle w:val="FootnoteReference"/>
        </w:rPr>
        <w:footnoteRef/>
      </w:r>
      <w:r>
        <w:t xml:space="preserve"> See: </w:t>
      </w:r>
      <w:r w:rsidRPr="00C378E4">
        <w:t>Dawud al-Muqammis</w:t>
      </w:r>
      <w:r>
        <w:t xml:space="preserve">, </w:t>
      </w:r>
      <w:r w:rsidRPr="00C378E4">
        <w:rPr>
          <w:i/>
          <w:iCs/>
        </w:rPr>
        <w:t>Twenty Chapters ('Ishrūn Maqāla)</w:t>
      </w:r>
      <w:r>
        <w:t xml:space="preserve">. </w:t>
      </w:r>
      <w:bookmarkStart w:id="0" w:name="_Hlk160305564"/>
      <w:r>
        <w:t xml:space="preserve">edited, </w:t>
      </w:r>
      <w:proofErr w:type="gramStart"/>
      <w:r>
        <w:t>translated</w:t>
      </w:r>
      <w:proofErr w:type="gramEnd"/>
      <w:r>
        <w:t xml:space="preserve"> and annotated by </w:t>
      </w:r>
      <w:bookmarkEnd w:id="0"/>
      <w:r>
        <w:t xml:space="preserve">S. Stroumsa, </w:t>
      </w:r>
      <w:r w:rsidRPr="00C378E4">
        <w:t>Leiden, The Netherlands: Brill, 2022</w:t>
      </w:r>
      <w:r>
        <w:t>, p. 25-28.</w:t>
      </w:r>
    </w:p>
  </w:footnote>
  <w:footnote w:id="30">
    <w:p w14:paraId="3E5B76DA" w14:textId="1E300C51" w:rsidR="007F7F5C" w:rsidRPr="00C45D78" w:rsidRDefault="007F7F5C" w:rsidP="005F112D">
      <w:pPr>
        <w:pStyle w:val="FootnoteText"/>
        <w:rPr>
          <w:rFonts w:asciiTheme="majorBidi" w:hAnsiTheme="majorBidi" w:cstheme="majorBidi"/>
          <w:color w:val="000000"/>
        </w:rPr>
      </w:pPr>
      <w:r w:rsidRPr="00C45D78">
        <w:rPr>
          <w:rFonts w:asciiTheme="majorBidi" w:hAnsiTheme="majorBidi" w:cstheme="majorBidi"/>
          <w:vertAlign w:val="superscript"/>
        </w:rPr>
        <w:footnoteRef/>
      </w:r>
      <w:r w:rsidRPr="00C45D78">
        <w:rPr>
          <w:rFonts w:asciiTheme="majorBidi" w:hAnsiTheme="majorBidi" w:cstheme="majorBidi"/>
          <w:color w:val="000000"/>
        </w:rPr>
        <w:t xml:space="preserve"> </w:t>
      </w:r>
      <w:r w:rsidRPr="00C45D78">
        <w:rPr>
          <w:rFonts w:asciiTheme="majorBidi" w:hAnsiTheme="majorBidi" w:cstheme="majorBidi"/>
          <w:i/>
          <w:color w:val="000000"/>
        </w:rPr>
        <w:t xml:space="preserve">Hanivḥar </w:t>
      </w:r>
      <w:r w:rsidRPr="00C45D78">
        <w:rPr>
          <w:rFonts w:asciiTheme="majorBidi" w:hAnsiTheme="majorBidi" w:cstheme="majorBidi"/>
          <w:i/>
        </w:rPr>
        <w:t>b</w:t>
      </w:r>
      <w:r w:rsidRPr="00C45D78">
        <w:rPr>
          <w:rFonts w:asciiTheme="majorBidi" w:hAnsiTheme="majorBidi" w:cstheme="majorBidi"/>
          <w:i/>
          <w:color w:val="000000"/>
        </w:rPr>
        <w:t>e</w:t>
      </w:r>
      <w:r w:rsidRPr="00C45D78">
        <w:rPr>
          <w:rFonts w:asciiTheme="majorBidi" w:hAnsiTheme="majorBidi" w:cstheme="majorBidi"/>
          <w:i/>
          <w:color w:val="3C4043"/>
        </w:rPr>
        <w:t>ʼ</w:t>
      </w:r>
      <w:r w:rsidRPr="00C45D78">
        <w:rPr>
          <w:rFonts w:asciiTheme="majorBidi" w:hAnsiTheme="majorBidi" w:cstheme="majorBidi"/>
          <w:i/>
          <w:color w:val="000000"/>
        </w:rPr>
        <w:t>Emunot ve-De</w:t>
      </w:r>
      <w:r w:rsidRPr="00C45D78">
        <w:rPr>
          <w:rFonts w:asciiTheme="majorBidi" w:hAnsiTheme="majorBidi" w:cstheme="majorBidi"/>
          <w:i/>
          <w:color w:val="3C4043"/>
        </w:rPr>
        <w:t>ʿ</w:t>
      </w:r>
      <w:r w:rsidRPr="00C45D78">
        <w:rPr>
          <w:rFonts w:asciiTheme="majorBidi" w:hAnsiTheme="majorBidi" w:cstheme="majorBidi"/>
          <w:i/>
          <w:color w:val="000000"/>
        </w:rPr>
        <w:t>ot (</w:t>
      </w:r>
      <w:r w:rsidRPr="00C45D78">
        <w:rPr>
          <w:rFonts w:asciiTheme="majorBidi" w:hAnsiTheme="majorBidi" w:cstheme="majorBidi"/>
          <w:i/>
          <w:color w:val="3C4043"/>
        </w:rPr>
        <w:t>Kitāb al-Amānāt wa-l-Iʿtiqādāt)</w:t>
      </w:r>
      <w:r w:rsidRPr="00C45D78">
        <w:rPr>
          <w:rFonts w:asciiTheme="majorBidi" w:hAnsiTheme="majorBidi" w:cstheme="majorBidi"/>
          <w:color w:val="3C4043"/>
        </w:rPr>
        <w:t xml:space="preserve">, </w:t>
      </w:r>
      <w:r w:rsidR="002D530F" w:rsidRPr="002D530F">
        <w:rPr>
          <w:rFonts w:asciiTheme="majorBidi" w:hAnsiTheme="majorBidi" w:cstheme="majorBidi"/>
          <w:color w:val="3C4043"/>
        </w:rPr>
        <w:t xml:space="preserve">edited, </w:t>
      </w:r>
      <w:proofErr w:type="gramStart"/>
      <w:r w:rsidR="002D530F" w:rsidRPr="002D530F">
        <w:rPr>
          <w:rFonts w:asciiTheme="majorBidi" w:hAnsiTheme="majorBidi" w:cstheme="majorBidi"/>
          <w:color w:val="3C4043"/>
        </w:rPr>
        <w:t>translated</w:t>
      </w:r>
      <w:proofErr w:type="gramEnd"/>
      <w:r w:rsidR="002D530F" w:rsidRPr="002D530F">
        <w:rPr>
          <w:rFonts w:asciiTheme="majorBidi" w:hAnsiTheme="majorBidi" w:cstheme="majorBidi"/>
          <w:color w:val="3C4043"/>
        </w:rPr>
        <w:t xml:space="preserve"> and annotated by </w:t>
      </w:r>
      <w:r w:rsidRPr="00C45D78">
        <w:rPr>
          <w:rFonts w:asciiTheme="majorBidi" w:hAnsiTheme="majorBidi" w:cstheme="majorBidi"/>
          <w:color w:val="3C4043"/>
        </w:rPr>
        <w:t>Yosef Kafaḥ (Jerusalem, 1970). For discussion on s</w:t>
      </w:r>
      <w:r w:rsidRPr="00C45D78">
        <w:rPr>
          <w:rFonts w:asciiTheme="majorBidi" w:hAnsiTheme="majorBidi" w:cstheme="majorBidi"/>
          <w:color w:val="000000"/>
        </w:rPr>
        <w:t xml:space="preserve">ubstance and accidents, see 38, 195-196; for the categories, see 94-111. For an English translation, see </w:t>
      </w:r>
      <w:r w:rsidRPr="00C45D78">
        <w:rPr>
          <w:rFonts w:asciiTheme="majorBidi" w:hAnsiTheme="majorBidi" w:cstheme="majorBidi"/>
          <w:i/>
          <w:color w:val="3A3A3A"/>
        </w:rPr>
        <w:t>The Book of Beliefs and Opinions</w:t>
      </w:r>
      <w:r w:rsidRPr="00C45D78">
        <w:rPr>
          <w:rFonts w:asciiTheme="majorBidi" w:hAnsiTheme="majorBidi" w:cstheme="majorBidi"/>
          <w:color w:val="3A3A3A"/>
        </w:rPr>
        <w:t>, trans. Samuel Rosenblatt, (</w:t>
      </w:r>
      <w:r w:rsidRPr="005F112D">
        <w:rPr>
          <w:rFonts w:asciiTheme="majorBidi" w:hAnsiTheme="majorBidi" w:cstheme="majorBidi"/>
          <w:color w:val="000000"/>
        </w:rPr>
        <w:t>New Haven, 1976): 87-131.</w:t>
      </w:r>
      <w:r w:rsidR="003A20A3">
        <w:rPr>
          <w:rFonts w:asciiTheme="majorBidi" w:hAnsiTheme="majorBidi" w:cstheme="majorBidi"/>
          <w:color w:val="000000"/>
        </w:rPr>
        <w:t xml:space="preserve"> </w:t>
      </w:r>
      <w:r w:rsidR="002D530F" w:rsidRPr="005F112D">
        <w:rPr>
          <w:rFonts w:asciiTheme="majorBidi" w:hAnsiTheme="majorBidi" w:cstheme="majorBidi"/>
          <w:color w:val="000000"/>
        </w:rPr>
        <w:t xml:space="preserve">See also </w:t>
      </w:r>
      <w:r w:rsidR="003A20A3" w:rsidRPr="005F112D">
        <w:rPr>
          <w:rFonts w:asciiTheme="majorBidi" w:hAnsiTheme="majorBidi" w:cstheme="majorBidi"/>
          <w:color w:val="000000"/>
        </w:rPr>
        <w:t xml:space="preserve">Sefer </w:t>
      </w:r>
      <w:r w:rsidR="002D530F" w:rsidRPr="005F112D">
        <w:rPr>
          <w:rFonts w:asciiTheme="majorBidi" w:hAnsiTheme="majorBidi" w:cstheme="majorBidi"/>
          <w:color w:val="000000"/>
        </w:rPr>
        <w:t>Y</w:t>
      </w:r>
      <w:r w:rsidR="003A20A3" w:rsidRPr="005F112D">
        <w:rPr>
          <w:rFonts w:asciiTheme="majorBidi" w:hAnsiTheme="majorBidi" w:cstheme="majorBidi"/>
          <w:color w:val="000000"/>
        </w:rPr>
        <w:t>etsirah</w:t>
      </w:r>
      <w:r w:rsidR="002D530F" w:rsidRPr="005F112D">
        <w:rPr>
          <w:rFonts w:asciiTheme="majorBidi" w:hAnsiTheme="majorBidi" w:cstheme="majorBidi"/>
          <w:color w:val="000000"/>
        </w:rPr>
        <w:t xml:space="preserve"> (Kitab al- Mabadi =Book of creation)</w:t>
      </w:r>
      <w:r w:rsidR="003A20A3" w:rsidRPr="005F112D">
        <w:rPr>
          <w:rFonts w:asciiTheme="majorBidi" w:hAnsiTheme="majorBidi" w:cstheme="majorBidi"/>
          <w:color w:val="000000"/>
        </w:rPr>
        <w:t xml:space="preserve"> </w:t>
      </w:r>
      <w:r w:rsidR="002D530F" w:rsidRPr="005F112D">
        <w:rPr>
          <w:rFonts w:asciiTheme="majorBidi" w:hAnsiTheme="majorBidi" w:cstheme="majorBidi"/>
          <w:color w:val="000000"/>
        </w:rPr>
        <w:t>ʿ</w:t>
      </w:r>
      <w:r w:rsidR="003A20A3" w:rsidRPr="005F112D">
        <w:rPr>
          <w:rFonts w:asciiTheme="majorBidi" w:hAnsiTheme="majorBidi" w:cstheme="majorBidi"/>
          <w:color w:val="000000"/>
        </w:rPr>
        <w:t>im</w:t>
      </w:r>
      <w:r w:rsidR="002D530F" w:rsidRPr="005F112D">
        <w:rPr>
          <w:rFonts w:asciiTheme="majorBidi" w:hAnsiTheme="majorBidi" w:cstheme="majorBidi"/>
          <w:color w:val="000000"/>
        </w:rPr>
        <w:t xml:space="preserve"> </w:t>
      </w:r>
      <w:r w:rsidR="003A20A3" w:rsidRPr="005F112D">
        <w:rPr>
          <w:rFonts w:asciiTheme="majorBidi" w:hAnsiTheme="majorBidi" w:cstheme="majorBidi"/>
          <w:color w:val="000000"/>
        </w:rPr>
        <w:t>perush ha</w:t>
      </w:r>
      <w:r w:rsidR="002D530F" w:rsidRPr="005F112D">
        <w:rPr>
          <w:rFonts w:asciiTheme="majorBidi" w:hAnsiTheme="majorBidi" w:cstheme="majorBidi"/>
          <w:color w:val="000000"/>
        </w:rPr>
        <w:t>-G</w:t>
      </w:r>
      <w:r w:rsidR="003A20A3" w:rsidRPr="005F112D">
        <w:rPr>
          <w:rFonts w:asciiTheme="majorBidi" w:hAnsiTheme="majorBidi" w:cstheme="majorBidi"/>
          <w:color w:val="000000"/>
        </w:rPr>
        <w:t xml:space="preserve">gaon </w:t>
      </w:r>
      <w:r w:rsidR="00CA476C">
        <w:rPr>
          <w:rFonts w:asciiTheme="majorBidi" w:hAnsiTheme="majorBidi" w:cstheme="majorBidi"/>
          <w:color w:val="000000"/>
        </w:rPr>
        <w:t>Saadia</w:t>
      </w:r>
      <w:r w:rsidR="002D530F" w:rsidRPr="005F112D">
        <w:rPr>
          <w:rFonts w:asciiTheme="majorBidi" w:hAnsiTheme="majorBidi" w:cstheme="majorBidi"/>
          <w:color w:val="000000"/>
        </w:rPr>
        <w:t xml:space="preserve"> </w:t>
      </w:r>
      <w:r w:rsidR="003A20A3" w:rsidRPr="005F112D">
        <w:rPr>
          <w:rFonts w:asciiTheme="majorBidi" w:hAnsiTheme="majorBidi" w:cstheme="majorBidi"/>
          <w:color w:val="000000"/>
        </w:rPr>
        <w:t>bar Yosef Fayumi</w:t>
      </w:r>
      <w:r w:rsidR="002D530F" w:rsidRPr="005F112D">
        <w:rPr>
          <w:rFonts w:asciiTheme="majorBidi" w:hAnsiTheme="majorBidi" w:cstheme="majorBidi"/>
          <w:color w:val="000000"/>
        </w:rPr>
        <w:t>,</w:t>
      </w:r>
      <w:r w:rsidR="003A20A3" w:rsidRPr="005F112D">
        <w:rPr>
          <w:rFonts w:asciiTheme="majorBidi" w:hAnsiTheme="majorBidi" w:cstheme="majorBidi"/>
          <w:color w:val="000000"/>
        </w:rPr>
        <w:t xml:space="preserve"> makor ve</w:t>
      </w:r>
      <w:r w:rsidR="002D530F" w:rsidRPr="005F112D">
        <w:rPr>
          <w:rFonts w:asciiTheme="majorBidi" w:hAnsiTheme="majorBidi" w:cstheme="majorBidi"/>
          <w:color w:val="000000"/>
        </w:rPr>
        <w:t>-</w:t>
      </w:r>
      <w:r w:rsidR="003A20A3" w:rsidRPr="005F112D">
        <w:rPr>
          <w:rFonts w:asciiTheme="majorBidi" w:hAnsiTheme="majorBidi" w:cstheme="majorBidi"/>
          <w:color w:val="000000"/>
        </w:rPr>
        <w:t xml:space="preserve">targum. </w:t>
      </w:r>
      <w:r w:rsidR="002D530F" w:rsidRPr="005F112D">
        <w:rPr>
          <w:rFonts w:asciiTheme="majorBidi" w:hAnsiTheme="majorBidi" w:cstheme="majorBidi"/>
          <w:color w:val="000000"/>
        </w:rPr>
        <w:t xml:space="preserve">edited, </w:t>
      </w:r>
      <w:proofErr w:type="gramStart"/>
      <w:r w:rsidR="002D530F" w:rsidRPr="005F112D">
        <w:rPr>
          <w:rFonts w:asciiTheme="majorBidi" w:hAnsiTheme="majorBidi" w:cstheme="majorBidi"/>
          <w:color w:val="000000"/>
        </w:rPr>
        <w:t>translated</w:t>
      </w:r>
      <w:proofErr w:type="gramEnd"/>
      <w:r w:rsidR="002D530F" w:rsidRPr="005F112D">
        <w:rPr>
          <w:rFonts w:asciiTheme="majorBidi" w:hAnsiTheme="majorBidi" w:cstheme="majorBidi"/>
          <w:color w:val="000000"/>
        </w:rPr>
        <w:t xml:space="preserve"> and annotated by Yosef Kafaḥ (</w:t>
      </w:r>
      <w:r w:rsidR="003A20A3" w:rsidRPr="005F112D">
        <w:rPr>
          <w:rFonts w:asciiTheme="majorBidi" w:hAnsiTheme="majorBidi" w:cstheme="majorBidi"/>
          <w:color w:val="000000"/>
        </w:rPr>
        <w:t>Jerusalem, 1972</w:t>
      </w:r>
      <w:r w:rsidR="002D530F" w:rsidRPr="005F112D">
        <w:rPr>
          <w:rFonts w:asciiTheme="majorBidi" w:hAnsiTheme="majorBidi" w:cstheme="majorBidi"/>
          <w:color w:val="000000"/>
        </w:rPr>
        <w:t>), pp. 43, 46, 53</w:t>
      </w:r>
      <w:r w:rsidR="003A20A3" w:rsidRPr="005F112D">
        <w:rPr>
          <w:rFonts w:asciiTheme="majorBidi" w:hAnsiTheme="majorBidi" w:cstheme="majorBidi"/>
          <w:color w:val="000000"/>
        </w:rPr>
        <w:t xml:space="preserve">. </w:t>
      </w:r>
      <w:r w:rsidR="005F112D">
        <w:rPr>
          <w:rFonts w:asciiTheme="majorBidi" w:hAnsiTheme="majorBidi" w:cstheme="majorBidi"/>
          <w:color w:val="000000"/>
        </w:rPr>
        <w:t>i</w:t>
      </w:r>
      <w:r w:rsidR="002D530F">
        <w:rPr>
          <w:rFonts w:asciiTheme="majorBidi" w:hAnsiTheme="majorBidi" w:cstheme="majorBidi"/>
          <w:color w:val="000000"/>
        </w:rPr>
        <w:t xml:space="preserve">, </w:t>
      </w:r>
      <w:r w:rsidR="002D530F" w:rsidRPr="002D530F">
        <w:rPr>
          <w:rFonts w:asciiTheme="majorBidi" w:hAnsiTheme="majorBidi" w:cstheme="majorBidi"/>
          <w:color w:val="000000"/>
        </w:rPr>
        <w:t>Na'ama Ben-Shachar</w:t>
      </w:r>
      <w:r w:rsidR="002D530F">
        <w:rPr>
          <w:rFonts w:asciiTheme="majorBidi" w:hAnsiTheme="majorBidi" w:cstheme="majorBidi"/>
          <w:color w:val="000000"/>
        </w:rPr>
        <w:t xml:space="preserve">, </w:t>
      </w:r>
      <w:r w:rsidR="002D530F" w:rsidRPr="005F112D">
        <w:rPr>
          <w:rFonts w:asciiTheme="majorBidi" w:hAnsiTheme="majorBidi" w:cstheme="majorBidi"/>
          <w:color w:val="000000"/>
        </w:rPr>
        <w:t>Los Angeles 2015, pp. 000</w:t>
      </w:r>
    </w:p>
  </w:footnote>
  <w:footnote w:id="31">
    <w:p w14:paraId="76E33EB8" w14:textId="77777777" w:rsidR="007F7F5C" w:rsidRPr="00C45D78" w:rsidRDefault="007F7F5C" w:rsidP="007F7F5C">
      <w:pPr>
        <w:pBdr>
          <w:top w:val="nil"/>
          <w:left w:val="nil"/>
          <w:bottom w:val="nil"/>
          <w:right w:val="nil"/>
          <w:between w:val="nil"/>
        </w:pBdr>
        <w:rPr>
          <w:rFonts w:asciiTheme="majorBidi" w:hAnsiTheme="majorBidi" w:cstheme="majorBidi"/>
          <w:sz w:val="20"/>
          <w:szCs w:val="20"/>
        </w:rPr>
      </w:pPr>
      <w:r w:rsidRPr="00C45D78">
        <w:rPr>
          <w:rStyle w:val="FootnoteReference"/>
          <w:rFonts w:asciiTheme="majorBidi" w:hAnsiTheme="majorBidi" w:cstheme="majorBidi"/>
          <w:sz w:val="20"/>
          <w:szCs w:val="20"/>
        </w:rPr>
        <w:footnoteRef/>
      </w:r>
      <w:r w:rsidRPr="00C45D78">
        <w:rPr>
          <w:rFonts w:asciiTheme="majorBidi" w:hAnsiTheme="majorBidi" w:cstheme="majorBidi"/>
          <w:sz w:val="20"/>
          <w:szCs w:val="20"/>
        </w:rPr>
        <w:t xml:space="preserve"> </w:t>
      </w:r>
      <w:r w:rsidRPr="00C45D78">
        <w:rPr>
          <w:rFonts w:asciiTheme="majorBidi" w:hAnsiTheme="majorBidi" w:cstheme="majorBidi"/>
          <w:color w:val="000000"/>
          <w:sz w:val="20"/>
          <w:szCs w:val="20"/>
        </w:rPr>
        <w:t>Introduction (or Isagoge) to the logical Categories of Aristotle (1853) vol. 2, Chap. V. Of Accident</w:t>
      </w:r>
      <w:r w:rsidRPr="00C45D78">
        <w:rPr>
          <w:rFonts w:asciiTheme="majorBidi" w:hAnsiTheme="majorBidi" w:cstheme="majorBidi"/>
          <w:sz w:val="20"/>
          <w:szCs w:val="20"/>
        </w:rPr>
        <w:t xml:space="preserve">. </w:t>
      </w:r>
      <w:r w:rsidRPr="008D319A">
        <w:rPr>
          <w:rFonts w:asciiTheme="majorBidi" w:hAnsiTheme="majorBidi" w:cstheme="majorBidi"/>
          <w:sz w:val="20"/>
          <w:szCs w:val="20"/>
        </w:rPr>
        <w:t xml:space="preserve">Alternative translation in: </w:t>
      </w:r>
      <w:r w:rsidRPr="008D319A">
        <w:rPr>
          <w:rFonts w:asciiTheme="majorBidi" w:hAnsiTheme="majorBidi" w:cstheme="majorBidi"/>
          <w:i/>
          <w:iCs/>
          <w:sz w:val="20"/>
          <w:szCs w:val="20"/>
        </w:rPr>
        <w:t>Porphyry Introduction</w:t>
      </w:r>
      <w:r w:rsidRPr="008D319A">
        <w:rPr>
          <w:rFonts w:asciiTheme="majorBidi" w:hAnsiTheme="majorBidi" w:cstheme="majorBidi"/>
          <w:sz w:val="20"/>
          <w:szCs w:val="20"/>
        </w:rPr>
        <w:t>, translated</w:t>
      </w:r>
      <w:r w:rsidRPr="00C45D78">
        <w:rPr>
          <w:rFonts w:asciiTheme="majorBidi" w:hAnsiTheme="majorBidi" w:cstheme="majorBidi"/>
          <w:sz w:val="20"/>
          <w:szCs w:val="20"/>
        </w:rPr>
        <w:t xml:space="preserve"> with a commentary by Jonathan Barnes, </w:t>
      </w:r>
      <w:proofErr w:type="gramStart"/>
      <w:r w:rsidRPr="00C45D78">
        <w:rPr>
          <w:rFonts w:asciiTheme="majorBidi" w:hAnsiTheme="majorBidi" w:cstheme="majorBidi"/>
          <w:sz w:val="20"/>
          <w:szCs w:val="20"/>
        </w:rPr>
        <w:t>Oxford</w:t>
      </w:r>
      <w:proofErr w:type="gramEnd"/>
      <w:r w:rsidRPr="00C45D78">
        <w:rPr>
          <w:rFonts w:asciiTheme="majorBidi" w:hAnsiTheme="majorBidi" w:cstheme="majorBidi"/>
          <w:sz w:val="20"/>
          <w:szCs w:val="20"/>
        </w:rPr>
        <w:t xml:space="preserve"> and New York, 2006, p. 12: "Accidents are items which come and go without the destruction of their subject."</w:t>
      </w:r>
    </w:p>
  </w:footnote>
  <w:footnote w:id="32">
    <w:p w14:paraId="3C9AF730" w14:textId="77777777" w:rsidR="007F7F5C" w:rsidRPr="00C45D78" w:rsidRDefault="007F7F5C" w:rsidP="007F7F5C">
      <w:pPr>
        <w:pBdr>
          <w:top w:val="nil"/>
          <w:left w:val="nil"/>
          <w:bottom w:val="nil"/>
          <w:right w:val="nil"/>
          <w:between w:val="nil"/>
        </w:pBdr>
        <w:rPr>
          <w:rFonts w:asciiTheme="majorBidi" w:hAnsiTheme="majorBidi" w:cstheme="majorBidi"/>
          <w:sz w:val="20"/>
          <w:szCs w:val="20"/>
        </w:rPr>
      </w:pPr>
      <w:r w:rsidRPr="00C45D78">
        <w:rPr>
          <w:rStyle w:val="FootnoteReference"/>
          <w:rFonts w:asciiTheme="majorBidi" w:hAnsiTheme="majorBidi" w:cstheme="majorBidi"/>
          <w:sz w:val="20"/>
          <w:szCs w:val="20"/>
        </w:rPr>
        <w:footnoteRef/>
      </w:r>
      <w:r w:rsidRPr="00C45D78">
        <w:rPr>
          <w:rFonts w:asciiTheme="majorBidi" w:hAnsiTheme="majorBidi" w:cstheme="majorBidi"/>
          <w:sz w:val="20"/>
          <w:szCs w:val="20"/>
        </w:rPr>
        <w:t xml:space="preserve"> See: Jonathan Barnes' edition of </w:t>
      </w:r>
      <w:r w:rsidRPr="00C45D78">
        <w:rPr>
          <w:rFonts w:asciiTheme="majorBidi" w:hAnsiTheme="majorBidi" w:cstheme="majorBidi"/>
          <w:color w:val="000000"/>
          <w:sz w:val="20"/>
          <w:szCs w:val="20"/>
        </w:rPr>
        <w:t>Porphyry</w:t>
      </w:r>
      <w:r w:rsidRPr="00C45D78">
        <w:rPr>
          <w:rFonts w:asciiTheme="majorBidi" w:hAnsiTheme="majorBidi" w:cstheme="majorBidi"/>
          <w:sz w:val="20"/>
          <w:szCs w:val="20"/>
        </w:rPr>
        <w:t xml:space="preserve"> (ibid, n. 000), pp, ix-xxiv; Raphael Jospe.  Jewish Philosophy in the Middle Ages, Boston, 2009, p. 91 (and see also ibid, p. 83).</w:t>
      </w:r>
    </w:p>
  </w:footnote>
  <w:footnote w:id="33">
    <w:p w14:paraId="186132A9" w14:textId="77777777" w:rsidR="007F7F5C" w:rsidRPr="00C45D78" w:rsidRDefault="007F7F5C" w:rsidP="007F7F5C">
      <w:pPr>
        <w:pBdr>
          <w:top w:val="nil"/>
          <w:left w:val="nil"/>
          <w:bottom w:val="nil"/>
          <w:right w:val="nil"/>
          <w:between w:val="nil"/>
        </w:pBdr>
        <w:rPr>
          <w:rFonts w:asciiTheme="majorBidi" w:hAnsiTheme="majorBidi" w:cstheme="majorBidi"/>
          <w:sz w:val="20"/>
          <w:szCs w:val="20"/>
          <w:rtl/>
        </w:rPr>
      </w:pPr>
      <w:r w:rsidRPr="00C45D78">
        <w:rPr>
          <w:rStyle w:val="FootnoteReference"/>
          <w:rFonts w:asciiTheme="majorBidi" w:hAnsiTheme="majorBidi" w:cstheme="majorBidi"/>
          <w:sz w:val="20"/>
          <w:szCs w:val="20"/>
        </w:rPr>
        <w:footnoteRef/>
      </w:r>
      <w:r w:rsidRPr="00C45D78">
        <w:rPr>
          <w:rFonts w:asciiTheme="majorBidi" w:hAnsiTheme="majorBidi" w:cstheme="majorBidi"/>
          <w:sz w:val="20"/>
          <w:szCs w:val="20"/>
        </w:rPr>
        <w:t xml:space="preserve"> </w:t>
      </w:r>
      <w:r w:rsidRPr="00C45D78">
        <w:rPr>
          <w:rFonts w:asciiTheme="majorBidi" w:hAnsiTheme="majorBidi" w:cstheme="majorBidi"/>
          <w:color w:val="000000"/>
          <w:sz w:val="20"/>
          <w:szCs w:val="20"/>
        </w:rPr>
        <w:t>Among</w:t>
      </w:r>
      <w:r w:rsidRPr="00C45D78">
        <w:rPr>
          <w:rFonts w:asciiTheme="majorBidi" w:hAnsiTheme="majorBidi" w:cstheme="majorBidi"/>
          <w:sz w:val="20"/>
          <w:szCs w:val="20"/>
        </w:rPr>
        <w:t xml:space="preserve"> them was the Muslim philosopher of the 10</w:t>
      </w:r>
      <w:r w:rsidRPr="00C45D78">
        <w:rPr>
          <w:rFonts w:asciiTheme="majorBidi" w:hAnsiTheme="majorBidi" w:cstheme="majorBidi"/>
          <w:sz w:val="20"/>
          <w:szCs w:val="20"/>
          <w:vertAlign w:val="superscript"/>
        </w:rPr>
        <w:t>th</w:t>
      </w:r>
      <w:r w:rsidRPr="00C45D78">
        <w:rPr>
          <w:rFonts w:asciiTheme="majorBidi" w:hAnsiTheme="majorBidi" w:cstheme="majorBidi"/>
          <w:sz w:val="20"/>
          <w:szCs w:val="20"/>
        </w:rPr>
        <w:t xml:space="preserve"> century, Abu Nasr al-Fārābī, who brings this definition in his commentary on the </w:t>
      </w:r>
      <w:r w:rsidRPr="00C45D78">
        <w:rPr>
          <w:rFonts w:asciiTheme="majorBidi" w:hAnsiTheme="majorBidi" w:cstheme="majorBidi"/>
          <w:i/>
          <w:iCs/>
          <w:color w:val="000000"/>
          <w:sz w:val="20"/>
          <w:szCs w:val="20"/>
        </w:rPr>
        <w:t>Isagoge</w:t>
      </w:r>
      <w:r w:rsidRPr="00C45D78">
        <w:rPr>
          <w:rFonts w:asciiTheme="majorBidi" w:hAnsiTheme="majorBidi" w:cstheme="majorBidi"/>
          <w:sz w:val="20"/>
          <w:szCs w:val="20"/>
        </w:rPr>
        <w:t xml:space="preserve"> (Jon McGinnis, </w:t>
      </w:r>
      <w:r w:rsidRPr="00C45D78">
        <w:rPr>
          <w:rFonts w:asciiTheme="majorBidi" w:hAnsiTheme="majorBidi" w:cstheme="majorBidi"/>
          <w:i/>
          <w:iCs/>
          <w:sz w:val="20"/>
          <w:szCs w:val="20"/>
        </w:rPr>
        <w:t>Classical Arabic Philosophy: An Anthology of Sources</w:t>
      </w:r>
      <w:r w:rsidRPr="00C45D78">
        <w:rPr>
          <w:rFonts w:asciiTheme="majorBidi" w:hAnsiTheme="majorBidi" w:cstheme="majorBidi"/>
          <w:sz w:val="20"/>
          <w:szCs w:val="20"/>
        </w:rPr>
        <w:t>, Indianapolis, Cambridge, 2007, p. 61): "There are two types of accident. (1) A permanent accident... (2) A separable accident, present sometimes, absent at others, though its subject remains".</w:t>
      </w:r>
      <w:r w:rsidRPr="00C45D78">
        <w:rPr>
          <w:rFonts w:asciiTheme="majorBidi" w:hAnsiTheme="majorBidi" w:cstheme="majorBidi"/>
          <w:color w:val="000000"/>
          <w:sz w:val="20"/>
          <w:szCs w:val="20"/>
        </w:rPr>
        <w:t xml:space="preserve"> It was brought also by the authors of </w:t>
      </w:r>
      <w:r w:rsidRPr="00C45D78">
        <w:rPr>
          <w:rFonts w:asciiTheme="majorBidi" w:hAnsiTheme="majorBidi" w:cstheme="majorBidi"/>
          <w:i/>
          <w:color w:val="000000"/>
          <w:sz w:val="20"/>
          <w:szCs w:val="20"/>
        </w:rPr>
        <w:t xml:space="preserve">The Epistles of the </w:t>
      </w:r>
      <w:proofErr w:type="gramStart"/>
      <w:r w:rsidRPr="00C45D78">
        <w:rPr>
          <w:rFonts w:asciiTheme="majorBidi" w:hAnsiTheme="majorBidi" w:cstheme="majorBidi"/>
          <w:i/>
          <w:color w:val="000000"/>
          <w:sz w:val="20"/>
          <w:szCs w:val="20"/>
        </w:rPr>
        <w:t>Brethren</w:t>
      </w:r>
      <w:proofErr w:type="gramEnd"/>
      <w:r w:rsidRPr="00C45D78">
        <w:rPr>
          <w:rFonts w:asciiTheme="majorBidi" w:hAnsiTheme="majorBidi" w:cstheme="majorBidi"/>
          <w:i/>
          <w:color w:val="000000"/>
          <w:sz w:val="20"/>
          <w:szCs w:val="20"/>
        </w:rPr>
        <w:t xml:space="preserve"> of Purity</w:t>
      </w:r>
      <w:r w:rsidRPr="00C45D78">
        <w:rPr>
          <w:rFonts w:asciiTheme="majorBidi" w:hAnsiTheme="majorBidi" w:cstheme="majorBidi"/>
          <w:color w:val="000000"/>
          <w:sz w:val="20"/>
          <w:szCs w:val="20"/>
        </w:rPr>
        <w:t xml:space="preserve"> which we cited above and marked the definition in bold.</w:t>
      </w:r>
    </w:p>
  </w:footnote>
  <w:footnote w:id="34">
    <w:p w14:paraId="2695E54B" w14:textId="09CD306F" w:rsidR="00054650" w:rsidRPr="00C45D78" w:rsidRDefault="00054650" w:rsidP="00054650">
      <w:pPr>
        <w:pBdr>
          <w:top w:val="nil"/>
          <w:left w:val="nil"/>
          <w:bottom w:val="nil"/>
          <w:right w:val="nil"/>
          <w:between w:val="nil"/>
        </w:pBdr>
        <w:rPr>
          <w:rFonts w:asciiTheme="majorBidi" w:hAnsiTheme="majorBidi" w:cstheme="majorBidi"/>
          <w:sz w:val="20"/>
          <w:szCs w:val="20"/>
        </w:rPr>
      </w:pPr>
      <w:r w:rsidRPr="00C45D78">
        <w:rPr>
          <w:rStyle w:val="FootnoteReference"/>
          <w:rFonts w:asciiTheme="majorBidi" w:hAnsiTheme="majorBidi" w:cstheme="majorBidi"/>
          <w:sz w:val="20"/>
          <w:szCs w:val="20"/>
        </w:rPr>
        <w:footnoteRef/>
      </w:r>
      <w:r w:rsidRPr="00C45D78">
        <w:rPr>
          <w:rFonts w:asciiTheme="majorBidi" w:hAnsiTheme="majorBidi" w:cstheme="majorBidi"/>
          <w:sz w:val="20"/>
          <w:szCs w:val="20"/>
        </w:rPr>
        <w:t xml:space="preserve"> </w:t>
      </w:r>
      <w:r w:rsidRPr="00C45D78">
        <w:rPr>
          <w:rFonts w:asciiTheme="majorBidi" w:hAnsiTheme="majorBidi" w:cstheme="majorBidi"/>
          <w:color w:val="000000"/>
          <w:sz w:val="20"/>
          <w:szCs w:val="20"/>
        </w:rPr>
        <w:t>Pines</w:t>
      </w:r>
      <w:r w:rsidRPr="00C45D78">
        <w:rPr>
          <w:rFonts w:asciiTheme="majorBidi" w:hAnsiTheme="majorBidi" w:cstheme="majorBidi"/>
          <w:sz w:val="20"/>
          <w:szCs w:val="20"/>
        </w:rPr>
        <w:t xml:space="preserve"> (Shlomo P</w:t>
      </w:r>
      <w:r>
        <w:rPr>
          <w:rFonts w:asciiTheme="majorBidi" w:hAnsiTheme="majorBidi" w:cstheme="majorBidi"/>
          <w:sz w:val="20"/>
          <w:szCs w:val="20"/>
        </w:rPr>
        <w:t>i</w:t>
      </w:r>
      <w:r w:rsidRPr="00C45D78">
        <w:rPr>
          <w:rFonts w:asciiTheme="majorBidi" w:hAnsiTheme="majorBidi" w:cstheme="majorBidi"/>
          <w:sz w:val="20"/>
          <w:szCs w:val="20"/>
        </w:rPr>
        <w:t>nes, " A Tenth Century Philosophical Correspondence", Proceedings of the American Academy for Jewish Research , 1955, Vol. 24, pp. 103-136, p. 136) defined Ibn Abī Saʿīd as "the first in date of the long line of Jewish Aristotelians", while Isaac Israeli ben Solomon, the Egyptian Jewish philosopher of the 9</w:t>
      </w:r>
      <w:r w:rsidRPr="00C45D78">
        <w:rPr>
          <w:rFonts w:asciiTheme="majorBidi" w:hAnsiTheme="majorBidi" w:cstheme="majorBidi"/>
          <w:sz w:val="20"/>
          <w:szCs w:val="20"/>
          <w:vertAlign w:val="superscript"/>
        </w:rPr>
        <w:t>th</w:t>
      </w:r>
      <w:r w:rsidRPr="00C45D78">
        <w:rPr>
          <w:rFonts w:asciiTheme="majorBidi" w:hAnsiTheme="majorBidi" w:cstheme="majorBidi"/>
          <w:sz w:val="20"/>
          <w:szCs w:val="20"/>
        </w:rPr>
        <w:t xml:space="preserve">- </w:t>
      </w:r>
      <w:r w:rsidR="00CA646F" w:rsidRPr="00C45D78">
        <w:rPr>
          <w:rFonts w:asciiTheme="majorBidi" w:hAnsiTheme="majorBidi" w:cstheme="majorBidi"/>
          <w:sz w:val="20"/>
          <w:szCs w:val="20"/>
        </w:rPr>
        <w:t>beginning</w:t>
      </w:r>
      <w:r w:rsidRPr="00C45D78">
        <w:rPr>
          <w:rFonts w:asciiTheme="majorBidi" w:hAnsiTheme="majorBidi" w:cstheme="majorBidi"/>
          <w:sz w:val="20"/>
          <w:szCs w:val="20"/>
        </w:rPr>
        <w:t xml:space="preserve"> of the 10</w:t>
      </w:r>
      <w:r w:rsidRPr="00C45D78">
        <w:rPr>
          <w:rFonts w:asciiTheme="majorBidi" w:hAnsiTheme="majorBidi" w:cstheme="majorBidi"/>
          <w:sz w:val="20"/>
          <w:szCs w:val="20"/>
          <w:vertAlign w:val="superscript"/>
        </w:rPr>
        <w:t>th</w:t>
      </w:r>
      <w:r w:rsidRPr="00C45D78">
        <w:rPr>
          <w:rFonts w:asciiTheme="majorBidi" w:hAnsiTheme="majorBidi" w:cstheme="majorBidi"/>
          <w:sz w:val="20"/>
          <w:szCs w:val="20"/>
        </w:rPr>
        <w:t xml:space="preserve"> century "adopted certain Peripatetic doctrines… his knowledge of Corpus Aristotelicum appears to have been much less thorough than that of Ibn Abī Saʿīd" (ibid, n. 110). For the differences between the 10th and the 12th centuries Jewish Aristotelian philosophers see: Samuelson, Norbert M. (1997). Medieval Jewish Aristotelianism: An Introduction. In Daniel H. Frank &amp; Oliver Leaman (eds.), </w:t>
      </w:r>
      <w:r w:rsidRPr="00C45D78">
        <w:rPr>
          <w:rFonts w:asciiTheme="majorBidi" w:hAnsiTheme="majorBidi" w:cstheme="majorBidi"/>
          <w:i/>
          <w:iCs/>
          <w:sz w:val="20"/>
          <w:szCs w:val="20"/>
        </w:rPr>
        <w:t>History of Jewish Philosophy</w:t>
      </w:r>
      <w:r w:rsidRPr="00C45D78">
        <w:rPr>
          <w:rFonts w:asciiTheme="majorBidi" w:hAnsiTheme="majorBidi" w:cstheme="majorBidi"/>
          <w:sz w:val="20"/>
          <w:szCs w:val="20"/>
        </w:rPr>
        <w:t>. Routledge. pp. 228—244, p. 185.</w:t>
      </w:r>
    </w:p>
  </w:footnote>
  <w:footnote w:id="35">
    <w:p w14:paraId="5AB0541E" w14:textId="77777777" w:rsidR="00054650" w:rsidRPr="00C45D78" w:rsidRDefault="00054650" w:rsidP="00054650">
      <w:pPr>
        <w:pBdr>
          <w:top w:val="nil"/>
          <w:left w:val="nil"/>
          <w:bottom w:val="nil"/>
          <w:right w:val="nil"/>
          <w:between w:val="nil"/>
        </w:pBdr>
        <w:rPr>
          <w:rFonts w:asciiTheme="majorBidi" w:hAnsiTheme="majorBidi" w:cstheme="majorBidi"/>
          <w:sz w:val="20"/>
          <w:szCs w:val="20"/>
        </w:rPr>
      </w:pPr>
      <w:r w:rsidRPr="00C45D78">
        <w:rPr>
          <w:rStyle w:val="FootnoteReference"/>
          <w:rFonts w:asciiTheme="majorBidi" w:hAnsiTheme="majorBidi" w:cstheme="majorBidi"/>
          <w:sz w:val="20"/>
          <w:szCs w:val="20"/>
        </w:rPr>
        <w:footnoteRef/>
      </w:r>
      <w:r w:rsidRPr="00C45D78">
        <w:rPr>
          <w:rFonts w:asciiTheme="majorBidi" w:hAnsiTheme="majorBidi" w:cstheme="majorBidi"/>
          <w:sz w:val="20"/>
          <w:szCs w:val="20"/>
        </w:rPr>
        <w:t xml:space="preserve"> </w:t>
      </w:r>
      <w:r w:rsidRPr="00C45D78">
        <w:rPr>
          <w:rFonts w:asciiTheme="majorBidi" w:hAnsiTheme="majorBidi" w:cstheme="majorBidi"/>
          <w:color w:val="000000"/>
          <w:sz w:val="20"/>
          <w:szCs w:val="20"/>
        </w:rPr>
        <w:t>Translation</w:t>
      </w:r>
      <w:r w:rsidRPr="00C45D78">
        <w:rPr>
          <w:rFonts w:asciiTheme="majorBidi" w:hAnsiTheme="majorBidi" w:cstheme="majorBidi"/>
          <w:sz w:val="20"/>
          <w:szCs w:val="20"/>
        </w:rPr>
        <w:t xml:space="preserve"> by P</w:t>
      </w:r>
      <w:r>
        <w:rPr>
          <w:rFonts w:asciiTheme="majorBidi" w:hAnsiTheme="majorBidi" w:cstheme="majorBidi"/>
          <w:sz w:val="20"/>
          <w:szCs w:val="20"/>
        </w:rPr>
        <w:t>i</w:t>
      </w:r>
      <w:r w:rsidRPr="00C45D78">
        <w:rPr>
          <w:rFonts w:asciiTheme="majorBidi" w:hAnsiTheme="majorBidi" w:cstheme="majorBidi"/>
          <w:sz w:val="20"/>
          <w:szCs w:val="20"/>
        </w:rPr>
        <w:t xml:space="preserve">nes (ibid, n. 000), p. </w:t>
      </w:r>
    </w:p>
  </w:footnote>
  <w:footnote w:id="36">
    <w:p w14:paraId="152300D5" w14:textId="77777777" w:rsidR="00D771D8" w:rsidRPr="00C45D78" w:rsidRDefault="00D771D8" w:rsidP="004D1720">
      <w:pPr>
        <w:pBdr>
          <w:top w:val="nil"/>
          <w:left w:val="nil"/>
          <w:bottom w:val="nil"/>
          <w:right w:val="nil"/>
          <w:between w:val="nil"/>
        </w:pBdr>
        <w:rPr>
          <w:rFonts w:asciiTheme="majorBidi" w:hAnsiTheme="majorBidi" w:cstheme="majorBidi"/>
          <w:sz w:val="20"/>
          <w:szCs w:val="20"/>
        </w:rPr>
      </w:pPr>
      <w:r w:rsidRPr="00C45D78">
        <w:rPr>
          <w:rStyle w:val="FootnoteReference"/>
          <w:rFonts w:asciiTheme="majorBidi" w:hAnsiTheme="majorBidi" w:cstheme="majorBidi"/>
          <w:sz w:val="20"/>
          <w:szCs w:val="20"/>
        </w:rPr>
        <w:footnoteRef/>
      </w:r>
      <w:r w:rsidRPr="00C45D78">
        <w:rPr>
          <w:rFonts w:asciiTheme="majorBidi" w:hAnsiTheme="majorBidi" w:cstheme="majorBidi"/>
          <w:sz w:val="20"/>
          <w:szCs w:val="20"/>
        </w:rPr>
        <w:t xml:space="preserve"> </w:t>
      </w:r>
      <w:r w:rsidRPr="00C45D78">
        <w:rPr>
          <w:rFonts w:asciiTheme="majorBidi" w:hAnsiTheme="majorBidi" w:cstheme="majorBidi"/>
          <w:color w:val="000000"/>
          <w:sz w:val="20"/>
          <w:szCs w:val="20"/>
        </w:rPr>
        <w:t>Menn</w:t>
      </w:r>
      <w:r w:rsidRPr="00C45D78">
        <w:rPr>
          <w:rFonts w:asciiTheme="majorBidi" w:hAnsiTheme="majorBidi" w:cstheme="majorBidi"/>
          <w:sz w:val="20"/>
          <w:szCs w:val="20"/>
        </w:rPr>
        <w:t xml:space="preserve">, S., &amp; Wisnovsky, R. (2017). “Yaḥyā ibn ʿAdī and Ibrāhīm ibn ʿAdī: On whether body is a substance or a quantity. Introduction, editio princeps and translation”. Arabic Sciences and Philosophy, 27(1), 1-74. </w:t>
      </w:r>
      <w:proofErr w:type="gramStart"/>
      <w:r w:rsidRPr="00C45D78">
        <w:rPr>
          <w:rFonts w:asciiTheme="majorBidi" w:hAnsiTheme="majorBidi" w:cstheme="majorBidi"/>
          <w:sz w:val="20"/>
          <w:szCs w:val="20"/>
        </w:rPr>
        <w:t>doi:http://dx.doi.org/10.1017/S0957423916000096</w:t>
      </w:r>
      <w:proofErr w:type="gramEnd"/>
      <w:r w:rsidRPr="00C45D78">
        <w:rPr>
          <w:rFonts w:asciiTheme="majorBidi" w:hAnsiTheme="majorBidi" w:cstheme="majorBidi"/>
          <w:sz w:val="20"/>
          <w:szCs w:val="20"/>
        </w:rPr>
        <w:t>, p. 34.</w:t>
      </w:r>
    </w:p>
  </w:footnote>
  <w:footnote w:id="37">
    <w:p w14:paraId="35AEC479" w14:textId="77777777" w:rsidR="00D771D8" w:rsidRPr="00C45D78" w:rsidRDefault="00D771D8" w:rsidP="004D1720">
      <w:pPr>
        <w:pBdr>
          <w:top w:val="nil"/>
          <w:left w:val="nil"/>
          <w:bottom w:val="nil"/>
          <w:right w:val="nil"/>
          <w:between w:val="nil"/>
        </w:pBdr>
        <w:rPr>
          <w:rFonts w:asciiTheme="majorBidi" w:hAnsiTheme="majorBidi" w:cstheme="majorBidi"/>
          <w:sz w:val="20"/>
          <w:szCs w:val="20"/>
        </w:rPr>
      </w:pPr>
      <w:r w:rsidRPr="00C45D78">
        <w:rPr>
          <w:rStyle w:val="FootnoteReference"/>
          <w:rFonts w:asciiTheme="majorBidi" w:hAnsiTheme="majorBidi" w:cstheme="majorBidi"/>
          <w:sz w:val="20"/>
          <w:szCs w:val="20"/>
        </w:rPr>
        <w:footnoteRef/>
      </w:r>
      <w:r w:rsidRPr="00C45D78">
        <w:rPr>
          <w:rFonts w:asciiTheme="majorBidi" w:hAnsiTheme="majorBidi" w:cstheme="majorBidi"/>
          <w:sz w:val="20"/>
          <w:szCs w:val="20"/>
        </w:rPr>
        <w:t xml:space="preserve"> See Menn &amp; </w:t>
      </w:r>
      <w:r w:rsidRPr="00C45D78">
        <w:rPr>
          <w:rFonts w:asciiTheme="majorBidi" w:hAnsiTheme="majorBidi" w:cstheme="majorBidi"/>
          <w:color w:val="000000"/>
          <w:sz w:val="20"/>
          <w:szCs w:val="20"/>
        </w:rPr>
        <w:t>Wisnovsky</w:t>
      </w:r>
      <w:r w:rsidRPr="00C45D78">
        <w:rPr>
          <w:rFonts w:asciiTheme="majorBidi" w:hAnsiTheme="majorBidi" w:cstheme="majorBidi"/>
          <w:sz w:val="20"/>
          <w:szCs w:val="20"/>
        </w:rPr>
        <w:t xml:space="preserve"> (ibid), p. 4.</w:t>
      </w:r>
    </w:p>
  </w:footnote>
  <w:footnote w:id="38">
    <w:p w14:paraId="51B360E0" w14:textId="77777777" w:rsidR="00D771D8" w:rsidRPr="00C45D78" w:rsidRDefault="00D771D8" w:rsidP="004D1720">
      <w:pPr>
        <w:pBdr>
          <w:top w:val="nil"/>
          <w:left w:val="nil"/>
          <w:bottom w:val="nil"/>
          <w:right w:val="nil"/>
          <w:between w:val="nil"/>
        </w:pBdr>
        <w:rPr>
          <w:rFonts w:asciiTheme="majorBidi" w:hAnsiTheme="majorBidi" w:cstheme="majorBidi"/>
          <w:sz w:val="20"/>
          <w:szCs w:val="20"/>
        </w:rPr>
      </w:pPr>
      <w:r w:rsidRPr="00C45D78">
        <w:rPr>
          <w:rStyle w:val="FootnoteReference"/>
          <w:rFonts w:asciiTheme="majorBidi" w:hAnsiTheme="majorBidi" w:cstheme="majorBidi"/>
          <w:sz w:val="20"/>
          <w:szCs w:val="20"/>
        </w:rPr>
        <w:footnoteRef/>
      </w:r>
      <w:r w:rsidRPr="00C45D78">
        <w:rPr>
          <w:rFonts w:asciiTheme="majorBidi" w:hAnsiTheme="majorBidi" w:cstheme="majorBidi"/>
          <w:sz w:val="20"/>
          <w:szCs w:val="20"/>
        </w:rPr>
        <w:t xml:space="preserve"> Menn, S., &amp; </w:t>
      </w:r>
      <w:r w:rsidRPr="00C45D78">
        <w:rPr>
          <w:rFonts w:asciiTheme="majorBidi" w:hAnsiTheme="majorBidi" w:cstheme="majorBidi"/>
          <w:color w:val="000000"/>
          <w:sz w:val="20"/>
          <w:szCs w:val="20"/>
        </w:rPr>
        <w:t>Wisnovsky</w:t>
      </w:r>
      <w:r w:rsidRPr="00C45D78">
        <w:rPr>
          <w:rFonts w:asciiTheme="majorBidi" w:hAnsiTheme="majorBidi" w:cstheme="majorBidi"/>
          <w:sz w:val="20"/>
          <w:szCs w:val="20"/>
        </w:rPr>
        <w:t>, ibid. p.41. For farther discussion see ibid, p.8, n.9.</w:t>
      </w:r>
    </w:p>
  </w:footnote>
  <w:footnote w:id="39">
    <w:p w14:paraId="1A4B5BB2" w14:textId="3EEC5DB5" w:rsidR="00BF2697" w:rsidRDefault="00BF2697">
      <w:pPr>
        <w:pStyle w:val="FootnoteText"/>
      </w:pPr>
      <w:r>
        <w:rPr>
          <w:rStyle w:val="FootnoteReference"/>
        </w:rPr>
        <w:footnoteRef/>
      </w:r>
      <w:r>
        <w:t xml:space="preserve"> </w:t>
      </w:r>
      <w:r w:rsidRPr="009318F6">
        <w:rPr>
          <w:rFonts w:asciiTheme="majorBidi" w:hAnsiTheme="majorBidi" w:cstheme="majorBidi"/>
        </w:rPr>
        <w:t xml:space="preserve">For </w:t>
      </w:r>
      <w:r>
        <w:rPr>
          <w:rFonts w:asciiTheme="majorBidi" w:hAnsiTheme="majorBidi" w:cstheme="majorBidi"/>
        </w:rPr>
        <w:t>Rav Hayya's</w:t>
      </w:r>
      <w:r w:rsidRPr="009318F6">
        <w:rPr>
          <w:rFonts w:asciiTheme="majorBidi" w:hAnsiTheme="majorBidi" w:cstheme="majorBidi"/>
        </w:rPr>
        <w:t xml:space="preserve"> acquaint with Islamic sources see:</w:t>
      </w:r>
      <w:r w:rsidRPr="009318F6">
        <w:t xml:space="preserve"> </w:t>
      </w:r>
      <w:r w:rsidRPr="009318F6">
        <w:rPr>
          <w:rFonts w:asciiTheme="majorBidi" w:hAnsiTheme="majorBidi" w:cstheme="majorBidi"/>
        </w:rPr>
        <w:t xml:space="preserve">Y.Z. </w:t>
      </w:r>
      <w:r>
        <w:rPr>
          <w:rFonts w:asciiTheme="majorBidi" w:hAnsiTheme="majorBidi" w:cstheme="majorBidi"/>
        </w:rPr>
        <w:t>Stampfer</w:t>
      </w:r>
      <w:proofErr w:type="gramStart"/>
      <w:r w:rsidRPr="009318F6">
        <w:rPr>
          <w:rFonts w:asciiTheme="majorBidi" w:hAnsiTheme="majorBidi" w:cstheme="majorBidi"/>
        </w:rPr>
        <w:t>, ”Genizah</w:t>
      </w:r>
      <w:proofErr w:type="gramEnd"/>
      <w:r w:rsidRPr="009318F6">
        <w:rPr>
          <w:rFonts w:asciiTheme="majorBidi" w:hAnsiTheme="majorBidi" w:cstheme="majorBidi"/>
        </w:rPr>
        <w:t xml:space="preserve"> within the Genizah. Muslim Works Incorporated into Judeo - Arabic Manuscripts in the Cairo Genizah”, </w:t>
      </w:r>
      <w:proofErr w:type="gramStart"/>
      <w:r w:rsidRPr="009318F6">
        <w:rPr>
          <w:rFonts w:asciiTheme="majorBidi" w:hAnsiTheme="majorBidi" w:cstheme="majorBidi"/>
        </w:rPr>
        <w:t>in :</w:t>
      </w:r>
      <w:proofErr w:type="gramEnd"/>
      <w:r w:rsidRPr="009318F6">
        <w:rPr>
          <w:rFonts w:asciiTheme="majorBidi" w:hAnsiTheme="majorBidi" w:cstheme="majorBidi"/>
        </w:rPr>
        <w:t xml:space="preserve"> </w:t>
      </w:r>
      <w:r w:rsidRPr="00830F81">
        <w:rPr>
          <w:rFonts w:asciiTheme="majorBidi" w:hAnsiTheme="majorBidi" w:cstheme="majorBidi"/>
          <w:i/>
          <w:iCs/>
        </w:rPr>
        <w:t>Intellectual History of the Islamicate World</w:t>
      </w:r>
      <w:r w:rsidRPr="009318F6">
        <w:rPr>
          <w:rFonts w:asciiTheme="majorBidi" w:hAnsiTheme="majorBidi" w:cstheme="majorBidi"/>
        </w:rPr>
        <w:t xml:space="preserve"> 8 ( 2020 ),</w:t>
      </w:r>
      <w:r>
        <w:rPr>
          <w:rFonts w:asciiTheme="majorBidi" w:hAnsiTheme="majorBidi" w:cstheme="majorBidi"/>
        </w:rPr>
        <w:t xml:space="preserve">pp. </w:t>
      </w:r>
      <w:r w:rsidRPr="009318F6">
        <w:rPr>
          <w:rFonts w:asciiTheme="majorBidi" w:hAnsiTheme="majorBidi" w:cstheme="majorBidi"/>
        </w:rPr>
        <w:t>265-283.</w:t>
      </w:r>
    </w:p>
  </w:footnote>
  <w:footnote w:id="40">
    <w:p w14:paraId="1412E085" w14:textId="77777777" w:rsidR="00825B46" w:rsidRPr="00C45D78" w:rsidRDefault="00825B46"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See Randall Collins, </w:t>
      </w:r>
      <w:r w:rsidRPr="00C45D78">
        <w:rPr>
          <w:rFonts w:asciiTheme="majorBidi" w:hAnsiTheme="majorBidi" w:cstheme="majorBidi"/>
          <w:i/>
          <w:color w:val="000000"/>
          <w:sz w:val="20"/>
          <w:szCs w:val="20"/>
        </w:rPr>
        <w:t>The Sociology of Philosophies: A Global Theory of Intellectual Change</w:t>
      </w:r>
      <w:r w:rsidRPr="00C45D78">
        <w:rPr>
          <w:rFonts w:asciiTheme="majorBidi" w:hAnsiTheme="majorBidi" w:cstheme="majorBidi"/>
          <w:color w:val="000000"/>
          <w:sz w:val="20"/>
          <w:szCs w:val="20"/>
        </w:rPr>
        <w:t xml:space="preserve"> (Cambridge, MA, 1998), 399-401.</w:t>
      </w:r>
    </w:p>
  </w:footnote>
  <w:footnote w:id="41">
    <w:p w14:paraId="75C4A215" w14:textId="77777777" w:rsidR="00825B46" w:rsidRPr="00C45D78" w:rsidRDefault="00825B46"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See van Ess, </w:t>
      </w:r>
      <w:r w:rsidRPr="00C45D78">
        <w:rPr>
          <w:rFonts w:asciiTheme="majorBidi" w:hAnsiTheme="majorBidi" w:cstheme="majorBidi"/>
          <w:i/>
          <w:color w:val="000000"/>
          <w:sz w:val="20"/>
          <w:szCs w:val="20"/>
        </w:rPr>
        <w:t>Theology and Society</w:t>
      </w:r>
      <w:r w:rsidRPr="00C45D78">
        <w:rPr>
          <w:rFonts w:asciiTheme="majorBidi" w:hAnsiTheme="majorBidi" w:cstheme="majorBidi"/>
          <w:color w:val="000000"/>
          <w:sz w:val="20"/>
          <w:szCs w:val="20"/>
        </w:rPr>
        <w:t xml:space="preserve">, 3:41-44. On Ḍirār, see J. van Ess, “Ḍirār B. ʿAmr," in </w:t>
      </w:r>
      <w:r w:rsidRPr="00C45D78">
        <w:rPr>
          <w:rFonts w:asciiTheme="majorBidi" w:hAnsiTheme="majorBidi" w:cstheme="majorBidi"/>
          <w:i/>
          <w:color w:val="000000"/>
          <w:sz w:val="20"/>
          <w:szCs w:val="20"/>
        </w:rPr>
        <w:t>Encyclopaedia of Islam</w:t>
      </w:r>
      <w:r w:rsidRPr="00C45D78">
        <w:rPr>
          <w:rFonts w:asciiTheme="majorBidi" w:hAnsiTheme="majorBidi" w:cstheme="majorBidi"/>
          <w:iCs/>
          <w:color w:val="000000"/>
          <w:sz w:val="20"/>
          <w:szCs w:val="20"/>
        </w:rPr>
        <w:t>,</w:t>
      </w:r>
      <w:r w:rsidRPr="00C45D78">
        <w:rPr>
          <w:rFonts w:asciiTheme="majorBidi" w:hAnsiTheme="majorBidi" w:cstheme="majorBidi"/>
          <w:i/>
          <w:color w:val="000000"/>
          <w:sz w:val="20"/>
          <w:szCs w:val="20"/>
        </w:rPr>
        <w:t xml:space="preserve"> </w:t>
      </w:r>
      <w:r w:rsidRPr="00C45D78">
        <w:rPr>
          <w:rFonts w:asciiTheme="majorBidi" w:hAnsiTheme="majorBidi" w:cstheme="majorBidi"/>
          <w:color w:val="000000"/>
          <w:sz w:val="20"/>
          <w:szCs w:val="20"/>
        </w:rPr>
        <w:t xml:space="preserve">eds. Peri Bearman, Thierry Bianquis, Clifford Edmund Bosworth, Emeri van Donzel, and Wolfart P. Heinrichs, </w:t>
      </w:r>
      <w:r w:rsidRPr="00C45D78">
        <w:rPr>
          <w:rFonts w:asciiTheme="majorBidi" w:hAnsiTheme="majorBidi" w:cstheme="majorBidi"/>
          <w:iCs/>
          <w:color w:val="000000"/>
          <w:sz w:val="20"/>
          <w:szCs w:val="20"/>
        </w:rPr>
        <w:t>2nd ed.</w:t>
      </w:r>
      <w:r w:rsidRPr="00C45D78">
        <w:rPr>
          <w:rFonts w:asciiTheme="majorBidi" w:hAnsiTheme="majorBidi" w:cstheme="majorBidi"/>
          <w:color w:val="000000"/>
          <w:sz w:val="20"/>
          <w:szCs w:val="20"/>
        </w:rPr>
        <w:t xml:space="preserve"> (Leiden, 2012). </w:t>
      </w:r>
    </w:p>
    <w:p w14:paraId="138AE469" w14:textId="77777777" w:rsidR="00825B46" w:rsidRPr="00C45D78" w:rsidRDefault="00825B46"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color w:val="000000"/>
          <w:sz w:val="20"/>
          <w:szCs w:val="20"/>
        </w:rPr>
        <w:t xml:space="preserve">Other theologians claimed that there are no accidents; see for example van Ess, </w:t>
      </w:r>
      <w:r w:rsidRPr="00C45D78">
        <w:rPr>
          <w:rFonts w:asciiTheme="majorBidi" w:hAnsiTheme="majorBidi" w:cstheme="majorBidi"/>
          <w:i/>
          <w:color w:val="000000"/>
          <w:sz w:val="20"/>
          <w:szCs w:val="20"/>
        </w:rPr>
        <w:t>Theology and Society</w:t>
      </w:r>
      <w:r w:rsidRPr="00C45D78">
        <w:rPr>
          <w:rFonts w:asciiTheme="majorBidi" w:hAnsiTheme="majorBidi" w:cstheme="majorBidi"/>
          <w:color w:val="000000"/>
          <w:sz w:val="20"/>
          <w:szCs w:val="20"/>
        </w:rPr>
        <w:t>: 1:418-420.</w:t>
      </w:r>
    </w:p>
  </w:footnote>
  <w:footnote w:id="42">
    <w:p w14:paraId="69824886" w14:textId="799E90DA" w:rsidR="005919EF" w:rsidRPr="005919EF" w:rsidRDefault="005919EF" w:rsidP="005919EF">
      <w:pPr>
        <w:pBdr>
          <w:top w:val="nil"/>
          <w:left w:val="nil"/>
          <w:bottom w:val="nil"/>
          <w:right w:val="nil"/>
          <w:between w:val="nil"/>
        </w:pBdr>
        <w:rPr>
          <w:rFonts w:asciiTheme="majorBidi" w:hAnsiTheme="majorBidi" w:cstheme="majorBidi"/>
          <w:color w:val="000000"/>
          <w:sz w:val="20"/>
          <w:szCs w:val="20"/>
        </w:rPr>
      </w:pPr>
      <w:r>
        <w:rPr>
          <w:rStyle w:val="FootnoteReference"/>
        </w:rPr>
        <w:footnoteRef/>
      </w:r>
      <w:r>
        <w:t xml:space="preserve"> </w:t>
      </w:r>
      <w:proofErr w:type="gramStart"/>
      <w:r w:rsidRPr="005919EF">
        <w:rPr>
          <w:rFonts w:asciiTheme="majorBidi" w:hAnsiTheme="majorBidi" w:cstheme="majorBidi"/>
          <w:color w:val="000000"/>
          <w:sz w:val="20"/>
          <w:szCs w:val="20"/>
        </w:rPr>
        <w:t>Generally speaking, the</w:t>
      </w:r>
      <w:proofErr w:type="gramEnd"/>
      <w:r w:rsidRPr="005919EF">
        <w:rPr>
          <w:rFonts w:asciiTheme="majorBidi" w:hAnsiTheme="majorBidi" w:cstheme="majorBidi"/>
          <w:color w:val="000000"/>
          <w:sz w:val="20"/>
          <w:szCs w:val="20"/>
        </w:rPr>
        <w:t xml:space="preserve"> majority of Jewish scholars at that time did not align with the Ashʿarite school. See: Sarah Stroumsa, "Saadya and Jewish Kalam," in </w:t>
      </w:r>
      <w:r w:rsidRPr="005919EF">
        <w:rPr>
          <w:rFonts w:asciiTheme="majorBidi" w:hAnsiTheme="majorBidi" w:cstheme="majorBidi"/>
          <w:i/>
          <w:iCs/>
          <w:color w:val="000000"/>
          <w:sz w:val="20"/>
          <w:szCs w:val="20"/>
        </w:rPr>
        <w:t>The Cambridge Companion to Medieval Jewish Philosophy</w:t>
      </w:r>
      <w:r w:rsidRPr="005919EF">
        <w:rPr>
          <w:rFonts w:asciiTheme="majorBidi" w:hAnsiTheme="majorBidi" w:cstheme="majorBidi"/>
          <w:color w:val="000000"/>
          <w:sz w:val="20"/>
          <w:szCs w:val="20"/>
        </w:rPr>
        <w:t>, edited by Daniel H. Frank and Oliver Leaman (Cambridge: Cambridge University Press, 2003), p. 125.</w:t>
      </w:r>
    </w:p>
    <w:p w14:paraId="095768C3" w14:textId="46253384" w:rsidR="005919EF" w:rsidRDefault="005919EF">
      <w:pPr>
        <w:pStyle w:val="FootnoteText"/>
      </w:pPr>
    </w:p>
  </w:footnote>
  <w:footnote w:id="43">
    <w:p w14:paraId="08CA2DC0" w14:textId="77777777" w:rsidR="00D771D8" w:rsidRPr="00C45D78" w:rsidRDefault="00D771D8"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Majid Fakhry, </w:t>
      </w:r>
      <w:r w:rsidRPr="00C45D78">
        <w:rPr>
          <w:rFonts w:asciiTheme="majorBidi" w:hAnsiTheme="majorBidi" w:cstheme="majorBidi"/>
          <w:i/>
          <w:color w:val="000000"/>
          <w:sz w:val="20"/>
          <w:szCs w:val="20"/>
        </w:rPr>
        <w:t>Islamic Occasionalism: And Its Critique by Averroes and Aquinas</w:t>
      </w:r>
      <w:r w:rsidRPr="00C45D78">
        <w:rPr>
          <w:rFonts w:asciiTheme="majorBidi" w:hAnsiTheme="majorBidi" w:cstheme="majorBidi"/>
          <w:color w:val="000000"/>
          <w:sz w:val="20"/>
          <w:szCs w:val="20"/>
        </w:rPr>
        <w:t xml:space="preserve"> (London, 1958; repr. 2013): 40. See also Richard Arthur, “Time Atomism and Ashʿarite Origins for Cartesian Occasionalism Revisited," in </w:t>
      </w:r>
      <w:r w:rsidRPr="00C45D78">
        <w:rPr>
          <w:rFonts w:asciiTheme="majorBidi" w:hAnsiTheme="majorBidi" w:cstheme="majorBidi"/>
          <w:i/>
          <w:color w:val="000000"/>
          <w:sz w:val="20"/>
          <w:szCs w:val="20"/>
        </w:rPr>
        <w:t>Asia, Europe, and the Emergence of Modern Science: Knowledge Crossing Boundaries</w:t>
      </w:r>
      <w:r w:rsidRPr="00C45D78">
        <w:rPr>
          <w:rFonts w:asciiTheme="majorBidi" w:hAnsiTheme="majorBidi" w:cstheme="majorBidi"/>
          <w:color w:val="000000"/>
          <w:sz w:val="20"/>
          <w:szCs w:val="20"/>
        </w:rPr>
        <w:t>, ed. Arun Bala (New York, 2012), 73-92.</w:t>
      </w:r>
    </w:p>
  </w:footnote>
  <w:footnote w:id="44">
    <w:p w14:paraId="4F49DC0A" w14:textId="77777777" w:rsidR="00D771D8" w:rsidRPr="00C45D78" w:rsidRDefault="00D771D8"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Fakhry, </w:t>
      </w:r>
      <w:r w:rsidRPr="00C45D78">
        <w:rPr>
          <w:rFonts w:asciiTheme="majorBidi" w:hAnsiTheme="majorBidi" w:cstheme="majorBidi"/>
          <w:i/>
          <w:color w:val="000000"/>
          <w:sz w:val="20"/>
          <w:szCs w:val="20"/>
        </w:rPr>
        <w:t>Islamic Occasionalism</w:t>
      </w:r>
      <w:r w:rsidRPr="00C45D78">
        <w:rPr>
          <w:rFonts w:asciiTheme="majorBidi" w:hAnsiTheme="majorBidi" w:cstheme="majorBidi"/>
          <w:color w:val="000000"/>
          <w:sz w:val="20"/>
          <w:szCs w:val="20"/>
        </w:rPr>
        <w:t>, 30.</w:t>
      </w:r>
    </w:p>
  </w:footnote>
  <w:footnote w:id="45">
    <w:p w14:paraId="6FB1FAFD" w14:textId="41A0D603" w:rsidR="003417C7" w:rsidRPr="00D71164" w:rsidRDefault="005919EF" w:rsidP="0026264A">
      <w:pPr>
        <w:pStyle w:val="FootnoteText"/>
      </w:pPr>
      <w:r>
        <w:rPr>
          <w:rStyle w:val="FootnoteReference"/>
        </w:rPr>
        <w:footnoteRef/>
      </w:r>
      <w:r>
        <w:t xml:space="preserve"> </w:t>
      </w:r>
      <w:r w:rsidR="0026264A" w:rsidRPr="0026264A">
        <w:t xml:space="preserve">This practice is evidenced in the works of several prominent figures, including Rav Isaac Alfasi (d. 1103, Córdoba), in </w:t>
      </w:r>
      <w:r w:rsidR="0026264A" w:rsidRPr="0026264A">
        <w:rPr>
          <w:i/>
          <w:iCs/>
        </w:rPr>
        <w:t>Responsa of the Geonim</w:t>
      </w:r>
      <w:r w:rsidR="0026264A" w:rsidRPr="0026264A">
        <w:t xml:space="preserve">, edited by Eliyahu Harkavi, no. 489; Joseph ibn Migash (d. 1141, Córdoba) in </w:t>
      </w:r>
      <w:r w:rsidR="0026264A" w:rsidRPr="0026264A">
        <w:rPr>
          <w:i/>
          <w:iCs/>
        </w:rPr>
        <w:t>Shitah Mekubezet</w:t>
      </w:r>
      <w:r w:rsidR="0026264A" w:rsidRPr="0026264A">
        <w:t xml:space="preserve">, Tractate Bava Batara 147b; and </w:t>
      </w:r>
      <w:r w:rsidR="0026264A">
        <w:t xml:space="preserve">see also </w:t>
      </w:r>
      <w:r w:rsidR="0026264A" w:rsidRPr="0026264A">
        <w:rPr>
          <w:i/>
          <w:iCs/>
        </w:rPr>
        <w:t>Sefer ha-ʿItur</w:t>
      </w:r>
      <w:r w:rsidR="0026264A" w:rsidRPr="0026264A">
        <w:t xml:space="preserve"> by Isaac b. Abba Mari, second treatise, Kinyan, fol. 9b.</w:t>
      </w:r>
      <w:r w:rsidR="008404A8">
        <w:t xml:space="preserve">See also </w:t>
      </w:r>
      <w:r w:rsidR="008404A8">
        <w:rPr>
          <w:color w:val="222222"/>
          <w:shd w:val="clear" w:color="auto" w:fill="FFFFFF"/>
        </w:rPr>
        <w:t>Aviram Ravitsky, </w:t>
      </w:r>
      <w:r w:rsidR="008404A8">
        <w:rPr>
          <w:i/>
          <w:iCs/>
          <w:color w:val="222222"/>
          <w:shd w:val="clear" w:color="auto" w:fill="FFFFFF"/>
        </w:rPr>
        <w:t>Aristotelian Logic and Talmudic Methodology: The Application of Aristotelian Logic to the Interpretation of the Thirteen Hermeneutic Principles </w:t>
      </w:r>
      <w:r w:rsidR="008404A8">
        <w:rPr>
          <w:color w:val="222222"/>
          <w:shd w:val="clear" w:color="auto" w:fill="FFFFFF"/>
        </w:rPr>
        <w:t>(Hebrew), Jerusalem: Magnes Press, 2009</w:t>
      </w:r>
    </w:p>
  </w:footnote>
  <w:footnote w:id="46">
    <w:p w14:paraId="56794F55" w14:textId="77777777" w:rsidR="00650307" w:rsidRPr="00C45D78" w:rsidRDefault="00650307"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See Frank Vogel and Samuel Hayes, </w:t>
      </w:r>
      <w:r w:rsidRPr="00C45D78">
        <w:rPr>
          <w:rFonts w:asciiTheme="majorBidi" w:hAnsiTheme="majorBidi" w:cstheme="majorBidi"/>
          <w:i/>
          <w:color w:val="000000"/>
          <w:sz w:val="20"/>
          <w:szCs w:val="20"/>
        </w:rPr>
        <w:t xml:space="preserve">Islamic </w:t>
      </w:r>
      <w:proofErr w:type="gramStart"/>
      <w:r w:rsidRPr="00C45D78">
        <w:rPr>
          <w:rFonts w:asciiTheme="majorBidi" w:hAnsiTheme="majorBidi" w:cstheme="majorBidi"/>
          <w:i/>
          <w:color w:val="000000"/>
          <w:sz w:val="20"/>
          <w:szCs w:val="20"/>
        </w:rPr>
        <w:t>Law</w:t>
      </w:r>
      <w:proofErr w:type="gramEnd"/>
      <w:r w:rsidRPr="00C45D78">
        <w:rPr>
          <w:rFonts w:asciiTheme="majorBidi" w:hAnsiTheme="majorBidi" w:cstheme="majorBidi"/>
          <w:i/>
          <w:color w:val="000000"/>
          <w:sz w:val="20"/>
          <w:szCs w:val="20"/>
        </w:rPr>
        <w:t xml:space="preserve"> and Finance: Religion, Risk, and Return</w:t>
      </w:r>
      <w:r w:rsidRPr="00C45D78">
        <w:rPr>
          <w:rFonts w:asciiTheme="majorBidi" w:hAnsiTheme="majorBidi" w:cstheme="majorBidi"/>
          <w:color w:val="000000"/>
          <w:sz w:val="20"/>
          <w:szCs w:val="20"/>
        </w:rPr>
        <w:t xml:space="preserve"> (Leiden, 1998), 94-5.</w:t>
      </w:r>
    </w:p>
  </w:footnote>
  <w:footnote w:id="47">
    <w:p w14:paraId="15C2B927" w14:textId="6511AA9B" w:rsidR="00D771D8" w:rsidRPr="00C45D78" w:rsidRDefault="00D771D8" w:rsidP="004D1720">
      <w:pPr>
        <w:pStyle w:val="FootnoteText"/>
        <w:spacing w:line="480" w:lineRule="auto"/>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Pr="00C45D78">
        <w:rPr>
          <w:rFonts w:asciiTheme="majorBidi" w:hAnsiTheme="majorBidi" w:cstheme="majorBidi"/>
          <w:i/>
          <w:iCs/>
        </w:rPr>
        <w:t>Kitāb al-mabsūṭ li-Shams al-Dīn al-Sarakhsī</w:t>
      </w:r>
      <w:r w:rsidRPr="00C45D78">
        <w:rPr>
          <w:rFonts w:asciiTheme="majorBidi" w:hAnsiTheme="majorBidi" w:cstheme="majorBidi"/>
        </w:rPr>
        <w:t xml:space="preserve">. (Bayrūt, 1993), Book 11, p. 79. </w:t>
      </w:r>
    </w:p>
  </w:footnote>
  <w:footnote w:id="48">
    <w:p w14:paraId="6A45C8BC" w14:textId="29C3918F" w:rsidR="00D771D8" w:rsidRPr="00C45D78" w:rsidRDefault="00D771D8" w:rsidP="004D1720">
      <w:pPr>
        <w:pStyle w:val="FootnoteText"/>
        <w:spacing w:line="480" w:lineRule="auto"/>
        <w:rPr>
          <w:rFonts w:asciiTheme="majorBidi" w:hAnsiTheme="majorBidi" w:cstheme="majorBidi"/>
          <w:rtl/>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Pr="00C45D78">
        <w:rPr>
          <w:rFonts w:asciiTheme="majorBidi" w:hAnsiTheme="majorBidi" w:cstheme="majorBidi"/>
          <w:i/>
          <w:iCs/>
        </w:rPr>
        <w:t>Kitāb al-mabsūṭ</w:t>
      </w:r>
      <w:r w:rsidRPr="00C45D78">
        <w:rPr>
          <w:rFonts w:asciiTheme="majorBidi" w:hAnsiTheme="majorBidi" w:cstheme="majorBidi"/>
          <w:color w:val="000000"/>
        </w:rPr>
        <w:t>, ibid</w:t>
      </w:r>
      <w:r w:rsidR="003672E4">
        <w:rPr>
          <w:rFonts w:asciiTheme="majorBidi" w:hAnsiTheme="majorBidi" w:cstheme="majorBidi"/>
          <w:color w:val="000000"/>
        </w:rPr>
        <w:t>, p. 80</w:t>
      </w:r>
      <w:r w:rsidRPr="00C45D78">
        <w:rPr>
          <w:rFonts w:asciiTheme="majorBidi" w:hAnsiTheme="majorBidi" w:cstheme="majorBidi"/>
          <w:color w:val="000000"/>
        </w:rPr>
        <w:t xml:space="preserve">. </w:t>
      </w:r>
    </w:p>
  </w:footnote>
  <w:footnote w:id="49">
    <w:p w14:paraId="1232BDA6" w14:textId="77777777" w:rsidR="00D771D8" w:rsidRPr="00C45D78" w:rsidRDefault="00D771D8"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See Fakhry, </w:t>
      </w:r>
      <w:r w:rsidRPr="00C45D78">
        <w:rPr>
          <w:rFonts w:asciiTheme="majorBidi" w:hAnsiTheme="majorBidi" w:cstheme="majorBidi"/>
          <w:i/>
          <w:iCs/>
          <w:color w:val="000000"/>
          <w:sz w:val="20"/>
          <w:szCs w:val="20"/>
        </w:rPr>
        <w:t>Islamic Occasionalism</w:t>
      </w:r>
      <w:r w:rsidRPr="00C45D78">
        <w:rPr>
          <w:rFonts w:asciiTheme="majorBidi" w:hAnsiTheme="majorBidi" w:cstheme="majorBidi"/>
          <w:color w:val="000000"/>
          <w:sz w:val="20"/>
          <w:szCs w:val="20"/>
        </w:rPr>
        <w:t xml:space="preserve">, </w:t>
      </w:r>
      <w:r w:rsidRPr="00C45D78">
        <w:rPr>
          <w:rFonts w:asciiTheme="majorBidi" w:hAnsiTheme="majorBidi" w:cstheme="majorBidi"/>
          <w:color w:val="000000"/>
          <w:sz w:val="20"/>
          <w:szCs w:val="20"/>
          <w:rtl/>
        </w:rPr>
        <w:t>40</w:t>
      </w:r>
      <w:r w:rsidRPr="00C45D78">
        <w:rPr>
          <w:rFonts w:asciiTheme="majorBidi" w:hAnsiTheme="majorBidi" w:cstheme="majorBidi"/>
          <w:color w:val="000000"/>
          <w:sz w:val="20"/>
          <w:szCs w:val="20"/>
        </w:rPr>
        <w:t>.</w:t>
      </w:r>
    </w:p>
  </w:footnote>
  <w:footnote w:id="50">
    <w:p w14:paraId="3FA24B9E" w14:textId="77777777" w:rsidR="00D771D8" w:rsidRPr="00C45D78" w:rsidRDefault="00D771D8" w:rsidP="004D1720">
      <w:pPr>
        <w:pBdr>
          <w:top w:val="nil"/>
          <w:left w:val="nil"/>
          <w:bottom w:val="nil"/>
          <w:right w:val="nil"/>
          <w:between w:val="nil"/>
        </w:pBdr>
        <w:rPr>
          <w:rFonts w:asciiTheme="majorBidi" w:hAnsiTheme="majorBidi" w:cstheme="majorBidi"/>
          <w:color w:val="000000"/>
          <w:sz w:val="20"/>
          <w:szCs w:val="20"/>
        </w:rPr>
      </w:pPr>
      <w:r w:rsidRPr="00C45D78">
        <w:rPr>
          <w:rFonts w:asciiTheme="majorBidi" w:hAnsiTheme="majorBidi" w:cstheme="majorBidi"/>
          <w:sz w:val="20"/>
          <w:szCs w:val="20"/>
          <w:vertAlign w:val="superscript"/>
        </w:rPr>
        <w:footnoteRef/>
      </w:r>
      <w:r w:rsidRPr="00C45D78">
        <w:rPr>
          <w:rFonts w:asciiTheme="majorBidi" w:hAnsiTheme="majorBidi" w:cstheme="majorBidi"/>
          <w:color w:val="000000"/>
          <w:sz w:val="20"/>
          <w:szCs w:val="20"/>
        </w:rPr>
        <w:t xml:space="preserve"> For the influence of theology on Hanafi law, see Hiroyuki Yanagihashi, </w:t>
      </w:r>
      <w:r w:rsidRPr="00C45D78">
        <w:rPr>
          <w:rFonts w:asciiTheme="majorBidi" w:hAnsiTheme="majorBidi" w:cstheme="majorBidi"/>
          <w:i/>
          <w:color w:val="000000"/>
          <w:sz w:val="20"/>
          <w:szCs w:val="20"/>
        </w:rPr>
        <w:t>A History of the Early Islamic Law of Property: Reconstructing the Legal Development, 7th-9th Centuries</w:t>
      </w:r>
      <w:r w:rsidRPr="00C45D78">
        <w:rPr>
          <w:rFonts w:asciiTheme="majorBidi" w:hAnsiTheme="majorBidi" w:cstheme="majorBidi"/>
          <w:color w:val="000000"/>
          <w:sz w:val="20"/>
          <w:szCs w:val="20"/>
        </w:rPr>
        <w:t xml:space="preserve"> (Leiden, 2004), 36-7.</w:t>
      </w:r>
    </w:p>
  </w:footnote>
  <w:footnote w:id="51">
    <w:p w14:paraId="6ECC669C" w14:textId="77777777" w:rsidR="00DA4133" w:rsidRPr="00C45D78" w:rsidRDefault="00DA4133"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TB Yevamot, 47:1 "non-Jew is </w:t>
      </w:r>
      <w:r w:rsidRPr="00C45D78">
        <w:rPr>
          <w:rFonts w:asciiTheme="majorBidi" w:hAnsiTheme="majorBidi" w:cstheme="majorBidi"/>
          <w:color w:val="71777D"/>
          <w:shd w:val="clear" w:color="auto" w:fill="FFFFFF"/>
        </w:rPr>
        <w:t>a disqualified witness".</w:t>
      </w:r>
    </w:p>
  </w:footnote>
  <w:footnote w:id="52">
    <w:p w14:paraId="32895374" w14:textId="662504D9" w:rsidR="00DA4133" w:rsidRPr="00C45D78" w:rsidRDefault="00DA4133"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TB</w:t>
      </w:r>
      <w:r w:rsidRPr="00C45D78">
        <w:rPr>
          <w:rFonts w:asciiTheme="majorBidi" w:hAnsiTheme="majorBidi" w:cstheme="majorBidi"/>
          <w:rtl/>
        </w:rPr>
        <w:t xml:space="preserve"> </w:t>
      </w:r>
      <w:r w:rsidR="00A359CE">
        <w:rPr>
          <w:rFonts w:asciiTheme="majorBidi" w:hAnsiTheme="majorBidi" w:cstheme="majorBidi"/>
        </w:rPr>
        <w:t>G</w:t>
      </w:r>
      <w:r w:rsidRPr="00C45D78">
        <w:rPr>
          <w:rFonts w:asciiTheme="majorBidi" w:hAnsiTheme="majorBidi" w:cstheme="majorBidi"/>
          <w:lang w:bidi="ar-JO"/>
        </w:rPr>
        <w:t>ittin 11:1, "</w:t>
      </w:r>
      <w:r w:rsidRPr="00C45D78">
        <w:rPr>
          <w:rFonts w:asciiTheme="majorBidi" w:hAnsiTheme="majorBidi" w:cstheme="majorBidi"/>
        </w:rPr>
        <w:t>Any document that is approved by a non-Jewish court, despite the fact that those who signed it are Gentiles, is valid, except for bills of divorce</w:t>
      </w:r>
      <w:r w:rsidR="00821DE5">
        <w:rPr>
          <w:rFonts w:asciiTheme="majorBidi" w:hAnsiTheme="majorBidi" w:cstheme="majorBidi"/>
        </w:rPr>
        <w:t>,</w:t>
      </w:r>
      <w:r w:rsidRPr="00C45D78">
        <w:rPr>
          <w:rFonts w:asciiTheme="majorBidi" w:hAnsiTheme="majorBidi" w:cstheme="majorBidi"/>
        </w:rPr>
        <w:t xml:space="preserve"> </w:t>
      </w:r>
      <w:r w:rsidR="00061335" w:rsidRPr="00061335">
        <w:rPr>
          <w:rFonts w:asciiTheme="majorBidi" w:hAnsiTheme="majorBidi" w:cstheme="majorBidi"/>
        </w:rPr>
        <w:t>manumitting of slaves</w:t>
      </w:r>
      <w:r w:rsidR="00061335">
        <w:rPr>
          <w:rFonts w:asciiTheme="majorBidi" w:hAnsiTheme="majorBidi" w:cstheme="majorBidi"/>
        </w:rPr>
        <w:t>,</w:t>
      </w:r>
      <w:r w:rsidR="00061335" w:rsidRPr="00061335">
        <w:rPr>
          <w:rFonts w:asciiTheme="majorBidi" w:hAnsiTheme="majorBidi" w:cstheme="majorBidi"/>
        </w:rPr>
        <w:t xml:space="preserve"> </w:t>
      </w:r>
      <w:r w:rsidRPr="00C45D78">
        <w:rPr>
          <w:rFonts w:asciiTheme="majorBidi" w:hAnsiTheme="majorBidi" w:cstheme="majorBidi"/>
        </w:rPr>
        <w:t>and alike".</w:t>
      </w:r>
    </w:p>
  </w:footnote>
  <w:footnote w:id="53">
    <w:p w14:paraId="59534874" w14:textId="77777777" w:rsidR="00DA4133" w:rsidRPr="00C45D78" w:rsidRDefault="00DA4133" w:rsidP="004D1720">
      <w:pPr>
        <w:autoSpaceDE w:val="0"/>
        <w:autoSpaceDN w:val="0"/>
        <w:adjustRightInd w:val="0"/>
        <w:spacing w:line="240" w:lineRule="auto"/>
        <w:rPr>
          <w:rFonts w:asciiTheme="majorBidi" w:eastAsia="Junicode" w:hAnsiTheme="majorBidi" w:cstheme="majorBidi"/>
          <w:i/>
          <w:iCs/>
          <w:sz w:val="20"/>
          <w:szCs w:val="20"/>
        </w:rPr>
      </w:pPr>
      <w:r w:rsidRPr="00C45D78">
        <w:rPr>
          <w:rStyle w:val="FootnoteReference"/>
          <w:rFonts w:asciiTheme="majorBidi" w:hAnsiTheme="majorBidi" w:cstheme="majorBidi"/>
          <w:sz w:val="20"/>
          <w:szCs w:val="20"/>
        </w:rPr>
        <w:footnoteRef/>
      </w:r>
      <w:r w:rsidRPr="00C45D78">
        <w:rPr>
          <w:rFonts w:asciiTheme="majorBidi" w:hAnsiTheme="majorBidi" w:cstheme="majorBidi"/>
          <w:sz w:val="20"/>
          <w:szCs w:val="20"/>
        </w:rPr>
        <w:t xml:space="preserve"> See: </w:t>
      </w:r>
      <w:r w:rsidRPr="00C45D78">
        <w:rPr>
          <w:rFonts w:asciiTheme="majorBidi" w:eastAsia="Junicode" w:hAnsiTheme="majorBidi" w:cstheme="majorBidi"/>
          <w:sz w:val="20"/>
          <w:szCs w:val="20"/>
        </w:rPr>
        <w:t xml:space="preserve">Simonsohn, Uriel. </w:t>
      </w:r>
      <w:r w:rsidRPr="00C45D78">
        <w:rPr>
          <w:rFonts w:asciiTheme="majorBidi" w:eastAsia="Junicode" w:hAnsiTheme="majorBidi" w:cstheme="majorBidi"/>
          <w:i/>
          <w:iCs/>
          <w:sz w:val="20"/>
          <w:szCs w:val="20"/>
        </w:rPr>
        <w:t>A Common Justice: The Legal Allegiances of Christians and Jews Under</w:t>
      </w:r>
    </w:p>
    <w:p w14:paraId="6B0F76A2" w14:textId="77777777" w:rsidR="00DA4133" w:rsidRPr="00C45D78" w:rsidRDefault="00DA4133" w:rsidP="004D1720">
      <w:pPr>
        <w:pStyle w:val="FootnoteText"/>
        <w:rPr>
          <w:rFonts w:asciiTheme="majorBidi" w:hAnsiTheme="majorBidi" w:cstheme="majorBidi"/>
        </w:rPr>
      </w:pPr>
      <w:r w:rsidRPr="00C45D78">
        <w:rPr>
          <w:rFonts w:asciiTheme="majorBidi" w:eastAsia="Junicode" w:hAnsiTheme="majorBidi" w:cstheme="majorBidi"/>
          <w:i/>
          <w:iCs/>
        </w:rPr>
        <w:t xml:space="preserve">Early Islam. </w:t>
      </w:r>
      <w:r w:rsidRPr="00C45D78">
        <w:rPr>
          <w:rFonts w:asciiTheme="majorBidi" w:eastAsia="Junicode" w:hAnsiTheme="majorBidi" w:cstheme="majorBidi"/>
        </w:rPr>
        <w:t xml:space="preserve">Philadelphia: University of Pennsylvania Press, 2011, </w:t>
      </w:r>
      <w:r w:rsidRPr="00C45D78">
        <w:rPr>
          <w:rFonts w:asciiTheme="majorBidi" w:hAnsiTheme="majorBidi" w:cstheme="majorBidi"/>
        </w:rPr>
        <w:t>pp. 174-213, esp. 197.</w:t>
      </w:r>
    </w:p>
  </w:footnote>
  <w:footnote w:id="54">
    <w:p w14:paraId="4B4725A7" w14:textId="77777777" w:rsidR="00DA4133" w:rsidRPr="00C45D78" w:rsidRDefault="00DA4133" w:rsidP="004D1720">
      <w:pPr>
        <w:pStyle w:val="FootnoteText"/>
        <w:rPr>
          <w:rFonts w:asciiTheme="majorBidi" w:hAnsiTheme="majorBidi" w:cstheme="majorBidi"/>
          <w:lang w:val="de-DE"/>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Pr="00C45D78">
        <w:rPr>
          <w:rFonts w:asciiTheme="majorBidi" w:hAnsiTheme="majorBidi" w:cstheme="majorBidi"/>
          <w:color w:val="000000"/>
          <w:shd w:val="clear" w:color="auto" w:fill="FFFFFF"/>
        </w:rPr>
        <w:t xml:space="preserve">Biesterfeldt, Hinrich. "Al-Jāḥiẓ and Early Muʿtazilī Theology". </w:t>
      </w:r>
      <w:r w:rsidRPr="00C45D78">
        <w:rPr>
          <w:rFonts w:asciiTheme="majorBidi" w:hAnsiTheme="majorBidi" w:cstheme="majorBidi"/>
          <w:color w:val="000000"/>
          <w:shd w:val="clear" w:color="auto" w:fill="FFFFFF"/>
          <w:lang w:val="de-DE"/>
        </w:rPr>
        <w:t xml:space="preserve">In </w:t>
      </w:r>
      <w:r w:rsidRPr="00C45D78">
        <w:rPr>
          <w:rFonts w:asciiTheme="majorBidi" w:hAnsiTheme="majorBidi" w:cstheme="majorBidi"/>
          <w:i/>
          <w:iCs/>
          <w:color w:val="000000"/>
          <w:shd w:val="clear" w:color="auto" w:fill="FFFFFF"/>
          <w:lang w:val="de-DE"/>
        </w:rPr>
        <w:t xml:space="preserve">Kleine Schriften by </w:t>
      </w:r>
      <w:r w:rsidRPr="00C45D78">
        <w:rPr>
          <w:rFonts w:asciiTheme="majorBidi" w:hAnsiTheme="majorBidi" w:cstheme="majorBidi"/>
          <w:lang w:val="de-DE"/>
        </w:rPr>
        <w:t>Josef van</w:t>
      </w:r>
      <w:r w:rsidRPr="00C45D78">
        <w:rPr>
          <w:rFonts w:asciiTheme="majorBidi" w:hAnsiTheme="majorBidi" w:cstheme="majorBidi"/>
          <w:i/>
          <w:iCs/>
          <w:color w:val="000000"/>
          <w:shd w:val="clear" w:color="auto" w:fill="FFFFFF"/>
          <w:lang w:val="de-DE"/>
        </w:rPr>
        <w:t xml:space="preserve"> Ess</w:t>
      </w:r>
      <w:r w:rsidRPr="00C45D78">
        <w:rPr>
          <w:rFonts w:asciiTheme="majorBidi" w:hAnsiTheme="majorBidi" w:cstheme="majorBidi"/>
          <w:color w:val="000000"/>
          <w:shd w:val="clear" w:color="auto" w:fill="FFFFFF"/>
          <w:lang w:val="de-DE"/>
        </w:rPr>
        <w:t xml:space="preserve">, </w:t>
      </w:r>
      <w:r w:rsidRPr="00C45D78">
        <w:rPr>
          <w:rFonts w:asciiTheme="majorBidi" w:hAnsiTheme="majorBidi" w:cstheme="majorBidi"/>
          <w:color w:val="000000"/>
          <w:lang w:val="de-DE"/>
        </w:rPr>
        <w:t xml:space="preserve">part vi: die </w:t>
      </w:r>
      <w:proofErr w:type="gramStart"/>
      <w:r w:rsidRPr="00C45D78">
        <w:rPr>
          <w:rFonts w:asciiTheme="majorBidi" w:hAnsiTheme="majorBidi" w:cstheme="majorBidi"/>
          <w:color w:val="000000"/>
          <w:lang w:val="de-DE"/>
        </w:rPr>
        <w:t xml:space="preserve">muʿtazila, </w:t>
      </w:r>
      <w:r w:rsidRPr="00C45D78">
        <w:rPr>
          <w:rFonts w:asciiTheme="majorBidi" w:hAnsiTheme="majorBidi" w:cstheme="majorBidi"/>
          <w:color w:val="000000"/>
          <w:shd w:val="clear" w:color="auto" w:fill="FFFFFF"/>
          <w:lang w:val="de-DE"/>
        </w:rPr>
        <w:t> (</w:t>
      </w:r>
      <w:proofErr w:type="gramEnd"/>
      <w:r w:rsidRPr="00C45D78">
        <w:rPr>
          <w:rFonts w:asciiTheme="majorBidi" w:hAnsiTheme="majorBidi" w:cstheme="majorBidi"/>
          <w:color w:val="000000"/>
          <w:shd w:val="clear" w:color="auto" w:fill="FFFFFF"/>
          <w:lang w:val="de-DE"/>
        </w:rPr>
        <w:t xml:space="preserve">Leiden, The Netherlands: Brill), </w:t>
      </w:r>
      <w:r w:rsidRPr="00C45D78">
        <w:rPr>
          <w:rFonts w:asciiTheme="majorBidi" w:hAnsiTheme="majorBidi" w:cstheme="majorBidi"/>
          <w:color w:val="000000"/>
          <w:lang w:val="de-DE"/>
        </w:rPr>
        <w:t>p. 1329-1330:</w:t>
      </w:r>
    </w:p>
  </w:footnote>
  <w:footnote w:id="55">
    <w:p w14:paraId="037C5ACD" w14:textId="77777777" w:rsidR="00DA4133" w:rsidRPr="00C45D78" w:rsidRDefault="00DA4133"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Pr="00C45D78">
        <w:rPr>
          <w:rFonts w:asciiTheme="majorBidi" w:hAnsiTheme="majorBidi" w:cstheme="majorBidi"/>
          <w:b/>
          <w:bCs/>
        </w:rPr>
        <w:t>Abd al-Jabbar, al-Mughni, p. 70</w:t>
      </w:r>
    </w:p>
  </w:footnote>
  <w:footnote w:id="56">
    <w:p w14:paraId="54B429DC" w14:textId="77777777" w:rsidR="00DA4133" w:rsidRPr="00C45D78" w:rsidRDefault="00DA4133"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Pr="00C45D78">
        <w:rPr>
          <w:rFonts w:asciiTheme="majorBidi" w:hAnsiTheme="majorBidi" w:cstheme="majorBidi"/>
          <w:b/>
          <w:bCs/>
        </w:rPr>
        <w:t>Al-Mughni, p. 54</w:t>
      </w:r>
    </w:p>
  </w:footnote>
  <w:footnote w:id="57">
    <w:p w14:paraId="1EB6D064" w14:textId="77777777" w:rsidR="00DA4133" w:rsidRPr="00C45D78" w:rsidRDefault="00DA4133" w:rsidP="004D1720">
      <w:pPr>
        <w:pStyle w:val="FootnoteText"/>
        <w:rPr>
          <w:rFonts w:asciiTheme="majorBidi" w:hAnsiTheme="majorBidi" w:cstheme="majorBidi"/>
          <w:lang w:val="de-DE"/>
        </w:rPr>
      </w:pPr>
      <w:r w:rsidRPr="00C45D78">
        <w:rPr>
          <w:rStyle w:val="FootnoteReference"/>
          <w:rFonts w:asciiTheme="majorBidi" w:hAnsiTheme="majorBidi" w:cstheme="majorBidi"/>
        </w:rPr>
        <w:footnoteRef/>
      </w:r>
      <w:r w:rsidRPr="00C45D78">
        <w:rPr>
          <w:rFonts w:asciiTheme="majorBidi" w:hAnsiTheme="majorBidi" w:cstheme="majorBidi"/>
          <w:lang w:val="de-DE"/>
        </w:rPr>
        <w:t xml:space="preserve"> </w:t>
      </w:r>
      <w:r w:rsidRPr="00C45D78">
        <w:rPr>
          <w:rFonts w:asciiTheme="majorBidi" w:hAnsiTheme="majorBidi" w:cstheme="majorBidi"/>
          <w:b/>
          <w:bCs/>
          <w:lang w:val="de-DE"/>
        </w:rPr>
        <w:t>Al-Mughni, p. 58</w:t>
      </w:r>
    </w:p>
  </w:footnote>
  <w:footnote w:id="58">
    <w:p w14:paraId="0C2023F0" w14:textId="5266CDD1" w:rsidR="008F532B" w:rsidRPr="00C45D78" w:rsidRDefault="008F532B" w:rsidP="004D1720">
      <w:pPr>
        <w:pStyle w:val="FootnoteText"/>
        <w:rPr>
          <w:rFonts w:asciiTheme="majorBidi" w:hAnsiTheme="majorBidi" w:cstheme="majorBidi"/>
          <w:lang w:val="de-DE"/>
        </w:rPr>
      </w:pPr>
      <w:r w:rsidRPr="00C45D78">
        <w:rPr>
          <w:rStyle w:val="FootnoteReference"/>
          <w:rFonts w:asciiTheme="majorBidi" w:hAnsiTheme="majorBidi" w:cstheme="majorBidi"/>
        </w:rPr>
        <w:footnoteRef/>
      </w:r>
      <w:r w:rsidRPr="00C45D78">
        <w:rPr>
          <w:rFonts w:asciiTheme="majorBidi" w:hAnsiTheme="majorBidi" w:cstheme="majorBidi"/>
          <w:lang w:val="de-DE"/>
        </w:rPr>
        <w:t xml:space="preserve"> </w:t>
      </w:r>
      <w:r w:rsidRPr="007A6626">
        <w:rPr>
          <w:rFonts w:asciiTheme="majorBidi" w:hAnsiTheme="majorBidi" w:cstheme="majorBidi"/>
          <w:shd w:val="clear" w:color="auto" w:fill="FFFFFF"/>
          <w:lang w:val="de-DE"/>
        </w:rPr>
        <w:t xml:space="preserve">Biesterfeldt, Hinrich. "Al-Fārābī and Ibn al-Rēwandī". In </w:t>
      </w:r>
      <w:r w:rsidRPr="007A6626">
        <w:rPr>
          <w:rFonts w:asciiTheme="majorBidi" w:hAnsiTheme="majorBidi" w:cstheme="majorBidi"/>
          <w:i/>
          <w:iCs/>
          <w:shd w:val="clear" w:color="auto" w:fill="FFFFFF"/>
          <w:lang w:val="de-DE"/>
        </w:rPr>
        <w:t>Kleine Schriften by Josef van Ess</w:t>
      </w:r>
      <w:r w:rsidRPr="007A6626">
        <w:rPr>
          <w:rFonts w:asciiTheme="majorBidi" w:hAnsiTheme="majorBidi" w:cstheme="majorBidi"/>
          <w:shd w:val="clear" w:color="auto" w:fill="FFFFFF"/>
          <w:lang w:val="de-DE"/>
        </w:rPr>
        <w:t xml:space="preserve">, (Leiden, The Netherlands: Brill, 2018), p. </w:t>
      </w:r>
      <w:r w:rsidRPr="007A6626">
        <w:rPr>
          <w:rFonts w:asciiTheme="majorBidi" w:hAnsiTheme="majorBidi" w:cstheme="majorBidi"/>
          <w:b/>
          <w:bCs/>
          <w:lang w:val="de-DE"/>
        </w:rPr>
        <w:t>1372</w:t>
      </w:r>
      <w:r w:rsidRPr="007A6626">
        <w:rPr>
          <w:rFonts w:asciiTheme="majorBidi" w:hAnsiTheme="majorBidi" w:cstheme="majorBidi"/>
          <w:lang w:val="de-DE"/>
        </w:rPr>
        <w:t>.</w:t>
      </w:r>
    </w:p>
  </w:footnote>
  <w:footnote w:id="59">
    <w:p w14:paraId="457EDD0B" w14:textId="77777777" w:rsidR="0096417A" w:rsidRPr="00C45D78" w:rsidRDefault="0096417A"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Laws of Testimony. Original Judeo-Arabic: "</w:t>
      </w:r>
      <w:r w:rsidRPr="00C45D78">
        <w:rPr>
          <w:rFonts w:asciiTheme="majorBidi" w:hAnsiTheme="majorBidi" w:cstheme="majorBidi"/>
          <w:rtl/>
        </w:rPr>
        <w:t xml:space="preserve"> אלחק הו מא קאם פי </w:t>
      </w:r>
      <w:r w:rsidRPr="00C45D78">
        <w:rPr>
          <w:rFonts w:asciiTheme="majorBidi" w:hAnsiTheme="majorBidi" w:cstheme="majorBidi"/>
          <w:b/>
          <w:bCs/>
          <w:rtl/>
        </w:rPr>
        <w:t>אלעקול</w:t>
      </w:r>
      <w:r w:rsidRPr="00C45D78">
        <w:rPr>
          <w:rFonts w:asciiTheme="majorBidi" w:hAnsiTheme="majorBidi" w:cstheme="majorBidi"/>
          <w:rtl/>
        </w:rPr>
        <w:t xml:space="preserve"> אלסאלמה מן אלאפאת וצח ענד אל </w:t>
      </w:r>
      <w:r w:rsidRPr="00C45D78">
        <w:rPr>
          <w:rFonts w:asciiTheme="majorBidi" w:hAnsiTheme="majorBidi" w:cstheme="majorBidi"/>
          <w:b/>
          <w:bCs/>
          <w:rtl/>
        </w:rPr>
        <w:t>נפוס</w:t>
      </w:r>
      <w:r w:rsidRPr="00C45D78">
        <w:rPr>
          <w:rFonts w:asciiTheme="majorBidi" w:hAnsiTheme="majorBidi" w:cstheme="majorBidi"/>
          <w:rtl/>
        </w:rPr>
        <w:t xml:space="preserve"> אלמדברה בה</w:t>
      </w:r>
      <w:r w:rsidRPr="00C45D78">
        <w:rPr>
          <w:rFonts w:asciiTheme="majorBidi" w:hAnsiTheme="majorBidi" w:cstheme="majorBidi"/>
        </w:rPr>
        <w:t>".</w:t>
      </w:r>
    </w:p>
  </w:footnote>
  <w:footnote w:id="60">
    <w:p w14:paraId="086011CF" w14:textId="7019EB42" w:rsidR="005D1AB4" w:rsidRPr="00C45D78" w:rsidRDefault="005D1AB4"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BT Kiddushin,61:1</w:t>
      </w:r>
      <w:r w:rsidR="00B871F8">
        <w:rPr>
          <w:rFonts w:asciiTheme="majorBidi" w:hAnsiTheme="majorBidi" w:cstheme="majorBidi"/>
        </w:rPr>
        <w:t>.</w:t>
      </w:r>
    </w:p>
  </w:footnote>
  <w:footnote w:id="61">
    <w:p w14:paraId="594E3FA8" w14:textId="5FC49E38" w:rsidR="008D57D7" w:rsidRPr="00C45D78" w:rsidRDefault="008D57D7"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007A6626" w:rsidRPr="007A6626">
        <w:rPr>
          <w:rFonts w:asciiTheme="majorBidi" w:hAnsiTheme="majorBidi" w:cstheme="majorBidi"/>
          <w:i/>
          <w:iCs/>
        </w:rPr>
        <w:t>Laws of Divorce by Samuel ben Hofni Gaon</w:t>
      </w:r>
      <w:r w:rsidR="007A6626">
        <w:rPr>
          <w:rFonts w:asciiTheme="majorBidi" w:hAnsiTheme="majorBidi" w:cstheme="majorBidi"/>
        </w:rPr>
        <w:t xml:space="preserve">, edited by Y, Zvi Stampfer, Jerusalem 2008, p. 135. </w:t>
      </w:r>
      <w:r w:rsidRPr="00C45D78">
        <w:rPr>
          <w:rFonts w:asciiTheme="majorBidi" w:hAnsiTheme="majorBidi" w:cstheme="majorBidi"/>
        </w:rPr>
        <w:t xml:space="preserve">Original Judeo-Arabic: </w:t>
      </w:r>
      <w:r w:rsidRPr="00C45D78">
        <w:rPr>
          <w:rFonts w:asciiTheme="majorBidi" w:hAnsiTheme="majorBidi" w:cstheme="majorBidi"/>
          <w:rtl/>
        </w:rPr>
        <w:t>ואפילו שהד פי דלך שאהד ואחד כאן ענד אלזוג' מותוקא בה כשאהדין מסכונא אלי קולה וטלקהא לא יגו'ז לה מראגעתהא</w:t>
      </w:r>
      <w:r w:rsidRPr="00C45D78">
        <w:rPr>
          <w:rFonts w:asciiTheme="majorBidi" w:hAnsiTheme="majorBidi" w:cstheme="majorBidi"/>
        </w:rPr>
        <w:t>.</w:t>
      </w:r>
    </w:p>
  </w:footnote>
  <w:footnote w:id="62">
    <w:p w14:paraId="6CA18EDF" w14:textId="048D4C9C" w:rsidR="009070E5" w:rsidRPr="00C45D78" w:rsidRDefault="009070E5"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w:t>
      </w:r>
      <w:r w:rsidR="005919EF">
        <w:t xml:space="preserve">Genizah fragment, </w:t>
      </w:r>
      <w:r w:rsidR="005919EF" w:rsidRPr="006142AF">
        <w:t>T-S Ar.18(2).35</w:t>
      </w:r>
      <w:r w:rsidR="005919EF">
        <w:t xml:space="preserve">. </w:t>
      </w:r>
      <w:r w:rsidRPr="00C45D78">
        <w:rPr>
          <w:rFonts w:asciiTheme="majorBidi" w:hAnsiTheme="majorBidi" w:cstheme="majorBidi"/>
        </w:rPr>
        <w:t>The original JA: "</w:t>
      </w:r>
      <w:r w:rsidRPr="00C45D78">
        <w:rPr>
          <w:rFonts w:asciiTheme="majorBidi" w:hAnsiTheme="majorBidi" w:cstheme="majorBidi"/>
          <w:rtl/>
        </w:rPr>
        <w:t>תם נקול אן אלגוי ליס מן אהל אלשהאדה לכון אלתורה (עדקת) [עקדת] אלשהאדה בישראל פי קולהא לא תענה ברעך ואיצ'א ועשיתם לו כאשר זמם לעשות לאחיו וק' אלעלמא פציחא אין עדות לגוי</w:t>
      </w:r>
      <w:r w:rsidRPr="00C45D78">
        <w:rPr>
          <w:rFonts w:asciiTheme="majorBidi" w:hAnsiTheme="majorBidi" w:cstheme="majorBidi"/>
        </w:rPr>
        <w:t>...</w:t>
      </w:r>
      <w:r w:rsidRPr="00C45D78">
        <w:rPr>
          <w:rFonts w:asciiTheme="majorBidi" w:hAnsiTheme="majorBidi" w:cstheme="majorBidi"/>
          <w:rtl/>
        </w:rPr>
        <w:t xml:space="preserve"> פאן אעתרץ' מעתרץ' וקאל כיף יקול אלעלמא אין עדות לגוי עלי אלאטלאק וקד קאלו כל השטרות העולים בערכאות שלגוים א'ע'פ' שחותמהן גוים כשרים חוץ מכגיטי נשים ושחרורי עבדים</w:t>
      </w:r>
      <w:r w:rsidRPr="00C45D78">
        <w:rPr>
          <w:rFonts w:asciiTheme="majorBidi" w:hAnsiTheme="majorBidi" w:cstheme="majorBidi"/>
        </w:rPr>
        <w:t>".</w:t>
      </w:r>
    </w:p>
  </w:footnote>
  <w:footnote w:id="63">
    <w:p w14:paraId="3AB76AA0" w14:textId="2D633445" w:rsidR="00006A4F" w:rsidRPr="00C45D78" w:rsidRDefault="00006A4F"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Original JA: "</w:t>
      </w:r>
      <w:r w:rsidRPr="00C45D78">
        <w:rPr>
          <w:rFonts w:asciiTheme="majorBidi" w:hAnsiTheme="majorBidi" w:cstheme="majorBidi"/>
          <w:rtl/>
        </w:rPr>
        <w:t xml:space="preserve">אגבנ'א פי </w:t>
      </w:r>
      <w:proofErr w:type="gramStart"/>
      <w:r w:rsidRPr="00C45D78">
        <w:rPr>
          <w:rFonts w:asciiTheme="majorBidi" w:hAnsiTheme="majorBidi" w:cstheme="majorBidi"/>
          <w:rtl/>
        </w:rPr>
        <w:t>כשף  הדא</w:t>
      </w:r>
      <w:proofErr w:type="gramEnd"/>
      <w:r w:rsidRPr="00C45D78">
        <w:rPr>
          <w:rFonts w:asciiTheme="majorBidi" w:hAnsiTheme="majorBidi" w:cstheme="majorBidi"/>
          <w:rtl/>
        </w:rPr>
        <w:t xml:space="preserve"> אלקול בחסב מא ארשדנא אלכאלק תע' אליה ואט'הר לנא גאמצ'ה </w:t>
      </w:r>
      <w:r w:rsidRPr="00C45D78">
        <w:rPr>
          <w:rFonts w:asciiTheme="majorBidi" w:hAnsiTheme="majorBidi" w:cstheme="majorBidi"/>
        </w:rPr>
        <w:tab/>
      </w:r>
      <w:r w:rsidRPr="00C45D78">
        <w:rPr>
          <w:rFonts w:asciiTheme="majorBidi" w:hAnsiTheme="majorBidi" w:cstheme="majorBidi"/>
          <w:rtl/>
        </w:rPr>
        <w:t>וקלנא לם יקל אלעלמא באמצ'א הדה אלשטרות מן גהה אלעדות ולא ללעדות פי דלך מדכל ולכנא וגדנא אלעלמא ז'ל ידון [ירון?] אנה מתי חצל להם אלעלם בוגה תסכן נפוסהם אליה פי באב מן אבואב אלממון חכמו בה</w:t>
      </w:r>
      <w:r w:rsidRPr="00C45D78">
        <w:rPr>
          <w:rFonts w:asciiTheme="majorBidi" w:hAnsiTheme="majorBidi" w:cstheme="majorBidi"/>
        </w:rPr>
        <w:t xml:space="preserve"> </w:t>
      </w:r>
      <w:r w:rsidRPr="00C45D78">
        <w:rPr>
          <w:rFonts w:asciiTheme="majorBidi" w:hAnsiTheme="majorBidi" w:cstheme="majorBidi"/>
          <w:rtl/>
        </w:rPr>
        <w:t>לא מן טריק אלשהאדה בל מן טריק ט'הור דלך אלאמר להם בוגה מא</w:t>
      </w:r>
      <w:r w:rsidRPr="00C45D78">
        <w:rPr>
          <w:rFonts w:asciiTheme="majorBidi" w:hAnsiTheme="majorBidi" w:cstheme="majorBidi"/>
        </w:rPr>
        <w:t>".</w:t>
      </w:r>
    </w:p>
  </w:footnote>
  <w:footnote w:id="64">
    <w:p w14:paraId="7EEA6845" w14:textId="137E5611" w:rsidR="00230EB4" w:rsidRPr="00C45D78" w:rsidRDefault="00230EB4" w:rsidP="004D1720">
      <w:pPr>
        <w:pStyle w:val="FootnoteText"/>
        <w:rPr>
          <w:rFonts w:asciiTheme="majorBidi" w:hAnsiTheme="majorBidi" w:cstheme="majorBidi"/>
        </w:rPr>
      </w:pPr>
      <w:r w:rsidRPr="00C45D78">
        <w:rPr>
          <w:rStyle w:val="FootnoteReference"/>
          <w:rFonts w:asciiTheme="majorBidi" w:hAnsiTheme="majorBidi" w:cstheme="majorBidi"/>
        </w:rPr>
        <w:footnoteRef/>
      </w:r>
      <w:r w:rsidRPr="00C45D78">
        <w:rPr>
          <w:rFonts w:asciiTheme="majorBidi" w:hAnsiTheme="majorBidi" w:cstheme="majorBidi"/>
        </w:rPr>
        <w:t xml:space="preserve"> Original JA: "</w:t>
      </w:r>
      <w:r w:rsidRPr="00C45D78">
        <w:rPr>
          <w:rFonts w:asciiTheme="majorBidi" w:hAnsiTheme="majorBidi" w:cstheme="majorBidi"/>
          <w:rtl/>
        </w:rPr>
        <w:t>לאן אלממון לא יחתאג פיה אלי אלשהאדה אלא מן אגל מן יכדב כמא קאלו לא אִיבְּרו שַהְדֵי אלַא לשַקַארי פאן צח ענדהם כדב ואחד מן אלכצום וט'הר אלחק עליה בוגה מא ממא תסכן אלנפס אליה חכמו בה ונט'יר דלך</w:t>
      </w:r>
      <w:r w:rsidRPr="00C45D78">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5EF"/>
    <w:multiLevelType w:val="multilevel"/>
    <w:tmpl w:val="1C02E0E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4."/>
      <w:lvlJc w:val="left"/>
      <w:pPr>
        <w:ind w:left="720" w:hanging="720"/>
      </w:pPr>
    </w:lvl>
    <w:lvl w:ilvl="4">
      <w:start w:val="1"/>
      <w:numFmt w:val="lowerLetter"/>
      <w:lvlText w:val="%5."/>
      <w:lvlJc w:val="left"/>
      <w:pPr>
        <w:ind w:left="720" w:hanging="720"/>
      </w:pPr>
    </w:lvl>
    <w:lvl w:ilvl="5">
      <w:start w:val="1"/>
      <w:numFmt w:val="lowerRoman"/>
      <w:lvlText w:val="%6."/>
      <w:lvlJc w:val="right"/>
      <w:pPr>
        <w:ind w:left="720" w:hanging="720"/>
      </w:pPr>
    </w:lvl>
    <w:lvl w:ilvl="6">
      <w:start w:val="1"/>
      <w:numFmt w:val="decimal"/>
      <w:lvlText w:val="%7."/>
      <w:lvlJc w:val="left"/>
      <w:pPr>
        <w:ind w:left="720" w:hanging="720"/>
      </w:p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1" w15:restartNumberingAfterBreak="0">
    <w:nsid w:val="2546223C"/>
    <w:multiLevelType w:val="multilevel"/>
    <w:tmpl w:val="61184B76"/>
    <w:lvl w:ilvl="0">
      <w:start w:val="1"/>
      <w:numFmt w:val="decimal"/>
      <w:lvlText w:val="%1"/>
      <w:lvlJc w:val="left"/>
      <w:pPr>
        <w:ind w:left="360" w:hanging="360"/>
      </w:pPr>
      <w:rPr>
        <w:rFonts w:eastAsiaTheme="majorEastAsia" w:hint="default"/>
        <w:i/>
        <w:color w:val="auto"/>
      </w:rPr>
    </w:lvl>
    <w:lvl w:ilvl="1">
      <w:start w:val="1"/>
      <w:numFmt w:val="decimal"/>
      <w:lvlText w:val="%2."/>
      <w:lvlJc w:val="left"/>
      <w:pPr>
        <w:ind w:left="360" w:hanging="360"/>
      </w:pPr>
      <w:rPr>
        <w:rFonts w:ascii="Times New Roman" w:eastAsiaTheme="majorEastAsia" w:hAnsi="Times New Roman" w:cs="Times New Roman"/>
        <w:i/>
        <w:color w:val="auto"/>
      </w:rPr>
    </w:lvl>
    <w:lvl w:ilvl="2">
      <w:start w:val="1"/>
      <w:numFmt w:val="decimal"/>
      <w:lvlText w:val="%1.%2.%3"/>
      <w:lvlJc w:val="left"/>
      <w:pPr>
        <w:ind w:left="720" w:hanging="720"/>
      </w:pPr>
      <w:rPr>
        <w:rFonts w:eastAsiaTheme="majorEastAsia" w:hint="default"/>
        <w:i/>
        <w:color w:val="auto"/>
      </w:rPr>
    </w:lvl>
    <w:lvl w:ilvl="3">
      <w:start w:val="1"/>
      <w:numFmt w:val="decimal"/>
      <w:lvlText w:val="%1.%2.%3.%4"/>
      <w:lvlJc w:val="left"/>
      <w:pPr>
        <w:ind w:left="720" w:hanging="720"/>
      </w:pPr>
      <w:rPr>
        <w:rFonts w:eastAsiaTheme="majorEastAsia" w:hint="default"/>
        <w:i/>
        <w:color w:val="auto"/>
      </w:rPr>
    </w:lvl>
    <w:lvl w:ilvl="4">
      <w:start w:val="1"/>
      <w:numFmt w:val="decimal"/>
      <w:lvlText w:val="%1.%2.%3.%4.%5"/>
      <w:lvlJc w:val="left"/>
      <w:pPr>
        <w:ind w:left="1080" w:hanging="1080"/>
      </w:pPr>
      <w:rPr>
        <w:rFonts w:eastAsiaTheme="majorEastAsia" w:hint="default"/>
        <w:i/>
        <w:color w:val="auto"/>
      </w:rPr>
    </w:lvl>
    <w:lvl w:ilvl="5">
      <w:start w:val="1"/>
      <w:numFmt w:val="decimal"/>
      <w:lvlText w:val="%1.%2.%3.%4.%5.%6"/>
      <w:lvlJc w:val="left"/>
      <w:pPr>
        <w:ind w:left="1080" w:hanging="1080"/>
      </w:pPr>
      <w:rPr>
        <w:rFonts w:eastAsiaTheme="majorEastAsia" w:hint="default"/>
        <w:i/>
        <w:color w:val="auto"/>
      </w:rPr>
    </w:lvl>
    <w:lvl w:ilvl="6">
      <w:start w:val="1"/>
      <w:numFmt w:val="decimal"/>
      <w:lvlText w:val="%1.%2.%3.%4.%5.%6.%7"/>
      <w:lvlJc w:val="left"/>
      <w:pPr>
        <w:ind w:left="1440" w:hanging="1440"/>
      </w:pPr>
      <w:rPr>
        <w:rFonts w:eastAsiaTheme="majorEastAsia" w:hint="default"/>
        <w:i/>
        <w:color w:val="auto"/>
      </w:rPr>
    </w:lvl>
    <w:lvl w:ilvl="7">
      <w:start w:val="1"/>
      <w:numFmt w:val="decimal"/>
      <w:lvlText w:val="%1.%2.%3.%4.%5.%6.%7.%8"/>
      <w:lvlJc w:val="left"/>
      <w:pPr>
        <w:ind w:left="1440" w:hanging="1440"/>
      </w:pPr>
      <w:rPr>
        <w:rFonts w:eastAsiaTheme="majorEastAsia" w:hint="default"/>
        <w:i/>
        <w:color w:val="auto"/>
      </w:rPr>
    </w:lvl>
    <w:lvl w:ilvl="8">
      <w:start w:val="1"/>
      <w:numFmt w:val="decimal"/>
      <w:lvlText w:val="%1.%2.%3.%4.%5.%6.%7.%8.%9"/>
      <w:lvlJc w:val="left"/>
      <w:pPr>
        <w:ind w:left="1800" w:hanging="1800"/>
      </w:pPr>
      <w:rPr>
        <w:rFonts w:eastAsiaTheme="majorEastAsia" w:hint="default"/>
        <w:i/>
        <w:color w:val="auto"/>
      </w:rPr>
    </w:lvl>
  </w:abstractNum>
  <w:abstractNum w:abstractNumId="2" w15:restartNumberingAfterBreak="0">
    <w:nsid w:val="3DFF1DC2"/>
    <w:multiLevelType w:val="multilevel"/>
    <w:tmpl w:val="892272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0F3CA4"/>
    <w:multiLevelType w:val="hybridMultilevel"/>
    <w:tmpl w:val="BDE8E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380517">
    <w:abstractNumId w:val="0"/>
  </w:num>
  <w:num w:numId="2" w16cid:durableId="1030842494">
    <w:abstractNumId w:val="2"/>
  </w:num>
  <w:num w:numId="3" w16cid:durableId="2136215447">
    <w:abstractNumId w:val="3"/>
  </w:num>
  <w:num w:numId="4" w16cid:durableId="186139420">
    <w:abstractNumId w:val="1"/>
  </w:num>
  <w:num w:numId="5" w16cid:durableId="398019554">
    <w:abstractNumId w:val="2"/>
  </w:num>
  <w:num w:numId="6" w16cid:durableId="15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7409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8820803">
    <w:abstractNumId w:val="2"/>
  </w:num>
  <w:num w:numId="9" w16cid:durableId="1033266972">
    <w:abstractNumId w:val="2"/>
  </w:num>
  <w:num w:numId="10" w16cid:durableId="1734741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B4"/>
    <w:rsid w:val="00004277"/>
    <w:rsid w:val="00006A4F"/>
    <w:rsid w:val="00010021"/>
    <w:rsid w:val="00011EA3"/>
    <w:rsid w:val="00026A3A"/>
    <w:rsid w:val="00031A78"/>
    <w:rsid w:val="00044F4C"/>
    <w:rsid w:val="00053D60"/>
    <w:rsid w:val="00054650"/>
    <w:rsid w:val="00056E3B"/>
    <w:rsid w:val="000605BA"/>
    <w:rsid w:val="00061062"/>
    <w:rsid w:val="00061335"/>
    <w:rsid w:val="00062872"/>
    <w:rsid w:val="00070248"/>
    <w:rsid w:val="00071468"/>
    <w:rsid w:val="00072503"/>
    <w:rsid w:val="00082953"/>
    <w:rsid w:val="00082FDA"/>
    <w:rsid w:val="000841BF"/>
    <w:rsid w:val="00084EB4"/>
    <w:rsid w:val="00085A57"/>
    <w:rsid w:val="00092278"/>
    <w:rsid w:val="000933D2"/>
    <w:rsid w:val="000B0DB4"/>
    <w:rsid w:val="000B2E31"/>
    <w:rsid w:val="000B3566"/>
    <w:rsid w:val="000C1B52"/>
    <w:rsid w:val="000C4AB0"/>
    <w:rsid w:val="000D0577"/>
    <w:rsid w:val="000D5277"/>
    <w:rsid w:val="000E5FCA"/>
    <w:rsid w:val="000F5253"/>
    <w:rsid w:val="0010154A"/>
    <w:rsid w:val="00106D1C"/>
    <w:rsid w:val="00111F02"/>
    <w:rsid w:val="00113BE4"/>
    <w:rsid w:val="00117B32"/>
    <w:rsid w:val="001231AE"/>
    <w:rsid w:val="00123783"/>
    <w:rsid w:val="001246D6"/>
    <w:rsid w:val="00125724"/>
    <w:rsid w:val="00130263"/>
    <w:rsid w:val="001455F7"/>
    <w:rsid w:val="0016246F"/>
    <w:rsid w:val="00164370"/>
    <w:rsid w:val="00164645"/>
    <w:rsid w:val="00187394"/>
    <w:rsid w:val="00195C6F"/>
    <w:rsid w:val="001A0C37"/>
    <w:rsid w:val="001A2772"/>
    <w:rsid w:val="001A33F6"/>
    <w:rsid w:val="001A647B"/>
    <w:rsid w:val="001B3300"/>
    <w:rsid w:val="001B6E58"/>
    <w:rsid w:val="001B73E6"/>
    <w:rsid w:val="001C7447"/>
    <w:rsid w:val="001D5C1E"/>
    <w:rsid w:val="001F215E"/>
    <w:rsid w:val="0021775E"/>
    <w:rsid w:val="00225C86"/>
    <w:rsid w:val="00230A1A"/>
    <w:rsid w:val="00230EB4"/>
    <w:rsid w:val="00242D88"/>
    <w:rsid w:val="002617EF"/>
    <w:rsid w:val="0026264A"/>
    <w:rsid w:val="00263D1F"/>
    <w:rsid w:val="00266977"/>
    <w:rsid w:val="00271142"/>
    <w:rsid w:val="00275377"/>
    <w:rsid w:val="002813C3"/>
    <w:rsid w:val="00295C04"/>
    <w:rsid w:val="002962EA"/>
    <w:rsid w:val="002B334F"/>
    <w:rsid w:val="002D47D0"/>
    <w:rsid w:val="002D530F"/>
    <w:rsid w:val="002D778A"/>
    <w:rsid w:val="003038A8"/>
    <w:rsid w:val="003100CA"/>
    <w:rsid w:val="00313BED"/>
    <w:rsid w:val="0031586E"/>
    <w:rsid w:val="00315A06"/>
    <w:rsid w:val="00320055"/>
    <w:rsid w:val="003417C7"/>
    <w:rsid w:val="00345F71"/>
    <w:rsid w:val="003517E2"/>
    <w:rsid w:val="00356DBC"/>
    <w:rsid w:val="003672E4"/>
    <w:rsid w:val="003678A6"/>
    <w:rsid w:val="003719F2"/>
    <w:rsid w:val="00382643"/>
    <w:rsid w:val="003A20A3"/>
    <w:rsid w:val="003A4343"/>
    <w:rsid w:val="003C1084"/>
    <w:rsid w:val="003D3764"/>
    <w:rsid w:val="003D7C73"/>
    <w:rsid w:val="003F5ADD"/>
    <w:rsid w:val="00400926"/>
    <w:rsid w:val="00427EFA"/>
    <w:rsid w:val="00435019"/>
    <w:rsid w:val="00440C2A"/>
    <w:rsid w:val="0044611A"/>
    <w:rsid w:val="0044727D"/>
    <w:rsid w:val="00452B51"/>
    <w:rsid w:val="00466EB0"/>
    <w:rsid w:val="0046738F"/>
    <w:rsid w:val="00471163"/>
    <w:rsid w:val="004753E9"/>
    <w:rsid w:val="00482CBF"/>
    <w:rsid w:val="00484C36"/>
    <w:rsid w:val="00486591"/>
    <w:rsid w:val="00487640"/>
    <w:rsid w:val="00491AF7"/>
    <w:rsid w:val="00492B45"/>
    <w:rsid w:val="004A423F"/>
    <w:rsid w:val="004A5D01"/>
    <w:rsid w:val="004A5E53"/>
    <w:rsid w:val="004B47B3"/>
    <w:rsid w:val="004C2F44"/>
    <w:rsid w:val="004C4099"/>
    <w:rsid w:val="004D087E"/>
    <w:rsid w:val="004D0F4E"/>
    <w:rsid w:val="004D1720"/>
    <w:rsid w:val="004D1F85"/>
    <w:rsid w:val="004D5657"/>
    <w:rsid w:val="004D7090"/>
    <w:rsid w:val="004E3347"/>
    <w:rsid w:val="004F69A8"/>
    <w:rsid w:val="004F7E9E"/>
    <w:rsid w:val="00500D9C"/>
    <w:rsid w:val="005027CC"/>
    <w:rsid w:val="005079CB"/>
    <w:rsid w:val="005130E3"/>
    <w:rsid w:val="00546021"/>
    <w:rsid w:val="00557629"/>
    <w:rsid w:val="0056521B"/>
    <w:rsid w:val="00570495"/>
    <w:rsid w:val="005737D1"/>
    <w:rsid w:val="005773CA"/>
    <w:rsid w:val="00586E79"/>
    <w:rsid w:val="005871C3"/>
    <w:rsid w:val="005919EF"/>
    <w:rsid w:val="00594ACD"/>
    <w:rsid w:val="00594B83"/>
    <w:rsid w:val="005960EB"/>
    <w:rsid w:val="005A1B45"/>
    <w:rsid w:val="005B3398"/>
    <w:rsid w:val="005B3753"/>
    <w:rsid w:val="005B653B"/>
    <w:rsid w:val="005C4B3E"/>
    <w:rsid w:val="005C7223"/>
    <w:rsid w:val="005D1AB4"/>
    <w:rsid w:val="005F112D"/>
    <w:rsid w:val="005F3045"/>
    <w:rsid w:val="005F3662"/>
    <w:rsid w:val="005F409A"/>
    <w:rsid w:val="0060315A"/>
    <w:rsid w:val="00607D8A"/>
    <w:rsid w:val="006103B2"/>
    <w:rsid w:val="00612808"/>
    <w:rsid w:val="00614EDA"/>
    <w:rsid w:val="00616D14"/>
    <w:rsid w:val="006171A4"/>
    <w:rsid w:val="00621D41"/>
    <w:rsid w:val="00626328"/>
    <w:rsid w:val="00630BED"/>
    <w:rsid w:val="00633F65"/>
    <w:rsid w:val="00640810"/>
    <w:rsid w:val="00646CD0"/>
    <w:rsid w:val="00650307"/>
    <w:rsid w:val="006563EA"/>
    <w:rsid w:val="00656F02"/>
    <w:rsid w:val="006617BE"/>
    <w:rsid w:val="006633E4"/>
    <w:rsid w:val="00666900"/>
    <w:rsid w:val="00677D0E"/>
    <w:rsid w:val="006843AD"/>
    <w:rsid w:val="0069050D"/>
    <w:rsid w:val="00691C25"/>
    <w:rsid w:val="00695ABE"/>
    <w:rsid w:val="006A25F8"/>
    <w:rsid w:val="006A2ED0"/>
    <w:rsid w:val="006A56F3"/>
    <w:rsid w:val="006B42C1"/>
    <w:rsid w:val="006B7D5F"/>
    <w:rsid w:val="006C0CB2"/>
    <w:rsid w:val="006C1A20"/>
    <w:rsid w:val="006C72E2"/>
    <w:rsid w:val="006D7F43"/>
    <w:rsid w:val="006E0D98"/>
    <w:rsid w:val="006E4282"/>
    <w:rsid w:val="006E4365"/>
    <w:rsid w:val="006E4A16"/>
    <w:rsid w:val="006F5C72"/>
    <w:rsid w:val="006F7483"/>
    <w:rsid w:val="006F7BBD"/>
    <w:rsid w:val="00700DB5"/>
    <w:rsid w:val="007064CC"/>
    <w:rsid w:val="00707B84"/>
    <w:rsid w:val="007139A2"/>
    <w:rsid w:val="00725EFF"/>
    <w:rsid w:val="0073324A"/>
    <w:rsid w:val="0073639B"/>
    <w:rsid w:val="0074307B"/>
    <w:rsid w:val="00744312"/>
    <w:rsid w:val="00762C83"/>
    <w:rsid w:val="007669D7"/>
    <w:rsid w:val="00777A10"/>
    <w:rsid w:val="00777F80"/>
    <w:rsid w:val="00782573"/>
    <w:rsid w:val="00783688"/>
    <w:rsid w:val="00784A5F"/>
    <w:rsid w:val="00787216"/>
    <w:rsid w:val="00793443"/>
    <w:rsid w:val="007A0E3E"/>
    <w:rsid w:val="007A5ECD"/>
    <w:rsid w:val="007A6626"/>
    <w:rsid w:val="007B24A6"/>
    <w:rsid w:val="007B488D"/>
    <w:rsid w:val="007B7F12"/>
    <w:rsid w:val="007C571E"/>
    <w:rsid w:val="007E2C21"/>
    <w:rsid w:val="007F79D8"/>
    <w:rsid w:val="007F7F09"/>
    <w:rsid w:val="007F7F5C"/>
    <w:rsid w:val="008021D6"/>
    <w:rsid w:val="00821DE5"/>
    <w:rsid w:val="00825B46"/>
    <w:rsid w:val="00825F44"/>
    <w:rsid w:val="00826019"/>
    <w:rsid w:val="008260DB"/>
    <w:rsid w:val="00830887"/>
    <w:rsid w:val="00830F81"/>
    <w:rsid w:val="008404A8"/>
    <w:rsid w:val="00855520"/>
    <w:rsid w:val="0085736A"/>
    <w:rsid w:val="00862240"/>
    <w:rsid w:val="008703D8"/>
    <w:rsid w:val="0087280C"/>
    <w:rsid w:val="00872B23"/>
    <w:rsid w:val="00882484"/>
    <w:rsid w:val="008869CA"/>
    <w:rsid w:val="0088736A"/>
    <w:rsid w:val="008A0C12"/>
    <w:rsid w:val="008A1BE1"/>
    <w:rsid w:val="008A4CA7"/>
    <w:rsid w:val="008B0F8E"/>
    <w:rsid w:val="008B1C69"/>
    <w:rsid w:val="008B273C"/>
    <w:rsid w:val="008B69B8"/>
    <w:rsid w:val="008C6775"/>
    <w:rsid w:val="008D319A"/>
    <w:rsid w:val="008D55AD"/>
    <w:rsid w:val="008D57D7"/>
    <w:rsid w:val="008F1BBB"/>
    <w:rsid w:val="008F532B"/>
    <w:rsid w:val="008F7E04"/>
    <w:rsid w:val="00902D47"/>
    <w:rsid w:val="009070E5"/>
    <w:rsid w:val="0091411D"/>
    <w:rsid w:val="009142F6"/>
    <w:rsid w:val="009249B5"/>
    <w:rsid w:val="009318F6"/>
    <w:rsid w:val="00942DE9"/>
    <w:rsid w:val="00947DE4"/>
    <w:rsid w:val="009544FE"/>
    <w:rsid w:val="00957E14"/>
    <w:rsid w:val="009626FB"/>
    <w:rsid w:val="00963930"/>
    <w:rsid w:val="0096417A"/>
    <w:rsid w:val="0096697E"/>
    <w:rsid w:val="00971844"/>
    <w:rsid w:val="009752BD"/>
    <w:rsid w:val="0097532A"/>
    <w:rsid w:val="009757F8"/>
    <w:rsid w:val="009831D0"/>
    <w:rsid w:val="009930FC"/>
    <w:rsid w:val="009A2C2A"/>
    <w:rsid w:val="009B0AE0"/>
    <w:rsid w:val="009B4964"/>
    <w:rsid w:val="009D1C0F"/>
    <w:rsid w:val="009D6CCE"/>
    <w:rsid w:val="009D7203"/>
    <w:rsid w:val="009E4157"/>
    <w:rsid w:val="009F093F"/>
    <w:rsid w:val="00A07EEC"/>
    <w:rsid w:val="00A22CBB"/>
    <w:rsid w:val="00A27767"/>
    <w:rsid w:val="00A31F9B"/>
    <w:rsid w:val="00A359CE"/>
    <w:rsid w:val="00A41DD9"/>
    <w:rsid w:val="00A4243A"/>
    <w:rsid w:val="00A52AFF"/>
    <w:rsid w:val="00A55C16"/>
    <w:rsid w:val="00A572CA"/>
    <w:rsid w:val="00A57CDC"/>
    <w:rsid w:val="00A62172"/>
    <w:rsid w:val="00A833E8"/>
    <w:rsid w:val="00A9143A"/>
    <w:rsid w:val="00A91AE9"/>
    <w:rsid w:val="00A92C28"/>
    <w:rsid w:val="00AA4707"/>
    <w:rsid w:val="00AA6104"/>
    <w:rsid w:val="00AB3BD8"/>
    <w:rsid w:val="00AB4206"/>
    <w:rsid w:val="00AC2904"/>
    <w:rsid w:val="00AD5262"/>
    <w:rsid w:val="00AE479B"/>
    <w:rsid w:val="00AE7553"/>
    <w:rsid w:val="00AF43C8"/>
    <w:rsid w:val="00AF471D"/>
    <w:rsid w:val="00B04BDB"/>
    <w:rsid w:val="00B0550A"/>
    <w:rsid w:val="00B10826"/>
    <w:rsid w:val="00B17D15"/>
    <w:rsid w:val="00B22E18"/>
    <w:rsid w:val="00B23A3E"/>
    <w:rsid w:val="00B30EBF"/>
    <w:rsid w:val="00B47D1B"/>
    <w:rsid w:val="00B51D0E"/>
    <w:rsid w:val="00B56B2E"/>
    <w:rsid w:val="00B801D5"/>
    <w:rsid w:val="00B871F8"/>
    <w:rsid w:val="00BA057C"/>
    <w:rsid w:val="00BA15FD"/>
    <w:rsid w:val="00BA37BA"/>
    <w:rsid w:val="00BB1336"/>
    <w:rsid w:val="00BD0817"/>
    <w:rsid w:val="00BD3CFB"/>
    <w:rsid w:val="00BE09C1"/>
    <w:rsid w:val="00BF0356"/>
    <w:rsid w:val="00BF2697"/>
    <w:rsid w:val="00BF3CA2"/>
    <w:rsid w:val="00C10AAD"/>
    <w:rsid w:val="00C13B00"/>
    <w:rsid w:val="00C163C7"/>
    <w:rsid w:val="00C334CA"/>
    <w:rsid w:val="00C33578"/>
    <w:rsid w:val="00C378E4"/>
    <w:rsid w:val="00C37ADA"/>
    <w:rsid w:val="00C441ED"/>
    <w:rsid w:val="00C45D78"/>
    <w:rsid w:val="00C52912"/>
    <w:rsid w:val="00C5438E"/>
    <w:rsid w:val="00C7340A"/>
    <w:rsid w:val="00C815C8"/>
    <w:rsid w:val="00C829D6"/>
    <w:rsid w:val="00C87CE2"/>
    <w:rsid w:val="00C9325A"/>
    <w:rsid w:val="00C97B63"/>
    <w:rsid w:val="00CA11DE"/>
    <w:rsid w:val="00CA476C"/>
    <w:rsid w:val="00CA56ED"/>
    <w:rsid w:val="00CA646F"/>
    <w:rsid w:val="00CA7084"/>
    <w:rsid w:val="00CB271E"/>
    <w:rsid w:val="00CB4C85"/>
    <w:rsid w:val="00CC212C"/>
    <w:rsid w:val="00CC30D1"/>
    <w:rsid w:val="00CC48C4"/>
    <w:rsid w:val="00CE1F2F"/>
    <w:rsid w:val="00CE3A3A"/>
    <w:rsid w:val="00D013A9"/>
    <w:rsid w:val="00D072D4"/>
    <w:rsid w:val="00D2716C"/>
    <w:rsid w:val="00D41E17"/>
    <w:rsid w:val="00D51346"/>
    <w:rsid w:val="00D61AF6"/>
    <w:rsid w:val="00D6416A"/>
    <w:rsid w:val="00D71164"/>
    <w:rsid w:val="00D771D8"/>
    <w:rsid w:val="00D820B1"/>
    <w:rsid w:val="00D82464"/>
    <w:rsid w:val="00D83313"/>
    <w:rsid w:val="00D87F94"/>
    <w:rsid w:val="00D95DF2"/>
    <w:rsid w:val="00DA4133"/>
    <w:rsid w:val="00DB2C45"/>
    <w:rsid w:val="00DB4DB1"/>
    <w:rsid w:val="00DB5D0C"/>
    <w:rsid w:val="00DD0B54"/>
    <w:rsid w:val="00DE18AE"/>
    <w:rsid w:val="00DE6F9A"/>
    <w:rsid w:val="00DF08EC"/>
    <w:rsid w:val="00DF6A04"/>
    <w:rsid w:val="00E00185"/>
    <w:rsid w:val="00E052A7"/>
    <w:rsid w:val="00E119B0"/>
    <w:rsid w:val="00E16023"/>
    <w:rsid w:val="00E20ACD"/>
    <w:rsid w:val="00E212F5"/>
    <w:rsid w:val="00E23834"/>
    <w:rsid w:val="00E25C07"/>
    <w:rsid w:val="00E30DA6"/>
    <w:rsid w:val="00E30EC5"/>
    <w:rsid w:val="00E364EC"/>
    <w:rsid w:val="00E37470"/>
    <w:rsid w:val="00E465FD"/>
    <w:rsid w:val="00E52BB5"/>
    <w:rsid w:val="00E61C84"/>
    <w:rsid w:val="00E66B28"/>
    <w:rsid w:val="00E67DE8"/>
    <w:rsid w:val="00E82757"/>
    <w:rsid w:val="00E84FA3"/>
    <w:rsid w:val="00E865EC"/>
    <w:rsid w:val="00E90A93"/>
    <w:rsid w:val="00E95A90"/>
    <w:rsid w:val="00E97641"/>
    <w:rsid w:val="00EA5B15"/>
    <w:rsid w:val="00EB5881"/>
    <w:rsid w:val="00EC187B"/>
    <w:rsid w:val="00EC4524"/>
    <w:rsid w:val="00EC7484"/>
    <w:rsid w:val="00EC7774"/>
    <w:rsid w:val="00ED1EE1"/>
    <w:rsid w:val="00ED2996"/>
    <w:rsid w:val="00EE5B03"/>
    <w:rsid w:val="00EF2501"/>
    <w:rsid w:val="00F02B39"/>
    <w:rsid w:val="00F12AF9"/>
    <w:rsid w:val="00F12CE7"/>
    <w:rsid w:val="00F15FD6"/>
    <w:rsid w:val="00F3017D"/>
    <w:rsid w:val="00F415E0"/>
    <w:rsid w:val="00F4171A"/>
    <w:rsid w:val="00F5674E"/>
    <w:rsid w:val="00F67122"/>
    <w:rsid w:val="00F71BA6"/>
    <w:rsid w:val="00F7728D"/>
    <w:rsid w:val="00F818BC"/>
    <w:rsid w:val="00F9483F"/>
    <w:rsid w:val="00FB55A1"/>
    <w:rsid w:val="00FB7BF0"/>
    <w:rsid w:val="00FC07C9"/>
    <w:rsid w:val="00FD24B2"/>
    <w:rsid w:val="00FD2E2F"/>
    <w:rsid w:val="00FE3954"/>
    <w:rsid w:val="00FE5A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BFFE"/>
  <w15:chartTrackingRefBased/>
  <w15:docId w15:val="{20D05720-A4F4-4077-83BD-D5B5E8E8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DB4"/>
    <w:pPr>
      <w:spacing w:after="0" w:line="48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47D0"/>
    <w:pPr>
      <w:keepNext/>
      <w:keepLines/>
      <w:numPr>
        <w:numId w:val="2"/>
      </w:numP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unhideWhenUsed/>
    <w:qFormat/>
    <w:rsid w:val="002D47D0"/>
    <w:pPr>
      <w:keepNext/>
      <w:keepLines/>
      <w:numPr>
        <w:ilvl w:val="1"/>
        <w:numId w:val="2"/>
      </w:numPr>
      <w:outlineLvl w:val="1"/>
    </w:pPr>
    <w:rPr>
      <w:rFonts w:asciiTheme="majorHAnsi" w:eastAsiaTheme="majorEastAsia" w:hAnsiTheme="majorHAnsi" w:cstheme="majorBidi"/>
      <w:i/>
      <w:iCs/>
    </w:rPr>
  </w:style>
  <w:style w:type="paragraph" w:styleId="Heading3">
    <w:name w:val="heading 3"/>
    <w:basedOn w:val="Normal"/>
    <w:next w:val="Normal"/>
    <w:link w:val="Heading3Char"/>
    <w:uiPriority w:val="9"/>
    <w:semiHidden/>
    <w:unhideWhenUsed/>
    <w:qFormat/>
    <w:rsid w:val="002D47D0"/>
    <w:pPr>
      <w:keepNext/>
      <w:keepLines/>
      <w:numPr>
        <w:ilvl w:val="2"/>
        <w:numId w:val="2"/>
      </w:numPr>
      <w:tabs>
        <w:tab w:val="clear" w:pos="2160"/>
        <w:tab w:val="num" w:pos="360"/>
      </w:tabs>
      <w:spacing w:before="40"/>
      <w:ind w:left="0" w:firstLine="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B69B8"/>
    <w:rPr>
      <w:vertAlign w:val="superscript"/>
    </w:rPr>
  </w:style>
  <w:style w:type="paragraph" w:styleId="EndnoteText">
    <w:name w:val="endnote text"/>
    <w:basedOn w:val="Normal"/>
    <w:link w:val="EndnoteTextChar"/>
    <w:uiPriority w:val="99"/>
    <w:semiHidden/>
    <w:unhideWhenUsed/>
    <w:rsid w:val="009D1C0F"/>
    <w:pPr>
      <w:spacing w:line="240" w:lineRule="auto"/>
    </w:pPr>
    <w:rPr>
      <w:sz w:val="20"/>
      <w:szCs w:val="20"/>
    </w:rPr>
  </w:style>
  <w:style w:type="character" w:customStyle="1" w:styleId="EndnoteTextChar">
    <w:name w:val="Endnote Text Char"/>
    <w:basedOn w:val="DefaultParagraphFont"/>
    <w:link w:val="EndnoteText"/>
    <w:uiPriority w:val="99"/>
    <w:semiHidden/>
    <w:rsid w:val="009D1C0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2D47D0"/>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2D47D0"/>
    <w:rPr>
      <w:rFonts w:asciiTheme="majorHAnsi" w:eastAsiaTheme="majorEastAsia" w:hAnsiTheme="majorHAnsi" w:cstheme="majorBidi"/>
      <w:i/>
      <w:iCs/>
      <w:sz w:val="24"/>
      <w:szCs w:val="24"/>
    </w:rPr>
  </w:style>
  <w:style w:type="character" w:customStyle="1" w:styleId="Heading3Char">
    <w:name w:val="Heading 3 Char"/>
    <w:basedOn w:val="DefaultParagraphFont"/>
    <w:link w:val="Heading3"/>
    <w:uiPriority w:val="9"/>
    <w:semiHidden/>
    <w:rsid w:val="002D47D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1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4EDA"/>
    <w:pPr>
      <w:bidi/>
      <w:spacing w:after="0" w:line="240" w:lineRule="auto"/>
    </w:pPr>
  </w:style>
  <w:style w:type="paragraph" w:styleId="NormalWeb">
    <w:name w:val="Normal (Web)"/>
    <w:basedOn w:val="Normal"/>
    <w:uiPriority w:val="99"/>
    <w:unhideWhenUsed/>
    <w:rsid w:val="00CC30D1"/>
    <w:pPr>
      <w:spacing w:before="100" w:beforeAutospacing="1" w:after="100" w:afterAutospacing="1" w:line="240" w:lineRule="auto"/>
      <w:jc w:val="left"/>
    </w:pPr>
  </w:style>
  <w:style w:type="paragraph" w:styleId="FootnoteText">
    <w:name w:val="footnote text"/>
    <w:basedOn w:val="Normal"/>
    <w:link w:val="FootnoteTextChar"/>
    <w:uiPriority w:val="99"/>
    <w:unhideWhenUsed/>
    <w:rsid w:val="008B0F8E"/>
    <w:pPr>
      <w:spacing w:line="240" w:lineRule="auto"/>
    </w:pPr>
    <w:rPr>
      <w:sz w:val="20"/>
      <w:szCs w:val="20"/>
    </w:rPr>
  </w:style>
  <w:style w:type="character" w:customStyle="1" w:styleId="FootnoteTextChar">
    <w:name w:val="Footnote Text Char"/>
    <w:basedOn w:val="DefaultParagraphFont"/>
    <w:link w:val="FootnoteText"/>
    <w:uiPriority w:val="99"/>
    <w:rsid w:val="008B0F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0F8E"/>
    <w:rPr>
      <w:vertAlign w:val="superscript"/>
    </w:rPr>
  </w:style>
  <w:style w:type="paragraph" w:styleId="ListParagraph">
    <w:name w:val="List Paragraph"/>
    <w:basedOn w:val="Normal"/>
    <w:uiPriority w:val="34"/>
    <w:qFormat/>
    <w:rsid w:val="006E4A16"/>
    <w:pPr>
      <w:ind w:left="720"/>
      <w:contextualSpacing/>
    </w:pPr>
  </w:style>
  <w:style w:type="character" w:styleId="Emphasis">
    <w:name w:val="Emphasis"/>
    <w:basedOn w:val="DefaultParagraphFont"/>
    <w:uiPriority w:val="20"/>
    <w:qFormat/>
    <w:rsid w:val="00621D41"/>
    <w:rPr>
      <w:i/>
      <w:iCs/>
    </w:rPr>
  </w:style>
  <w:style w:type="character" w:styleId="Strong">
    <w:name w:val="Strong"/>
    <w:basedOn w:val="DefaultParagraphFont"/>
    <w:uiPriority w:val="22"/>
    <w:qFormat/>
    <w:rsid w:val="006E4282"/>
    <w:rPr>
      <w:b/>
      <w:bCs/>
    </w:rPr>
  </w:style>
  <w:style w:type="character" w:customStyle="1" w:styleId="smallcaps">
    <w:name w:val="smallcaps"/>
    <w:basedOn w:val="DefaultParagraphFont"/>
    <w:rsid w:val="00C45D78"/>
  </w:style>
  <w:style w:type="character" w:styleId="CommentReference">
    <w:name w:val="annotation reference"/>
    <w:basedOn w:val="DefaultParagraphFont"/>
    <w:uiPriority w:val="99"/>
    <w:semiHidden/>
    <w:unhideWhenUsed/>
    <w:rsid w:val="00762C83"/>
    <w:rPr>
      <w:sz w:val="16"/>
      <w:szCs w:val="16"/>
    </w:rPr>
  </w:style>
  <w:style w:type="paragraph" w:styleId="CommentText">
    <w:name w:val="annotation text"/>
    <w:basedOn w:val="Normal"/>
    <w:link w:val="CommentTextChar"/>
    <w:uiPriority w:val="99"/>
    <w:unhideWhenUsed/>
    <w:rsid w:val="00762C83"/>
    <w:pPr>
      <w:spacing w:line="240" w:lineRule="auto"/>
    </w:pPr>
    <w:rPr>
      <w:sz w:val="20"/>
      <w:szCs w:val="20"/>
    </w:rPr>
  </w:style>
  <w:style w:type="character" w:customStyle="1" w:styleId="CommentTextChar">
    <w:name w:val="Comment Text Char"/>
    <w:basedOn w:val="DefaultParagraphFont"/>
    <w:link w:val="CommentText"/>
    <w:uiPriority w:val="99"/>
    <w:rsid w:val="00762C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C83"/>
    <w:rPr>
      <w:b/>
      <w:bCs/>
    </w:rPr>
  </w:style>
  <w:style w:type="character" w:customStyle="1" w:styleId="CommentSubjectChar">
    <w:name w:val="Comment Subject Char"/>
    <w:basedOn w:val="CommentTextChar"/>
    <w:link w:val="CommentSubject"/>
    <w:uiPriority w:val="99"/>
    <w:semiHidden/>
    <w:rsid w:val="00762C83"/>
    <w:rPr>
      <w:rFonts w:ascii="Times New Roman" w:eastAsia="Times New Roman" w:hAnsi="Times New Roman" w:cs="Times New Roman"/>
      <w:b/>
      <w:bCs/>
      <w:sz w:val="20"/>
      <w:szCs w:val="20"/>
    </w:rPr>
  </w:style>
  <w:style w:type="character" w:customStyle="1" w:styleId="cf01">
    <w:name w:val="cf01"/>
    <w:basedOn w:val="DefaultParagraphFont"/>
    <w:rsid w:val="00440C2A"/>
    <w:rPr>
      <w:rFonts w:ascii="Segoe UI" w:hAnsi="Segoe UI" w:cs="Segoe UI" w:hint="default"/>
      <w:sz w:val="18"/>
      <w:szCs w:val="18"/>
    </w:rPr>
  </w:style>
  <w:style w:type="paragraph" w:styleId="Revision">
    <w:name w:val="Revision"/>
    <w:hidden/>
    <w:uiPriority w:val="99"/>
    <w:semiHidden/>
    <w:rsid w:val="006617B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9442">
      <w:bodyDiv w:val="1"/>
      <w:marLeft w:val="0"/>
      <w:marRight w:val="0"/>
      <w:marTop w:val="0"/>
      <w:marBottom w:val="0"/>
      <w:divBdr>
        <w:top w:val="none" w:sz="0" w:space="0" w:color="auto"/>
        <w:left w:val="none" w:sz="0" w:space="0" w:color="auto"/>
        <w:bottom w:val="none" w:sz="0" w:space="0" w:color="auto"/>
        <w:right w:val="none" w:sz="0" w:space="0" w:color="auto"/>
      </w:divBdr>
    </w:div>
    <w:div w:id="209923272">
      <w:bodyDiv w:val="1"/>
      <w:marLeft w:val="0"/>
      <w:marRight w:val="0"/>
      <w:marTop w:val="0"/>
      <w:marBottom w:val="0"/>
      <w:divBdr>
        <w:top w:val="none" w:sz="0" w:space="0" w:color="auto"/>
        <w:left w:val="none" w:sz="0" w:space="0" w:color="auto"/>
        <w:bottom w:val="none" w:sz="0" w:space="0" w:color="auto"/>
        <w:right w:val="none" w:sz="0" w:space="0" w:color="auto"/>
      </w:divBdr>
      <w:divsChild>
        <w:div w:id="1389648402">
          <w:marLeft w:val="0"/>
          <w:marRight w:val="0"/>
          <w:marTop w:val="0"/>
          <w:marBottom w:val="0"/>
          <w:divBdr>
            <w:top w:val="none" w:sz="0" w:space="0" w:color="auto"/>
            <w:left w:val="none" w:sz="0" w:space="0" w:color="auto"/>
            <w:bottom w:val="none" w:sz="0" w:space="0" w:color="auto"/>
            <w:right w:val="none" w:sz="0" w:space="0" w:color="auto"/>
          </w:divBdr>
          <w:divsChild>
            <w:div w:id="1372263351">
              <w:marLeft w:val="0"/>
              <w:marRight w:val="0"/>
              <w:marTop w:val="0"/>
              <w:marBottom w:val="0"/>
              <w:divBdr>
                <w:top w:val="none" w:sz="0" w:space="0" w:color="auto"/>
                <w:left w:val="none" w:sz="0" w:space="0" w:color="auto"/>
                <w:bottom w:val="none" w:sz="0" w:space="0" w:color="auto"/>
                <w:right w:val="none" w:sz="0" w:space="0" w:color="auto"/>
              </w:divBdr>
              <w:divsChild>
                <w:div w:id="2041934474">
                  <w:marLeft w:val="0"/>
                  <w:marRight w:val="0"/>
                  <w:marTop w:val="0"/>
                  <w:marBottom w:val="0"/>
                  <w:divBdr>
                    <w:top w:val="none" w:sz="0" w:space="0" w:color="auto"/>
                    <w:left w:val="none" w:sz="0" w:space="0" w:color="auto"/>
                    <w:bottom w:val="none" w:sz="0" w:space="0" w:color="auto"/>
                    <w:right w:val="none" w:sz="0" w:space="0" w:color="auto"/>
                  </w:divBdr>
                  <w:divsChild>
                    <w:div w:id="1464153582">
                      <w:marLeft w:val="0"/>
                      <w:marRight w:val="0"/>
                      <w:marTop w:val="0"/>
                      <w:marBottom w:val="0"/>
                      <w:divBdr>
                        <w:top w:val="none" w:sz="0" w:space="0" w:color="auto"/>
                        <w:left w:val="none" w:sz="0" w:space="0" w:color="auto"/>
                        <w:bottom w:val="none" w:sz="0" w:space="0" w:color="auto"/>
                        <w:right w:val="none" w:sz="0" w:space="0" w:color="auto"/>
                      </w:divBdr>
                      <w:divsChild>
                        <w:div w:id="894513364">
                          <w:marLeft w:val="0"/>
                          <w:marRight w:val="0"/>
                          <w:marTop w:val="0"/>
                          <w:marBottom w:val="0"/>
                          <w:divBdr>
                            <w:top w:val="none" w:sz="0" w:space="0" w:color="auto"/>
                            <w:left w:val="none" w:sz="0" w:space="0" w:color="auto"/>
                            <w:bottom w:val="none" w:sz="0" w:space="0" w:color="auto"/>
                            <w:right w:val="none" w:sz="0" w:space="0" w:color="auto"/>
                          </w:divBdr>
                          <w:divsChild>
                            <w:div w:id="1360544477">
                              <w:marLeft w:val="0"/>
                              <w:marRight w:val="0"/>
                              <w:marTop w:val="0"/>
                              <w:marBottom w:val="0"/>
                              <w:divBdr>
                                <w:top w:val="none" w:sz="0" w:space="0" w:color="auto"/>
                                <w:left w:val="none" w:sz="0" w:space="0" w:color="auto"/>
                                <w:bottom w:val="none" w:sz="0" w:space="0" w:color="auto"/>
                                <w:right w:val="none" w:sz="0" w:space="0" w:color="auto"/>
                              </w:divBdr>
                              <w:divsChild>
                                <w:div w:id="6075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972382">
      <w:bodyDiv w:val="1"/>
      <w:marLeft w:val="0"/>
      <w:marRight w:val="0"/>
      <w:marTop w:val="0"/>
      <w:marBottom w:val="0"/>
      <w:divBdr>
        <w:top w:val="none" w:sz="0" w:space="0" w:color="auto"/>
        <w:left w:val="none" w:sz="0" w:space="0" w:color="auto"/>
        <w:bottom w:val="none" w:sz="0" w:space="0" w:color="auto"/>
        <w:right w:val="none" w:sz="0" w:space="0" w:color="auto"/>
      </w:divBdr>
      <w:divsChild>
        <w:div w:id="75247673">
          <w:marLeft w:val="0"/>
          <w:marRight w:val="0"/>
          <w:marTop w:val="0"/>
          <w:marBottom w:val="0"/>
          <w:divBdr>
            <w:top w:val="none" w:sz="0" w:space="0" w:color="auto"/>
            <w:left w:val="none" w:sz="0" w:space="0" w:color="auto"/>
            <w:bottom w:val="none" w:sz="0" w:space="0" w:color="auto"/>
            <w:right w:val="none" w:sz="0" w:space="0" w:color="auto"/>
          </w:divBdr>
        </w:div>
      </w:divsChild>
    </w:div>
    <w:div w:id="371661563">
      <w:bodyDiv w:val="1"/>
      <w:marLeft w:val="0"/>
      <w:marRight w:val="0"/>
      <w:marTop w:val="0"/>
      <w:marBottom w:val="0"/>
      <w:divBdr>
        <w:top w:val="none" w:sz="0" w:space="0" w:color="auto"/>
        <w:left w:val="none" w:sz="0" w:space="0" w:color="auto"/>
        <w:bottom w:val="none" w:sz="0" w:space="0" w:color="auto"/>
        <w:right w:val="none" w:sz="0" w:space="0" w:color="auto"/>
      </w:divBdr>
    </w:div>
    <w:div w:id="389230542">
      <w:bodyDiv w:val="1"/>
      <w:marLeft w:val="0"/>
      <w:marRight w:val="0"/>
      <w:marTop w:val="0"/>
      <w:marBottom w:val="0"/>
      <w:divBdr>
        <w:top w:val="none" w:sz="0" w:space="0" w:color="auto"/>
        <w:left w:val="none" w:sz="0" w:space="0" w:color="auto"/>
        <w:bottom w:val="none" w:sz="0" w:space="0" w:color="auto"/>
        <w:right w:val="none" w:sz="0" w:space="0" w:color="auto"/>
      </w:divBdr>
      <w:divsChild>
        <w:div w:id="326177790">
          <w:marLeft w:val="0"/>
          <w:marRight w:val="0"/>
          <w:marTop w:val="0"/>
          <w:marBottom w:val="0"/>
          <w:divBdr>
            <w:top w:val="none" w:sz="0" w:space="0" w:color="auto"/>
            <w:left w:val="none" w:sz="0" w:space="0" w:color="auto"/>
            <w:bottom w:val="none" w:sz="0" w:space="0" w:color="auto"/>
            <w:right w:val="none" w:sz="0" w:space="0" w:color="auto"/>
          </w:divBdr>
        </w:div>
      </w:divsChild>
    </w:div>
    <w:div w:id="430442579">
      <w:bodyDiv w:val="1"/>
      <w:marLeft w:val="0"/>
      <w:marRight w:val="0"/>
      <w:marTop w:val="0"/>
      <w:marBottom w:val="0"/>
      <w:divBdr>
        <w:top w:val="none" w:sz="0" w:space="0" w:color="auto"/>
        <w:left w:val="none" w:sz="0" w:space="0" w:color="auto"/>
        <w:bottom w:val="none" w:sz="0" w:space="0" w:color="auto"/>
        <w:right w:val="none" w:sz="0" w:space="0" w:color="auto"/>
      </w:divBdr>
      <w:divsChild>
        <w:div w:id="1124539007">
          <w:marLeft w:val="0"/>
          <w:marRight w:val="0"/>
          <w:marTop w:val="0"/>
          <w:marBottom w:val="0"/>
          <w:divBdr>
            <w:top w:val="none" w:sz="0" w:space="0" w:color="auto"/>
            <w:left w:val="none" w:sz="0" w:space="0" w:color="auto"/>
            <w:bottom w:val="none" w:sz="0" w:space="0" w:color="auto"/>
            <w:right w:val="none" w:sz="0" w:space="0" w:color="auto"/>
          </w:divBdr>
        </w:div>
      </w:divsChild>
    </w:div>
    <w:div w:id="682510213">
      <w:bodyDiv w:val="1"/>
      <w:marLeft w:val="0"/>
      <w:marRight w:val="0"/>
      <w:marTop w:val="0"/>
      <w:marBottom w:val="0"/>
      <w:divBdr>
        <w:top w:val="none" w:sz="0" w:space="0" w:color="auto"/>
        <w:left w:val="none" w:sz="0" w:space="0" w:color="auto"/>
        <w:bottom w:val="none" w:sz="0" w:space="0" w:color="auto"/>
        <w:right w:val="none" w:sz="0" w:space="0" w:color="auto"/>
      </w:divBdr>
    </w:div>
    <w:div w:id="718821932">
      <w:bodyDiv w:val="1"/>
      <w:marLeft w:val="0"/>
      <w:marRight w:val="0"/>
      <w:marTop w:val="0"/>
      <w:marBottom w:val="0"/>
      <w:divBdr>
        <w:top w:val="none" w:sz="0" w:space="0" w:color="auto"/>
        <w:left w:val="none" w:sz="0" w:space="0" w:color="auto"/>
        <w:bottom w:val="none" w:sz="0" w:space="0" w:color="auto"/>
        <w:right w:val="none" w:sz="0" w:space="0" w:color="auto"/>
      </w:divBdr>
      <w:divsChild>
        <w:div w:id="1820001214">
          <w:marLeft w:val="0"/>
          <w:marRight w:val="0"/>
          <w:marTop w:val="0"/>
          <w:marBottom w:val="0"/>
          <w:divBdr>
            <w:top w:val="none" w:sz="0" w:space="0" w:color="auto"/>
            <w:left w:val="none" w:sz="0" w:space="0" w:color="auto"/>
            <w:bottom w:val="none" w:sz="0" w:space="0" w:color="auto"/>
            <w:right w:val="none" w:sz="0" w:space="0" w:color="auto"/>
          </w:divBdr>
        </w:div>
      </w:divsChild>
    </w:div>
    <w:div w:id="734276389">
      <w:bodyDiv w:val="1"/>
      <w:marLeft w:val="0"/>
      <w:marRight w:val="0"/>
      <w:marTop w:val="0"/>
      <w:marBottom w:val="0"/>
      <w:divBdr>
        <w:top w:val="none" w:sz="0" w:space="0" w:color="auto"/>
        <w:left w:val="none" w:sz="0" w:space="0" w:color="auto"/>
        <w:bottom w:val="none" w:sz="0" w:space="0" w:color="auto"/>
        <w:right w:val="none" w:sz="0" w:space="0" w:color="auto"/>
      </w:divBdr>
    </w:div>
    <w:div w:id="776212475">
      <w:bodyDiv w:val="1"/>
      <w:marLeft w:val="0"/>
      <w:marRight w:val="0"/>
      <w:marTop w:val="0"/>
      <w:marBottom w:val="0"/>
      <w:divBdr>
        <w:top w:val="none" w:sz="0" w:space="0" w:color="auto"/>
        <w:left w:val="none" w:sz="0" w:space="0" w:color="auto"/>
        <w:bottom w:val="none" w:sz="0" w:space="0" w:color="auto"/>
        <w:right w:val="none" w:sz="0" w:space="0" w:color="auto"/>
      </w:divBdr>
    </w:div>
    <w:div w:id="959258898">
      <w:bodyDiv w:val="1"/>
      <w:marLeft w:val="0"/>
      <w:marRight w:val="0"/>
      <w:marTop w:val="0"/>
      <w:marBottom w:val="0"/>
      <w:divBdr>
        <w:top w:val="none" w:sz="0" w:space="0" w:color="auto"/>
        <w:left w:val="none" w:sz="0" w:space="0" w:color="auto"/>
        <w:bottom w:val="none" w:sz="0" w:space="0" w:color="auto"/>
        <w:right w:val="none" w:sz="0" w:space="0" w:color="auto"/>
      </w:divBdr>
      <w:divsChild>
        <w:div w:id="292515933">
          <w:marLeft w:val="0"/>
          <w:marRight w:val="0"/>
          <w:marTop w:val="0"/>
          <w:marBottom w:val="0"/>
          <w:divBdr>
            <w:top w:val="none" w:sz="0" w:space="0" w:color="auto"/>
            <w:left w:val="none" w:sz="0" w:space="0" w:color="auto"/>
            <w:bottom w:val="none" w:sz="0" w:space="0" w:color="auto"/>
            <w:right w:val="none" w:sz="0" w:space="0" w:color="auto"/>
          </w:divBdr>
          <w:divsChild>
            <w:div w:id="1376155017">
              <w:marLeft w:val="0"/>
              <w:marRight w:val="0"/>
              <w:marTop w:val="0"/>
              <w:marBottom w:val="0"/>
              <w:divBdr>
                <w:top w:val="none" w:sz="0" w:space="0" w:color="auto"/>
                <w:left w:val="none" w:sz="0" w:space="0" w:color="auto"/>
                <w:bottom w:val="none" w:sz="0" w:space="0" w:color="auto"/>
                <w:right w:val="none" w:sz="0" w:space="0" w:color="auto"/>
              </w:divBdr>
              <w:divsChild>
                <w:div w:id="1119685518">
                  <w:marLeft w:val="0"/>
                  <w:marRight w:val="0"/>
                  <w:marTop w:val="0"/>
                  <w:marBottom w:val="0"/>
                  <w:divBdr>
                    <w:top w:val="none" w:sz="0" w:space="0" w:color="auto"/>
                    <w:left w:val="none" w:sz="0" w:space="0" w:color="auto"/>
                    <w:bottom w:val="none" w:sz="0" w:space="0" w:color="auto"/>
                    <w:right w:val="none" w:sz="0" w:space="0" w:color="auto"/>
                  </w:divBdr>
                </w:div>
                <w:div w:id="1493136781">
                  <w:marLeft w:val="0"/>
                  <w:marRight w:val="0"/>
                  <w:marTop w:val="0"/>
                  <w:marBottom w:val="0"/>
                  <w:divBdr>
                    <w:top w:val="none" w:sz="0" w:space="0" w:color="auto"/>
                    <w:left w:val="none" w:sz="0" w:space="0" w:color="auto"/>
                    <w:bottom w:val="none" w:sz="0" w:space="0" w:color="auto"/>
                    <w:right w:val="none" w:sz="0" w:space="0" w:color="auto"/>
                  </w:divBdr>
                </w:div>
              </w:divsChild>
            </w:div>
            <w:div w:id="5834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7117">
      <w:bodyDiv w:val="1"/>
      <w:marLeft w:val="0"/>
      <w:marRight w:val="0"/>
      <w:marTop w:val="0"/>
      <w:marBottom w:val="0"/>
      <w:divBdr>
        <w:top w:val="none" w:sz="0" w:space="0" w:color="auto"/>
        <w:left w:val="none" w:sz="0" w:space="0" w:color="auto"/>
        <w:bottom w:val="none" w:sz="0" w:space="0" w:color="auto"/>
        <w:right w:val="none" w:sz="0" w:space="0" w:color="auto"/>
      </w:divBdr>
      <w:divsChild>
        <w:div w:id="1244217383">
          <w:marLeft w:val="0"/>
          <w:marRight w:val="0"/>
          <w:marTop w:val="0"/>
          <w:marBottom w:val="0"/>
          <w:divBdr>
            <w:top w:val="single" w:sz="2" w:space="0" w:color="D9D9E3"/>
            <w:left w:val="single" w:sz="2" w:space="0" w:color="D9D9E3"/>
            <w:bottom w:val="single" w:sz="2" w:space="0" w:color="D9D9E3"/>
            <w:right w:val="single" w:sz="2" w:space="0" w:color="D9D9E3"/>
          </w:divBdr>
          <w:divsChild>
            <w:div w:id="190842856">
              <w:marLeft w:val="0"/>
              <w:marRight w:val="0"/>
              <w:marTop w:val="0"/>
              <w:marBottom w:val="0"/>
              <w:divBdr>
                <w:top w:val="single" w:sz="2" w:space="0" w:color="D9D9E3"/>
                <w:left w:val="single" w:sz="2" w:space="0" w:color="D9D9E3"/>
                <w:bottom w:val="single" w:sz="2" w:space="0" w:color="D9D9E3"/>
                <w:right w:val="single" w:sz="2" w:space="0" w:color="D9D9E3"/>
              </w:divBdr>
              <w:divsChild>
                <w:div w:id="627862075">
                  <w:marLeft w:val="0"/>
                  <w:marRight w:val="0"/>
                  <w:marTop w:val="0"/>
                  <w:marBottom w:val="0"/>
                  <w:divBdr>
                    <w:top w:val="single" w:sz="2" w:space="0" w:color="D9D9E3"/>
                    <w:left w:val="single" w:sz="2" w:space="0" w:color="D9D9E3"/>
                    <w:bottom w:val="single" w:sz="2" w:space="0" w:color="D9D9E3"/>
                    <w:right w:val="single" w:sz="2" w:space="0" w:color="D9D9E3"/>
                  </w:divBdr>
                  <w:divsChild>
                    <w:div w:id="1823736633">
                      <w:marLeft w:val="0"/>
                      <w:marRight w:val="0"/>
                      <w:marTop w:val="0"/>
                      <w:marBottom w:val="0"/>
                      <w:divBdr>
                        <w:top w:val="single" w:sz="2" w:space="0" w:color="D9D9E3"/>
                        <w:left w:val="single" w:sz="2" w:space="0" w:color="D9D9E3"/>
                        <w:bottom w:val="single" w:sz="2" w:space="0" w:color="D9D9E3"/>
                        <w:right w:val="single" w:sz="2" w:space="0" w:color="D9D9E3"/>
                      </w:divBdr>
                      <w:divsChild>
                        <w:div w:id="1255892665">
                          <w:marLeft w:val="0"/>
                          <w:marRight w:val="0"/>
                          <w:marTop w:val="0"/>
                          <w:marBottom w:val="0"/>
                          <w:divBdr>
                            <w:top w:val="single" w:sz="2" w:space="0" w:color="auto"/>
                            <w:left w:val="single" w:sz="2" w:space="0" w:color="auto"/>
                            <w:bottom w:val="single" w:sz="6" w:space="0" w:color="auto"/>
                            <w:right w:val="single" w:sz="2" w:space="0" w:color="auto"/>
                          </w:divBdr>
                          <w:divsChild>
                            <w:div w:id="1271157524">
                              <w:marLeft w:val="0"/>
                              <w:marRight w:val="0"/>
                              <w:marTop w:val="100"/>
                              <w:marBottom w:val="100"/>
                              <w:divBdr>
                                <w:top w:val="single" w:sz="2" w:space="0" w:color="D9D9E3"/>
                                <w:left w:val="single" w:sz="2" w:space="0" w:color="D9D9E3"/>
                                <w:bottom w:val="single" w:sz="2" w:space="0" w:color="D9D9E3"/>
                                <w:right w:val="single" w:sz="2" w:space="0" w:color="D9D9E3"/>
                              </w:divBdr>
                              <w:divsChild>
                                <w:div w:id="771362442">
                                  <w:marLeft w:val="0"/>
                                  <w:marRight w:val="0"/>
                                  <w:marTop w:val="0"/>
                                  <w:marBottom w:val="0"/>
                                  <w:divBdr>
                                    <w:top w:val="single" w:sz="2" w:space="0" w:color="D9D9E3"/>
                                    <w:left w:val="single" w:sz="2" w:space="0" w:color="D9D9E3"/>
                                    <w:bottom w:val="single" w:sz="2" w:space="0" w:color="D9D9E3"/>
                                    <w:right w:val="single" w:sz="2" w:space="0" w:color="D9D9E3"/>
                                  </w:divBdr>
                                  <w:divsChild>
                                    <w:div w:id="1326780685">
                                      <w:marLeft w:val="0"/>
                                      <w:marRight w:val="0"/>
                                      <w:marTop w:val="0"/>
                                      <w:marBottom w:val="0"/>
                                      <w:divBdr>
                                        <w:top w:val="single" w:sz="2" w:space="0" w:color="D9D9E3"/>
                                        <w:left w:val="single" w:sz="2" w:space="0" w:color="D9D9E3"/>
                                        <w:bottom w:val="single" w:sz="2" w:space="0" w:color="D9D9E3"/>
                                        <w:right w:val="single" w:sz="2" w:space="0" w:color="D9D9E3"/>
                                      </w:divBdr>
                                      <w:divsChild>
                                        <w:div w:id="1485008212">
                                          <w:marLeft w:val="0"/>
                                          <w:marRight w:val="0"/>
                                          <w:marTop w:val="0"/>
                                          <w:marBottom w:val="0"/>
                                          <w:divBdr>
                                            <w:top w:val="single" w:sz="2" w:space="0" w:color="D9D9E3"/>
                                            <w:left w:val="single" w:sz="2" w:space="0" w:color="D9D9E3"/>
                                            <w:bottom w:val="single" w:sz="2" w:space="0" w:color="D9D9E3"/>
                                            <w:right w:val="single" w:sz="2" w:space="0" w:color="D9D9E3"/>
                                          </w:divBdr>
                                          <w:divsChild>
                                            <w:div w:id="1028216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8846800">
          <w:marLeft w:val="0"/>
          <w:marRight w:val="0"/>
          <w:marTop w:val="0"/>
          <w:marBottom w:val="0"/>
          <w:divBdr>
            <w:top w:val="none" w:sz="0" w:space="0" w:color="auto"/>
            <w:left w:val="none" w:sz="0" w:space="0" w:color="auto"/>
            <w:bottom w:val="none" w:sz="0" w:space="0" w:color="auto"/>
            <w:right w:val="none" w:sz="0" w:space="0" w:color="auto"/>
          </w:divBdr>
        </w:div>
      </w:divsChild>
    </w:div>
    <w:div w:id="1063681882">
      <w:bodyDiv w:val="1"/>
      <w:marLeft w:val="0"/>
      <w:marRight w:val="0"/>
      <w:marTop w:val="0"/>
      <w:marBottom w:val="0"/>
      <w:divBdr>
        <w:top w:val="none" w:sz="0" w:space="0" w:color="auto"/>
        <w:left w:val="none" w:sz="0" w:space="0" w:color="auto"/>
        <w:bottom w:val="none" w:sz="0" w:space="0" w:color="auto"/>
        <w:right w:val="none" w:sz="0" w:space="0" w:color="auto"/>
      </w:divBdr>
      <w:divsChild>
        <w:div w:id="924611026">
          <w:marLeft w:val="0"/>
          <w:marRight w:val="0"/>
          <w:marTop w:val="0"/>
          <w:marBottom w:val="0"/>
          <w:divBdr>
            <w:top w:val="none" w:sz="0" w:space="0" w:color="auto"/>
            <w:left w:val="none" w:sz="0" w:space="0" w:color="auto"/>
            <w:bottom w:val="none" w:sz="0" w:space="0" w:color="auto"/>
            <w:right w:val="none" w:sz="0" w:space="0" w:color="auto"/>
          </w:divBdr>
        </w:div>
      </w:divsChild>
    </w:div>
    <w:div w:id="1371565552">
      <w:bodyDiv w:val="1"/>
      <w:marLeft w:val="0"/>
      <w:marRight w:val="0"/>
      <w:marTop w:val="0"/>
      <w:marBottom w:val="0"/>
      <w:divBdr>
        <w:top w:val="none" w:sz="0" w:space="0" w:color="auto"/>
        <w:left w:val="none" w:sz="0" w:space="0" w:color="auto"/>
        <w:bottom w:val="none" w:sz="0" w:space="0" w:color="auto"/>
        <w:right w:val="none" w:sz="0" w:space="0" w:color="auto"/>
      </w:divBdr>
    </w:div>
    <w:div w:id="1420562161">
      <w:bodyDiv w:val="1"/>
      <w:marLeft w:val="0"/>
      <w:marRight w:val="0"/>
      <w:marTop w:val="0"/>
      <w:marBottom w:val="0"/>
      <w:divBdr>
        <w:top w:val="none" w:sz="0" w:space="0" w:color="auto"/>
        <w:left w:val="none" w:sz="0" w:space="0" w:color="auto"/>
        <w:bottom w:val="none" w:sz="0" w:space="0" w:color="auto"/>
        <w:right w:val="none" w:sz="0" w:space="0" w:color="auto"/>
      </w:divBdr>
    </w:div>
    <w:div w:id="1424373764">
      <w:bodyDiv w:val="1"/>
      <w:marLeft w:val="0"/>
      <w:marRight w:val="0"/>
      <w:marTop w:val="0"/>
      <w:marBottom w:val="0"/>
      <w:divBdr>
        <w:top w:val="none" w:sz="0" w:space="0" w:color="auto"/>
        <w:left w:val="none" w:sz="0" w:space="0" w:color="auto"/>
        <w:bottom w:val="none" w:sz="0" w:space="0" w:color="auto"/>
        <w:right w:val="none" w:sz="0" w:space="0" w:color="auto"/>
      </w:divBdr>
    </w:div>
    <w:div w:id="1475902133">
      <w:bodyDiv w:val="1"/>
      <w:marLeft w:val="0"/>
      <w:marRight w:val="0"/>
      <w:marTop w:val="0"/>
      <w:marBottom w:val="0"/>
      <w:divBdr>
        <w:top w:val="none" w:sz="0" w:space="0" w:color="auto"/>
        <w:left w:val="none" w:sz="0" w:space="0" w:color="auto"/>
        <w:bottom w:val="none" w:sz="0" w:space="0" w:color="auto"/>
        <w:right w:val="none" w:sz="0" w:space="0" w:color="auto"/>
      </w:divBdr>
    </w:div>
    <w:div w:id="1525822450">
      <w:bodyDiv w:val="1"/>
      <w:marLeft w:val="0"/>
      <w:marRight w:val="0"/>
      <w:marTop w:val="0"/>
      <w:marBottom w:val="0"/>
      <w:divBdr>
        <w:top w:val="none" w:sz="0" w:space="0" w:color="auto"/>
        <w:left w:val="none" w:sz="0" w:space="0" w:color="auto"/>
        <w:bottom w:val="none" w:sz="0" w:space="0" w:color="auto"/>
        <w:right w:val="none" w:sz="0" w:space="0" w:color="auto"/>
      </w:divBdr>
    </w:div>
    <w:div w:id="1538741882">
      <w:bodyDiv w:val="1"/>
      <w:marLeft w:val="0"/>
      <w:marRight w:val="0"/>
      <w:marTop w:val="0"/>
      <w:marBottom w:val="0"/>
      <w:divBdr>
        <w:top w:val="none" w:sz="0" w:space="0" w:color="auto"/>
        <w:left w:val="none" w:sz="0" w:space="0" w:color="auto"/>
        <w:bottom w:val="none" w:sz="0" w:space="0" w:color="auto"/>
        <w:right w:val="none" w:sz="0" w:space="0" w:color="auto"/>
      </w:divBdr>
    </w:div>
    <w:div w:id="1544295750">
      <w:bodyDiv w:val="1"/>
      <w:marLeft w:val="0"/>
      <w:marRight w:val="0"/>
      <w:marTop w:val="0"/>
      <w:marBottom w:val="0"/>
      <w:divBdr>
        <w:top w:val="none" w:sz="0" w:space="0" w:color="auto"/>
        <w:left w:val="none" w:sz="0" w:space="0" w:color="auto"/>
        <w:bottom w:val="none" w:sz="0" w:space="0" w:color="auto"/>
        <w:right w:val="none" w:sz="0" w:space="0" w:color="auto"/>
      </w:divBdr>
    </w:div>
    <w:div w:id="1607736919">
      <w:bodyDiv w:val="1"/>
      <w:marLeft w:val="0"/>
      <w:marRight w:val="0"/>
      <w:marTop w:val="0"/>
      <w:marBottom w:val="0"/>
      <w:divBdr>
        <w:top w:val="none" w:sz="0" w:space="0" w:color="auto"/>
        <w:left w:val="none" w:sz="0" w:space="0" w:color="auto"/>
        <w:bottom w:val="none" w:sz="0" w:space="0" w:color="auto"/>
        <w:right w:val="none" w:sz="0" w:space="0" w:color="auto"/>
      </w:divBdr>
    </w:div>
    <w:div w:id="1649556976">
      <w:bodyDiv w:val="1"/>
      <w:marLeft w:val="0"/>
      <w:marRight w:val="0"/>
      <w:marTop w:val="0"/>
      <w:marBottom w:val="0"/>
      <w:divBdr>
        <w:top w:val="none" w:sz="0" w:space="0" w:color="auto"/>
        <w:left w:val="none" w:sz="0" w:space="0" w:color="auto"/>
        <w:bottom w:val="none" w:sz="0" w:space="0" w:color="auto"/>
        <w:right w:val="none" w:sz="0" w:space="0" w:color="auto"/>
      </w:divBdr>
    </w:div>
    <w:div w:id="1850827454">
      <w:bodyDiv w:val="1"/>
      <w:marLeft w:val="0"/>
      <w:marRight w:val="0"/>
      <w:marTop w:val="0"/>
      <w:marBottom w:val="0"/>
      <w:divBdr>
        <w:top w:val="none" w:sz="0" w:space="0" w:color="auto"/>
        <w:left w:val="none" w:sz="0" w:space="0" w:color="auto"/>
        <w:bottom w:val="none" w:sz="0" w:space="0" w:color="auto"/>
        <w:right w:val="none" w:sz="0" w:space="0" w:color="auto"/>
      </w:divBdr>
    </w:div>
    <w:div w:id="20134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B06BF-2972-42B6-84E2-F7B4E828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4409</TotalTime>
  <Pages>30</Pages>
  <Words>6895</Words>
  <Characters>34479</Characters>
  <Application>Microsoft Office Word</Application>
  <DocSecurity>0</DocSecurity>
  <Lines>287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Stampfer</dc:creator>
  <cp:keywords/>
  <dc:description/>
  <cp:lastModifiedBy>שטמפפר צבי</cp:lastModifiedBy>
  <cp:revision>30</cp:revision>
  <cp:lastPrinted>2024-02-08T14:05:00Z</cp:lastPrinted>
  <dcterms:created xsi:type="dcterms:W3CDTF">2023-08-17T15:06:00Z</dcterms:created>
  <dcterms:modified xsi:type="dcterms:W3CDTF">2024-03-13T11:23:00Z</dcterms:modified>
</cp:coreProperties>
</file>