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44A0E" w14:textId="66A06702" w:rsidR="00846A7E" w:rsidRPr="00AE394D" w:rsidRDefault="00846A7E" w:rsidP="006F45B9">
      <w:pPr>
        <w:spacing w:line="480" w:lineRule="auto"/>
        <w:jc w:val="center"/>
        <w:rPr>
          <w:b/>
          <w:bCs/>
          <w:lang w:val="en-CA"/>
        </w:rPr>
      </w:pPr>
      <w:r w:rsidRPr="00AE394D">
        <w:rPr>
          <w:b/>
          <w:bCs/>
          <w:lang w:val="en-CA"/>
        </w:rPr>
        <w:t>INTRODUCTION</w:t>
      </w:r>
    </w:p>
    <w:p w14:paraId="329CA772" w14:textId="6551602C" w:rsidR="00846A7E" w:rsidRPr="00AE394D" w:rsidRDefault="00846A7E" w:rsidP="006F45B9">
      <w:pPr>
        <w:spacing w:line="480" w:lineRule="auto"/>
        <w:jc w:val="center"/>
        <w:rPr>
          <w:b/>
          <w:bCs/>
          <w:lang w:val="en-CA"/>
        </w:rPr>
      </w:pPr>
      <w:r w:rsidRPr="00AE394D">
        <w:rPr>
          <w:b/>
          <w:bCs/>
          <w:lang w:val="en-CA"/>
        </w:rPr>
        <w:t>Philosophical Esotericism and the Creation of the World</w:t>
      </w:r>
    </w:p>
    <w:p w14:paraId="7DE367C6" w14:textId="77777777" w:rsidR="00846A7E" w:rsidRPr="00AE394D" w:rsidRDefault="00846A7E" w:rsidP="006F45B9">
      <w:pPr>
        <w:spacing w:line="480" w:lineRule="auto"/>
        <w:jc w:val="center"/>
        <w:rPr>
          <w:b/>
          <w:bCs/>
          <w:lang w:val="en-CA"/>
        </w:rPr>
      </w:pPr>
    </w:p>
    <w:p w14:paraId="6C1FCECA" w14:textId="77777777" w:rsidR="00846A7E" w:rsidRPr="00846A7E" w:rsidRDefault="00846A7E" w:rsidP="006F45B9">
      <w:pPr>
        <w:spacing w:line="480" w:lineRule="auto"/>
        <w:rPr>
          <w:i/>
          <w:iCs/>
          <w:lang w:val="en-CA"/>
        </w:rPr>
      </w:pPr>
    </w:p>
    <w:p w14:paraId="348C1BB8" w14:textId="0A43ED14" w:rsidR="0018633B" w:rsidRPr="00846A7E" w:rsidRDefault="00846A7E" w:rsidP="006F45B9">
      <w:pPr>
        <w:spacing w:line="480" w:lineRule="auto"/>
        <w:ind w:left="5400"/>
        <w:rPr>
          <w:i/>
          <w:iCs/>
          <w:lang w:val="en-CA"/>
        </w:rPr>
      </w:pPr>
      <w:r w:rsidRPr="00846A7E">
        <w:rPr>
          <w:i/>
          <w:iCs/>
          <w:lang w:val="en-CA"/>
        </w:rPr>
        <w:t xml:space="preserve">It is impossible to tell mortals of the power of the Account of the Beginning. For this </w:t>
      </w:r>
      <w:proofErr w:type="gramStart"/>
      <w:r w:rsidRPr="00846A7E">
        <w:rPr>
          <w:i/>
          <w:iCs/>
          <w:lang w:val="en-CA"/>
        </w:rPr>
        <w:t>reason</w:t>
      </w:r>
      <w:proofErr w:type="gramEnd"/>
      <w:r w:rsidRPr="00846A7E">
        <w:rPr>
          <w:i/>
          <w:iCs/>
          <w:lang w:val="en-CA"/>
        </w:rPr>
        <w:t xml:space="preserve"> Scripture tells you obscurely: In the beginning God created, and so on</w:t>
      </w:r>
      <w:r>
        <w:rPr>
          <w:i/>
          <w:iCs/>
          <w:lang w:val="en-CA"/>
        </w:rPr>
        <w:t>.</w:t>
      </w:r>
    </w:p>
    <w:p w14:paraId="6BB7F707" w14:textId="0B8CC02E" w:rsidR="00FE2A60" w:rsidRPr="00846A7E" w:rsidRDefault="00FE2A60" w:rsidP="006F45B9">
      <w:pPr>
        <w:spacing w:line="480" w:lineRule="auto"/>
        <w:rPr>
          <w:lang w:val="en-CA"/>
        </w:rPr>
      </w:pPr>
    </w:p>
    <w:p w14:paraId="31B56946" w14:textId="5DAD30B3" w:rsidR="00FE2A60" w:rsidRPr="00846A7E" w:rsidRDefault="00FE2A60" w:rsidP="006F45B9">
      <w:pPr>
        <w:spacing w:line="480" w:lineRule="auto"/>
        <w:rPr>
          <w:lang w:val="en-CA"/>
        </w:rPr>
      </w:pPr>
      <w:r w:rsidRPr="00846A7E">
        <w:rPr>
          <w:lang w:val="en-CA"/>
        </w:rPr>
        <w:t>Ci</w:t>
      </w:r>
      <w:r w:rsidR="00B50D9A" w:rsidRPr="00846A7E">
        <w:rPr>
          <w:lang w:val="en-CA"/>
        </w:rPr>
        <w:t xml:space="preserve">ted in the introduction of Maimonides’s </w:t>
      </w:r>
      <w:r w:rsidR="00B50D9A" w:rsidRPr="00846A7E">
        <w:rPr>
          <w:i/>
          <w:iCs/>
          <w:lang w:val="en-CA"/>
        </w:rPr>
        <w:t>Guide of the Perplexed</w:t>
      </w:r>
      <w:r w:rsidR="00B50D9A" w:rsidRPr="00846A7E">
        <w:rPr>
          <w:lang w:val="en-CA"/>
        </w:rPr>
        <w:t>,</w:t>
      </w:r>
      <w:r w:rsidR="00846A7E" w:rsidRPr="00846A7E">
        <w:rPr>
          <w:rStyle w:val="Appelnotedebasdep"/>
          <w:lang w:val="en-CA"/>
        </w:rPr>
        <w:footnoteReference w:id="1"/>
      </w:r>
      <w:r w:rsidR="00B50D9A" w:rsidRPr="00846A7E">
        <w:rPr>
          <w:lang w:val="en-CA"/>
        </w:rPr>
        <w:t xml:space="preserve"> this text, which presents itself as an ancient rabbinic teaching,</w:t>
      </w:r>
      <w:r w:rsidR="00846A7E">
        <w:rPr>
          <w:rStyle w:val="Appelnotedebasdep"/>
          <w:lang w:val="en-CA"/>
        </w:rPr>
        <w:footnoteReference w:id="2"/>
      </w:r>
      <w:r w:rsidR="00B50D9A" w:rsidRPr="00846A7E">
        <w:rPr>
          <w:lang w:val="en-CA"/>
        </w:rPr>
        <w:t xml:space="preserve"> suggest</w:t>
      </w:r>
      <w:r w:rsidR="008906D9" w:rsidRPr="00846A7E">
        <w:rPr>
          <w:lang w:val="en-CA"/>
        </w:rPr>
        <w:t>s</w:t>
      </w:r>
      <w:r w:rsidR="00B50D9A" w:rsidRPr="00846A7E">
        <w:rPr>
          <w:lang w:val="en-CA"/>
        </w:rPr>
        <w:t xml:space="preserve"> that the question of the creation of the world – </w:t>
      </w:r>
      <w:r w:rsidR="00846A7E">
        <w:rPr>
          <w:lang w:val="en-CA"/>
        </w:rPr>
        <w:t>the “Account of the Beginning”</w:t>
      </w:r>
      <w:r w:rsidR="00B50D9A" w:rsidRPr="00846A7E">
        <w:rPr>
          <w:lang w:val="en-CA"/>
        </w:rPr>
        <w:t xml:space="preserve"> (</w:t>
      </w:r>
      <w:proofErr w:type="spellStart"/>
      <w:r w:rsidR="00B50D9A" w:rsidRPr="00846A7E">
        <w:rPr>
          <w:i/>
          <w:iCs/>
          <w:lang w:val="en-CA"/>
        </w:rPr>
        <w:t>Ma</w:t>
      </w:r>
      <w:r w:rsidR="00B50D9A" w:rsidRPr="00846A7E">
        <w:rPr>
          <w:i/>
          <w:iCs/>
          <w:vertAlign w:val="superscript"/>
          <w:lang w:val="en-CA"/>
        </w:rPr>
        <w:t>c</w:t>
      </w:r>
      <w:r w:rsidR="00B50D9A" w:rsidRPr="00846A7E">
        <w:rPr>
          <w:i/>
          <w:iCs/>
          <w:lang w:val="en-CA"/>
        </w:rPr>
        <w:t>aśe</w:t>
      </w:r>
      <w:proofErr w:type="spellEnd"/>
      <w:r w:rsidR="00B50D9A" w:rsidRPr="00846A7E">
        <w:rPr>
          <w:i/>
          <w:iCs/>
          <w:lang w:val="en-CA"/>
        </w:rPr>
        <w:t xml:space="preserve"> Be-re</w:t>
      </w:r>
      <w:r w:rsidR="00B50D9A" w:rsidRPr="00846A7E">
        <w:rPr>
          <w:rFonts w:eastAsia="Meiryo"/>
          <w:i/>
          <w:iCs/>
          <w:color w:val="202124"/>
          <w:shd w:val="clear" w:color="auto" w:fill="FFFFFF"/>
          <w:vertAlign w:val="superscript"/>
        </w:rPr>
        <w:t>ↄ</w:t>
      </w:r>
      <w:proofErr w:type="spellStart"/>
      <w:r w:rsidR="00B50D9A" w:rsidRPr="00846A7E">
        <w:rPr>
          <w:i/>
          <w:iCs/>
          <w:lang w:val="en-CA"/>
        </w:rPr>
        <w:t>šit</w:t>
      </w:r>
      <w:proofErr w:type="spellEnd"/>
      <w:r w:rsidR="00B50D9A" w:rsidRPr="00846A7E">
        <w:rPr>
          <w:i/>
          <w:iCs/>
          <w:lang w:val="en-CA"/>
        </w:rPr>
        <w:t xml:space="preserve">) </w:t>
      </w:r>
      <w:r w:rsidR="00B50D9A" w:rsidRPr="00846A7E">
        <w:rPr>
          <w:lang w:val="en-CA"/>
        </w:rPr>
        <w:t xml:space="preserve">as it is traditionally known </w:t>
      </w:r>
      <w:r w:rsidR="008906D9" w:rsidRPr="00846A7E">
        <w:rPr>
          <w:lang w:val="en-CA"/>
        </w:rPr>
        <w:t>–</w:t>
      </w:r>
      <w:r w:rsidR="00B50D9A" w:rsidRPr="00846A7E">
        <w:rPr>
          <w:lang w:val="en-CA"/>
        </w:rPr>
        <w:t xml:space="preserve"> </w:t>
      </w:r>
      <w:r w:rsidR="008906D9" w:rsidRPr="00846A7E">
        <w:rPr>
          <w:lang w:val="en-CA"/>
        </w:rPr>
        <w:t xml:space="preserve">shares common </w:t>
      </w:r>
      <w:r w:rsidR="008906D9" w:rsidRPr="00846A7E">
        <w:rPr>
          <w:lang w:val="en-CA"/>
        </w:rPr>
        <w:lastRenderedPageBreak/>
        <w:t xml:space="preserve">ground with esoteric literature. </w:t>
      </w:r>
      <w:r w:rsidR="00FF062F" w:rsidRPr="00C769ED">
        <w:rPr>
          <w:lang w:val="en-CA"/>
        </w:rPr>
        <w:t>This intersection is</w:t>
      </w:r>
      <w:r w:rsidR="00FF062F">
        <w:rPr>
          <w:lang w:val="en-CA"/>
        </w:rPr>
        <w:t xml:space="preserve"> illustrated by</w:t>
      </w:r>
      <w:r w:rsidR="008906D9" w:rsidRPr="00846A7E">
        <w:rPr>
          <w:lang w:val="en-CA"/>
        </w:rPr>
        <w:t xml:space="preserve"> the opening verse of Genesis</w:t>
      </w:r>
      <w:r w:rsidR="00FF062F">
        <w:rPr>
          <w:lang w:val="en-CA"/>
        </w:rPr>
        <w:t>,</w:t>
      </w:r>
      <w:r w:rsidR="00BE7A76" w:rsidRPr="00846A7E">
        <w:rPr>
          <w:lang w:val="en-CA"/>
        </w:rPr>
        <w:t xml:space="preserve"> in all its obscurity. </w:t>
      </w:r>
      <w:r w:rsidR="008906D9" w:rsidRPr="00846A7E">
        <w:rPr>
          <w:lang w:val="en-CA"/>
        </w:rPr>
        <w:t xml:space="preserve"> </w:t>
      </w:r>
    </w:p>
    <w:p w14:paraId="17E898EC" w14:textId="5224DD6E" w:rsidR="008906D9" w:rsidRDefault="00DB4109" w:rsidP="006F45B9">
      <w:pPr>
        <w:spacing w:line="480" w:lineRule="auto"/>
        <w:ind w:firstLine="720"/>
        <w:rPr>
          <w:lang w:val="en-CA"/>
        </w:rPr>
      </w:pPr>
      <w:r w:rsidRPr="00846A7E">
        <w:rPr>
          <w:lang w:val="en-CA"/>
        </w:rPr>
        <w:t xml:space="preserve">Indeed, it is striking that, in the medieval Jewish philosophical corpus of which the </w:t>
      </w:r>
      <w:r w:rsidRPr="00846A7E">
        <w:rPr>
          <w:i/>
          <w:iCs/>
          <w:lang w:val="en-CA"/>
        </w:rPr>
        <w:t xml:space="preserve">Guide </w:t>
      </w:r>
      <w:r w:rsidRPr="00846A7E">
        <w:rPr>
          <w:lang w:val="en-CA"/>
        </w:rPr>
        <w:t xml:space="preserve">is the major text, the question of the creation of the world leads many authors to </w:t>
      </w:r>
      <w:r w:rsidR="00DE0F7F" w:rsidRPr="00846A7E">
        <w:rPr>
          <w:lang w:val="en-CA"/>
        </w:rPr>
        <w:t xml:space="preserve">adopt </w:t>
      </w:r>
      <w:r w:rsidRPr="00846A7E">
        <w:rPr>
          <w:lang w:val="en-CA"/>
        </w:rPr>
        <w:t>complex “writing strategies” –</w:t>
      </w:r>
      <w:r w:rsidR="00BE7A76" w:rsidRPr="00846A7E">
        <w:rPr>
          <w:lang w:val="en-CA"/>
        </w:rPr>
        <w:t xml:space="preserve"> </w:t>
      </w:r>
      <w:r w:rsidRPr="00846A7E">
        <w:rPr>
          <w:lang w:val="en-CA"/>
        </w:rPr>
        <w:t>to take up specific “arts of writing</w:t>
      </w:r>
      <w:r w:rsidR="00BE7A76" w:rsidRPr="00846A7E">
        <w:rPr>
          <w:lang w:val="en-CA"/>
        </w:rPr>
        <w:t>,</w:t>
      </w:r>
      <w:r w:rsidRPr="00846A7E">
        <w:rPr>
          <w:lang w:val="en-CA"/>
        </w:rPr>
        <w:t>”</w:t>
      </w:r>
      <w:r w:rsidR="00BE7A76" w:rsidRPr="00846A7E">
        <w:rPr>
          <w:lang w:val="en-CA"/>
        </w:rPr>
        <w:t xml:space="preserve"> to use Leo Strauss’s phrase. This monograph thus </w:t>
      </w:r>
      <w:r w:rsidR="00BE7A76" w:rsidRPr="00AE394D">
        <w:rPr>
          <w:lang w:val="en-CA"/>
        </w:rPr>
        <w:t xml:space="preserve">undertakes </w:t>
      </w:r>
      <w:r w:rsidR="00E72F73">
        <w:rPr>
          <w:lang w:val="en-CA"/>
        </w:rPr>
        <w:t>to reflect at once</w:t>
      </w:r>
      <w:r w:rsidR="00BE7A76" w:rsidRPr="00AE394D">
        <w:rPr>
          <w:lang w:val="en-CA"/>
        </w:rPr>
        <w:t xml:space="preserve"> </w:t>
      </w:r>
      <w:r w:rsidR="00BE7A76" w:rsidRPr="00846A7E">
        <w:rPr>
          <w:lang w:val="en-CA"/>
        </w:rPr>
        <w:t xml:space="preserve">on the philosophical problem of the creation of the world </w:t>
      </w:r>
      <w:r w:rsidR="00E72F73">
        <w:rPr>
          <w:lang w:val="en-CA"/>
        </w:rPr>
        <w:t xml:space="preserve">and </w:t>
      </w:r>
      <w:r w:rsidR="00A8386C">
        <w:rPr>
          <w:lang w:val="en-CA"/>
        </w:rPr>
        <w:t>on</w:t>
      </w:r>
      <w:r w:rsidR="00BE7A76" w:rsidRPr="00846A7E">
        <w:rPr>
          <w:lang w:val="en-CA"/>
        </w:rPr>
        <w:t xml:space="preserve"> the invention, in philosophy, of a particular manner of writing. </w:t>
      </w:r>
    </w:p>
    <w:p w14:paraId="05C91AEB" w14:textId="595F12E1" w:rsidR="006E1D5B" w:rsidRPr="00657DCF" w:rsidRDefault="006E1D5B" w:rsidP="006F45B9">
      <w:pPr>
        <w:spacing w:line="480" w:lineRule="auto"/>
        <w:ind w:firstLine="720"/>
      </w:pPr>
      <w:r w:rsidRPr="00657DCF">
        <w:t>This project was born from</w:t>
      </w:r>
      <w:r>
        <w:t xml:space="preserve"> the observation of</w:t>
      </w:r>
      <w:r w:rsidRPr="00657DCF">
        <w:t xml:space="preserve"> a </w:t>
      </w:r>
      <w:r>
        <w:t>paradox: the question of the creation of the world is unanimously seen as fundamental in the medieval Jewish philosophical corpus, but no synthetic approach to the topic in the work of the principal medieval Jewish philosophers has been proposed since Norbert Samuelson’s 1994 volume.</w:t>
      </w:r>
      <w:r w:rsidRPr="00657DCF">
        <w:rPr>
          <w:rStyle w:val="Appelnotedebasdep"/>
        </w:rPr>
        <w:footnoteReference w:id="3"/>
      </w:r>
      <w:r>
        <w:t xml:space="preserve"> That volume’s scope – beginning with the Bible and ending with </w:t>
      </w:r>
      <w:r w:rsidRPr="00657DCF">
        <w:t>Franz Rosenzweig</w:t>
      </w:r>
      <w:r>
        <w:t xml:space="preserve"> – far exceeds the medieval period</w:t>
      </w:r>
      <w:r w:rsidRPr="00657DCF">
        <w:t>.</w:t>
      </w:r>
      <w:r>
        <w:t xml:space="preserve"> In another 1994 article</w:t>
      </w:r>
      <w:r w:rsidR="00244CCD">
        <w:t xml:space="preserve"> to which I will return</w:t>
      </w:r>
      <w:r>
        <w:t>,</w:t>
      </w:r>
      <w:r w:rsidRPr="00657DCF">
        <w:rPr>
          <w:rStyle w:val="Appelnotedebasdep"/>
        </w:rPr>
        <w:footnoteReference w:id="4"/>
      </w:r>
      <w:r>
        <w:t xml:space="preserve"> </w:t>
      </w:r>
      <w:r w:rsidRPr="00657DCF">
        <w:t xml:space="preserve">Jacob I. </w:t>
      </w:r>
      <w:proofErr w:type="spellStart"/>
      <w:r w:rsidRPr="00657DCF">
        <w:t>Dienstag</w:t>
      </w:r>
      <w:proofErr w:type="spellEnd"/>
      <w:r w:rsidRPr="00657DCF">
        <w:t xml:space="preserve"> </w:t>
      </w:r>
      <w:r>
        <w:t>lists</w:t>
      </w:r>
      <w:r w:rsidRPr="00657DCF">
        <w:t xml:space="preserve"> 156 studi</w:t>
      </w:r>
      <w:r>
        <w:t>e</w:t>
      </w:r>
      <w:r w:rsidRPr="00657DCF">
        <w:t xml:space="preserve">s dedicated to the </w:t>
      </w:r>
      <w:r>
        <w:t xml:space="preserve">question of the creation of the world only in Maimonides since the beginning of the twentieth century. This bibliography has only grown since then. Monographs have been devoted entirely or in part to one </w:t>
      </w:r>
      <w:r>
        <w:lastRenderedPageBreak/>
        <w:t>or another of the authors tackled here.</w:t>
      </w:r>
      <w:r w:rsidRPr="00657DCF">
        <w:rPr>
          <w:rStyle w:val="Appelnotedebasdep"/>
        </w:rPr>
        <w:footnoteReference w:id="5"/>
      </w:r>
      <w:r>
        <w:t xml:space="preserve"> Brian </w:t>
      </w:r>
      <w:proofErr w:type="spellStart"/>
      <w:r>
        <w:t>Ogren’s</w:t>
      </w:r>
      <w:proofErr w:type="spellEnd"/>
      <w:r>
        <w:t xml:space="preserve"> recent volume on the question of creation,</w:t>
      </w:r>
      <w:r w:rsidRPr="00657DCF">
        <w:rPr>
          <w:rStyle w:val="Appelnotedebasdep"/>
        </w:rPr>
        <w:footnoteReference w:id="6"/>
      </w:r>
      <w:r>
        <w:t xml:space="preserve"> </w:t>
      </w:r>
      <w:r w:rsidRPr="00DB2F9E">
        <w:rPr>
          <w:i/>
          <w:iCs/>
        </w:rPr>
        <w:t>The Beginning of the World in Renaissance Jewish Thought</w:t>
      </w:r>
      <w:r>
        <w:t xml:space="preserve">, begins historically precisely where this one ends. </w:t>
      </w:r>
      <w:r w:rsidR="0056109D">
        <w:rPr>
          <w:i/>
          <w:iCs/>
        </w:rPr>
        <w:t xml:space="preserve">The </w:t>
      </w:r>
      <w:r w:rsidR="0056109D" w:rsidRPr="00852982">
        <w:rPr>
          <w:i/>
          <w:iCs/>
        </w:rPr>
        <w:t xml:space="preserve">Creation of the </w:t>
      </w:r>
      <w:r w:rsidR="0056109D">
        <w:rPr>
          <w:i/>
          <w:iCs/>
        </w:rPr>
        <w:t>W</w:t>
      </w:r>
      <w:r w:rsidR="0056109D" w:rsidRPr="00852982">
        <w:rPr>
          <w:i/>
          <w:iCs/>
        </w:rPr>
        <w:t xml:space="preserve">orld and </w:t>
      </w:r>
      <w:r w:rsidR="0056109D">
        <w:rPr>
          <w:i/>
          <w:iCs/>
        </w:rPr>
        <w:t>the L</w:t>
      </w:r>
      <w:r w:rsidR="0056109D" w:rsidRPr="00852982">
        <w:rPr>
          <w:i/>
          <w:iCs/>
        </w:rPr>
        <w:t>imits of Language</w:t>
      </w:r>
      <w:r w:rsidR="0056109D">
        <w:t xml:space="preserve"> </w:t>
      </w:r>
      <w:r>
        <w:t xml:space="preserve">thus </w:t>
      </w:r>
      <w:r w:rsidRPr="00AF3FE6">
        <w:t>fills a void in the scholarship</w:t>
      </w:r>
      <w:r>
        <w:t xml:space="preserve"> and can be read as an exploration of medieval Jewish philosophy that emerges from one of its central questions. It is, however, something other than an overview of the various philosophical doctrines held by Jewish thinkers during the Middle Ages. It proposes to approach them through the lens of a decidedly essential problem for what historians of Jewish thought commonly call “Jewish mysticism”: that of the limits of language. </w:t>
      </w:r>
    </w:p>
    <w:p w14:paraId="72997FCF" w14:textId="4F48E4E4" w:rsidR="006E1D5B" w:rsidRDefault="006E1D5B" w:rsidP="006F45B9">
      <w:pPr>
        <w:spacing w:line="480" w:lineRule="auto"/>
      </w:pPr>
    </w:p>
    <w:p w14:paraId="3A81E7A7" w14:textId="0FCD2BB5" w:rsidR="006E1D5B" w:rsidRPr="006E1D5B" w:rsidRDefault="006E1D5B" w:rsidP="006F45B9">
      <w:pPr>
        <w:spacing w:line="480" w:lineRule="auto"/>
        <w:rPr>
          <w:b/>
          <w:bCs/>
        </w:rPr>
      </w:pPr>
      <w:r w:rsidRPr="006E1D5B">
        <w:rPr>
          <w:b/>
          <w:bCs/>
        </w:rPr>
        <w:t>Medieval Jewish Philosophy</w:t>
      </w:r>
    </w:p>
    <w:p w14:paraId="420BE3E2" w14:textId="5D321E62" w:rsidR="00BE7A76" w:rsidRPr="00846A7E" w:rsidRDefault="00BE7A76" w:rsidP="006F45B9">
      <w:pPr>
        <w:spacing w:line="480" w:lineRule="auto"/>
        <w:rPr>
          <w:lang w:val="en-CA"/>
        </w:rPr>
      </w:pPr>
    </w:p>
    <w:p w14:paraId="6830D444" w14:textId="579F71F6" w:rsidR="00BE7A76" w:rsidRPr="00846A7E" w:rsidRDefault="00BE7A76" w:rsidP="006F45B9">
      <w:pPr>
        <w:spacing w:line="480" w:lineRule="auto"/>
        <w:ind w:firstLine="720"/>
        <w:rPr>
          <w:lang w:val="en-CA"/>
        </w:rPr>
      </w:pPr>
      <w:r w:rsidRPr="00846A7E">
        <w:rPr>
          <w:lang w:val="en-CA"/>
        </w:rPr>
        <w:t xml:space="preserve">I do not wish </w:t>
      </w:r>
      <w:r w:rsidR="00A8386C">
        <w:rPr>
          <w:lang w:val="en-CA"/>
        </w:rPr>
        <w:t xml:space="preserve">here </w:t>
      </w:r>
      <w:r w:rsidRPr="00846A7E">
        <w:rPr>
          <w:lang w:val="en-CA"/>
        </w:rPr>
        <w:t>to enter</w:t>
      </w:r>
      <w:r w:rsidR="003E4ACC" w:rsidRPr="00846A7E">
        <w:rPr>
          <w:lang w:val="en-CA"/>
        </w:rPr>
        <w:t xml:space="preserve"> </w:t>
      </w:r>
      <w:r w:rsidRPr="00846A7E">
        <w:rPr>
          <w:lang w:val="en-CA"/>
        </w:rPr>
        <w:t xml:space="preserve">into </w:t>
      </w:r>
      <w:r w:rsidR="003E4ACC" w:rsidRPr="00846A7E">
        <w:rPr>
          <w:lang w:val="en-CA"/>
        </w:rPr>
        <w:t xml:space="preserve">the </w:t>
      </w:r>
      <w:r w:rsidRPr="00846A7E">
        <w:rPr>
          <w:lang w:val="en-CA"/>
        </w:rPr>
        <w:t xml:space="preserve">complex conversations </w:t>
      </w:r>
      <w:r w:rsidRPr="00016EB9">
        <w:rPr>
          <w:lang w:val="en-CA"/>
        </w:rPr>
        <w:t>about</w:t>
      </w:r>
      <w:r w:rsidR="003E4ACC" w:rsidRPr="00016EB9">
        <w:rPr>
          <w:lang w:val="en-CA"/>
        </w:rPr>
        <w:t xml:space="preserve"> </w:t>
      </w:r>
      <w:r w:rsidR="00E5209D" w:rsidRPr="00016EB9">
        <w:rPr>
          <w:lang w:val="en-CA"/>
        </w:rPr>
        <w:t>the scope</w:t>
      </w:r>
      <w:r w:rsidR="00846A7E" w:rsidRPr="00016EB9">
        <w:rPr>
          <w:lang w:val="en-CA"/>
        </w:rPr>
        <w:t xml:space="preserve"> </w:t>
      </w:r>
      <w:r w:rsidR="003E4ACC" w:rsidRPr="00016EB9">
        <w:rPr>
          <w:lang w:val="en-CA"/>
        </w:rPr>
        <w:t>of</w:t>
      </w:r>
      <w:r w:rsidR="003E4ACC" w:rsidRPr="00846A7E">
        <w:rPr>
          <w:lang w:val="en-CA"/>
        </w:rPr>
        <w:t xml:space="preserve"> the concept</w:t>
      </w:r>
      <w:r w:rsidRPr="00846A7E">
        <w:rPr>
          <w:lang w:val="en-CA"/>
        </w:rPr>
        <w:t xml:space="preserve"> </w:t>
      </w:r>
      <w:r w:rsidR="003E4ACC" w:rsidRPr="00846A7E">
        <w:rPr>
          <w:lang w:val="en-CA"/>
        </w:rPr>
        <w:t xml:space="preserve">of “Jewish philosophy” </w:t>
      </w:r>
      <w:r w:rsidR="00570F2E">
        <w:rPr>
          <w:lang w:val="en-CA"/>
        </w:rPr>
        <w:t>or</w:t>
      </w:r>
      <w:r w:rsidR="003E4ACC" w:rsidRPr="00846A7E">
        <w:rPr>
          <w:lang w:val="en-CA"/>
        </w:rPr>
        <w:t xml:space="preserve"> </w:t>
      </w:r>
      <w:r w:rsidR="00846A7E">
        <w:rPr>
          <w:lang w:val="en-CA"/>
        </w:rPr>
        <w:t xml:space="preserve">about </w:t>
      </w:r>
      <w:r w:rsidR="003E4ACC" w:rsidRPr="00846A7E">
        <w:rPr>
          <w:lang w:val="en-CA"/>
        </w:rPr>
        <w:t>its margins.</w:t>
      </w:r>
      <w:r w:rsidR="00846A7E">
        <w:rPr>
          <w:rStyle w:val="Appelnotedebasdep"/>
          <w:lang w:val="en-CA"/>
        </w:rPr>
        <w:footnoteReference w:id="7"/>
      </w:r>
      <w:r w:rsidR="003E4ACC" w:rsidRPr="00846A7E">
        <w:rPr>
          <w:lang w:val="en-CA"/>
        </w:rPr>
        <w:t xml:space="preserve"> It is certainly problematic to attach an identitarian </w:t>
      </w:r>
      <w:r w:rsidR="003E4ACC" w:rsidRPr="00846A7E">
        <w:rPr>
          <w:lang w:val="en-CA"/>
        </w:rPr>
        <w:lastRenderedPageBreak/>
        <w:t>predicate, whether national or religious, to the term “philosophy.”</w:t>
      </w:r>
      <w:r w:rsidR="006A6FE4">
        <w:rPr>
          <w:rStyle w:val="Appelnotedebasdep"/>
          <w:lang w:val="en-CA"/>
        </w:rPr>
        <w:footnoteReference w:id="8"/>
      </w:r>
      <w:r w:rsidR="003E4ACC" w:rsidRPr="00846A7E">
        <w:rPr>
          <w:lang w:val="en-CA"/>
        </w:rPr>
        <w:t xml:space="preserve"> But it is also just as obvious that</w:t>
      </w:r>
      <w:r w:rsidR="00846A7E">
        <w:rPr>
          <w:lang w:val="en-CA"/>
        </w:rPr>
        <w:t>,</w:t>
      </w:r>
      <w:r w:rsidR="003E4ACC" w:rsidRPr="00846A7E">
        <w:rPr>
          <w:lang w:val="en-CA"/>
        </w:rPr>
        <w:t xml:space="preserve"> </w:t>
      </w:r>
      <w:r w:rsidR="00DE0F7F" w:rsidRPr="00846A7E">
        <w:rPr>
          <w:lang w:val="en-CA"/>
        </w:rPr>
        <w:t>in its history</w:t>
      </w:r>
      <w:r w:rsidR="00846A7E">
        <w:rPr>
          <w:lang w:val="en-CA"/>
        </w:rPr>
        <w:t>,</w:t>
      </w:r>
      <w:r w:rsidR="00DE0F7F" w:rsidRPr="00846A7E">
        <w:rPr>
          <w:lang w:val="en-CA"/>
        </w:rPr>
        <w:t xml:space="preserve"> </w:t>
      </w:r>
      <w:r w:rsidR="003E4ACC" w:rsidRPr="00846A7E">
        <w:rPr>
          <w:lang w:val="en-CA"/>
        </w:rPr>
        <w:t xml:space="preserve">philosophy </w:t>
      </w:r>
      <w:r w:rsidR="00E23168" w:rsidRPr="00846A7E">
        <w:rPr>
          <w:lang w:val="en-CA"/>
        </w:rPr>
        <w:t>established</w:t>
      </w:r>
      <w:r w:rsidR="003E4ACC" w:rsidRPr="00846A7E">
        <w:rPr>
          <w:lang w:val="en-CA"/>
        </w:rPr>
        <w:t xml:space="preserve"> itself within the framework of specific intellectual traditions, within which authors shared both philosophical and extra-philosophical problems, concepts, and references.  </w:t>
      </w:r>
    </w:p>
    <w:p w14:paraId="087953B1" w14:textId="6E2E7868" w:rsidR="003E4ACC" w:rsidRPr="00846A7E" w:rsidRDefault="003E4ACC" w:rsidP="006F45B9">
      <w:pPr>
        <w:spacing w:line="480" w:lineRule="auto"/>
        <w:ind w:firstLine="720"/>
        <w:rPr>
          <w:lang w:val="en-CA"/>
        </w:rPr>
      </w:pPr>
      <w:r w:rsidRPr="00846A7E">
        <w:rPr>
          <w:lang w:val="en-CA"/>
        </w:rPr>
        <w:t xml:space="preserve">By “Jewish philosophy,” I </w:t>
      </w:r>
      <w:r w:rsidR="00846A7E">
        <w:rPr>
          <w:lang w:val="en-CA"/>
        </w:rPr>
        <w:t>mean</w:t>
      </w:r>
      <w:r w:rsidRPr="00846A7E">
        <w:rPr>
          <w:lang w:val="en-CA"/>
        </w:rPr>
        <w:t xml:space="preserve"> a certain kind of philosophy that emerged </w:t>
      </w:r>
      <w:r w:rsidR="0008551A" w:rsidRPr="00846A7E">
        <w:rPr>
          <w:lang w:val="en-CA"/>
        </w:rPr>
        <w:t xml:space="preserve">historically from the encounter between the Jewish intellectual tradition and the philosophical tradition that </w:t>
      </w:r>
      <w:r w:rsidR="00846A7E">
        <w:rPr>
          <w:lang w:val="en-CA"/>
        </w:rPr>
        <w:t xml:space="preserve">arose </w:t>
      </w:r>
      <w:r w:rsidR="0008551A" w:rsidRPr="00846A7E">
        <w:rPr>
          <w:lang w:val="en-CA"/>
        </w:rPr>
        <w:t>from Greek Antiquity</w:t>
      </w:r>
      <w:r w:rsidR="00DE0F7F" w:rsidRPr="00846A7E">
        <w:rPr>
          <w:lang w:val="en-CA"/>
        </w:rPr>
        <w:t xml:space="preserve"> – an encounter that occurred many times</w:t>
      </w:r>
      <w:r w:rsidR="009C4CBE">
        <w:rPr>
          <w:lang w:val="en-CA"/>
        </w:rPr>
        <w:t xml:space="preserve"> </w:t>
      </w:r>
      <w:r w:rsidR="00DE0F7F" w:rsidRPr="00846A7E">
        <w:rPr>
          <w:lang w:val="en-CA"/>
        </w:rPr>
        <w:t>across different cultural contexts</w:t>
      </w:r>
      <w:r w:rsidR="0008551A" w:rsidRPr="00846A7E">
        <w:rPr>
          <w:lang w:val="en-CA"/>
        </w:rPr>
        <w:t xml:space="preserve">. By “medieval Jewish philosophy,” I </w:t>
      </w:r>
      <w:r w:rsidR="00846A7E">
        <w:rPr>
          <w:lang w:val="en-CA"/>
        </w:rPr>
        <w:t>point to</w:t>
      </w:r>
      <w:r w:rsidR="0008551A" w:rsidRPr="00846A7E">
        <w:rPr>
          <w:lang w:val="en-CA"/>
        </w:rPr>
        <w:t xml:space="preserve"> a segment</w:t>
      </w:r>
      <w:r w:rsidR="006A6FE4">
        <w:rPr>
          <w:rStyle w:val="Appelnotedebasdep"/>
          <w:lang w:val="en-CA"/>
        </w:rPr>
        <w:footnoteReference w:id="9"/>
      </w:r>
      <w:r w:rsidR="0008551A" w:rsidRPr="00846A7E">
        <w:rPr>
          <w:lang w:val="en-CA"/>
        </w:rPr>
        <w:t xml:space="preserve"> of the history of this encounter which </w:t>
      </w:r>
      <w:r w:rsidR="00E23168">
        <w:rPr>
          <w:lang w:val="en-CA"/>
        </w:rPr>
        <w:t>spans</w:t>
      </w:r>
      <w:r w:rsidR="0008551A" w:rsidRPr="00846A7E">
        <w:rPr>
          <w:lang w:val="en-CA"/>
        </w:rPr>
        <w:t xml:space="preserve"> the medieval period, between the tenth century</w:t>
      </w:r>
      <w:r w:rsidR="00E23168">
        <w:rPr>
          <w:lang w:val="en-CA"/>
        </w:rPr>
        <w:t xml:space="preserve"> – </w:t>
      </w:r>
      <w:r w:rsidR="0008551A" w:rsidRPr="00846A7E">
        <w:rPr>
          <w:lang w:val="en-CA"/>
        </w:rPr>
        <w:t xml:space="preserve">with the first rationalist texts within </w:t>
      </w:r>
      <w:r w:rsidR="0008551A" w:rsidRPr="00016EB9">
        <w:rPr>
          <w:lang w:val="en-CA"/>
        </w:rPr>
        <w:t>rabbinic Judaism</w:t>
      </w:r>
      <w:r w:rsidR="00E23168">
        <w:rPr>
          <w:lang w:val="en-CA"/>
        </w:rPr>
        <w:t xml:space="preserve"> –</w:t>
      </w:r>
      <w:r w:rsidR="0008551A" w:rsidRPr="00846A7E">
        <w:rPr>
          <w:lang w:val="en-CA"/>
        </w:rPr>
        <w:t xml:space="preserve"> </w:t>
      </w:r>
      <w:r w:rsidR="0092015B" w:rsidRPr="00846A7E">
        <w:rPr>
          <w:lang w:val="en-CA"/>
        </w:rPr>
        <w:t>and the fifteenth century and the rupture caused by the Spanish Expulsion.</w:t>
      </w:r>
      <w:r w:rsidR="00E72F73">
        <w:rPr>
          <w:lang w:val="en-CA"/>
        </w:rPr>
        <w:t xml:space="preserve"> This segment </w:t>
      </w:r>
      <w:r w:rsidR="0092015B" w:rsidRPr="00846A7E">
        <w:rPr>
          <w:lang w:val="en-CA"/>
        </w:rPr>
        <w:t>f</w:t>
      </w:r>
      <w:r w:rsidR="00846A7E">
        <w:rPr>
          <w:lang w:val="en-CA"/>
        </w:rPr>
        <w:t>ound</w:t>
      </w:r>
      <w:r w:rsidR="0092015B" w:rsidRPr="00846A7E">
        <w:rPr>
          <w:lang w:val="en-CA"/>
        </w:rPr>
        <w:t xml:space="preserve"> its point of origin in Islamic civilization and its primary idiom of expression </w:t>
      </w:r>
      <w:r w:rsidR="00846A7E">
        <w:rPr>
          <w:lang w:val="en-CA"/>
        </w:rPr>
        <w:t xml:space="preserve">first, </w:t>
      </w:r>
      <w:r w:rsidR="00846A7E" w:rsidRPr="00846A7E">
        <w:rPr>
          <w:lang w:val="en-CA"/>
        </w:rPr>
        <w:t>until the thirteenth century</w:t>
      </w:r>
      <w:r w:rsidR="00846A7E">
        <w:rPr>
          <w:lang w:val="en-CA"/>
        </w:rPr>
        <w:t>,</w:t>
      </w:r>
      <w:r w:rsidR="00846A7E" w:rsidRPr="00846A7E">
        <w:rPr>
          <w:lang w:val="en-CA"/>
        </w:rPr>
        <w:t xml:space="preserve"> </w:t>
      </w:r>
      <w:r w:rsidR="0092015B" w:rsidRPr="00846A7E">
        <w:rPr>
          <w:lang w:val="en-CA"/>
        </w:rPr>
        <w:t>in the Arabic language</w:t>
      </w:r>
      <w:r w:rsidR="00842884" w:rsidRPr="00846A7E">
        <w:rPr>
          <w:lang w:val="en-CA"/>
        </w:rPr>
        <w:t>,</w:t>
      </w:r>
      <w:r w:rsidR="0092015B" w:rsidRPr="00846A7E">
        <w:rPr>
          <w:lang w:val="en-CA"/>
        </w:rPr>
        <w:t xml:space="preserve"> and then in Hebrew. Despite their geographical and temporal distance from each other, the authors I take up </w:t>
      </w:r>
      <w:r w:rsidR="008B6191" w:rsidRPr="00846A7E">
        <w:rPr>
          <w:lang w:val="en-CA"/>
        </w:rPr>
        <w:t xml:space="preserve">here clearly constitute </w:t>
      </w:r>
      <w:r w:rsidR="0092015B" w:rsidRPr="00846A7E">
        <w:rPr>
          <w:lang w:val="en-CA"/>
        </w:rPr>
        <w:t>a</w:t>
      </w:r>
      <w:r w:rsidR="008B6191" w:rsidRPr="00846A7E">
        <w:rPr>
          <w:lang w:val="en-CA"/>
        </w:rPr>
        <w:t xml:space="preserve"> single</w:t>
      </w:r>
      <w:r w:rsidR="0092015B" w:rsidRPr="00846A7E">
        <w:rPr>
          <w:lang w:val="en-CA"/>
        </w:rPr>
        <w:t xml:space="preserve"> intellectual tradition. </w:t>
      </w:r>
      <w:r w:rsidR="00E72F73">
        <w:rPr>
          <w:lang w:val="en-CA"/>
        </w:rPr>
        <w:t>Indeed, t</w:t>
      </w:r>
      <w:r w:rsidR="008B6191" w:rsidRPr="00846A7E">
        <w:rPr>
          <w:lang w:val="en-CA"/>
        </w:rPr>
        <w:t>hey consider</w:t>
      </w:r>
      <w:r w:rsidR="00846A7E">
        <w:rPr>
          <w:lang w:val="en-CA"/>
        </w:rPr>
        <w:t>ed</w:t>
      </w:r>
      <w:r w:rsidR="008B6191" w:rsidRPr="00846A7E">
        <w:rPr>
          <w:lang w:val="en-CA"/>
        </w:rPr>
        <w:t xml:space="preserve"> themselves to belong to such a </w:t>
      </w:r>
      <w:r w:rsidR="008B6191" w:rsidRPr="00846A7E">
        <w:rPr>
          <w:lang w:val="en-CA"/>
        </w:rPr>
        <w:lastRenderedPageBreak/>
        <w:t>tradition</w:t>
      </w:r>
      <w:r w:rsidR="00842884" w:rsidRPr="00846A7E">
        <w:rPr>
          <w:lang w:val="en-CA"/>
        </w:rPr>
        <w:t>; s</w:t>
      </w:r>
      <w:r w:rsidR="008B6191" w:rsidRPr="00846A7E">
        <w:rPr>
          <w:lang w:val="en-CA"/>
        </w:rPr>
        <w:t>ome of these authors refer</w:t>
      </w:r>
      <w:r w:rsidR="00846A7E">
        <w:rPr>
          <w:lang w:val="en-CA"/>
        </w:rPr>
        <w:t>red</w:t>
      </w:r>
      <w:r w:rsidR="00842884" w:rsidRPr="00846A7E">
        <w:rPr>
          <w:lang w:val="en-CA"/>
        </w:rPr>
        <w:t>,</w:t>
      </w:r>
      <w:r w:rsidR="008B6191" w:rsidRPr="00846A7E">
        <w:rPr>
          <w:lang w:val="en-CA"/>
        </w:rPr>
        <w:t xml:space="preserve"> either explicitly or implicitly</w:t>
      </w:r>
      <w:r w:rsidR="00842884" w:rsidRPr="00846A7E">
        <w:rPr>
          <w:lang w:val="en-CA"/>
        </w:rPr>
        <w:t>,</w:t>
      </w:r>
      <w:r w:rsidR="008B6191" w:rsidRPr="00846A7E">
        <w:rPr>
          <w:lang w:val="en-CA"/>
        </w:rPr>
        <w:t xml:space="preserve"> to some of their predecessors, whether by adopting one of their </w:t>
      </w:r>
      <w:proofErr w:type="spellStart"/>
      <w:r w:rsidR="008B6191" w:rsidRPr="00846A7E">
        <w:rPr>
          <w:lang w:val="en-CA"/>
        </w:rPr>
        <w:t>philosophemes</w:t>
      </w:r>
      <w:proofErr w:type="spellEnd"/>
      <w:r w:rsidR="008B6191" w:rsidRPr="00846A7E">
        <w:rPr>
          <w:lang w:val="en-CA"/>
        </w:rPr>
        <w:t xml:space="preserve"> or by critiquing one of their arguments. </w:t>
      </w:r>
    </w:p>
    <w:p w14:paraId="2384A8C9" w14:textId="595CEBDC" w:rsidR="008B6191" w:rsidRPr="00846A7E" w:rsidRDefault="00026C1E" w:rsidP="006F45B9">
      <w:pPr>
        <w:spacing w:line="480" w:lineRule="auto"/>
        <w:ind w:firstLine="720"/>
        <w:rPr>
          <w:lang w:val="en-CA"/>
        </w:rPr>
      </w:pPr>
      <w:r>
        <w:rPr>
          <w:lang w:val="en-CA"/>
        </w:rPr>
        <w:t>T</w:t>
      </w:r>
      <w:r w:rsidR="008B6191" w:rsidRPr="00026C1E">
        <w:rPr>
          <w:lang w:val="en-CA"/>
        </w:rPr>
        <w:t>he encounter occasionally bec</w:t>
      </w:r>
      <w:r w:rsidR="00846A7E" w:rsidRPr="00026C1E">
        <w:rPr>
          <w:lang w:val="en-CA"/>
        </w:rPr>
        <w:t>ame</w:t>
      </w:r>
      <w:r w:rsidR="008B6191" w:rsidRPr="00026C1E">
        <w:rPr>
          <w:lang w:val="en-CA"/>
        </w:rPr>
        <w:t xml:space="preserve"> a confrontation</w:t>
      </w:r>
      <w:r w:rsidRPr="00026C1E">
        <w:rPr>
          <w:lang w:val="en-CA"/>
        </w:rPr>
        <w:t xml:space="preserve"> </w:t>
      </w:r>
      <w:r>
        <w:rPr>
          <w:lang w:val="en-CA"/>
        </w:rPr>
        <w:t>w</w:t>
      </w:r>
      <w:r w:rsidRPr="00026C1E">
        <w:rPr>
          <w:lang w:val="en-CA"/>
        </w:rPr>
        <w:t>hen the claims attributed to each of these traditions conflict</w:t>
      </w:r>
      <w:r>
        <w:rPr>
          <w:lang w:val="en-CA"/>
        </w:rPr>
        <w:t>ed with each other</w:t>
      </w:r>
      <w:r w:rsidR="00296EBD" w:rsidRPr="00026C1E">
        <w:rPr>
          <w:lang w:val="en-CA"/>
        </w:rPr>
        <w:t>.</w:t>
      </w:r>
      <w:r w:rsidR="008B6191" w:rsidRPr="00026C1E">
        <w:rPr>
          <w:lang w:val="en-CA"/>
        </w:rPr>
        <w:t xml:space="preserve"> </w:t>
      </w:r>
      <w:r w:rsidR="009D24E2" w:rsidRPr="00846A7E">
        <w:rPr>
          <w:lang w:val="en-CA"/>
        </w:rPr>
        <w:t xml:space="preserve">This </w:t>
      </w:r>
      <w:r w:rsidR="00846A7E">
        <w:rPr>
          <w:lang w:val="en-CA"/>
        </w:rPr>
        <w:t xml:space="preserve">was </w:t>
      </w:r>
      <w:r w:rsidR="009D24E2" w:rsidRPr="00846A7E">
        <w:rPr>
          <w:lang w:val="en-CA"/>
        </w:rPr>
        <w:t xml:space="preserve">the case, singularly and dramatically, with the question of the origin of the world. In the medieval moment, the </w:t>
      </w:r>
      <w:proofErr w:type="spellStart"/>
      <w:r w:rsidR="009D24E2" w:rsidRPr="00846A7E">
        <w:rPr>
          <w:lang w:val="en-CA"/>
        </w:rPr>
        <w:t>biblico</w:t>
      </w:r>
      <w:proofErr w:type="spellEnd"/>
      <w:r w:rsidR="009D24E2" w:rsidRPr="00846A7E">
        <w:rPr>
          <w:lang w:val="en-CA"/>
        </w:rPr>
        <w:t xml:space="preserve">-rabbinic </w:t>
      </w:r>
      <w:r w:rsidR="006E1D5B">
        <w:rPr>
          <w:lang w:val="en-CA"/>
        </w:rPr>
        <w:t>hypothesis</w:t>
      </w:r>
      <w:r w:rsidR="009D24E2" w:rsidRPr="00846A7E">
        <w:rPr>
          <w:lang w:val="en-CA"/>
        </w:rPr>
        <w:t xml:space="preserve"> on this question </w:t>
      </w:r>
      <w:r w:rsidR="00842884" w:rsidRPr="00C769ED">
        <w:rPr>
          <w:lang w:val="en-CA"/>
        </w:rPr>
        <w:t>was</w:t>
      </w:r>
      <w:r w:rsidR="009D24E2" w:rsidRPr="00C769ED">
        <w:rPr>
          <w:lang w:val="en-CA"/>
        </w:rPr>
        <w:t xml:space="preserve"> dominated by</w:t>
      </w:r>
      <w:r w:rsidR="009D24E2" w:rsidRPr="00846A7E">
        <w:rPr>
          <w:lang w:val="en-CA"/>
        </w:rPr>
        <w:t xml:space="preserve"> the idea of absolute creation.</w:t>
      </w:r>
      <w:r w:rsidR="006A6FE4">
        <w:rPr>
          <w:rStyle w:val="Appelnotedebasdep"/>
          <w:lang w:val="en-CA"/>
        </w:rPr>
        <w:footnoteReference w:id="10"/>
      </w:r>
      <w:r w:rsidR="009D24E2" w:rsidRPr="00846A7E">
        <w:rPr>
          <w:lang w:val="en-CA"/>
        </w:rPr>
        <w:t xml:space="preserve"> “</w:t>
      </w:r>
      <w:r w:rsidR="00570F2E">
        <w:rPr>
          <w:lang w:val="en-CA"/>
        </w:rPr>
        <w:t>A</w:t>
      </w:r>
      <w:r w:rsidR="009D24E2" w:rsidRPr="00846A7E">
        <w:rPr>
          <w:lang w:val="en-CA"/>
        </w:rPr>
        <w:t xml:space="preserve">bsolute” creation refers to </w:t>
      </w:r>
      <w:r w:rsidR="00570F2E">
        <w:rPr>
          <w:lang w:val="en-CA"/>
        </w:rPr>
        <w:t xml:space="preserve">both </w:t>
      </w:r>
      <w:r w:rsidR="009D24E2" w:rsidRPr="00846A7E">
        <w:rPr>
          <w:lang w:val="en-CA"/>
        </w:rPr>
        <w:t xml:space="preserve">a temporal and </w:t>
      </w:r>
      <w:r w:rsidR="00570F2E">
        <w:rPr>
          <w:lang w:val="en-CA"/>
        </w:rPr>
        <w:t xml:space="preserve">a </w:t>
      </w:r>
      <w:r w:rsidR="009D24E2" w:rsidRPr="00846A7E">
        <w:rPr>
          <w:lang w:val="en-CA"/>
        </w:rPr>
        <w:t>material characterization of creation</w:t>
      </w:r>
      <w:r w:rsidR="00035DF8" w:rsidRPr="00846A7E">
        <w:rPr>
          <w:lang w:val="en-CA"/>
        </w:rPr>
        <w:t>:</w:t>
      </w:r>
      <w:r w:rsidR="009D24E2" w:rsidRPr="00846A7E">
        <w:rPr>
          <w:lang w:val="en-CA"/>
        </w:rPr>
        <w:t xml:space="preserve"> “</w:t>
      </w:r>
      <w:r w:rsidR="00035DF8" w:rsidRPr="00846A7E">
        <w:rPr>
          <w:lang w:val="en-CA"/>
        </w:rPr>
        <w:t>a</w:t>
      </w:r>
      <w:r w:rsidR="009D24E2" w:rsidRPr="00846A7E">
        <w:rPr>
          <w:lang w:val="en-CA"/>
        </w:rPr>
        <w:t xml:space="preserve">bsolute” creation is </w:t>
      </w:r>
      <w:r w:rsidR="009D24E2" w:rsidRPr="00846A7E">
        <w:rPr>
          <w:i/>
          <w:iCs/>
          <w:lang w:val="en-CA"/>
        </w:rPr>
        <w:t>de novo</w:t>
      </w:r>
      <w:r w:rsidR="009D24E2" w:rsidRPr="00846A7E">
        <w:rPr>
          <w:lang w:val="en-CA"/>
        </w:rPr>
        <w:t xml:space="preserve"> – which is to say that </w:t>
      </w:r>
      <w:r w:rsidR="00B07699" w:rsidRPr="00C769ED">
        <w:rPr>
          <w:lang w:val="en-CA"/>
        </w:rPr>
        <w:t>past time is finite</w:t>
      </w:r>
      <w:r w:rsidR="00035DF8" w:rsidRPr="00C769ED">
        <w:rPr>
          <w:lang w:val="en-CA"/>
        </w:rPr>
        <w:t>,</w:t>
      </w:r>
      <w:r w:rsidR="00035DF8" w:rsidRPr="00B07699">
        <w:rPr>
          <w:lang w:val="en-CA"/>
        </w:rPr>
        <w:t xml:space="preserve"> an</w:t>
      </w:r>
      <w:r w:rsidR="00035DF8" w:rsidRPr="00846A7E">
        <w:rPr>
          <w:lang w:val="en-CA"/>
        </w:rPr>
        <w:t xml:space="preserve"> idea also denoted by the term “</w:t>
      </w:r>
      <w:proofErr w:type="spellStart"/>
      <w:r w:rsidR="00035DF8" w:rsidRPr="00846A7E">
        <w:rPr>
          <w:lang w:val="en-CA"/>
        </w:rPr>
        <w:t>adventicity</w:t>
      </w:r>
      <w:proofErr w:type="spellEnd"/>
      <w:r w:rsidR="00035DF8" w:rsidRPr="00846A7E">
        <w:rPr>
          <w:lang w:val="en-CA"/>
        </w:rPr>
        <w:t xml:space="preserve">.” It is also </w:t>
      </w:r>
      <w:r w:rsidR="00035DF8" w:rsidRPr="00846A7E">
        <w:rPr>
          <w:i/>
          <w:iCs/>
          <w:lang w:val="en-CA"/>
        </w:rPr>
        <w:t xml:space="preserve">ex nihilo </w:t>
      </w:r>
      <w:r w:rsidR="00035DF8" w:rsidRPr="00846A7E">
        <w:rPr>
          <w:lang w:val="en-CA"/>
        </w:rPr>
        <w:t xml:space="preserve">– which is to say that the material substrate of the world is also </w:t>
      </w:r>
      <w:r w:rsidR="00846A7E">
        <w:rPr>
          <w:lang w:val="en-CA"/>
        </w:rPr>
        <w:t>understood to have been</w:t>
      </w:r>
      <w:r w:rsidR="00035DF8" w:rsidRPr="00846A7E">
        <w:rPr>
          <w:lang w:val="en-CA"/>
        </w:rPr>
        <w:t xml:space="preserve"> created. Inversely, the “philosophers’” theory h</w:t>
      </w:r>
      <w:r w:rsidR="00846A7E">
        <w:rPr>
          <w:lang w:val="en-CA"/>
        </w:rPr>
        <w:t>eld</w:t>
      </w:r>
      <w:r w:rsidR="00035DF8" w:rsidRPr="00846A7E">
        <w:rPr>
          <w:lang w:val="en-CA"/>
        </w:rPr>
        <w:t xml:space="preserve"> that the world is eternal </w:t>
      </w:r>
      <w:r w:rsidR="00035DF8" w:rsidRPr="00846A7E">
        <w:rPr>
          <w:i/>
          <w:iCs/>
          <w:lang w:val="en-CA"/>
        </w:rPr>
        <w:t xml:space="preserve">a </w:t>
      </w:r>
      <w:proofErr w:type="spellStart"/>
      <w:r w:rsidR="00035DF8" w:rsidRPr="00846A7E">
        <w:rPr>
          <w:i/>
          <w:iCs/>
          <w:lang w:val="en-CA"/>
        </w:rPr>
        <w:t>parte</w:t>
      </w:r>
      <w:proofErr w:type="spellEnd"/>
      <w:r w:rsidR="00035DF8" w:rsidRPr="00846A7E">
        <w:rPr>
          <w:i/>
          <w:iCs/>
          <w:lang w:val="en-CA"/>
        </w:rPr>
        <w:t xml:space="preserve"> ante</w:t>
      </w:r>
      <w:r w:rsidR="00035DF8" w:rsidRPr="00846A7E">
        <w:rPr>
          <w:lang w:val="en-CA"/>
        </w:rPr>
        <w:t xml:space="preserve"> (the theory attributed to Aristotle)</w:t>
      </w:r>
      <w:r w:rsidR="00846A7E">
        <w:rPr>
          <w:lang w:val="en-CA"/>
        </w:rPr>
        <w:t>,</w:t>
      </w:r>
      <w:r w:rsidR="00035DF8" w:rsidRPr="00846A7E">
        <w:rPr>
          <w:lang w:val="en-CA"/>
        </w:rPr>
        <w:t xml:space="preserve"> or at least that the matter is pre</w:t>
      </w:r>
      <w:r w:rsidR="00296EBD" w:rsidRPr="00846A7E">
        <w:rPr>
          <w:lang w:val="en-CA"/>
        </w:rPr>
        <w:t>-</w:t>
      </w:r>
      <w:r w:rsidR="00035DF8" w:rsidRPr="00846A7E">
        <w:rPr>
          <w:lang w:val="en-CA"/>
        </w:rPr>
        <w:t>eternal (</w:t>
      </w:r>
      <w:r w:rsidR="00296EBD" w:rsidRPr="00846A7E">
        <w:rPr>
          <w:lang w:val="en-CA"/>
        </w:rPr>
        <w:t xml:space="preserve">the theory attributed to Plato via a literal reading </w:t>
      </w:r>
      <w:r w:rsidR="00296EBD" w:rsidRPr="00C769ED">
        <w:rPr>
          <w:lang w:val="en-CA"/>
        </w:rPr>
        <w:t>of the myth he presents in the</w:t>
      </w:r>
      <w:r w:rsidR="00296EBD" w:rsidRPr="00846A7E">
        <w:rPr>
          <w:i/>
          <w:iCs/>
          <w:lang w:val="en-CA"/>
        </w:rPr>
        <w:t xml:space="preserve"> Timaeus</w:t>
      </w:r>
      <w:r w:rsidR="00296EBD" w:rsidRPr="00846A7E">
        <w:rPr>
          <w:lang w:val="en-CA"/>
        </w:rPr>
        <w:t>). Neoplatonism also threaten</w:t>
      </w:r>
      <w:r w:rsidR="00846A7E">
        <w:rPr>
          <w:lang w:val="en-CA"/>
        </w:rPr>
        <w:t>ed</w:t>
      </w:r>
      <w:r w:rsidR="00296EBD" w:rsidRPr="00846A7E">
        <w:rPr>
          <w:lang w:val="en-CA"/>
        </w:rPr>
        <w:t xml:space="preserve"> the idea of creation as the voluntary act of a transcendent divinity</w:t>
      </w:r>
      <w:r w:rsidR="00E23168">
        <w:rPr>
          <w:lang w:val="en-CA"/>
        </w:rPr>
        <w:t>,</w:t>
      </w:r>
      <w:r w:rsidR="00296EBD" w:rsidRPr="00846A7E">
        <w:rPr>
          <w:lang w:val="en-CA"/>
        </w:rPr>
        <w:t xml:space="preserve"> by deeming material reality to be the result of a </w:t>
      </w:r>
      <w:r w:rsidR="007832BF" w:rsidRPr="00846A7E">
        <w:rPr>
          <w:lang w:val="en-CA"/>
        </w:rPr>
        <w:t xml:space="preserve">process of necessary emanation from </w:t>
      </w:r>
      <w:r w:rsidR="006E1D5B">
        <w:rPr>
          <w:lang w:val="en-CA"/>
        </w:rPr>
        <w:t>the</w:t>
      </w:r>
      <w:r w:rsidR="007832BF" w:rsidRPr="00846A7E">
        <w:rPr>
          <w:lang w:val="en-CA"/>
        </w:rPr>
        <w:t xml:space="preserve"> first principle</w:t>
      </w:r>
      <w:r w:rsidR="00296EBD" w:rsidRPr="00846A7E">
        <w:rPr>
          <w:lang w:val="en-CA"/>
        </w:rPr>
        <w:t xml:space="preserve">. Each </w:t>
      </w:r>
      <w:r w:rsidR="00296EBD" w:rsidRPr="006E1D5B">
        <w:rPr>
          <w:lang w:val="en-CA"/>
        </w:rPr>
        <w:t>of</w:t>
      </w:r>
      <w:r w:rsidR="00E72F73" w:rsidRPr="006E1D5B">
        <w:rPr>
          <w:lang w:val="en-CA"/>
        </w:rPr>
        <w:t xml:space="preserve"> the</w:t>
      </w:r>
      <w:r w:rsidR="00296EBD" w:rsidRPr="006E1D5B">
        <w:rPr>
          <w:lang w:val="en-CA"/>
        </w:rPr>
        <w:t xml:space="preserve"> </w:t>
      </w:r>
      <w:r w:rsidR="00E72F73" w:rsidRPr="006E1D5B">
        <w:rPr>
          <w:lang w:val="en-CA"/>
        </w:rPr>
        <w:t xml:space="preserve">thinkers in </w:t>
      </w:r>
      <w:r w:rsidR="00E72F73">
        <w:rPr>
          <w:lang w:val="en-CA"/>
        </w:rPr>
        <w:lastRenderedPageBreak/>
        <w:t>this study</w:t>
      </w:r>
      <w:r w:rsidR="00296EBD" w:rsidRPr="00846A7E">
        <w:rPr>
          <w:lang w:val="en-CA"/>
        </w:rPr>
        <w:t xml:space="preserve"> w</w:t>
      </w:r>
      <w:r w:rsidR="00846A7E">
        <w:rPr>
          <w:lang w:val="en-CA"/>
        </w:rPr>
        <w:t>ould</w:t>
      </w:r>
      <w:r w:rsidR="00296EBD" w:rsidRPr="00846A7E">
        <w:rPr>
          <w:lang w:val="en-CA"/>
        </w:rPr>
        <w:t xml:space="preserve"> propose his own manner of resolving or at least of confronting this contradiction. </w:t>
      </w:r>
    </w:p>
    <w:p w14:paraId="08EB7674" w14:textId="4C2C0719" w:rsidR="00BB5222" w:rsidRPr="00846A7E" w:rsidRDefault="00BB5222" w:rsidP="006F45B9">
      <w:pPr>
        <w:spacing w:line="480" w:lineRule="auto"/>
        <w:rPr>
          <w:lang w:val="en-CA"/>
        </w:rPr>
      </w:pPr>
    </w:p>
    <w:p w14:paraId="50192472" w14:textId="6E6E979F" w:rsidR="00BB5222" w:rsidRPr="00EA749C" w:rsidRDefault="00EA749C" w:rsidP="006F45B9">
      <w:pPr>
        <w:spacing w:line="480" w:lineRule="auto"/>
        <w:rPr>
          <w:b/>
          <w:bCs/>
          <w:lang w:val="en-CA"/>
        </w:rPr>
      </w:pPr>
      <w:r w:rsidRPr="00EA749C">
        <w:rPr>
          <w:b/>
          <w:bCs/>
          <w:lang w:val="en-CA"/>
        </w:rPr>
        <w:t>Philosophical Esotericism</w:t>
      </w:r>
    </w:p>
    <w:p w14:paraId="73618A19" w14:textId="7FFBE879" w:rsidR="00BB5222" w:rsidRPr="00846A7E" w:rsidRDefault="00BB5222" w:rsidP="006F45B9">
      <w:pPr>
        <w:spacing w:line="480" w:lineRule="auto"/>
        <w:rPr>
          <w:lang w:val="en-CA"/>
        </w:rPr>
      </w:pPr>
    </w:p>
    <w:p w14:paraId="345B219E" w14:textId="5077E2A8" w:rsidR="008906D9" w:rsidRPr="00846A7E" w:rsidRDefault="00BB5222" w:rsidP="006F45B9">
      <w:pPr>
        <w:spacing w:line="480" w:lineRule="auto"/>
        <w:ind w:firstLine="720"/>
        <w:rPr>
          <w:lang w:val="en-CA"/>
        </w:rPr>
      </w:pPr>
      <w:r w:rsidRPr="00846A7E">
        <w:rPr>
          <w:lang w:val="en-CA"/>
        </w:rPr>
        <w:t>Many of them d</w:t>
      </w:r>
      <w:r w:rsidR="00846A7E">
        <w:rPr>
          <w:lang w:val="en-CA"/>
        </w:rPr>
        <w:t>id</w:t>
      </w:r>
      <w:r w:rsidRPr="00846A7E">
        <w:rPr>
          <w:lang w:val="en-CA"/>
        </w:rPr>
        <w:t xml:space="preserve"> so by employing “esoteric” writing strategies. An esoteric teaching is a teaching reserved for a certain kind of audience</w:t>
      </w:r>
      <w:r w:rsidR="00842884" w:rsidRPr="00846A7E">
        <w:rPr>
          <w:lang w:val="en-CA"/>
        </w:rPr>
        <w:t>;</w:t>
      </w:r>
      <w:r w:rsidRPr="00846A7E">
        <w:rPr>
          <w:lang w:val="en-CA"/>
        </w:rPr>
        <w:t xml:space="preserve"> </w:t>
      </w:r>
      <w:r w:rsidR="00E23168">
        <w:rPr>
          <w:lang w:val="en-CA"/>
        </w:rPr>
        <w:t>for example,</w:t>
      </w:r>
      <w:r w:rsidRPr="00846A7E">
        <w:rPr>
          <w:lang w:val="en-CA"/>
        </w:rPr>
        <w:t xml:space="preserve"> </w:t>
      </w:r>
      <w:r w:rsidR="00DE0F7F" w:rsidRPr="00846A7E">
        <w:rPr>
          <w:lang w:val="en-CA"/>
        </w:rPr>
        <w:t xml:space="preserve">scholars have traditionally distinguished, in </w:t>
      </w:r>
      <w:r w:rsidRPr="00846A7E">
        <w:rPr>
          <w:lang w:val="en-CA"/>
        </w:rPr>
        <w:t>the Aristotelian corpus</w:t>
      </w:r>
      <w:r w:rsidR="00DE0F7F" w:rsidRPr="00846A7E">
        <w:rPr>
          <w:lang w:val="en-CA"/>
        </w:rPr>
        <w:t xml:space="preserve">, </w:t>
      </w:r>
      <w:r w:rsidRPr="00846A7E">
        <w:rPr>
          <w:lang w:val="en-CA"/>
        </w:rPr>
        <w:t xml:space="preserve">“exoteric” treatises, </w:t>
      </w:r>
      <w:r w:rsidR="00DE0F7F" w:rsidRPr="00846A7E">
        <w:rPr>
          <w:lang w:val="en-CA"/>
        </w:rPr>
        <w:t>which</w:t>
      </w:r>
      <w:r w:rsidR="00BD1574">
        <w:rPr>
          <w:lang w:val="en-CA"/>
        </w:rPr>
        <w:t xml:space="preserve"> were</w:t>
      </w:r>
      <w:r w:rsidR="00DE0F7F" w:rsidRPr="00846A7E">
        <w:rPr>
          <w:lang w:val="en-CA"/>
        </w:rPr>
        <w:t xml:space="preserve"> </w:t>
      </w:r>
      <w:r w:rsidRPr="00846A7E">
        <w:rPr>
          <w:lang w:val="en-CA"/>
        </w:rPr>
        <w:t>addressed to a large audience,</w:t>
      </w:r>
      <w:r w:rsidR="00BD1574">
        <w:rPr>
          <w:lang w:val="en-CA"/>
        </w:rPr>
        <w:t xml:space="preserve"> from </w:t>
      </w:r>
      <w:r w:rsidRPr="00846A7E">
        <w:rPr>
          <w:lang w:val="en-CA"/>
        </w:rPr>
        <w:t>the acroamatic (</w:t>
      </w:r>
      <w:r w:rsidR="00842884" w:rsidRPr="00846A7E">
        <w:rPr>
          <w:lang w:val="en-CA"/>
        </w:rPr>
        <w:t>i.e.,</w:t>
      </w:r>
      <w:r w:rsidR="00DE0F7F" w:rsidRPr="00846A7E">
        <w:rPr>
          <w:lang w:val="en-CA"/>
        </w:rPr>
        <w:t xml:space="preserve"> orally transmitted lessons) or esoteric treatises</w:t>
      </w:r>
      <w:r w:rsidR="00842884" w:rsidRPr="00846A7E">
        <w:rPr>
          <w:lang w:val="en-CA"/>
        </w:rPr>
        <w:t>,</w:t>
      </w:r>
      <w:r w:rsidR="00DE0F7F" w:rsidRPr="00846A7E">
        <w:rPr>
          <w:lang w:val="en-CA"/>
        </w:rPr>
        <w:t xml:space="preserve"> which </w:t>
      </w:r>
      <w:r w:rsidR="007D5BD3">
        <w:rPr>
          <w:lang w:val="en-CA"/>
        </w:rPr>
        <w:t xml:space="preserve">recorded teachings intended </w:t>
      </w:r>
      <w:r w:rsidR="00842884" w:rsidRPr="00846A7E">
        <w:rPr>
          <w:lang w:val="en-CA"/>
        </w:rPr>
        <w:t>for</w:t>
      </w:r>
      <w:r w:rsidR="00DE0F7F" w:rsidRPr="00846A7E">
        <w:rPr>
          <w:lang w:val="en-CA"/>
        </w:rPr>
        <w:t xml:space="preserve"> </w:t>
      </w:r>
      <w:r w:rsidR="00846A7E">
        <w:rPr>
          <w:lang w:val="en-CA"/>
        </w:rPr>
        <w:t xml:space="preserve">the </w:t>
      </w:r>
      <w:r w:rsidR="00DE0F7F" w:rsidRPr="00846A7E">
        <w:rPr>
          <w:lang w:val="en-CA"/>
        </w:rPr>
        <w:t xml:space="preserve">advanced </w:t>
      </w:r>
      <w:r w:rsidR="00842884" w:rsidRPr="00846A7E">
        <w:rPr>
          <w:lang w:val="en-CA"/>
        </w:rPr>
        <w:t>disciples of a science. This weak sense of esoteri</w:t>
      </w:r>
      <w:r w:rsidR="00846A7E">
        <w:rPr>
          <w:lang w:val="en-CA"/>
        </w:rPr>
        <w:t>ci</w:t>
      </w:r>
      <w:r w:rsidR="00842884" w:rsidRPr="00846A7E">
        <w:rPr>
          <w:lang w:val="en-CA"/>
        </w:rPr>
        <w:t>sm</w:t>
      </w:r>
      <w:r w:rsidR="00846A7E">
        <w:rPr>
          <w:lang w:val="en-CA"/>
        </w:rPr>
        <w:t xml:space="preserve"> –</w:t>
      </w:r>
      <w:r w:rsidR="00842884" w:rsidRPr="00846A7E">
        <w:rPr>
          <w:lang w:val="en-CA"/>
        </w:rPr>
        <w:t xml:space="preserve"> </w:t>
      </w:r>
      <w:r w:rsidR="00E23168">
        <w:rPr>
          <w:lang w:val="en-CA"/>
        </w:rPr>
        <w:t xml:space="preserve">foregrounding </w:t>
      </w:r>
      <w:r w:rsidR="00842884" w:rsidRPr="00846A7E">
        <w:rPr>
          <w:lang w:val="en-CA"/>
        </w:rPr>
        <w:t>the</w:t>
      </w:r>
      <w:r w:rsidR="00E23168">
        <w:rPr>
          <w:lang w:val="en-CA"/>
        </w:rPr>
        <w:t xml:space="preserve"> selection of a</w:t>
      </w:r>
      <w:r w:rsidR="00842884" w:rsidRPr="00846A7E">
        <w:rPr>
          <w:lang w:val="en-CA"/>
        </w:rPr>
        <w:t xml:space="preserve"> message’s audience</w:t>
      </w:r>
      <w:r w:rsidR="00846A7E">
        <w:rPr>
          <w:lang w:val="en-CA"/>
        </w:rPr>
        <w:t xml:space="preserve"> –</w:t>
      </w:r>
      <w:r w:rsidR="00846A7E" w:rsidRPr="00846A7E">
        <w:rPr>
          <w:lang w:val="en-CA"/>
        </w:rPr>
        <w:t xml:space="preserve"> </w:t>
      </w:r>
      <w:r w:rsidR="00842884" w:rsidRPr="00846A7E">
        <w:rPr>
          <w:lang w:val="en-CA"/>
        </w:rPr>
        <w:t xml:space="preserve">is connected to its stronger meaning, which identifies the root cause of this </w:t>
      </w:r>
      <w:r w:rsidR="00E23168">
        <w:rPr>
          <w:lang w:val="en-CA"/>
        </w:rPr>
        <w:t>selection</w:t>
      </w:r>
      <w:r w:rsidR="007563CE" w:rsidRPr="00846A7E">
        <w:rPr>
          <w:lang w:val="en-CA"/>
        </w:rPr>
        <w:t xml:space="preserve"> in the message’s own obscurity or inaccessibility. Although Aristotle cho</w:t>
      </w:r>
      <w:r w:rsidR="00BD1574">
        <w:rPr>
          <w:lang w:val="en-CA"/>
        </w:rPr>
        <w:t>se</w:t>
      </w:r>
      <w:r w:rsidR="007563CE" w:rsidRPr="00846A7E">
        <w:rPr>
          <w:lang w:val="en-CA"/>
        </w:rPr>
        <w:t xml:space="preserve"> the students with the aptitude to attend his oral teaching, it does not necessarily follow that this teaching must be concealed from others. </w:t>
      </w:r>
      <w:r w:rsidR="007A13A5">
        <w:rPr>
          <w:lang w:val="en-CA"/>
        </w:rPr>
        <w:t>Rather</w:t>
      </w:r>
      <w:r w:rsidR="007563CE" w:rsidRPr="00846A7E">
        <w:rPr>
          <w:lang w:val="en-CA"/>
        </w:rPr>
        <w:t xml:space="preserve">, </w:t>
      </w:r>
      <w:r w:rsidR="00410689">
        <w:rPr>
          <w:lang w:val="en-CA"/>
        </w:rPr>
        <w:t xml:space="preserve">because of </w:t>
      </w:r>
      <w:r w:rsidR="007563CE" w:rsidRPr="00846A7E">
        <w:rPr>
          <w:lang w:val="en-CA"/>
        </w:rPr>
        <w:t>its technical</w:t>
      </w:r>
      <w:r w:rsidR="007A13A5">
        <w:rPr>
          <w:lang w:val="en-CA"/>
        </w:rPr>
        <w:t xml:space="preserve"> nature,</w:t>
      </w:r>
      <w:r w:rsidR="007563CE" w:rsidRPr="00846A7E">
        <w:rPr>
          <w:lang w:val="en-CA"/>
        </w:rPr>
        <w:t xml:space="preserve"> </w:t>
      </w:r>
      <w:r w:rsidR="007A13A5">
        <w:rPr>
          <w:lang w:val="en-CA"/>
        </w:rPr>
        <w:t>the teaching</w:t>
      </w:r>
      <w:r w:rsidR="00410689">
        <w:rPr>
          <w:lang w:val="en-CA"/>
        </w:rPr>
        <w:t xml:space="preserve"> </w:t>
      </w:r>
      <w:r w:rsidR="007563CE" w:rsidRPr="00846A7E">
        <w:rPr>
          <w:lang w:val="en-CA"/>
        </w:rPr>
        <w:t>requires competencies that are not universally shared. In contrast, other practices of esoteric teaching, such as those associated with Pythagoreanism or Gnosticism, attach</w:t>
      </w:r>
      <w:r w:rsidR="00E23168">
        <w:rPr>
          <w:lang w:val="en-CA"/>
        </w:rPr>
        <w:t>ed</w:t>
      </w:r>
      <w:r w:rsidR="007563CE" w:rsidRPr="00846A7E">
        <w:rPr>
          <w:lang w:val="en-CA"/>
        </w:rPr>
        <w:t xml:space="preserve"> greater </w:t>
      </w:r>
      <w:r w:rsidR="00AF48E9" w:rsidRPr="00846A7E">
        <w:rPr>
          <w:lang w:val="en-CA"/>
        </w:rPr>
        <w:t xml:space="preserve">significance </w:t>
      </w:r>
      <w:r w:rsidR="00410689">
        <w:rPr>
          <w:lang w:val="en-CA"/>
        </w:rPr>
        <w:t xml:space="preserve">to </w:t>
      </w:r>
      <w:r w:rsidR="00AF48E9" w:rsidRPr="00846A7E">
        <w:rPr>
          <w:lang w:val="en-CA"/>
        </w:rPr>
        <w:t>the arcane</w:t>
      </w:r>
      <w:r w:rsidR="00410689">
        <w:rPr>
          <w:lang w:val="en-CA"/>
        </w:rPr>
        <w:t xml:space="preserve"> as a discipline</w:t>
      </w:r>
      <w:r w:rsidR="00AF48E9" w:rsidRPr="00846A7E">
        <w:rPr>
          <w:lang w:val="en-CA"/>
        </w:rPr>
        <w:t xml:space="preserve">. </w:t>
      </w:r>
      <w:r w:rsidR="00410689">
        <w:rPr>
          <w:lang w:val="en-CA"/>
        </w:rPr>
        <w:t xml:space="preserve">By its </w:t>
      </w:r>
      <w:r w:rsidR="00410689" w:rsidRPr="00410689">
        <w:rPr>
          <w:lang w:val="en-CA"/>
        </w:rPr>
        <w:t>nature, t</w:t>
      </w:r>
      <w:r w:rsidR="00AF48E9" w:rsidRPr="00410689">
        <w:rPr>
          <w:lang w:val="en-CA"/>
        </w:rPr>
        <w:t>h</w:t>
      </w:r>
      <w:r w:rsidR="00E72F73">
        <w:rPr>
          <w:lang w:val="en-CA"/>
        </w:rPr>
        <w:t>e knowledge</w:t>
      </w:r>
      <w:r w:rsidR="00AF48E9" w:rsidRPr="00410689">
        <w:rPr>
          <w:lang w:val="en-CA"/>
        </w:rPr>
        <w:t xml:space="preserve"> to which the message give</w:t>
      </w:r>
      <w:r w:rsidR="00E23168" w:rsidRPr="00410689">
        <w:rPr>
          <w:lang w:val="en-CA"/>
        </w:rPr>
        <w:t>s</w:t>
      </w:r>
      <w:r w:rsidR="00AF48E9" w:rsidRPr="00410689">
        <w:rPr>
          <w:lang w:val="en-CA"/>
        </w:rPr>
        <w:t xml:space="preserve"> access</w:t>
      </w:r>
      <w:r w:rsidR="00A37FF7" w:rsidRPr="00410689">
        <w:rPr>
          <w:lang w:val="en-CA"/>
        </w:rPr>
        <w:t xml:space="preserve"> </w:t>
      </w:r>
      <w:r w:rsidR="00AF48E9" w:rsidRPr="00410689">
        <w:rPr>
          <w:lang w:val="en-CA"/>
        </w:rPr>
        <w:t>cannot be transmitted in clear language. Esoteric teaching</w:t>
      </w:r>
      <w:r w:rsidR="00846A7E" w:rsidRPr="00410689">
        <w:rPr>
          <w:lang w:val="en-CA"/>
        </w:rPr>
        <w:t>,</w:t>
      </w:r>
      <w:r w:rsidR="00AF48E9" w:rsidRPr="00410689">
        <w:rPr>
          <w:lang w:val="en-CA"/>
        </w:rPr>
        <w:t xml:space="preserve"> then</w:t>
      </w:r>
      <w:r w:rsidR="00846A7E" w:rsidRPr="00410689">
        <w:rPr>
          <w:lang w:val="en-CA"/>
        </w:rPr>
        <w:t>,</w:t>
      </w:r>
      <w:r w:rsidR="00AF48E9" w:rsidRPr="00410689">
        <w:rPr>
          <w:lang w:val="en-CA"/>
        </w:rPr>
        <w:t xml:space="preserve"> </w:t>
      </w:r>
      <w:r w:rsidR="00016EB9" w:rsidRPr="00410689">
        <w:rPr>
          <w:lang w:val="en-CA"/>
        </w:rPr>
        <w:t xml:space="preserve">falls under the umbrella of </w:t>
      </w:r>
      <w:r w:rsidR="00AF48E9" w:rsidRPr="00410689">
        <w:rPr>
          <w:lang w:val="en-CA"/>
        </w:rPr>
        <w:t>a discipl</w:t>
      </w:r>
      <w:r w:rsidR="00DB331F" w:rsidRPr="00410689">
        <w:rPr>
          <w:lang w:val="en-CA"/>
        </w:rPr>
        <w:t>in</w:t>
      </w:r>
      <w:r w:rsidR="00AF48E9" w:rsidRPr="00410689">
        <w:rPr>
          <w:lang w:val="en-CA"/>
        </w:rPr>
        <w:t>e of init</w:t>
      </w:r>
      <w:r w:rsidR="00AF48E9" w:rsidRPr="00846A7E">
        <w:rPr>
          <w:lang w:val="en-CA"/>
        </w:rPr>
        <w:t xml:space="preserve">iation, in which the </w:t>
      </w:r>
      <w:r w:rsidR="00DB331F" w:rsidRPr="00846A7E">
        <w:rPr>
          <w:lang w:val="en-CA"/>
        </w:rPr>
        <w:t xml:space="preserve">initiate is made privy to a secret whose possession distinguishes him from the common man. </w:t>
      </w:r>
    </w:p>
    <w:p w14:paraId="2B6261E9" w14:textId="286F32B6" w:rsidR="00DB331F" w:rsidRPr="00846A7E" w:rsidRDefault="00DB331F" w:rsidP="006F45B9">
      <w:pPr>
        <w:spacing w:line="480" w:lineRule="auto"/>
        <w:ind w:firstLine="720"/>
        <w:rPr>
          <w:lang w:val="en-CA"/>
        </w:rPr>
      </w:pPr>
      <w:r w:rsidRPr="00846A7E">
        <w:rPr>
          <w:lang w:val="en-CA"/>
        </w:rPr>
        <w:t xml:space="preserve">The term “esoteric” thereby denotes two kinds of difference: between two kinds of audience and between two kinds of content. The idea of an “esoteric” art of writing, which </w:t>
      </w:r>
      <w:r w:rsidRPr="00846A7E">
        <w:rPr>
          <w:lang w:val="en-CA"/>
        </w:rPr>
        <w:lastRenderedPageBreak/>
        <w:t xml:space="preserve">according to Strauss is theorized in the introduction to the </w:t>
      </w:r>
      <w:r w:rsidRPr="00846A7E">
        <w:rPr>
          <w:i/>
          <w:iCs/>
          <w:lang w:val="en-CA"/>
        </w:rPr>
        <w:t>Guide of the Perplexed</w:t>
      </w:r>
      <w:r w:rsidRPr="00846A7E">
        <w:rPr>
          <w:lang w:val="en-CA"/>
        </w:rPr>
        <w:t>,</w:t>
      </w:r>
      <w:r w:rsidR="006A6FE4">
        <w:rPr>
          <w:rStyle w:val="Appelnotedebasdep"/>
          <w:lang w:val="en-CA"/>
        </w:rPr>
        <w:footnoteReference w:id="11"/>
      </w:r>
      <w:r w:rsidRPr="00846A7E">
        <w:rPr>
          <w:lang w:val="en-CA"/>
        </w:rPr>
        <w:t xml:space="preserve"> retains this paradox</w:t>
      </w:r>
      <w:r w:rsidR="00407EFC" w:rsidRPr="00846A7E">
        <w:rPr>
          <w:lang w:val="en-CA"/>
        </w:rPr>
        <w:t>: such an “art” would allow the writer to</w:t>
      </w:r>
      <w:r w:rsidR="00846A7E">
        <w:rPr>
          <w:lang w:val="en-CA"/>
        </w:rPr>
        <w:t xml:space="preserve"> </w:t>
      </w:r>
      <w:r w:rsidR="00E72F73">
        <w:rPr>
          <w:lang w:val="en-CA"/>
        </w:rPr>
        <w:t>mobilize</w:t>
      </w:r>
      <w:r w:rsidR="00407EFC" w:rsidRPr="00846A7E">
        <w:rPr>
          <w:lang w:val="en-CA"/>
        </w:rPr>
        <w:t xml:space="preserve"> both of these discursive registers</w:t>
      </w:r>
      <w:r w:rsidR="00E72F73">
        <w:rPr>
          <w:lang w:val="en-CA"/>
        </w:rPr>
        <w:t xml:space="preserve"> and</w:t>
      </w:r>
      <w:r w:rsidR="00407EFC" w:rsidRPr="00846A7E">
        <w:rPr>
          <w:lang w:val="en-CA"/>
        </w:rPr>
        <w:t xml:space="preserve"> address two distinct audiences, at the same time. </w:t>
      </w:r>
      <w:r w:rsidR="00846A7E">
        <w:rPr>
          <w:lang w:val="en-CA"/>
        </w:rPr>
        <w:t xml:space="preserve">Acknowledging </w:t>
      </w:r>
      <w:r w:rsidR="00846A7E" w:rsidRPr="00846A7E">
        <w:rPr>
          <w:lang w:val="en-CA"/>
        </w:rPr>
        <w:t xml:space="preserve">that one cannot control whose hands it will fall </w:t>
      </w:r>
      <w:r w:rsidR="00846A7E">
        <w:rPr>
          <w:lang w:val="en-CA"/>
        </w:rPr>
        <w:t>into, e</w:t>
      </w:r>
      <w:r w:rsidR="00407EFC" w:rsidRPr="00846A7E">
        <w:rPr>
          <w:lang w:val="en-CA"/>
        </w:rPr>
        <w:t xml:space="preserve">soteric writing intends to transmit within a text a secret teaching destined </w:t>
      </w:r>
      <w:r w:rsidR="007D5BD3">
        <w:rPr>
          <w:lang w:val="en-CA"/>
        </w:rPr>
        <w:t xml:space="preserve">only </w:t>
      </w:r>
      <w:r w:rsidR="00407EFC" w:rsidRPr="00846A7E">
        <w:rPr>
          <w:lang w:val="en-CA"/>
        </w:rPr>
        <w:t xml:space="preserve">to the reader </w:t>
      </w:r>
      <w:r w:rsidR="00846A7E">
        <w:rPr>
          <w:lang w:val="en-CA"/>
        </w:rPr>
        <w:t>capable</w:t>
      </w:r>
      <w:r w:rsidR="00407EFC" w:rsidRPr="00846A7E">
        <w:rPr>
          <w:lang w:val="en-CA"/>
        </w:rPr>
        <w:t xml:space="preserve"> </w:t>
      </w:r>
      <w:r w:rsidR="00846A7E">
        <w:rPr>
          <w:lang w:val="en-CA"/>
        </w:rPr>
        <w:t>of</w:t>
      </w:r>
      <w:r w:rsidR="00407EFC" w:rsidRPr="00846A7E">
        <w:rPr>
          <w:lang w:val="en-CA"/>
        </w:rPr>
        <w:t xml:space="preserve"> receiv</w:t>
      </w:r>
      <w:r w:rsidR="00846A7E">
        <w:rPr>
          <w:lang w:val="en-CA"/>
        </w:rPr>
        <w:t>ing</w:t>
      </w:r>
      <w:r w:rsidR="00407EFC" w:rsidRPr="00846A7E">
        <w:rPr>
          <w:lang w:val="en-CA"/>
        </w:rPr>
        <w:t xml:space="preserve"> it, while remaining undetected by other readers. </w:t>
      </w:r>
    </w:p>
    <w:p w14:paraId="4D18A192" w14:textId="16A5CA98" w:rsidR="006B6C63" w:rsidRPr="00846A7E" w:rsidRDefault="00407EFC" w:rsidP="006F45B9">
      <w:pPr>
        <w:spacing w:line="480" w:lineRule="auto"/>
        <w:ind w:firstLine="720"/>
        <w:rPr>
          <w:lang w:val="en-CA"/>
        </w:rPr>
      </w:pPr>
      <w:r w:rsidRPr="00846A7E">
        <w:rPr>
          <w:lang w:val="en-CA"/>
        </w:rPr>
        <w:t xml:space="preserve">One of the major characteristics of the </w:t>
      </w:r>
      <w:r w:rsidR="00E60A8F" w:rsidRPr="00846A7E">
        <w:rPr>
          <w:lang w:val="en-CA"/>
        </w:rPr>
        <w:t>m</w:t>
      </w:r>
      <w:r w:rsidRPr="00846A7E">
        <w:rPr>
          <w:lang w:val="en-CA"/>
        </w:rPr>
        <w:t xml:space="preserve">edieval Jewish philosophical corpus is its recourse to </w:t>
      </w:r>
      <w:r w:rsidR="00E60A8F" w:rsidRPr="00846A7E">
        <w:rPr>
          <w:lang w:val="en-CA"/>
        </w:rPr>
        <w:t xml:space="preserve">esoteric writing. This is for two reasons: one the one hand, medieval Jewish philosophy </w:t>
      </w:r>
      <w:r w:rsidR="0070153A" w:rsidRPr="00846A7E">
        <w:rPr>
          <w:lang w:val="en-CA"/>
        </w:rPr>
        <w:t>emerged from</w:t>
      </w:r>
      <w:r w:rsidR="00E60A8F" w:rsidRPr="00846A7E">
        <w:rPr>
          <w:lang w:val="en-CA"/>
        </w:rPr>
        <w:t xml:space="preserve"> the context of Islamic philosophy, which, </w:t>
      </w:r>
      <w:r w:rsidR="00926A7C">
        <w:rPr>
          <w:lang w:val="en-CA"/>
        </w:rPr>
        <w:t>to use</w:t>
      </w:r>
      <w:r w:rsidR="00E60A8F" w:rsidRPr="00846A7E">
        <w:rPr>
          <w:lang w:val="en-CA"/>
        </w:rPr>
        <w:t xml:space="preserve"> Christian </w:t>
      </w:r>
      <w:proofErr w:type="spellStart"/>
      <w:r w:rsidR="00E60A8F" w:rsidRPr="00846A7E">
        <w:rPr>
          <w:lang w:val="en-CA"/>
        </w:rPr>
        <w:t>Jambet</w:t>
      </w:r>
      <w:r w:rsidR="00926A7C">
        <w:rPr>
          <w:lang w:val="en-CA"/>
        </w:rPr>
        <w:t>’s</w:t>
      </w:r>
      <w:proofErr w:type="spellEnd"/>
      <w:r w:rsidR="00926A7C">
        <w:rPr>
          <w:lang w:val="en-CA"/>
        </w:rPr>
        <w:t xml:space="preserve"> terms</w:t>
      </w:r>
      <w:r w:rsidR="00E60A8F" w:rsidRPr="00846A7E">
        <w:rPr>
          <w:lang w:val="en-CA"/>
        </w:rPr>
        <w:t xml:space="preserve">, must </w:t>
      </w:r>
      <w:r w:rsidR="00A37FF7">
        <w:rPr>
          <w:lang w:val="en-CA"/>
        </w:rPr>
        <w:t>be understood</w:t>
      </w:r>
      <w:r w:rsidR="00E60A8F" w:rsidRPr="00846A7E">
        <w:rPr>
          <w:lang w:val="en-CA"/>
        </w:rPr>
        <w:t xml:space="preserve"> as a “prophetic philosophy” or as a “philosophy of revelation</w:t>
      </w:r>
      <w:r w:rsidR="00E60A8F" w:rsidRPr="00613DFE">
        <w:rPr>
          <w:lang w:val="en-CA"/>
        </w:rPr>
        <w:t>.”</w:t>
      </w:r>
      <w:r w:rsidR="006A6FE4" w:rsidRPr="00613DFE">
        <w:rPr>
          <w:rStyle w:val="Appelnotedebasdep"/>
          <w:lang w:val="en-CA"/>
        </w:rPr>
        <w:footnoteReference w:id="12"/>
      </w:r>
      <w:r w:rsidR="00E60A8F" w:rsidRPr="00613DFE">
        <w:rPr>
          <w:lang w:val="en-CA"/>
        </w:rPr>
        <w:t xml:space="preserve"> </w:t>
      </w:r>
      <w:r w:rsidR="00926A7C" w:rsidRPr="00613DFE">
        <w:rPr>
          <w:lang w:val="en-CA"/>
        </w:rPr>
        <w:t>This</w:t>
      </w:r>
      <w:r w:rsidR="00E60A8F" w:rsidRPr="00613DFE">
        <w:rPr>
          <w:lang w:val="en-CA"/>
        </w:rPr>
        <w:t xml:space="preserve"> revelation</w:t>
      </w:r>
      <w:r w:rsidR="00926A7C" w:rsidRPr="00613DFE">
        <w:rPr>
          <w:lang w:val="en-CA"/>
        </w:rPr>
        <w:t xml:space="preserve"> presents</w:t>
      </w:r>
      <w:r w:rsidR="00E60A8F" w:rsidRPr="00613DFE">
        <w:rPr>
          <w:lang w:val="en-CA"/>
        </w:rPr>
        <w:t xml:space="preserve"> itself as a revelation of truth</w:t>
      </w:r>
      <w:r w:rsidR="00926A7C" w:rsidRPr="00613DFE">
        <w:rPr>
          <w:lang w:val="en-CA"/>
        </w:rPr>
        <w:t xml:space="preserve">; but it also constitutes the source of </w:t>
      </w:r>
      <w:r w:rsidR="00E60A8F" w:rsidRPr="00613DFE">
        <w:rPr>
          <w:lang w:val="en-CA"/>
        </w:rPr>
        <w:t>a religious and political law. Prophetic revelation carries within itself a double dimension – spiritual and</w:t>
      </w:r>
      <w:r w:rsidR="00E60A8F" w:rsidRPr="00846A7E">
        <w:rPr>
          <w:lang w:val="en-CA"/>
        </w:rPr>
        <w:t xml:space="preserve"> collective – which rests on a division between an </w:t>
      </w:r>
      <w:r w:rsidR="00926A7C" w:rsidRPr="00846A7E">
        <w:rPr>
          <w:lang w:val="en-CA"/>
        </w:rPr>
        <w:t>outward</w:t>
      </w:r>
      <w:r w:rsidR="00E60A8F" w:rsidRPr="00846A7E">
        <w:rPr>
          <w:lang w:val="en-CA"/>
        </w:rPr>
        <w:t xml:space="preserve"> literal meaning (</w:t>
      </w:r>
      <w:proofErr w:type="spellStart"/>
      <w:r w:rsidR="00BD1574" w:rsidRPr="008717A4">
        <w:t>ẓ</w:t>
      </w:r>
      <w:r w:rsidR="00BD1574" w:rsidRPr="008717A4">
        <w:rPr>
          <w:i/>
          <w:iCs/>
        </w:rPr>
        <w:t>āhir</w:t>
      </w:r>
      <w:proofErr w:type="spellEnd"/>
      <w:r w:rsidR="00E60A8F" w:rsidRPr="00846A7E">
        <w:rPr>
          <w:lang w:val="en-CA"/>
        </w:rPr>
        <w:t>) and a hidden spiritual meaning</w:t>
      </w:r>
      <w:r w:rsidR="00BD1574">
        <w:rPr>
          <w:lang w:val="en-CA"/>
        </w:rPr>
        <w:t xml:space="preserve"> (</w:t>
      </w:r>
      <w:proofErr w:type="spellStart"/>
      <w:r w:rsidR="00BD1574" w:rsidRPr="008717A4">
        <w:rPr>
          <w:i/>
          <w:iCs/>
        </w:rPr>
        <w:t>bāṭin</w:t>
      </w:r>
      <w:proofErr w:type="spellEnd"/>
      <w:r w:rsidR="00BD1574">
        <w:t>)</w:t>
      </w:r>
      <w:r w:rsidR="00E60A8F" w:rsidRPr="00846A7E">
        <w:rPr>
          <w:lang w:val="en-CA"/>
        </w:rPr>
        <w:t>, calling for exegesis</w:t>
      </w:r>
      <w:r w:rsidR="00BD1574">
        <w:rPr>
          <w:lang w:val="en-CA"/>
        </w:rPr>
        <w:t xml:space="preserve"> (</w:t>
      </w:r>
      <w:proofErr w:type="spellStart"/>
      <w:r w:rsidR="00BD1574" w:rsidRPr="008717A4">
        <w:rPr>
          <w:i/>
          <w:iCs/>
        </w:rPr>
        <w:t>taʾwīl</w:t>
      </w:r>
      <w:proofErr w:type="spellEnd"/>
      <w:r w:rsidR="00BD1574">
        <w:rPr>
          <w:i/>
          <w:iCs/>
        </w:rPr>
        <w:fldChar w:fldCharType="begin"/>
      </w:r>
      <w:r w:rsidR="00BD1574">
        <w:rPr>
          <w:i/>
          <w:iCs/>
        </w:rPr>
        <w:instrText xml:space="preserve"> XE "</w:instrText>
      </w:r>
      <w:r w:rsidR="00BD1574">
        <w:rPr>
          <w:iCs/>
        </w:rPr>
        <w:instrText>exégèse allégorique:</w:instrText>
      </w:r>
      <w:r w:rsidR="00BD1574" w:rsidRPr="0066241F">
        <w:rPr>
          <w:i/>
        </w:rPr>
        <w:instrText>taʾwīl</w:instrText>
      </w:r>
      <w:r w:rsidR="00BD1574">
        <w:rPr>
          <w:i/>
        </w:rPr>
        <w:instrText>"</w:instrText>
      </w:r>
      <w:r w:rsidR="00BD1574">
        <w:rPr>
          <w:i/>
          <w:iCs/>
        </w:rPr>
        <w:instrText xml:space="preserve"> </w:instrText>
      </w:r>
      <w:r w:rsidR="00BD1574">
        <w:rPr>
          <w:i/>
          <w:iCs/>
        </w:rPr>
        <w:fldChar w:fldCharType="end"/>
      </w:r>
      <w:r w:rsidR="00BD1574" w:rsidRPr="008717A4">
        <w:t>)</w:t>
      </w:r>
      <w:r w:rsidR="00E60A8F" w:rsidRPr="00846A7E">
        <w:rPr>
          <w:lang w:val="en-CA"/>
        </w:rPr>
        <w:t>.</w:t>
      </w:r>
      <w:r w:rsidR="00926A7C">
        <w:rPr>
          <w:lang w:val="en-CA"/>
        </w:rPr>
        <w:t xml:space="preserve"> I</w:t>
      </w:r>
      <w:r w:rsidR="008279E9" w:rsidRPr="00846A7E">
        <w:rPr>
          <w:lang w:val="en-CA"/>
        </w:rPr>
        <w:t xml:space="preserve">n Islam, philosophy internalizes this division within the discipline of philosophy itself. As </w:t>
      </w:r>
      <w:proofErr w:type="spellStart"/>
      <w:r w:rsidR="008279E9" w:rsidRPr="00846A7E">
        <w:rPr>
          <w:lang w:val="en-CA"/>
        </w:rPr>
        <w:t>Jambet</w:t>
      </w:r>
      <w:proofErr w:type="spellEnd"/>
      <w:r w:rsidR="008279E9" w:rsidRPr="00846A7E">
        <w:rPr>
          <w:lang w:val="en-CA"/>
        </w:rPr>
        <w:t xml:space="preserve"> emphasizes, the latter is “esoteric” </w:t>
      </w:r>
      <w:r w:rsidR="008279E9" w:rsidRPr="00846A7E">
        <w:rPr>
          <w:lang w:val="en-CA"/>
        </w:rPr>
        <w:lastRenderedPageBreak/>
        <w:t>in two ways</w:t>
      </w:r>
      <w:r w:rsidR="00BD1574">
        <w:rPr>
          <w:lang w:val="en-CA"/>
        </w:rPr>
        <w:t>: first,</w:t>
      </w:r>
      <w:r w:rsidR="008279E9" w:rsidRPr="00846A7E">
        <w:rPr>
          <w:lang w:val="en-CA"/>
        </w:rPr>
        <w:t xml:space="preserve"> insofar as it claims to offer access to a hidden truth</w:t>
      </w:r>
      <w:r w:rsidR="00BD1574">
        <w:rPr>
          <w:lang w:val="en-CA"/>
        </w:rPr>
        <w:t>,</w:t>
      </w:r>
      <w:r w:rsidR="008279E9" w:rsidRPr="00846A7E">
        <w:rPr>
          <w:lang w:val="en-CA"/>
        </w:rPr>
        <w:t xml:space="preserve"> and</w:t>
      </w:r>
      <w:r w:rsidR="00BD1574">
        <w:rPr>
          <w:lang w:val="en-CA"/>
        </w:rPr>
        <w:t xml:space="preserve"> second,</w:t>
      </w:r>
      <w:r w:rsidR="008279E9" w:rsidRPr="00846A7E">
        <w:rPr>
          <w:lang w:val="en-CA"/>
        </w:rPr>
        <w:t xml:space="preserve"> insofar as it conceals this truth by </w:t>
      </w:r>
      <w:r w:rsidR="003601FC">
        <w:rPr>
          <w:lang w:val="en-CA"/>
        </w:rPr>
        <w:t>maintaining</w:t>
      </w:r>
      <w:r w:rsidR="008279E9" w:rsidRPr="00846A7E">
        <w:rPr>
          <w:lang w:val="en-CA"/>
        </w:rPr>
        <w:t xml:space="preserve"> the veracity of the literal meaning of</w:t>
      </w:r>
      <w:r w:rsidR="00613DFE">
        <w:rPr>
          <w:lang w:val="en-CA"/>
        </w:rPr>
        <w:t xml:space="preserve"> the</w:t>
      </w:r>
      <w:r w:rsidR="008279E9" w:rsidRPr="00846A7E">
        <w:rPr>
          <w:lang w:val="en-CA"/>
        </w:rPr>
        <w:t xml:space="preserve"> revelation.</w:t>
      </w:r>
      <w:r w:rsidR="006A6FE4">
        <w:rPr>
          <w:rStyle w:val="Appelnotedebasdep"/>
          <w:lang w:val="en-CA"/>
        </w:rPr>
        <w:footnoteReference w:id="13"/>
      </w:r>
      <w:r w:rsidR="008279E9" w:rsidRPr="00846A7E">
        <w:rPr>
          <w:lang w:val="en-CA"/>
        </w:rPr>
        <w:t xml:space="preserve"> </w:t>
      </w:r>
    </w:p>
    <w:p w14:paraId="0CD42FEB" w14:textId="65581E54" w:rsidR="008279E9" w:rsidRPr="00846A7E" w:rsidRDefault="008279E9" w:rsidP="006F45B9">
      <w:pPr>
        <w:spacing w:line="480" w:lineRule="auto"/>
        <w:ind w:firstLine="720"/>
        <w:rPr>
          <w:lang w:val="en-CA"/>
        </w:rPr>
      </w:pPr>
      <w:r w:rsidRPr="00846A7E">
        <w:rPr>
          <w:lang w:val="en-CA"/>
        </w:rPr>
        <w:t>This “exegetical” esotericism can also be found in Jewish philosophy, which is similar to Islamic philosophy insofar as it is itself a “prophetic” philosophy</w:t>
      </w:r>
      <w:r w:rsidR="002A795E">
        <w:rPr>
          <w:lang w:val="en-CA"/>
        </w:rPr>
        <w:t>:</w:t>
      </w:r>
      <w:r w:rsidRPr="00846A7E">
        <w:rPr>
          <w:lang w:val="en-CA"/>
        </w:rPr>
        <w:t xml:space="preserve"> a philosophy wielded in the context of the prophetic revelation of a law that claims to hold, </w:t>
      </w:r>
      <w:r w:rsidR="00BD1574">
        <w:rPr>
          <w:lang w:val="en-CA"/>
        </w:rPr>
        <w:t>at</w:t>
      </w:r>
      <w:r w:rsidRPr="00846A7E">
        <w:rPr>
          <w:lang w:val="en-CA"/>
        </w:rPr>
        <w:t xml:space="preserve"> its heart, the very </w:t>
      </w:r>
      <w:r w:rsidRPr="00733010">
        <w:rPr>
          <w:lang w:val="en-CA"/>
        </w:rPr>
        <w:t xml:space="preserve">truth. Within Judaism, esotericism is not a medieval invention, derived from the Islamic environment. It is an aspect of the rabbinic tradition, dating back to its most ancient strata. One famous </w:t>
      </w:r>
      <w:r w:rsidRPr="00733010">
        <w:rPr>
          <w:i/>
          <w:iCs/>
          <w:lang w:val="en-CA"/>
        </w:rPr>
        <w:t xml:space="preserve">Mishna </w:t>
      </w:r>
      <w:r w:rsidRPr="00733010">
        <w:rPr>
          <w:lang w:val="en-CA"/>
        </w:rPr>
        <w:t>holds</w:t>
      </w:r>
      <w:r w:rsidRPr="00846A7E">
        <w:rPr>
          <w:lang w:val="en-CA"/>
        </w:rPr>
        <w:t xml:space="preserve"> that teaching related to certain subjects </w:t>
      </w:r>
      <w:r w:rsidR="00646984">
        <w:rPr>
          <w:lang w:val="en-CA"/>
        </w:rPr>
        <w:t>–</w:t>
      </w:r>
      <w:r w:rsidRPr="00846A7E">
        <w:rPr>
          <w:lang w:val="en-CA"/>
        </w:rPr>
        <w:t xml:space="preserve"> among </w:t>
      </w:r>
      <w:r w:rsidR="00646984">
        <w:rPr>
          <w:lang w:val="en-CA"/>
        </w:rPr>
        <w:t>them</w:t>
      </w:r>
      <w:r w:rsidRPr="00846A7E">
        <w:rPr>
          <w:lang w:val="en-CA"/>
        </w:rPr>
        <w:t xml:space="preserve"> the explication of the tale of the creation of the world (or of the </w:t>
      </w:r>
      <w:r w:rsidR="00846A7E">
        <w:rPr>
          <w:lang w:val="en-CA"/>
        </w:rPr>
        <w:t>Account of the Beginning</w:t>
      </w:r>
      <w:r w:rsidRPr="00846A7E">
        <w:rPr>
          <w:lang w:val="en-CA"/>
        </w:rPr>
        <w:t xml:space="preserve">) </w:t>
      </w:r>
      <w:r w:rsidR="00646984">
        <w:rPr>
          <w:lang w:val="en-CA"/>
        </w:rPr>
        <w:t xml:space="preserve">– </w:t>
      </w:r>
      <w:r w:rsidRPr="00846A7E">
        <w:rPr>
          <w:lang w:val="en-CA"/>
        </w:rPr>
        <w:t xml:space="preserve">is reserved for a select and selected group of students, and ultimately </w:t>
      </w:r>
      <w:r w:rsidR="00BD1574">
        <w:rPr>
          <w:lang w:val="en-CA"/>
        </w:rPr>
        <w:t>for</w:t>
      </w:r>
      <w:r w:rsidRPr="00846A7E">
        <w:rPr>
          <w:lang w:val="en-CA"/>
        </w:rPr>
        <w:t xml:space="preserve"> a single disciple.</w:t>
      </w:r>
      <w:r w:rsidR="006A6FE4">
        <w:rPr>
          <w:rStyle w:val="Appelnotedebasdep"/>
          <w:lang w:val="en-CA"/>
        </w:rPr>
        <w:footnoteReference w:id="14"/>
      </w:r>
      <w:r w:rsidRPr="00846A7E">
        <w:rPr>
          <w:lang w:val="en-CA"/>
        </w:rPr>
        <w:t xml:space="preserve"> </w:t>
      </w:r>
    </w:p>
    <w:p w14:paraId="5F72C35C" w14:textId="7FD8253E" w:rsidR="008279E9" w:rsidRPr="00846A7E" w:rsidRDefault="008279E9" w:rsidP="006F45B9">
      <w:pPr>
        <w:spacing w:line="480" w:lineRule="auto"/>
        <w:ind w:firstLine="720"/>
        <w:rPr>
          <w:lang w:val="en-CA"/>
        </w:rPr>
      </w:pPr>
      <w:r w:rsidRPr="00846A7E">
        <w:rPr>
          <w:lang w:val="en-CA"/>
        </w:rPr>
        <w:t xml:space="preserve">On the other hand, the recourse to philosophical esotericism was undoubtedly exacerbated by the political situation of medieval Jews. For Strauss and his disciples, the use of an esoteric writing, which is to say a writing that reveals the real idea as much as it conceals it, can be largely explained by the philosopher’s fear of the </w:t>
      </w:r>
      <w:r w:rsidRPr="00A37FF7">
        <w:rPr>
          <w:lang w:val="en-CA"/>
        </w:rPr>
        <w:t>persecution that his heterodox</w:t>
      </w:r>
      <w:r w:rsidRPr="00846A7E">
        <w:rPr>
          <w:lang w:val="en-CA"/>
        </w:rPr>
        <w:t xml:space="preserve"> ideas might incite. The philosopher makes a certain number of claims </w:t>
      </w:r>
      <w:r w:rsidR="00913A7D">
        <w:rPr>
          <w:lang w:val="en-CA"/>
        </w:rPr>
        <w:t>that conflict with the beliefs held by the vulgar</w:t>
      </w:r>
      <w:r w:rsidRPr="00846A7E">
        <w:rPr>
          <w:lang w:val="en-CA"/>
        </w:rPr>
        <w:t xml:space="preserve">. This </w:t>
      </w:r>
      <w:r w:rsidR="00913A7D">
        <w:rPr>
          <w:lang w:val="en-CA"/>
        </w:rPr>
        <w:t xml:space="preserve">collision </w:t>
      </w:r>
      <w:r w:rsidRPr="00846A7E">
        <w:rPr>
          <w:lang w:val="en-CA"/>
        </w:rPr>
        <w:t xml:space="preserve">is potentially dangerous on several fronts. The traumatic precedent set by Socrates has shown how far society’s hostility to the philosopher or to the truth can extend. First and foremost, the philosopher must preserve his own life by turning to a secretive writing. </w:t>
      </w:r>
      <w:r w:rsidR="002F3E38">
        <w:rPr>
          <w:lang w:val="en-CA"/>
        </w:rPr>
        <w:t>Extending</w:t>
      </w:r>
      <w:r w:rsidRPr="00846A7E">
        <w:rPr>
          <w:lang w:val="en-CA"/>
        </w:rPr>
        <w:t xml:space="preserve"> Strauss’</w:t>
      </w:r>
      <w:r w:rsidR="002A795E">
        <w:rPr>
          <w:lang w:val="en-CA"/>
        </w:rPr>
        <w:t>s</w:t>
      </w:r>
      <w:r w:rsidRPr="00846A7E">
        <w:rPr>
          <w:lang w:val="en-CA"/>
        </w:rPr>
        <w:t xml:space="preserve"> work by showing the importance of esoteri</w:t>
      </w:r>
      <w:r w:rsidR="00B24E57">
        <w:rPr>
          <w:lang w:val="en-CA"/>
        </w:rPr>
        <w:t>ci</w:t>
      </w:r>
      <w:r w:rsidRPr="00846A7E">
        <w:rPr>
          <w:lang w:val="en-CA"/>
        </w:rPr>
        <w:t xml:space="preserve">sm in the broader </w:t>
      </w:r>
      <w:r w:rsidRPr="00846A7E">
        <w:rPr>
          <w:lang w:val="en-CA"/>
        </w:rPr>
        <w:lastRenderedPageBreak/>
        <w:t>philosophical tradition until the eighteenth century, Arthur Melzer speaks in this way of a “defensive” esotericism.</w:t>
      </w:r>
      <w:r w:rsidR="006A6FE4">
        <w:rPr>
          <w:rStyle w:val="Appelnotedebasdep"/>
          <w:lang w:val="en-CA"/>
        </w:rPr>
        <w:footnoteReference w:id="15"/>
      </w:r>
    </w:p>
    <w:p w14:paraId="5ADD8E7C" w14:textId="2FC1E897" w:rsidR="008279E9" w:rsidRPr="00846A7E" w:rsidRDefault="008279E9" w:rsidP="006F45B9">
      <w:pPr>
        <w:spacing w:line="480" w:lineRule="auto"/>
        <w:ind w:firstLine="720"/>
        <w:rPr>
          <w:lang w:val="en-CA"/>
        </w:rPr>
      </w:pPr>
      <w:r w:rsidRPr="00846A7E">
        <w:rPr>
          <w:lang w:val="en-CA"/>
        </w:rPr>
        <w:t xml:space="preserve">But if truth and society are in conflict, philosophy does not only threaten the life of the philosopher. Or rather, insofar as it does so, it is because this </w:t>
      </w:r>
      <w:r w:rsidRPr="00BD1574">
        <w:rPr>
          <w:lang w:val="en-CA"/>
        </w:rPr>
        <w:t xml:space="preserve">truth also </w:t>
      </w:r>
      <w:r w:rsidR="00BD1574" w:rsidRPr="00BD1574">
        <w:rPr>
          <w:lang w:val="en-CA"/>
        </w:rPr>
        <w:t>undercuts</w:t>
      </w:r>
      <w:r w:rsidRPr="00BD1574">
        <w:rPr>
          <w:lang w:val="en-CA"/>
        </w:rPr>
        <w:t xml:space="preserve"> society’s</w:t>
      </w:r>
      <w:r w:rsidRPr="00846A7E">
        <w:rPr>
          <w:lang w:val="en-CA"/>
        </w:rPr>
        <w:t xml:space="preserve"> credos, which in the Middle Ages were circulated by religion. Some philosophical </w:t>
      </w:r>
      <w:r w:rsidR="002A795E">
        <w:rPr>
          <w:lang w:val="en-CA"/>
        </w:rPr>
        <w:t xml:space="preserve">assertions </w:t>
      </w:r>
      <w:r w:rsidRPr="00846A7E">
        <w:rPr>
          <w:lang w:val="en-CA"/>
        </w:rPr>
        <w:t>directly contradicted certain claims associated with monotheistic religions</w:t>
      </w:r>
      <w:r w:rsidR="00BD1574">
        <w:rPr>
          <w:lang w:val="en-CA"/>
        </w:rPr>
        <w:t>; we might think here of</w:t>
      </w:r>
      <w:r w:rsidRPr="00846A7E">
        <w:rPr>
          <w:lang w:val="en-CA"/>
        </w:rPr>
        <w:t xml:space="preserve"> the eternity of the world, or</w:t>
      </w:r>
      <w:r w:rsidR="00BD1574">
        <w:rPr>
          <w:lang w:val="en-CA"/>
        </w:rPr>
        <w:t xml:space="preserve"> of</w:t>
      </w:r>
      <w:r w:rsidRPr="00846A7E">
        <w:rPr>
          <w:lang w:val="en-CA"/>
        </w:rPr>
        <w:t xml:space="preserve"> God’s lack of knowledge of individuals</w:t>
      </w:r>
      <w:r w:rsidR="00187DF7">
        <w:rPr>
          <w:lang w:val="en-CA"/>
        </w:rPr>
        <w:t>,</w:t>
      </w:r>
      <w:r w:rsidRPr="00846A7E">
        <w:rPr>
          <w:lang w:val="en-CA"/>
        </w:rPr>
        <w:t xml:space="preserve"> </w:t>
      </w:r>
      <w:proofErr w:type="spellStart"/>
      <w:r w:rsidRPr="00846A7E">
        <w:rPr>
          <w:lang w:val="en-CA"/>
        </w:rPr>
        <w:t>countervening</w:t>
      </w:r>
      <w:proofErr w:type="spellEnd"/>
      <w:r w:rsidRPr="00846A7E">
        <w:rPr>
          <w:lang w:val="en-CA"/>
        </w:rPr>
        <w:t xml:space="preserve"> the idea of individual providence. In this way, what philosophy imperils is also, on the one hand, the very authority of the law, and on the other, the incompetent reader. The latter must be protected by esoteric writing</w:t>
      </w:r>
      <w:r w:rsidR="00BD1574">
        <w:rPr>
          <w:lang w:val="en-CA"/>
        </w:rPr>
        <w:t>,</w:t>
      </w:r>
      <w:r w:rsidRPr="00846A7E">
        <w:rPr>
          <w:lang w:val="en-CA"/>
        </w:rPr>
        <w:t xml:space="preserve"> which will mask the truths that he is not able to grasp. In this way, Averroes forbade the teaching of the principle of divine incorporeality to </w:t>
      </w:r>
      <w:r w:rsidR="00901A45">
        <w:rPr>
          <w:lang w:val="en-CA"/>
        </w:rPr>
        <w:t xml:space="preserve">the </w:t>
      </w:r>
      <w:r w:rsidR="00187DF7">
        <w:rPr>
          <w:lang w:val="en-CA"/>
        </w:rPr>
        <w:t>vulgar, insofar as they believe only in that which has a body and might be at risk of deducing that God does not exist</w:t>
      </w:r>
      <w:r w:rsidRPr="00846A7E">
        <w:rPr>
          <w:lang w:val="en-CA"/>
        </w:rPr>
        <w:t>.</w:t>
      </w:r>
      <w:r w:rsidR="006A6FE4">
        <w:rPr>
          <w:rStyle w:val="Appelnotedebasdep"/>
          <w:lang w:val="en-CA"/>
        </w:rPr>
        <w:footnoteReference w:id="16"/>
      </w:r>
      <w:r w:rsidRPr="00846A7E">
        <w:rPr>
          <w:lang w:val="en-CA"/>
        </w:rPr>
        <w:t xml:space="preserve"> In Melzer’s classifica</w:t>
      </w:r>
      <w:r w:rsidR="00BD1574">
        <w:rPr>
          <w:lang w:val="en-CA"/>
        </w:rPr>
        <w:t>tory schema</w:t>
      </w:r>
      <w:r w:rsidRPr="00846A7E">
        <w:rPr>
          <w:lang w:val="en-CA"/>
        </w:rPr>
        <w:t>, this esotericism that aims to preserve society and its foundations is a “protective” esotericism.</w:t>
      </w:r>
      <w:r w:rsidR="006A6FE4">
        <w:rPr>
          <w:rStyle w:val="Appelnotedebasdep"/>
          <w:lang w:val="en-CA"/>
        </w:rPr>
        <w:footnoteReference w:id="17"/>
      </w:r>
      <w:r w:rsidRPr="00846A7E">
        <w:rPr>
          <w:lang w:val="en-CA"/>
        </w:rPr>
        <w:t xml:space="preserve"> </w:t>
      </w:r>
    </w:p>
    <w:p w14:paraId="0CED4ACC" w14:textId="7E9F5B85" w:rsidR="008279E9" w:rsidRPr="00846A7E" w:rsidRDefault="008279E9" w:rsidP="006F45B9">
      <w:pPr>
        <w:spacing w:line="480" w:lineRule="auto"/>
        <w:ind w:firstLine="720"/>
        <w:rPr>
          <w:lang w:val="en-CA"/>
        </w:rPr>
      </w:pPr>
      <w:r w:rsidRPr="00846A7E">
        <w:rPr>
          <w:lang w:val="en-CA"/>
        </w:rPr>
        <w:t xml:space="preserve">In the case of Jewish philosophy, both the threat of persecution and the danger </w:t>
      </w:r>
      <w:r w:rsidR="00BD1574">
        <w:rPr>
          <w:lang w:val="en-CA"/>
        </w:rPr>
        <w:t xml:space="preserve">to society </w:t>
      </w:r>
      <w:r w:rsidRPr="00846A7E">
        <w:rPr>
          <w:lang w:val="en-CA"/>
        </w:rPr>
        <w:t xml:space="preserve">were amplified by the situations of minority status and exile in which Jewish philosophers found themselves, as well as </w:t>
      </w:r>
      <w:r w:rsidR="00BD1574">
        <w:rPr>
          <w:lang w:val="en-CA"/>
        </w:rPr>
        <w:t xml:space="preserve">by </w:t>
      </w:r>
      <w:r w:rsidRPr="00846A7E">
        <w:rPr>
          <w:lang w:val="en-CA"/>
        </w:rPr>
        <w:t xml:space="preserve">the absence of institutions organizing the intellectual sphere. Exile </w:t>
      </w:r>
      <w:r w:rsidRPr="00846A7E">
        <w:rPr>
          <w:lang w:val="en-CA"/>
        </w:rPr>
        <w:lastRenderedPageBreak/>
        <w:t xml:space="preserve">placed Jews under the constant threat of </w:t>
      </w:r>
      <w:r w:rsidR="00187DF7">
        <w:rPr>
          <w:lang w:val="en-CA"/>
        </w:rPr>
        <w:t>external</w:t>
      </w:r>
      <w:r w:rsidRPr="00846A7E">
        <w:rPr>
          <w:lang w:val="en-CA"/>
        </w:rPr>
        <w:t xml:space="preserve"> persecution, even if in certain medieval contexts they benefitted from relative tolerance and integration (notably during the “Golden Age” of </w:t>
      </w:r>
      <w:proofErr w:type="spellStart"/>
      <w:r w:rsidRPr="00846A7E">
        <w:rPr>
          <w:lang w:val="en-CA"/>
        </w:rPr>
        <w:t>al-Andalus</w:t>
      </w:r>
      <w:proofErr w:type="spellEnd"/>
      <w:r w:rsidRPr="00846A7E">
        <w:rPr>
          <w:lang w:val="en-CA"/>
        </w:rPr>
        <w:t>, between the tenth and the thirteenth centuries). Moreover, philosophers were more at risk within the Jewish world</w:t>
      </w:r>
      <w:r w:rsidR="00BD1574">
        <w:rPr>
          <w:lang w:val="en-CA"/>
        </w:rPr>
        <w:t xml:space="preserve"> </w:t>
      </w:r>
      <w:r w:rsidR="00187DF7">
        <w:rPr>
          <w:lang w:val="en-CA"/>
        </w:rPr>
        <w:t>insofar as</w:t>
      </w:r>
      <w:r w:rsidRPr="00846A7E">
        <w:rPr>
          <w:lang w:val="en-CA"/>
        </w:rPr>
        <w:t xml:space="preserve"> they lacked the protection of institutions equivalent to the Latin world’s universities</w:t>
      </w:r>
      <w:r w:rsidR="00BD1574">
        <w:rPr>
          <w:lang w:val="en-CA"/>
        </w:rPr>
        <w:t>, which</w:t>
      </w:r>
      <w:r w:rsidRPr="00846A7E">
        <w:rPr>
          <w:lang w:val="en-CA"/>
        </w:rPr>
        <w:t xml:space="preserve"> </w:t>
      </w:r>
      <w:r w:rsidR="00187DF7">
        <w:rPr>
          <w:lang w:val="en-CA"/>
        </w:rPr>
        <w:t xml:space="preserve">might have screened them from </w:t>
      </w:r>
      <w:r w:rsidRPr="00846A7E">
        <w:rPr>
          <w:lang w:val="en-CA"/>
        </w:rPr>
        <w:t>popular censure.</w:t>
      </w:r>
    </w:p>
    <w:p w14:paraId="146E1150" w14:textId="5D9ADE49" w:rsidR="008279E9" w:rsidRPr="00846A7E" w:rsidRDefault="008279E9" w:rsidP="006F45B9">
      <w:pPr>
        <w:spacing w:line="480" w:lineRule="auto"/>
        <w:rPr>
          <w:lang w:val="en-CA"/>
        </w:rPr>
      </w:pPr>
    </w:p>
    <w:p w14:paraId="194E8784" w14:textId="125FB719" w:rsidR="008279E9" w:rsidRPr="00EA749C" w:rsidRDefault="008279E9" w:rsidP="006F45B9">
      <w:pPr>
        <w:spacing w:line="480" w:lineRule="auto"/>
        <w:rPr>
          <w:b/>
          <w:bCs/>
          <w:lang w:val="en-CA"/>
        </w:rPr>
      </w:pPr>
      <w:r w:rsidRPr="00EA749C">
        <w:rPr>
          <w:b/>
          <w:bCs/>
          <w:lang w:val="en-CA"/>
        </w:rPr>
        <w:t>Models of Esotericism</w:t>
      </w:r>
    </w:p>
    <w:p w14:paraId="7CFFF14D" w14:textId="01D91229" w:rsidR="008279E9" w:rsidRPr="00846A7E" w:rsidRDefault="008279E9" w:rsidP="006F45B9">
      <w:pPr>
        <w:spacing w:line="480" w:lineRule="auto"/>
        <w:rPr>
          <w:lang w:val="en-CA"/>
        </w:rPr>
      </w:pPr>
    </w:p>
    <w:p w14:paraId="7F9A53AE" w14:textId="68185B6F" w:rsidR="008279E9" w:rsidRDefault="008279E9" w:rsidP="006F45B9">
      <w:pPr>
        <w:spacing w:line="480" w:lineRule="auto"/>
        <w:ind w:firstLine="720"/>
        <w:rPr>
          <w:lang w:val="en-CA"/>
        </w:rPr>
      </w:pPr>
      <w:r w:rsidRPr="00846A7E">
        <w:rPr>
          <w:lang w:val="en-CA"/>
        </w:rPr>
        <w:t xml:space="preserve">Two models </w:t>
      </w:r>
      <w:r w:rsidR="002A795E">
        <w:rPr>
          <w:lang w:val="en-CA"/>
        </w:rPr>
        <w:t>for understanding</w:t>
      </w:r>
      <w:r w:rsidRPr="00846A7E">
        <w:rPr>
          <w:lang w:val="en-CA"/>
        </w:rPr>
        <w:t xml:space="preserve"> esoteric writing have </w:t>
      </w:r>
      <w:r w:rsidR="00846A7E">
        <w:rPr>
          <w:lang w:val="en-CA"/>
        </w:rPr>
        <w:t xml:space="preserve">arisen </w:t>
      </w:r>
      <w:r w:rsidR="00846A7E" w:rsidRPr="00846A7E">
        <w:rPr>
          <w:lang w:val="en-CA"/>
        </w:rPr>
        <w:t>from the</w:t>
      </w:r>
      <w:r w:rsidRPr="00846A7E">
        <w:rPr>
          <w:lang w:val="en-CA"/>
        </w:rPr>
        <w:t xml:space="preserve"> study of the medieval Jewish philosophers. The Straussian </w:t>
      </w:r>
      <w:r w:rsidR="007468CF">
        <w:rPr>
          <w:lang w:val="en-CA"/>
        </w:rPr>
        <w:t>paradigm</w:t>
      </w:r>
      <w:r w:rsidRPr="00846A7E">
        <w:rPr>
          <w:lang w:val="en-CA"/>
        </w:rPr>
        <w:t xml:space="preserve"> can be defined as a “politico-religious” esoterici</w:t>
      </w:r>
      <w:r w:rsidR="00846A7E">
        <w:rPr>
          <w:lang w:val="en-CA"/>
        </w:rPr>
        <w:t xml:space="preserve">sm: secret writing, the discipline of the arcane, appears fundamentally as a </w:t>
      </w:r>
      <w:r w:rsidR="007468CF">
        <w:rPr>
          <w:lang w:val="en-CA"/>
        </w:rPr>
        <w:t xml:space="preserve">means </w:t>
      </w:r>
      <w:r w:rsidR="00846A7E">
        <w:rPr>
          <w:lang w:val="en-CA"/>
        </w:rPr>
        <w:t xml:space="preserve">for the philosopher to protect himself by ensuring that the heterodox thrust of his thinking is concealed, or </w:t>
      </w:r>
      <w:r w:rsidR="00045EF2">
        <w:rPr>
          <w:lang w:val="en-CA"/>
        </w:rPr>
        <w:t xml:space="preserve">mostly </w:t>
      </w:r>
      <w:r w:rsidR="00846A7E">
        <w:rPr>
          <w:lang w:val="en-CA"/>
        </w:rPr>
        <w:t xml:space="preserve">concealed, from the public. This </w:t>
      </w:r>
      <w:r w:rsidR="007468CF">
        <w:rPr>
          <w:lang w:val="en-CA"/>
        </w:rPr>
        <w:t>paradigm</w:t>
      </w:r>
      <w:r w:rsidR="00846A7E">
        <w:rPr>
          <w:lang w:val="en-CA"/>
        </w:rPr>
        <w:t xml:space="preserve"> rests on a series of claims about the relationship between philosophy and religion, and it draws on a certain epistemology and a certain understanding of philo</w:t>
      </w:r>
      <w:r w:rsidR="006A6FE4">
        <w:rPr>
          <w:lang w:val="en-CA"/>
        </w:rPr>
        <w:t>so</w:t>
      </w:r>
      <w:r w:rsidR="00846A7E">
        <w:rPr>
          <w:lang w:val="en-CA"/>
        </w:rPr>
        <w:t xml:space="preserve">phical writing. </w:t>
      </w:r>
    </w:p>
    <w:p w14:paraId="60E086DD" w14:textId="4A8B1B11" w:rsidR="00846A7E" w:rsidRDefault="00846A7E" w:rsidP="006F45B9">
      <w:pPr>
        <w:spacing w:line="480" w:lineRule="auto"/>
        <w:ind w:firstLine="720"/>
        <w:rPr>
          <w:lang w:val="en-CA"/>
        </w:rPr>
      </w:pPr>
      <w:r>
        <w:rPr>
          <w:lang w:val="en-CA"/>
        </w:rPr>
        <w:t xml:space="preserve">Philosophy (“Athens”) is considered, as a discipline, radically heterogeneous relative to religion (“Jerusalem”). The political and </w:t>
      </w:r>
      <w:r w:rsidR="00DD2E9D">
        <w:rPr>
          <w:lang w:val="en-CA"/>
        </w:rPr>
        <w:t xml:space="preserve">therefore </w:t>
      </w:r>
      <w:r>
        <w:rPr>
          <w:lang w:val="en-CA"/>
        </w:rPr>
        <w:t>religious question is the primary question of philosophy, insofar as political life</w:t>
      </w:r>
      <w:r w:rsidR="006A6FE4">
        <w:rPr>
          <w:lang w:val="en-CA"/>
        </w:rPr>
        <w:t xml:space="preserve"> structures</w:t>
      </w:r>
      <w:r>
        <w:rPr>
          <w:lang w:val="en-CA"/>
        </w:rPr>
        <w:t xml:space="preserve"> the philosopher’s existence. The problem of </w:t>
      </w:r>
      <w:r>
        <w:rPr>
          <w:i/>
          <w:iCs/>
          <w:lang w:val="en-CA"/>
        </w:rPr>
        <w:t xml:space="preserve">writing </w:t>
      </w:r>
      <w:r>
        <w:rPr>
          <w:lang w:val="en-CA"/>
        </w:rPr>
        <w:t xml:space="preserve">philosophy </w:t>
      </w:r>
      <w:r w:rsidR="00DD2E9D">
        <w:rPr>
          <w:lang w:val="en-CA"/>
        </w:rPr>
        <w:t>thereby becomes</w:t>
      </w:r>
      <w:r>
        <w:rPr>
          <w:lang w:val="en-CA"/>
        </w:rPr>
        <w:t xml:space="preserve"> a fundamental question: if truth and society are at odds, philosophy is not made to be written, as Plato had already claimed.</w:t>
      </w:r>
      <w:r w:rsidR="006A6FE4">
        <w:rPr>
          <w:rStyle w:val="Appelnotedebasdep"/>
          <w:lang w:val="en-CA"/>
        </w:rPr>
        <w:footnoteReference w:id="18"/>
      </w:r>
      <w:r>
        <w:rPr>
          <w:lang w:val="en-CA"/>
        </w:rPr>
        <w:t xml:space="preserve"> The reasons are not </w:t>
      </w:r>
      <w:r>
        <w:rPr>
          <w:lang w:val="en-CA"/>
        </w:rPr>
        <w:lastRenderedPageBreak/>
        <w:t>intrinsic to the work of thinking: orality guarantees the constant challenging and reassessment</w:t>
      </w:r>
      <w:r w:rsidR="007468CF">
        <w:rPr>
          <w:lang w:val="en-CA"/>
        </w:rPr>
        <w:t xml:space="preserve"> – </w:t>
      </w:r>
      <w:r>
        <w:rPr>
          <w:lang w:val="en-CA"/>
        </w:rPr>
        <w:t>the dialogical character of meaning-makin</w:t>
      </w:r>
      <w:r w:rsidR="007468CF">
        <w:rPr>
          <w:lang w:val="en-CA"/>
        </w:rPr>
        <w:t>g –</w:t>
      </w:r>
      <w:r>
        <w:rPr>
          <w:lang w:val="en-CA"/>
        </w:rPr>
        <w:t xml:space="preserve"> that emerge </w:t>
      </w:r>
      <w:r w:rsidR="00DD2E9D">
        <w:rPr>
          <w:lang w:val="en-CA"/>
        </w:rPr>
        <w:t xml:space="preserve">both </w:t>
      </w:r>
      <w:r>
        <w:rPr>
          <w:lang w:val="en-CA"/>
        </w:rPr>
        <w:t xml:space="preserve">from the Socratic dialogues and </w:t>
      </w:r>
      <w:r w:rsidR="00DD2E9D">
        <w:rPr>
          <w:lang w:val="en-CA"/>
        </w:rPr>
        <w:t xml:space="preserve">from </w:t>
      </w:r>
      <w:r>
        <w:rPr>
          <w:lang w:val="en-CA"/>
        </w:rPr>
        <w:t>the classical rabbinic tradition. Rather, because</w:t>
      </w:r>
      <w:r w:rsidR="00EA749C">
        <w:rPr>
          <w:lang w:val="en-CA"/>
        </w:rPr>
        <w:t xml:space="preserve"> writing is </w:t>
      </w:r>
      <w:r w:rsidR="00DD2E9D">
        <w:rPr>
          <w:lang w:val="en-CA"/>
        </w:rPr>
        <w:t>in its essence</w:t>
      </w:r>
      <w:r w:rsidR="00EA749C">
        <w:rPr>
          <w:lang w:val="en-CA"/>
        </w:rPr>
        <w:t xml:space="preserve"> a public mode of expression, </w:t>
      </w:r>
      <w:r w:rsidR="00F70455">
        <w:rPr>
          <w:lang w:val="en-CA"/>
        </w:rPr>
        <w:t>the sender has less control than</w:t>
      </w:r>
      <w:r w:rsidR="00EA749C">
        <w:rPr>
          <w:lang w:val="en-CA"/>
        </w:rPr>
        <w:t xml:space="preserve"> he does</w:t>
      </w:r>
      <w:r w:rsidR="00F70455">
        <w:rPr>
          <w:lang w:val="en-CA"/>
        </w:rPr>
        <w:t xml:space="preserve"> in oral communication</w:t>
      </w:r>
      <w:r w:rsidR="00EA749C">
        <w:rPr>
          <w:lang w:val="en-CA"/>
        </w:rPr>
        <w:t xml:space="preserve">. The philosopher, master of his knowledge, is also master of his discourse, using writing as he pleases as an interface between himself and society. In </w:t>
      </w:r>
      <w:r w:rsidR="007468CF">
        <w:rPr>
          <w:lang w:val="en-CA"/>
        </w:rPr>
        <w:t>this model</w:t>
      </w:r>
      <w:r w:rsidR="00EA749C">
        <w:rPr>
          <w:lang w:val="en-CA"/>
        </w:rPr>
        <w:t xml:space="preserve">, esotericism can be qualified, as per Moshe </w:t>
      </w:r>
      <w:proofErr w:type="spellStart"/>
      <w:r w:rsidR="00EA749C">
        <w:rPr>
          <w:lang w:val="en-CA"/>
        </w:rPr>
        <w:t>Halbertal</w:t>
      </w:r>
      <w:proofErr w:type="spellEnd"/>
      <w:r w:rsidR="00EA749C">
        <w:rPr>
          <w:lang w:val="en-CA"/>
        </w:rPr>
        <w:t>, as “instrumental.”</w:t>
      </w:r>
      <w:r w:rsidR="006A6FE4">
        <w:rPr>
          <w:rStyle w:val="Appelnotedebasdep"/>
          <w:lang w:val="en-CA"/>
        </w:rPr>
        <w:footnoteReference w:id="19"/>
      </w:r>
      <w:r w:rsidR="00EA749C">
        <w:rPr>
          <w:lang w:val="en-CA"/>
        </w:rPr>
        <w:t xml:space="preserve"> It can also be described as “accidental” or “extrinsic” insofar as it is </w:t>
      </w:r>
      <w:r w:rsidR="006A6FE4">
        <w:rPr>
          <w:lang w:val="en-CA"/>
        </w:rPr>
        <w:t>determined</w:t>
      </w:r>
      <w:r w:rsidR="00EA749C">
        <w:rPr>
          <w:lang w:val="en-CA"/>
        </w:rPr>
        <w:t xml:space="preserve"> only b</w:t>
      </w:r>
      <w:r w:rsidR="006A6FE4">
        <w:rPr>
          <w:lang w:val="en-CA"/>
        </w:rPr>
        <w:t>y</w:t>
      </w:r>
      <w:r w:rsidR="00EA749C">
        <w:rPr>
          <w:lang w:val="en-CA"/>
        </w:rPr>
        <w:t xml:space="preserve"> the philosopher’s existential situation, and by the </w:t>
      </w:r>
      <w:r w:rsidR="006A6FE4" w:rsidRPr="006A6FE4">
        <w:rPr>
          <w:i/>
          <w:iCs/>
          <w:lang w:val="en-CA"/>
        </w:rPr>
        <w:t>de facto</w:t>
      </w:r>
      <w:r w:rsidR="006A6FE4">
        <w:rPr>
          <w:lang w:val="en-CA"/>
        </w:rPr>
        <w:t xml:space="preserve"> </w:t>
      </w:r>
      <w:r w:rsidR="00EA749C">
        <w:rPr>
          <w:lang w:val="en-CA"/>
        </w:rPr>
        <w:t>con</w:t>
      </w:r>
      <w:r w:rsidR="007468CF">
        <w:rPr>
          <w:lang w:val="en-CA"/>
        </w:rPr>
        <w:t>flict</w:t>
      </w:r>
      <w:r w:rsidR="00EA749C">
        <w:rPr>
          <w:lang w:val="en-CA"/>
        </w:rPr>
        <w:t xml:space="preserve"> between philosophical thought and the political condition. If he lived in a</w:t>
      </w:r>
      <w:r w:rsidR="0048695D">
        <w:rPr>
          <w:lang w:val="en-CA"/>
        </w:rPr>
        <w:t>n ideal society</w:t>
      </w:r>
      <w:r w:rsidR="00EA749C" w:rsidRPr="0048695D">
        <w:rPr>
          <w:lang w:val="en-CA"/>
        </w:rPr>
        <w:t>,</w:t>
      </w:r>
      <w:r w:rsidR="00EA749C">
        <w:rPr>
          <w:lang w:val="en-CA"/>
        </w:rPr>
        <w:t xml:space="preserve"> the lover of wisdom would not need to turn to such complex writing. Besides, he only aspires to bring such a peaceful coexistence of the philosopher and society to pass. </w:t>
      </w:r>
    </w:p>
    <w:p w14:paraId="1AD68247" w14:textId="19363D24" w:rsidR="00EA749C" w:rsidRDefault="00EA749C" w:rsidP="006F45B9">
      <w:pPr>
        <w:spacing w:line="480" w:lineRule="auto"/>
        <w:ind w:firstLine="720"/>
        <w:rPr>
          <w:lang w:val="en-CA"/>
        </w:rPr>
      </w:pPr>
      <w:r>
        <w:rPr>
          <w:lang w:val="en-CA"/>
        </w:rPr>
        <w:t>Another model, however, can be opposed to this one: in a “philosophical” or “essential” esotericism,</w:t>
      </w:r>
      <w:r w:rsidR="006A6FE4">
        <w:rPr>
          <w:rStyle w:val="Appelnotedebasdep"/>
          <w:lang w:val="en-CA"/>
        </w:rPr>
        <w:footnoteReference w:id="20"/>
      </w:r>
      <w:r>
        <w:rPr>
          <w:lang w:val="en-CA"/>
        </w:rPr>
        <w:t xml:space="preserve"> there is an intrinsic link between the turn to esoteric writing and the subjects that are taken up in this kind of writing. In other words, secret writing is mandated by certain problems that cannot be enunciated in a clear, unequivocal language. This is particularly the case in relation to certain questions that challenge language’s expressive capacities. One characteristic example lies in the question of divine attributes: a consequent negative theology can only culminate in a mysticism of </w:t>
      </w:r>
      <w:r w:rsidRPr="00733010">
        <w:rPr>
          <w:lang w:val="en-CA"/>
        </w:rPr>
        <w:t xml:space="preserve">silence. If any term </w:t>
      </w:r>
      <w:r w:rsidR="00AA6062" w:rsidRPr="00733010">
        <w:rPr>
          <w:lang w:val="en-CA"/>
        </w:rPr>
        <w:t xml:space="preserve">for an </w:t>
      </w:r>
      <w:r w:rsidRPr="00733010">
        <w:rPr>
          <w:lang w:val="en-CA"/>
        </w:rPr>
        <w:t>attribute</w:t>
      </w:r>
      <w:r w:rsidR="00AA6062" w:rsidRPr="00733010">
        <w:rPr>
          <w:lang w:val="en-CA"/>
        </w:rPr>
        <w:t xml:space="preserve"> of</w:t>
      </w:r>
      <w:r w:rsidRPr="00733010">
        <w:rPr>
          <w:lang w:val="en-CA"/>
        </w:rPr>
        <w:t xml:space="preserve"> God necessarily lacks its </w:t>
      </w:r>
      <w:r w:rsidRPr="00733010">
        <w:rPr>
          <w:lang w:val="en-CA"/>
        </w:rPr>
        <w:lastRenderedPageBreak/>
        <w:t xml:space="preserve">object – because human language cannot adequately </w:t>
      </w:r>
      <w:r w:rsidR="00AA6062" w:rsidRPr="00733010">
        <w:rPr>
          <w:lang w:val="en-CA"/>
        </w:rPr>
        <w:t>capture</w:t>
      </w:r>
      <w:r>
        <w:rPr>
          <w:lang w:val="en-CA"/>
        </w:rPr>
        <w:t xml:space="preserve"> divine reality – then </w:t>
      </w:r>
      <w:r w:rsidR="00AA6062">
        <w:rPr>
          <w:lang w:val="en-CA"/>
        </w:rPr>
        <w:t>the only way to accede to</w:t>
      </w:r>
      <w:r>
        <w:rPr>
          <w:lang w:val="en-CA"/>
        </w:rPr>
        <w:t xml:space="preserve"> a knowledge of God </w:t>
      </w:r>
      <w:r w:rsidR="00AA6062">
        <w:rPr>
          <w:lang w:val="en-CA"/>
        </w:rPr>
        <w:t>is</w:t>
      </w:r>
      <w:r>
        <w:rPr>
          <w:lang w:val="en-CA"/>
        </w:rPr>
        <w:t xml:space="preserve"> to make do without language. But at the same</w:t>
      </w:r>
      <w:r w:rsidR="007468CF">
        <w:rPr>
          <w:lang w:val="en-CA"/>
        </w:rPr>
        <w:t xml:space="preserve"> time</w:t>
      </w:r>
      <w:r>
        <w:rPr>
          <w:lang w:val="en-CA"/>
        </w:rPr>
        <w:t xml:space="preserve">, language is required to convey this very inadequacy. </w:t>
      </w:r>
    </w:p>
    <w:p w14:paraId="0A0DADAA" w14:textId="347762C8" w:rsidR="00EA749C" w:rsidRDefault="00EA749C" w:rsidP="006F45B9">
      <w:pPr>
        <w:spacing w:line="480" w:lineRule="auto"/>
        <w:ind w:firstLine="720"/>
        <w:rPr>
          <w:lang w:val="en-CA"/>
        </w:rPr>
      </w:pPr>
      <w:r>
        <w:rPr>
          <w:lang w:val="en-CA"/>
        </w:rPr>
        <w:t>The Talmudi</w:t>
      </w:r>
      <w:r w:rsidR="006A6FE4">
        <w:rPr>
          <w:lang w:val="en-CA"/>
        </w:rPr>
        <w:t>c</w:t>
      </w:r>
      <w:r>
        <w:rPr>
          <w:lang w:val="en-CA"/>
        </w:rPr>
        <w:t xml:space="preserve"> formula “</w:t>
      </w:r>
      <w:r w:rsidR="006A6FE4">
        <w:rPr>
          <w:lang w:val="en-CA"/>
        </w:rPr>
        <w:t xml:space="preserve">The Torah </w:t>
      </w:r>
      <w:proofErr w:type="spellStart"/>
      <w:r w:rsidR="006A6FE4">
        <w:rPr>
          <w:lang w:val="en-CA"/>
        </w:rPr>
        <w:t>speaketh</w:t>
      </w:r>
      <w:proofErr w:type="spellEnd"/>
      <w:r w:rsidR="006A6FE4">
        <w:rPr>
          <w:lang w:val="en-CA"/>
        </w:rPr>
        <w:t xml:space="preserve"> in the language of the sons of man,</w:t>
      </w:r>
      <w:r>
        <w:rPr>
          <w:lang w:val="en-CA"/>
        </w:rPr>
        <w:t xml:space="preserve">” </w:t>
      </w:r>
      <w:r w:rsidR="006A6FE4">
        <w:rPr>
          <w:lang w:val="en-CA"/>
        </w:rPr>
        <w:t xml:space="preserve">as it is taken up </w:t>
      </w:r>
      <w:r w:rsidR="0048695D">
        <w:rPr>
          <w:lang w:val="en-CA"/>
        </w:rPr>
        <w:t xml:space="preserve">by </w:t>
      </w:r>
      <w:r w:rsidR="006A6FE4">
        <w:rPr>
          <w:lang w:val="en-CA"/>
        </w:rPr>
        <w:t>Maimonides</w:t>
      </w:r>
      <w:r w:rsidR="00D43571">
        <w:rPr>
          <w:lang w:val="en-CA"/>
        </w:rPr>
        <w:t xml:space="preserve"> for his own purposes in the </w:t>
      </w:r>
      <w:r>
        <w:rPr>
          <w:lang w:val="en-CA"/>
        </w:rPr>
        <w:t xml:space="preserve">chapters dedicated to </w:t>
      </w:r>
      <w:r w:rsidR="006A6FE4">
        <w:rPr>
          <w:lang w:val="en-CA"/>
        </w:rPr>
        <w:t>the allegorical interpretation of biblical anthropomorphism,</w:t>
      </w:r>
      <w:r w:rsidR="006A6FE4">
        <w:rPr>
          <w:rStyle w:val="Appelnotedebasdep"/>
          <w:lang w:val="en-CA"/>
        </w:rPr>
        <w:footnoteReference w:id="21"/>
      </w:r>
      <w:r w:rsidR="006A6FE4">
        <w:rPr>
          <w:lang w:val="en-CA"/>
        </w:rPr>
        <w:t xml:space="preserve"> </w:t>
      </w:r>
      <w:r>
        <w:rPr>
          <w:lang w:val="en-CA"/>
        </w:rPr>
        <w:t>can be understood</w:t>
      </w:r>
      <w:r w:rsidR="006A6FE4">
        <w:rPr>
          <w:lang w:val="en-CA"/>
        </w:rPr>
        <w:t xml:space="preserve"> as this kind of esotericism.</w:t>
      </w:r>
      <w:r>
        <w:rPr>
          <w:lang w:val="en-CA"/>
        </w:rPr>
        <w:t xml:space="preserve"> It means, in a weak sense, that </w:t>
      </w:r>
      <w:r w:rsidR="007468CF">
        <w:rPr>
          <w:lang w:val="en-CA"/>
        </w:rPr>
        <w:t>people</w:t>
      </w:r>
      <w:r>
        <w:rPr>
          <w:lang w:val="en-CA"/>
        </w:rPr>
        <w:t xml:space="preserve"> being more </w:t>
      </w:r>
      <w:r w:rsidRPr="002A795E">
        <w:rPr>
          <w:lang w:val="en-CA"/>
        </w:rPr>
        <w:t>accustomed to designating</w:t>
      </w:r>
      <w:r>
        <w:rPr>
          <w:lang w:val="en-CA"/>
        </w:rPr>
        <w:t xml:space="preserve"> material realities, the Torah had to deploy a material language to discuss a spiritual reality.</w:t>
      </w:r>
      <w:r w:rsidR="006A6FE4">
        <w:rPr>
          <w:rStyle w:val="Appelnotedebasdep"/>
          <w:lang w:val="en-CA"/>
        </w:rPr>
        <w:footnoteReference w:id="22"/>
      </w:r>
      <w:r>
        <w:rPr>
          <w:lang w:val="en-CA"/>
        </w:rPr>
        <w:t xml:space="preserve"> </w:t>
      </w:r>
      <w:r w:rsidR="00DD2E9D">
        <w:rPr>
          <w:lang w:val="en-CA"/>
        </w:rPr>
        <w:t>But i</w:t>
      </w:r>
      <w:r>
        <w:rPr>
          <w:lang w:val="en-CA"/>
        </w:rPr>
        <w:t>t also means, in a stronger sense, that the Torah or its writer had no choice but to use the language of men</w:t>
      </w:r>
      <w:r w:rsidR="007468CF">
        <w:rPr>
          <w:lang w:val="en-CA"/>
        </w:rPr>
        <w:t>,</w:t>
      </w:r>
      <w:r>
        <w:rPr>
          <w:lang w:val="en-CA"/>
        </w:rPr>
        <w:t xml:space="preserve"> which is </w:t>
      </w:r>
      <w:r w:rsidRPr="00DD2E9D">
        <w:rPr>
          <w:i/>
          <w:iCs/>
          <w:lang w:val="en-CA"/>
        </w:rPr>
        <w:t>intrinsically</w:t>
      </w:r>
      <w:r>
        <w:rPr>
          <w:lang w:val="en-CA"/>
        </w:rPr>
        <w:t xml:space="preserve"> inadequate to evoke divine realities. Esotericism</w:t>
      </w:r>
      <w:r w:rsidR="007468CF">
        <w:rPr>
          <w:lang w:val="en-CA"/>
        </w:rPr>
        <w:t>,</w:t>
      </w:r>
      <w:r>
        <w:rPr>
          <w:lang w:val="en-CA"/>
        </w:rPr>
        <w:t xml:space="preserve"> then</w:t>
      </w:r>
      <w:r w:rsidR="007468CF">
        <w:rPr>
          <w:lang w:val="en-CA"/>
        </w:rPr>
        <w:t>,</w:t>
      </w:r>
      <w:r>
        <w:rPr>
          <w:lang w:val="en-CA"/>
        </w:rPr>
        <w:t xml:space="preserve"> </w:t>
      </w:r>
      <w:r w:rsidR="00FC28EE">
        <w:rPr>
          <w:lang w:val="en-CA"/>
        </w:rPr>
        <w:t xml:space="preserve">emerges from </w:t>
      </w:r>
      <w:r>
        <w:rPr>
          <w:lang w:val="en-CA"/>
        </w:rPr>
        <w:t xml:space="preserve">the fact that </w:t>
      </w:r>
      <w:r w:rsidR="007468CF">
        <w:rPr>
          <w:lang w:val="en-CA"/>
        </w:rPr>
        <w:t xml:space="preserve">some </w:t>
      </w:r>
      <w:r>
        <w:rPr>
          <w:lang w:val="en-CA"/>
        </w:rPr>
        <w:t>idea</w:t>
      </w:r>
      <w:r w:rsidR="007468CF">
        <w:rPr>
          <w:lang w:val="en-CA"/>
        </w:rPr>
        <w:t>s are</w:t>
      </w:r>
      <w:r>
        <w:rPr>
          <w:lang w:val="en-CA"/>
        </w:rPr>
        <w:t xml:space="preserve"> inevitably both masked and unveiled by </w:t>
      </w:r>
      <w:r w:rsidR="007468CF">
        <w:rPr>
          <w:lang w:val="en-CA"/>
        </w:rPr>
        <w:t>their</w:t>
      </w:r>
      <w:r>
        <w:rPr>
          <w:lang w:val="en-CA"/>
        </w:rPr>
        <w:t xml:space="preserve"> linguistic expression. </w:t>
      </w:r>
    </w:p>
    <w:p w14:paraId="330F5DDC" w14:textId="77777777" w:rsidR="00EA749C" w:rsidRDefault="00EA749C" w:rsidP="006F45B9">
      <w:pPr>
        <w:spacing w:line="480" w:lineRule="auto"/>
        <w:rPr>
          <w:lang w:val="en-CA"/>
        </w:rPr>
      </w:pPr>
    </w:p>
    <w:p w14:paraId="2C276A97" w14:textId="5D454295" w:rsidR="00EA749C" w:rsidRPr="00AE394D" w:rsidRDefault="00EA749C" w:rsidP="006F45B9">
      <w:pPr>
        <w:spacing w:line="480" w:lineRule="auto"/>
        <w:rPr>
          <w:b/>
          <w:bCs/>
          <w:lang w:val="en-CA"/>
        </w:rPr>
      </w:pPr>
      <w:r w:rsidRPr="00AE394D">
        <w:rPr>
          <w:b/>
          <w:bCs/>
          <w:lang w:val="en-CA"/>
        </w:rPr>
        <w:lastRenderedPageBreak/>
        <w:t>The Creation of the World: An Esoteric Question</w:t>
      </w:r>
      <w:r w:rsidRPr="00AE394D">
        <w:rPr>
          <w:b/>
          <w:bCs/>
          <w:lang w:val="en-CA"/>
        </w:rPr>
        <w:br/>
      </w:r>
    </w:p>
    <w:p w14:paraId="70094482" w14:textId="1D5D534C" w:rsidR="00EA749C" w:rsidRDefault="00804F70" w:rsidP="006F45B9">
      <w:pPr>
        <w:spacing w:line="480" w:lineRule="auto"/>
        <w:ind w:firstLine="720"/>
        <w:rPr>
          <w:lang w:val="en-CA"/>
        </w:rPr>
      </w:pPr>
      <w:r>
        <w:rPr>
          <w:lang w:val="en-CA"/>
        </w:rPr>
        <w:t>The</w:t>
      </w:r>
      <w:r w:rsidR="006A6FE4">
        <w:rPr>
          <w:lang w:val="en-CA"/>
        </w:rPr>
        <w:t xml:space="preserve"> </w:t>
      </w:r>
      <w:r w:rsidR="00EA749C">
        <w:rPr>
          <w:lang w:val="en-CA"/>
        </w:rPr>
        <w:t xml:space="preserve">question of the creation of the world </w:t>
      </w:r>
      <w:r>
        <w:rPr>
          <w:lang w:val="en-CA"/>
        </w:rPr>
        <w:t>fits neatly into</w:t>
      </w:r>
      <w:r w:rsidR="00864545">
        <w:rPr>
          <w:lang w:val="en-CA"/>
        </w:rPr>
        <w:t xml:space="preserve"> each of these two </w:t>
      </w:r>
      <w:r w:rsidR="00021CF9">
        <w:rPr>
          <w:lang w:val="en-CA"/>
        </w:rPr>
        <w:t>models</w:t>
      </w:r>
      <w:r w:rsidR="007468CF">
        <w:rPr>
          <w:lang w:val="en-CA"/>
        </w:rPr>
        <w:t xml:space="preserve"> </w:t>
      </w:r>
      <w:r w:rsidR="00864545">
        <w:rPr>
          <w:lang w:val="en-CA"/>
        </w:rPr>
        <w:t xml:space="preserve">of philosophical esotericism. From the point of view of “politico-religious” esotericism, the </w:t>
      </w:r>
      <w:r w:rsidR="00C305BB">
        <w:rPr>
          <w:lang w:val="en-CA"/>
        </w:rPr>
        <w:t>thesis of</w:t>
      </w:r>
      <w:r w:rsidR="00864545">
        <w:rPr>
          <w:lang w:val="en-CA"/>
        </w:rPr>
        <w:t xml:space="preserve"> absolute creation, </w:t>
      </w:r>
      <w:r w:rsidR="00813749">
        <w:rPr>
          <w:lang w:val="en-CA"/>
        </w:rPr>
        <w:t xml:space="preserve">which was </w:t>
      </w:r>
      <w:r w:rsidR="00864545">
        <w:rPr>
          <w:lang w:val="en-CA"/>
        </w:rPr>
        <w:t>understood</w:t>
      </w:r>
      <w:r w:rsidR="00813749">
        <w:rPr>
          <w:lang w:val="en-CA"/>
        </w:rPr>
        <w:t xml:space="preserve"> to be</w:t>
      </w:r>
      <w:r w:rsidR="00864545">
        <w:rPr>
          <w:lang w:val="en-CA"/>
        </w:rPr>
        <w:t xml:space="preserve"> “</w:t>
      </w:r>
      <w:r w:rsidR="00864545" w:rsidRPr="00813749">
        <w:rPr>
          <w:lang w:val="en-CA"/>
        </w:rPr>
        <w:t>the</w:t>
      </w:r>
      <w:r w:rsidRPr="00813749">
        <w:rPr>
          <w:lang w:val="en-CA"/>
        </w:rPr>
        <w:t xml:space="preserve"> thesis of</w:t>
      </w:r>
      <w:r w:rsidR="00864545" w:rsidRPr="00813749">
        <w:rPr>
          <w:lang w:val="en-CA"/>
        </w:rPr>
        <w:t xml:space="preserve"> Moses’s Torah,” appears</w:t>
      </w:r>
      <w:r w:rsidR="00864545">
        <w:rPr>
          <w:lang w:val="en-CA"/>
        </w:rPr>
        <w:t xml:space="preserve"> as a religious cre</w:t>
      </w:r>
      <w:r w:rsidR="006A6FE4">
        <w:rPr>
          <w:lang w:val="en-CA"/>
        </w:rPr>
        <w:t>ed</w:t>
      </w:r>
      <w:r w:rsidR="00864545">
        <w:rPr>
          <w:lang w:val="en-CA"/>
        </w:rPr>
        <w:t xml:space="preserve"> without a rational basis.</w:t>
      </w:r>
      <w:r w:rsidR="006A6FE4">
        <w:rPr>
          <w:rStyle w:val="Appelnotedebasdep"/>
          <w:lang w:val="en-CA"/>
        </w:rPr>
        <w:footnoteReference w:id="23"/>
      </w:r>
      <w:r w:rsidR="00864545">
        <w:rPr>
          <w:lang w:val="en-CA"/>
        </w:rPr>
        <w:t xml:space="preserve"> Philosophy – identified with Aristotelian science – </w:t>
      </w:r>
      <w:r w:rsidR="00813749">
        <w:rPr>
          <w:lang w:val="en-CA"/>
        </w:rPr>
        <w:t>offers</w:t>
      </w:r>
      <w:r w:rsidR="00864545">
        <w:rPr>
          <w:lang w:val="en-CA"/>
        </w:rPr>
        <w:t xml:space="preserve"> a global understanding of </w:t>
      </w:r>
      <w:r w:rsidR="00864545" w:rsidRPr="006A2047">
        <w:rPr>
          <w:lang w:val="en-CA"/>
        </w:rPr>
        <w:t xml:space="preserve">natural </w:t>
      </w:r>
      <w:r w:rsidR="00864545" w:rsidRPr="00613DFE">
        <w:rPr>
          <w:lang w:val="en-CA"/>
        </w:rPr>
        <w:t>reality</w:t>
      </w:r>
      <w:r w:rsidR="006A2047" w:rsidRPr="00613DFE">
        <w:rPr>
          <w:lang w:val="en-CA"/>
        </w:rPr>
        <w:t>;</w:t>
      </w:r>
      <w:r w:rsidR="00864545" w:rsidRPr="00613DFE">
        <w:rPr>
          <w:lang w:val="en-CA"/>
        </w:rPr>
        <w:t xml:space="preserve"> </w:t>
      </w:r>
      <w:r w:rsidR="006A2047" w:rsidRPr="00613DFE">
        <w:rPr>
          <w:lang w:val="en-CA"/>
        </w:rPr>
        <w:t>it makes</w:t>
      </w:r>
      <w:r w:rsidR="00C305BB" w:rsidRPr="00613DFE">
        <w:rPr>
          <w:lang w:val="en-CA"/>
        </w:rPr>
        <w:t xml:space="preserve"> </w:t>
      </w:r>
      <w:r w:rsidR="006A2047" w:rsidRPr="00613DFE">
        <w:rPr>
          <w:lang w:val="en-CA"/>
        </w:rPr>
        <w:t xml:space="preserve">do </w:t>
      </w:r>
      <w:r w:rsidR="00C305BB" w:rsidRPr="00613DFE">
        <w:rPr>
          <w:lang w:val="en-CA"/>
        </w:rPr>
        <w:t>without</w:t>
      </w:r>
      <w:r w:rsidR="006A2047" w:rsidRPr="006A2047">
        <w:rPr>
          <w:lang w:val="en-CA"/>
        </w:rPr>
        <w:t xml:space="preserve"> the weighty hypothesis of creation</w:t>
      </w:r>
      <w:r w:rsidR="00864545" w:rsidRPr="006A2047">
        <w:rPr>
          <w:lang w:val="en-CA"/>
        </w:rPr>
        <w:t>.</w:t>
      </w:r>
      <w:r w:rsidR="00864545">
        <w:rPr>
          <w:lang w:val="en-CA"/>
        </w:rPr>
        <w:t xml:space="preserve"> </w:t>
      </w:r>
      <w:r w:rsidR="00C305BB">
        <w:rPr>
          <w:lang w:val="en-CA"/>
        </w:rPr>
        <w:t>Moreover</w:t>
      </w:r>
      <w:r w:rsidR="00C305BB" w:rsidRPr="00733010">
        <w:rPr>
          <w:lang w:val="en-CA"/>
        </w:rPr>
        <w:t>, Aristotelian science</w:t>
      </w:r>
      <w:r w:rsidR="00864545">
        <w:rPr>
          <w:lang w:val="en-CA"/>
        </w:rPr>
        <w:t xml:space="preserve"> </w:t>
      </w:r>
      <w:r w:rsidR="00AA6062">
        <w:rPr>
          <w:lang w:val="en-CA"/>
        </w:rPr>
        <w:t>depends on</w:t>
      </w:r>
      <w:r w:rsidR="00C305BB" w:rsidRPr="00AA6062">
        <w:rPr>
          <w:lang w:val="en-CA"/>
        </w:rPr>
        <w:t xml:space="preserve"> </w:t>
      </w:r>
      <w:r w:rsidR="00AA6062">
        <w:rPr>
          <w:lang w:val="en-CA"/>
        </w:rPr>
        <w:t>several</w:t>
      </w:r>
      <w:r w:rsidR="00864545">
        <w:rPr>
          <w:lang w:val="en-CA"/>
        </w:rPr>
        <w:t xml:space="preserve"> principles </w:t>
      </w:r>
      <w:r w:rsidR="009C0D16">
        <w:rPr>
          <w:lang w:val="en-CA"/>
        </w:rPr>
        <w:t>that are incompatible</w:t>
      </w:r>
      <w:r w:rsidR="00864545">
        <w:rPr>
          <w:lang w:val="en-CA"/>
        </w:rPr>
        <w:t xml:space="preserve"> </w:t>
      </w:r>
      <w:r w:rsidR="002A795E">
        <w:rPr>
          <w:lang w:val="en-CA"/>
        </w:rPr>
        <w:t xml:space="preserve">with </w:t>
      </w:r>
      <w:r w:rsidR="00864545">
        <w:rPr>
          <w:lang w:val="en-CA"/>
        </w:rPr>
        <w:t xml:space="preserve">this hypothesis. </w:t>
      </w:r>
      <w:r w:rsidR="00AA6062">
        <w:rPr>
          <w:lang w:val="en-CA"/>
        </w:rPr>
        <w:t xml:space="preserve">Certain </w:t>
      </w:r>
      <w:r w:rsidR="00864545">
        <w:rPr>
          <w:lang w:val="en-CA"/>
        </w:rPr>
        <w:t xml:space="preserve">arguments drawing on the fundamental concepts of physics (time, movement, </w:t>
      </w:r>
      <w:r w:rsidR="00AB4536">
        <w:rPr>
          <w:lang w:val="en-CA"/>
        </w:rPr>
        <w:t>prime</w:t>
      </w:r>
      <w:r w:rsidR="00864545">
        <w:rPr>
          <w:lang w:val="en-CA"/>
        </w:rPr>
        <w:t xml:space="preserve"> matter…) and metaphysics (</w:t>
      </w:r>
      <w:r w:rsidR="00AB4536">
        <w:rPr>
          <w:lang w:val="en-CA"/>
        </w:rPr>
        <w:t>the incorporeality of the Prime Mover</w:t>
      </w:r>
      <w:r w:rsidR="006A2047">
        <w:rPr>
          <w:lang w:val="en-CA"/>
        </w:rPr>
        <w:t xml:space="preserve"> or its immutability</w:t>
      </w:r>
      <w:r w:rsidR="00864545">
        <w:rPr>
          <w:lang w:val="en-CA"/>
        </w:rPr>
        <w:t>)</w:t>
      </w:r>
      <w:r w:rsidR="006A6FE4">
        <w:rPr>
          <w:rStyle w:val="Appelnotedebasdep"/>
          <w:lang w:val="en-CA"/>
        </w:rPr>
        <w:footnoteReference w:id="24"/>
      </w:r>
      <w:r w:rsidR="00864545">
        <w:rPr>
          <w:lang w:val="en-CA"/>
        </w:rPr>
        <w:t xml:space="preserve"> make </w:t>
      </w:r>
      <w:r w:rsidR="009C0D16">
        <w:rPr>
          <w:lang w:val="en-CA"/>
        </w:rPr>
        <w:t>the hypothesis</w:t>
      </w:r>
      <w:r w:rsidR="00864545">
        <w:rPr>
          <w:lang w:val="en-CA"/>
        </w:rPr>
        <w:t xml:space="preserve"> </w:t>
      </w:r>
      <w:r w:rsidR="009C0D16">
        <w:rPr>
          <w:lang w:val="en-CA"/>
        </w:rPr>
        <w:t>inadmissible for</w:t>
      </w:r>
      <w:r w:rsidR="00864545">
        <w:rPr>
          <w:lang w:val="en-CA"/>
        </w:rPr>
        <w:t xml:space="preserve"> a philosopher worthy of the name.</w:t>
      </w:r>
      <w:r w:rsidR="006A2047">
        <w:rPr>
          <w:lang w:val="en-CA"/>
        </w:rPr>
        <w:t xml:space="preserve"> </w:t>
      </w:r>
      <w:r w:rsidR="00864545">
        <w:rPr>
          <w:lang w:val="en-CA"/>
        </w:rPr>
        <w:t xml:space="preserve">Creation, then, is reduced to an </w:t>
      </w:r>
      <w:r w:rsidR="00864545" w:rsidRPr="009C0D16">
        <w:rPr>
          <w:i/>
          <w:iCs/>
          <w:lang w:val="en-CA"/>
        </w:rPr>
        <w:t xml:space="preserve">ad hoc </w:t>
      </w:r>
      <w:r w:rsidR="00864545">
        <w:rPr>
          <w:lang w:val="en-CA"/>
        </w:rPr>
        <w:t xml:space="preserve">thesis that </w:t>
      </w:r>
      <w:r w:rsidR="00864545" w:rsidRPr="00613DFE">
        <w:rPr>
          <w:lang w:val="en-CA"/>
        </w:rPr>
        <w:t xml:space="preserve">allows </w:t>
      </w:r>
      <w:r w:rsidR="00C305BB" w:rsidRPr="00613DFE">
        <w:rPr>
          <w:lang w:val="en-CA"/>
        </w:rPr>
        <w:t>the philosopher</w:t>
      </w:r>
      <w:r w:rsidR="00864545" w:rsidRPr="00613DFE">
        <w:rPr>
          <w:lang w:val="en-CA"/>
        </w:rPr>
        <w:t xml:space="preserve"> to</w:t>
      </w:r>
      <w:r w:rsidR="00864545">
        <w:rPr>
          <w:lang w:val="en-CA"/>
        </w:rPr>
        <w:t xml:space="preserve"> support the Torah’s edifice</w:t>
      </w:r>
      <w:r w:rsidR="00864545" w:rsidRPr="006A2047">
        <w:rPr>
          <w:lang w:val="en-CA"/>
        </w:rPr>
        <w:t xml:space="preserve">. </w:t>
      </w:r>
      <w:r w:rsidR="006A2047" w:rsidRPr="006A2047">
        <w:rPr>
          <w:lang w:val="en-CA"/>
        </w:rPr>
        <w:t xml:space="preserve">It ensures the possibility of miracles, and thereby of revelation, </w:t>
      </w:r>
      <w:r w:rsidR="007C633A">
        <w:rPr>
          <w:lang w:val="en-CA"/>
        </w:rPr>
        <w:t>b</w:t>
      </w:r>
      <w:r w:rsidR="00864545" w:rsidRPr="006A2047">
        <w:rPr>
          <w:lang w:val="en-CA"/>
        </w:rPr>
        <w:t xml:space="preserve">y presenting a God who originated the whole range of creatures and who is </w:t>
      </w:r>
      <w:r w:rsidR="00864545" w:rsidRPr="007C633A">
        <w:rPr>
          <w:lang w:val="en-CA"/>
        </w:rPr>
        <w:t xml:space="preserve">thus liable to change them. </w:t>
      </w:r>
      <w:r w:rsidR="00C305BB" w:rsidRPr="007C633A">
        <w:rPr>
          <w:lang w:val="en-CA"/>
        </w:rPr>
        <w:t>This hypothesis</w:t>
      </w:r>
      <w:r w:rsidR="00864545" w:rsidRPr="007C633A">
        <w:rPr>
          <w:lang w:val="en-CA"/>
        </w:rPr>
        <w:t xml:space="preserve"> is </w:t>
      </w:r>
      <w:r w:rsidR="00864545" w:rsidRPr="007C633A">
        <w:rPr>
          <w:lang w:val="en-CA"/>
        </w:rPr>
        <w:lastRenderedPageBreak/>
        <w:t xml:space="preserve">also </w:t>
      </w:r>
      <w:r w:rsidR="009C0D16" w:rsidRPr="007C633A">
        <w:rPr>
          <w:lang w:val="en-CA"/>
        </w:rPr>
        <w:t>purported</w:t>
      </w:r>
      <w:r w:rsidR="00864545" w:rsidRPr="007C633A">
        <w:rPr>
          <w:lang w:val="en-CA"/>
        </w:rPr>
        <w:t xml:space="preserve"> to emerge from the literal meaning of the Scriptures. </w:t>
      </w:r>
      <w:r w:rsidR="007C633A">
        <w:rPr>
          <w:lang w:val="en-CA"/>
        </w:rPr>
        <w:t>There is</w:t>
      </w:r>
      <w:r w:rsidR="00864545">
        <w:rPr>
          <w:lang w:val="en-CA"/>
        </w:rPr>
        <w:t xml:space="preserve"> thus reason to </w:t>
      </w:r>
      <w:r w:rsidR="009C0D16">
        <w:rPr>
          <w:lang w:val="en-CA"/>
        </w:rPr>
        <w:t>be suspicious of</w:t>
      </w:r>
      <w:r w:rsidR="00864545">
        <w:rPr>
          <w:lang w:val="en-CA"/>
        </w:rPr>
        <w:t xml:space="preserve"> the philosopher </w:t>
      </w:r>
      <w:r w:rsidR="009C0D16">
        <w:rPr>
          <w:lang w:val="en-CA"/>
        </w:rPr>
        <w:t>who</w:t>
      </w:r>
      <w:r w:rsidR="00864545">
        <w:rPr>
          <w:lang w:val="en-CA"/>
        </w:rPr>
        <w:t xml:space="preserve"> claims to </w:t>
      </w:r>
      <w:r w:rsidR="009C0D16">
        <w:rPr>
          <w:lang w:val="en-CA"/>
        </w:rPr>
        <w:t>adhere to the doctrine of</w:t>
      </w:r>
      <w:r w:rsidR="00864545">
        <w:rPr>
          <w:lang w:val="en-CA"/>
        </w:rPr>
        <w:t xml:space="preserve"> creation, to be convinced of the eternity of the world, </w:t>
      </w:r>
      <w:r w:rsidR="009C0D16">
        <w:rPr>
          <w:lang w:val="en-CA"/>
        </w:rPr>
        <w:t xml:space="preserve">who </w:t>
      </w:r>
      <w:r w:rsidR="00864545">
        <w:rPr>
          <w:lang w:val="en-CA"/>
        </w:rPr>
        <w:t>feig</w:t>
      </w:r>
      <w:r w:rsidR="009C0D16">
        <w:rPr>
          <w:lang w:val="en-CA"/>
        </w:rPr>
        <w:t>ns</w:t>
      </w:r>
      <w:r w:rsidR="00864545">
        <w:rPr>
          <w:lang w:val="en-CA"/>
        </w:rPr>
        <w:t xml:space="preserve"> – before an audience of naïfs – to be a true believer. To show that Maimonides or other medieval Jewish philosophers were not sincere believers in creation would be to suggest that they were not sincere followers of the law of Moses, that their loyalty went only to Athens, rather than, as they claimed, also to Jerusalem.</w:t>
      </w:r>
    </w:p>
    <w:p w14:paraId="0B80A045" w14:textId="17CD7304" w:rsidR="00585294" w:rsidRDefault="009C0D16" w:rsidP="006F45B9">
      <w:pPr>
        <w:spacing w:line="480" w:lineRule="auto"/>
        <w:ind w:firstLine="720"/>
      </w:pPr>
      <w:r>
        <w:rPr>
          <w:lang w:val="en-CA"/>
        </w:rPr>
        <w:t>Furthermore</w:t>
      </w:r>
      <w:r w:rsidR="00864545">
        <w:rPr>
          <w:lang w:val="en-CA"/>
        </w:rPr>
        <w:t xml:space="preserve">, the issue of the creation of the world </w:t>
      </w:r>
      <w:r>
        <w:rPr>
          <w:lang w:val="en-CA"/>
        </w:rPr>
        <w:t>appears</w:t>
      </w:r>
      <w:r w:rsidR="00864545">
        <w:rPr>
          <w:lang w:val="en-CA"/>
        </w:rPr>
        <w:t xml:space="preserve"> among those questions that most fundamentally compel esoteric writing because it touches paradigmatically on the problem of the </w:t>
      </w:r>
      <w:r w:rsidR="00864545" w:rsidRPr="002F6D4F">
        <w:rPr>
          <w:lang w:val="en-CA"/>
        </w:rPr>
        <w:t xml:space="preserve">limits of language. At stake is nothing less than trying to enunciate the radical origin of </w:t>
      </w:r>
      <w:proofErr w:type="spellStart"/>
      <w:r w:rsidR="00864545" w:rsidRPr="002F6D4F">
        <w:rPr>
          <w:lang w:val="en-CA"/>
        </w:rPr>
        <w:t>any</w:t>
      </w:r>
      <w:r w:rsidR="00FC2D0E">
        <w:rPr>
          <w:lang w:val="en-CA"/>
        </w:rPr>
        <w:t xml:space="preserve"> thing</w:t>
      </w:r>
      <w:proofErr w:type="spellEnd"/>
      <w:r w:rsidR="00864545" w:rsidRPr="002F6D4F">
        <w:rPr>
          <w:lang w:val="en-CA"/>
        </w:rPr>
        <w:t xml:space="preserve">, when language </w:t>
      </w:r>
      <w:r w:rsidR="00FC2D0E">
        <w:rPr>
          <w:lang w:val="en-CA"/>
        </w:rPr>
        <w:t xml:space="preserve">always </w:t>
      </w:r>
      <w:r w:rsidR="00864545" w:rsidRPr="002F6D4F">
        <w:rPr>
          <w:lang w:val="en-CA"/>
        </w:rPr>
        <w:t>presupposes the existence of the thing which it names. In his</w:t>
      </w:r>
      <w:r w:rsidR="00864545">
        <w:rPr>
          <w:lang w:val="en-CA"/>
        </w:rPr>
        <w:t xml:space="preserve"> </w:t>
      </w:r>
      <w:r w:rsidR="00864545">
        <w:rPr>
          <w:i/>
          <w:iCs/>
          <w:lang w:val="en-CA"/>
        </w:rPr>
        <w:t>Lecture on Ethics</w:t>
      </w:r>
      <w:r w:rsidR="00864545">
        <w:rPr>
          <w:lang w:val="en-CA"/>
        </w:rPr>
        <w:t xml:space="preserve">, Wittgenstein mentions </w:t>
      </w:r>
      <w:r w:rsidR="00585294">
        <w:rPr>
          <w:lang w:val="en-CA"/>
        </w:rPr>
        <w:t>his wonder before the very existence of the world, as an experience of transgressing the limits of language. To say “</w:t>
      </w:r>
      <w:r w:rsidR="00585294">
        <w:t xml:space="preserve">I wonder at the existence of the world” comes down to </w:t>
      </w:r>
      <w:r w:rsidR="00FC2D0E">
        <w:t>misusing</w:t>
      </w:r>
      <w:r w:rsidR="00585294">
        <w:t xml:space="preserve"> </w:t>
      </w:r>
      <w:r w:rsidR="00FC2D0E">
        <w:t xml:space="preserve">the </w:t>
      </w:r>
      <w:r w:rsidR="00585294">
        <w:t xml:space="preserve">verb “wonder,” insofar as one can only ever wonder at the fact that something does not conform to what one might have expected. Yet one could not wonder that the world exists, since it is impossible to imagine it not existing, or to project oneself into a situation in which it does not exist. Language being, at a certain level, the vehicle for a pronouncement on a state of matter, it thus could not pronounce itself on the very fact that there are things it is about. </w:t>
      </w:r>
      <w:r w:rsidR="00FC2D0E">
        <w:t>According to</w:t>
      </w:r>
      <w:r w:rsidR="00585294">
        <w:t xml:space="preserve"> the Lecture’s magnificent formula, if wondering at the existence of the world comes down to seeing the existence of the world as a miracle, as a fact which is inexplicable on its face in relation to the knowledge at one’s disposal, then “the right </w:t>
      </w:r>
      <w:r w:rsidR="00585294">
        <w:lastRenderedPageBreak/>
        <w:t xml:space="preserve">expression in language for the miracle of the existence of the world, though it is not any proposition </w:t>
      </w:r>
      <w:r w:rsidR="00585294" w:rsidRPr="00E00762">
        <w:rPr>
          <w:i/>
          <w:iCs/>
        </w:rPr>
        <w:t xml:space="preserve">in </w:t>
      </w:r>
      <w:r w:rsidR="00585294">
        <w:t>language, is the existence of language itself.”</w:t>
      </w:r>
      <w:r w:rsidR="006A6FE4">
        <w:rPr>
          <w:rStyle w:val="Appelnotedebasdep"/>
        </w:rPr>
        <w:footnoteReference w:id="25"/>
      </w:r>
      <w:r w:rsidR="00585294">
        <w:t xml:space="preserve"> </w:t>
      </w:r>
    </w:p>
    <w:p w14:paraId="29D30BC4" w14:textId="278AD118" w:rsidR="005C3845" w:rsidRPr="005C3845" w:rsidRDefault="005C3845" w:rsidP="006F45B9">
      <w:pPr>
        <w:spacing w:line="480" w:lineRule="auto"/>
        <w:ind w:firstLine="720"/>
      </w:pPr>
      <w:r>
        <w:t xml:space="preserve">There is consequently no adequate way to capture </w:t>
      </w:r>
      <w:r w:rsidR="00BA5894">
        <w:t>a radical origin</w:t>
      </w:r>
      <w:r w:rsidR="00BA5894">
        <w:rPr>
          <w:i/>
          <w:iCs/>
        </w:rPr>
        <w:t xml:space="preserve"> </w:t>
      </w:r>
      <w:r>
        <w:rPr>
          <w:i/>
          <w:iCs/>
        </w:rPr>
        <w:t xml:space="preserve">in </w:t>
      </w:r>
      <w:r>
        <w:t xml:space="preserve">language, even if the existence </w:t>
      </w:r>
      <w:r>
        <w:rPr>
          <w:i/>
          <w:iCs/>
        </w:rPr>
        <w:t xml:space="preserve">of </w:t>
      </w:r>
      <w:r>
        <w:t>language makes the attempt to give an account of such an origin both necessary and, according to Wittgenstein, futile.</w:t>
      </w:r>
      <w:r w:rsidR="006A6FE4">
        <w:rPr>
          <w:rStyle w:val="Appelnotedebasdep"/>
        </w:rPr>
        <w:footnoteReference w:id="26"/>
      </w:r>
      <w:r>
        <w:t xml:space="preserve"> In this way, the creation of the world can be categorized among those questions which, by their very structure, at one and the same time must be posed and must lead any attempt to answer them into knotty problems concerning the correct way to speak of </w:t>
      </w:r>
      <w:r w:rsidR="00281A5B">
        <w:t>such things at all</w:t>
      </w:r>
      <w:r>
        <w:t>.</w:t>
      </w:r>
    </w:p>
    <w:p w14:paraId="423A508A" w14:textId="642186B8" w:rsidR="00585294" w:rsidRDefault="00585294" w:rsidP="006F45B9">
      <w:pPr>
        <w:spacing w:line="480" w:lineRule="auto"/>
      </w:pPr>
    </w:p>
    <w:p w14:paraId="753A2D43" w14:textId="7241AFF7" w:rsidR="005C3845" w:rsidRPr="00BA5894" w:rsidRDefault="005C3845" w:rsidP="006F45B9">
      <w:pPr>
        <w:spacing w:line="480" w:lineRule="auto"/>
        <w:rPr>
          <w:b/>
          <w:bCs/>
        </w:rPr>
      </w:pPr>
      <w:r w:rsidRPr="00BA5894">
        <w:rPr>
          <w:b/>
          <w:bCs/>
        </w:rPr>
        <w:t>Beyond the Author’s Intention</w:t>
      </w:r>
    </w:p>
    <w:p w14:paraId="39F4CE8F" w14:textId="60913BA0" w:rsidR="00585294" w:rsidRPr="00585294" w:rsidRDefault="00585294" w:rsidP="006F45B9">
      <w:pPr>
        <w:spacing w:line="480" w:lineRule="auto"/>
      </w:pPr>
    </w:p>
    <w:p w14:paraId="7482E5EE" w14:textId="1A8E7AD1" w:rsidR="00585294" w:rsidRDefault="00BA5894" w:rsidP="006F45B9">
      <w:pPr>
        <w:spacing w:line="480" w:lineRule="auto"/>
        <w:ind w:firstLine="720"/>
      </w:pPr>
      <w:r>
        <w:t xml:space="preserve">Strauss owes his discovery of “politico-religious” esotericism to his reading of Maimonides’s Introduction to the </w:t>
      </w:r>
      <w:r>
        <w:rPr>
          <w:i/>
          <w:iCs/>
        </w:rPr>
        <w:t>Guide of the Perplexed</w:t>
      </w:r>
      <w:r>
        <w:t>. However, as I will show in detail,</w:t>
      </w:r>
      <w:r w:rsidR="006A6FE4">
        <w:rPr>
          <w:rStyle w:val="Appelnotedebasdep"/>
        </w:rPr>
        <w:footnoteReference w:id="27"/>
      </w:r>
      <w:r w:rsidRPr="00BA5894">
        <w:t xml:space="preserve"> </w:t>
      </w:r>
      <w:r>
        <w:t>this foundational text also contains the resources to think an “essential” esotericism.</w:t>
      </w:r>
      <w:r w:rsidRPr="00BA5894">
        <w:t xml:space="preserve"> </w:t>
      </w:r>
      <w:r>
        <w:t xml:space="preserve">“Politico-religious” esotericism was later </w:t>
      </w:r>
      <w:r w:rsidR="00E060FF">
        <w:t>used by</w:t>
      </w:r>
      <w:r>
        <w:t xml:space="preserve"> Strauss and his followers as a hypothesis guiding their reading of the entirety of the history of medieval Jewish </w:t>
      </w:r>
      <w:r w:rsidR="00B067D5">
        <w:t>philosophy</w:t>
      </w:r>
      <w:r>
        <w:t>,</w:t>
      </w:r>
      <w:r w:rsidR="006A6FE4">
        <w:rPr>
          <w:rStyle w:val="Appelnotedebasdep"/>
        </w:rPr>
        <w:footnoteReference w:id="28"/>
      </w:r>
      <w:r>
        <w:t xml:space="preserve"> and even of the history of </w:t>
      </w:r>
      <w:r>
        <w:lastRenderedPageBreak/>
        <w:t>premodern philosophy in general.</w:t>
      </w:r>
      <w:r w:rsidR="006A6FE4">
        <w:rPr>
          <w:rStyle w:val="Appelnotedebasdep"/>
        </w:rPr>
        <w:footnoteReference w:id="29"/>
      </w:r>
      <w:r>
        <w:t xml:space="preserve"> In the same way, I intend to use the hypothesis of an “essential” esotericism as a starting point to explore the reflection</w:t>
      </w:r>
      <w:r w:rsidR="00E060FF">
        <w:t>s</w:t>
      </w:r>
      <w:r>
        <w:t xml:space="preserve"> of a variety of medieval Jewish philosophers on the creation of the world. </w:t>
      </w:r>
    </w:p>
    <w:p w14:paraId="02CF42FC" w14:textId="05DF2CB2" w:rsidR="00BA5894" w:rsidRDefault="00BA5894" w:rsidP="006F45B9">
      <w:pPr>
        <w:spacing w:line="480" w:lineRule="auto"/>
        <w:ind w:firstLine="720"/>
      </w:pPr>
      <w:r>
        <w:t xml:space="preserve">However, </w:t>
      </w:r>
      <w:r w:rsidRPr="00281A5B">
        <w:t xml:space="preserve">this </w:t>
      </w:r>
      <w:r w:rsidR="00281A5B">
        <w:t>interpretive</w:t>
      </w:r>
      <w:r w:rsidRPr="00281A5B">
        <w:t xml:space="preserve"> hypothesis</w:t>
      </w:r>
      <w:r>
        <w:t xml:space="preserve"> comes up against a strong claim related to the </w:t>
      </w:r>
      <w:r>
        <w:rPr>
          <w:i/>
          <w:iCs/>
        </w:rPr>
        <w:t>Guide</w:t>
      </w:r>
      <w:r>
        <w:t xml:space="preserve">’s reception history, and more fundamentally, against a global methodological consideration in the history of philosophy. The Straussian reading, which turns Maimonides into an orthodox Aristotelian or a “radical” philosopher, is not new. It leans on the authority of a tradition going back to the </w:t>
      </w:r>
      <w:r>
        <w:rPr>
          <w:i/>
          <w:iCs/>
        </w:rPr>
        <w:t>Guide</w:t>
      </w:r>
      <w:r>
        <w:t xml:space="preserve">’s first generation of readers, starting in Maimonides’s lifetime with its first translator from Arabic into Hebrew, Samuel Ibn </w:t>
      </w:r>
      <w:proofErr w:type="spellStart"/>
      <w:r>
        <w:t>Tibbon</w:t>
      </w:r>
      <w:proofErr w:type="spellEnd"/>
      <w:r>
        <w:t xml:space="preserve"> (c. 1165-1232, Provence).</w:t>
      </w:r>
      <w:r w:rsidR="006A6FE4">
        <w:rPr>
          <w:rStyle w:val="Appelnotedebasdep"/>
        </w:rPr>
        <w:footnoteReference w:id="30"/>
      </w:r>
      <w:r>
        <w:t xml:space="preserve"> After Samuel Ibn </w:t>
      </w:r>
      <w:proofErr w:type="spellStart"/>
      <w:r>
        <w:t>Tibbon</w:t>
      </w:r>
      <w:proofErr w:type="spellEnd"/>
      <w:r>
        <w:t xml:space="preserve">, a whole school of radical readers of the </w:t>
      </w:r>
      <w:r>
        <w:rPr>
          <w:i/>
          <w:iCs/>
        </w:rPr>
        <w:t xml:space="preserve">Guide </w:t>
      </w:r>
      <w:r>
        <w:t>emerged</w:t>
      </w:r>
      <w:r w:rsidR="006A6FE4">
        <w:t xml:space="preserve"> (among whom</w:t>
      </w:r>
      <w:r>
        <w:t xml:space="preserve"> </w:t>
      </w:r>
      <w:r w:rsidRPr="006A6FE4">
        <w:t xml:space="preserve">the </w:t>
      </w:r>
      <w:proofErr w:type="spellStart"/>
      <w:r w:rsidRPr="006A6FE4">
        <w:t>Averroists</w:t>
      </w:r>
      <w:proofErr w:type="spellEnd"/>
      <w:r w:rsidRPr="006A6FE4">
        <w:t xml:space="preserve"> Joseph Ibn </w:t>
      </w:r>
      <w:proofErr w:type="spellStart"/>
      <w:r w:rsidRPr="006A6FE4">
        <w:t>Kaspi</w:t>
      </w:r>
      <w:proofErr w:type="spellEnd"/>
      <w:r w:rsidRPr="006A6FE4">
        <w:t xml:space="preserve"> and </w:t>
      </w:r>
      <w:r w:rsidR="006A6FE4">
        <w:t>Moses of Narbonne (</w:t>
      </w:r>
      <w:proofErr w:type="spellStart"/>
      <w:r w:rsidR="006A6FE4">
        <w:t>Narboni</w:t>
      </w:r>
      <w:proofErr w:type="spellEnd"/>
      <w:r w:rsidR="006A6FE4">
        <w:t>), who were active in Provence in the fourteenth century, are important representatives)</w:t>
      </w:r>
      <w:r>
        <w:t xml:space="preserve"> who </w:t>
      </w:r>
      <w:r w:rsidR="006E6087">
        <w:t>fervently</w:t>
      </w:r>
      <w:r>
        <w:t xml:space="preserve"> sought to demonstrate that, despite</w:t>
      </w:r>
      <w:r w:rsidR="006E6087">
        <w:t xml:space="preserve"> his</w:t>
      </w:r>
      <w:r>
        <w:t xml:space="preserve"> claims, Maimonides’s “true doctrine” corresponds – a few </w:t>
      </w:r>
      <w:r w:rsidRPr="00281A5B">
        <w:t>details excepted –</w:t>
      </w:r>
      <w:r>
        <w:t xml:space="preserve"> to that of Aristotle, which these same commentators identified with Averroes’s</w:t>
      </w:r>
      <w:r w:rsidR="005B418E">
        <w:t xml:space="preserve"> own doctrine</w:t>
      </w:r>
      <w:r>
        <w:t>.</w:t>
      </w:r>
      <w:r w:rsidR="006A6FE4">
        <w:rPr>
          <w:rStyle w:val="Appelnotedebasdep"/>
        </w:rPr>
        <w:footnoteReference w:id="31"/>
      </w:r>
      <w:r>
        <w:t xml:space="preserve"> </w:t>
      </w:r>
    </w:p>
    <w:p w14:paraId="0ABF8235" w14:textId="6FF2D031" w:rsidR="00BA5894" w:rsidRDefault="00BA5894" w:rsidP="006F45B9">
      <w:pPr>
        <w:spacing w:line="480" w:lineRule="auto"/>
      </w:pPr>
    </w:p>
    <w:p w14:paraId="5129D6B2" w14:textId="0B7AFA7D" w:rsidR="00BA5894" w:rsidRDefault="00BA5894" w:rsidP="006F45B9">
      <w:pPr>
        <w:spacing w:line="480" w:lineRule="auto"/>
      </w:pPr>
      <w:r>
        <w:t>Inversely, it was</w:t>
      </w:r>
      <w:r w:rsidR="006E6087">
        <w:t xml:space="preserve"> no</w:t>
      </w:r>
      <w:r>
        <w:t xml:space="preserve">t until the end of the 1970s that, with </w:t>
      </w:r>
      <w:proofErr w:type="spellStart"/>
      <w:r>
        <w:t>Shlomo</w:t>
      </w:r>
      <w:proofErr w:type="spellEnd"/>
      <w:r>
        <w:t xml:space="preserve"> </w:t>
      </w:r>
      <w:proofErr w:type="spellStart"/>
      <w:r>
        <w:t>Pines’s</w:t>
      </w:r>
      <w:proofErr w:type="spellEnd"/>
      <w:r>
        <w:t xml:space="preserve"> foundational work,</w:t>
      </w:r>
      <w:r w:rsidR="006A6FE4">
        <w:rPr>
          <w:rStyle w:val="Appelnotedebasdep"/>
        </w:rPr>
        <w:footnoteReference w:id="32"/>
      </w:r>
      <w:r>
        <w:t xml:space="preserve"> the first “skeptical” readings of the </w:t>
      </w:r>
      <w:r w:rsidRPr="00BA5894">
        <w:rPr>
          <w:i/>
          <w:iCs/>
        </w:rPr>
        <w:t>Guide</w:t>
      </w:r>
      <w:r>
        <w:t xml:space="preserve"> appeared. </w:t>
      </w:r>
      <w:r w:rsidR="005B418E">
        <w:t xml:space="preserve">In keeping with </w:t>
      </w:r>
      <w:r>
        <w:t xml:space="preserve">the hypothesis of an essential esotericism, </w:t>
      </w:r>
      <w:r w:rsidR="005B418E">
        <w:t xml:space="preserve">these readings foregrounded </w:t>
      </w:r>
      <w:r>
        <w:t>considerations on the limits of possible human knowledge. Some of the modern skeptical readers</w:t>
      </w:r>
      <w:r w:rsidR="005B418E">
        <w:t xml:space="preserve"> tried</w:t>
      </w:r>
      <w:r w:rsidR="003F4D58">
        <w:t xml:space="preserve"> </w:t>
      </w:r>
      <w:r>
        <w:t xml:space="preserve">to justify the novelty of their </w:t>
      </w:r>
      <w:r>
        <w:lastRenderedPageBreak/>
        <w:t>interpretation despite the eight centuries that separate</w:t>
      </w:r>
      <w:r w:rsidR="006E6087">
        <w:t>d</w:t>
      </w:r>
      <w:r>
        <w:t xml:space="preserve"> them from the text’s writing.</w:t>
      </w:r>
      <w:r w:rsidR="006A6FE4">
        <w:rPr>
          <w:rStyle w:val="Appelnotedebasdep"/>
        </w:rPr>
        <w:footnoteReference w:id="33"/>
      </w:r>
      <w:r>
        <w:t xml:space="preserve"> In fact, the critical or skeptical attitude that these readers attribute</w:t>
      </w:r>
      <w:r w:rsidR="006E6087">
        <w:t>d</w:t>
      </w:r>
      <w:r>
        <w:t xml:space="preserve"> to Maimonides corresponds much more neatly to the modern – especially post-Kantian</w:t>
      </w:r>
      <w:r w:rsidR="005B418E">
        <w:t xml:space="preserve"> – </w:t>
      </w:r>
      <w:r>
        <w:t xml:space="preserve">philosophical spirit than it does to that of his twelfth-century Andalusian contemporaries, Ibn </w:t>
      </w:r>
      <w:proofErr w:type="spellStart"/>
      <w:r>
        <w:t>B</w:t>
      </w:r>
      <w:r w:rsidR="006D1B6C">
        <w:t>ā</w:t>
      </w:r>
      <w:r>
        <w:t>jja</w:t>
      </w:r>
      <w:proofErr w:type="spellEnd"/>
      <w:r>
        <w:t xml:space="preserve"> or Averroes. Certainly, it is possible that someone as singular as Maimonides might have stood alone in his philosophical moment. But there is reason to fear that such interpretations might have succumbed to an illusion which consists in projecting onto a thinker of the past one’s own ideas – an illusion that Maimonides himself </w:t>
      </w:r>
      <w:r w:rsidR="005B418E">
        <w:t>deplored in</w:t>
      </w:r>
      <w:r>
        <w:t xml:space="preserve"> some of his contemporaries.</w:t>
      </w:r>
      <w:r w:rsidR="006A6FE4">
        <w:rPr>
          <w:rStyle w:val="Appelnotedebasdep"/>
        </w:rPr>
        <w:footnoteReference w:id="34"/>
      </w:r>
      <w:r>
        <w:t xml:space="preserve"> </w:t>
      </w:r>
    </w:p>
    <w:p w14:paraId="1679D769" w14:textId="70ED906A" w:rsidR="00BA5894" w:rsidRDefault="00BA5894" w:rsidP="006F45B9">
      <w:pPr>
        <w:spacing w:line="480" w:lineRule="auto"/>
        <w:ind w:firstLine="720"/>
      </w:pPr>
      <w:r>
        <w:t>The fundamental principle on which this objection rests was formulated by Strauss</w:t>
      </w:r>
      <w:r w:rsidR="005B418E">
        <w:t>,</w:t>
      </w:r>
      <w:r>
        <w:t xml:space="preserve"> in his critique of Kantian and post-Kantian “progressivism.” Starting from a</w:t>
      </w:r>
      <w:r w:rsidR="006D1B6C">
        <w:t xml:space="preserve"> vision</w:t>
      </w:r>
      <w:r>
        <w:t xml:space="preserve"> of history in which modernity is the most “advanced” epoch, and perhaps even the very culmination of history (Hegel), this progressivism claims to understand the philosophers of the past “better than they understood themselves,” to cite Kant’s famous formula with regard to Plato.</w:t>
      </w:r>
      <w:r w:rsidR="006A6FE4">
        <w:rPr>
          <w:rStyle w:val="Appelnotedebasdep"/>
        </w:rPr>
        <w:footnoteReference w:id="35"/>
      </w:r>
      <w:r>
        <w:t xml:space="preserve"> For Strauss, on the contrary, it is advisable to read a philosopher “exactly as he understood himself.”</w:t>
      </w:r>
      <w:r w:rsidR="006A6FE4">
        <w:rPr>
          <w:rStyle w:val="Appelnotedebasdep"/>
        </w:rPr>
        <w:footnoteReference w:id="36"/>
      </w:r>
      <w:r>
        <w:t xml:space="preserve"> Maimonides </w:t>
      </w:r>
      <w:r>
        <w:lastRenderedPageBreak/>
        <w:t>understood “philosophy” to mean nothing other than Aristotelian science;</w:t>
      </w:r>
      <w:r w:rsidR="006A6FE4">
        <w:rPr>
          <w:rStyle w:val="Appelnotedebasdep"/>
        </w:rPr>
        <w:footnoteReference w:id="37"/>
      </w:r>
      <w:r>
        <w:t xml:space="preserve"> consequently, to turn him into a “critical” or “skeptical” philosopher ahead of </w:t>
      </w:r>
      <w:r w:rsidRPr="005B418E">
        <w:t xml:space="preserve">his </w:t>
      </w:r>
      <w:r w:rsidR="007432CF">
        <w:t xml:space="preserve">time is redolent of </w:t>
      </w:r>
      <w:r>
        <w:t xml:space="preserve">anachronism or of a teleological reading of the history of philosophy. </w:t>
      </w:r>
    </w:p>
    <w:p w14:paraId="684AA468" w14:textId="4CE346E8" w:rsidR="00BA5894" w:rsidRDefault="00BA5894" w:rsidP="006F45B9">
      <w:pPr>
        <w:spacing w:line="480" w:lineRule="auto"/>
        <w:ind w:firstLine="720"/>
      </w:pPr>
      <w:r>
        <w:t>It is also in the name of historical rigor that Dov S</w:t>
      </w:r>
      <w:r w:rsidR="00CA5CAF">
        <w:t>c</w:t>
      </w:r>
      <w:r>
        <w:t>hwartz,</w:t>
      </w:r>
      <w:r w:rsidR="006D1B6C">
        <w:t xml:space="preserve"> extending</w:t>
      </w:r>
      <w:r>
        <w:t xml:space="preserve"> the Straussian </w:t>
      </w:r>
      <w:r w:rsidR="005B418E">
        <w:t>paradigm</w:t>
      </w:r>
      <w:r>
        <w:t xml:space="preserve"> of philosophical esotericism to </w:t>
      </w:r>
      <w:r w:rsidR="005B418E">
        <w:t xml:space="preserve">span </w:t>
      </w:r>
      <w:r>
        <w:t xml:space="preserve">the whole of medieval Jewish philosophy, distrusts any </w:t>
      </w:r>
      <w:r w:rsidR="005B418E">
        <w:t xml:space="preserve">reading </w:t>
      </w:r>
      <w:r>
        <w:t xml:space="preserve">of </w:t>
      </w:r>
      <w:r w:rsidR="006D1B6C">
        <w:t>our</w:t>
      </w:r>
      <w:r>
        <w:t xml:space="preserve"> corpus which </w:t>
      </w:r>
      <w:r w:rsidRPr="002823C6">
        <w:t xml:space="preserve">would </w:t>
      </w:r>
      <w:r w:rsidR="002823C6" w:rsidRPr="002823C6">
        <w:t>see in it</w:t>
      </w:r>
      <w:r w:rsidR="005B418E" w:rsidRPr="002823C6">
        <w:t xml:space="preserve"> </w:t>
      </w:r>
      <w:r w:rsidRPr="002823C6">
        <w:t xml:space="preserve">a kind </w:t>
      </w:r>
      <w:r>
        <w:t xml:space="preserve">of skepticism or a reflection on the limits of human knowledge. </w:t>
      </w:r>
      <w:r w:rsidR="00CA5CAF">
        <w:t xml:space="preserve">At the same time, Schwartz acknowledges that the reader of an esoteric text might sometimes be </w:t>
      </w:r>
      <w:r w:rsidR="005B418E">
        <w:t>positioned</w:t>
      </w:r>
      <w:r w:rsidR="00CA5CAF">
        <w:t xml:space="preserve"> such that he cannot decide between the various possible interpretations of a given author’s project. He shows how the Straussian </w:t>
      </w:r>
      <w:r w:rsidR="005B418E">
        <w:t>paradigm</w:t>
      </w:r>
      <w:r w:rsidR="00CA5CAF">
        <w:t xml:space="preserve"> might work in a direction that Strauss </w:t>
      </w:r>
      <w:r w:rsidR="005B418E">
        <w:t xml:space="preserve">himself </w:t>
      </w:r>
      <w:r w:rsidR="00CA5CAF">
        <w:t>had not anticipated: it is not only the philosopher in a non-philosophical milieu</w:t>
      </w:r>
      <w:r w:rsidR="006D1B6C" w:rsidRPr="006D1B6C">
        <w:t xml:space="preserve"> </w:t>
      </w:r>
      <w:r w:rsidR="006D1B6C">
        <w:t>who might experience the risk of persecution</w:t>
      </w:r>
      <w:r w:rsidR="00CA5CAF">
        <w:t>, but also the anti-philosopher</w:t>
      </w:r>
      <w:r w:rsidR="005B418E">
        <w:t>,</w:t>
      </w:r>
      <w:r w:rsidR="00CA5CAF">
        <w:t xml:space="preserve"> in an environment broadly converted to the cause of philosophy. </w:t>
      </w:r>
    </w:p>
    <w:p w14:paraId="5B966D8A" w14:textId="174A6B5F" w:rsidR="00297112" w:rsidRDefault="00297112" w:rsidP="006F45B9">
      <w:pPr>
        <w:spacing w:line="480" w:lineRule="auto"/>
        <w:ind w:firstLine="720"/>
        <w:rPr>
          <w:lang w:val="en-CA"/>
        </w:rPr>
      </w:pPr>
      <w:r>
        <w:rPr>
          <w:lang w:val="en-CA"/>
        </w:rPr>
        <w:t>Strauss had read Juda</w:t>
      </w:r>
      <w:r w:rsidR="00E5209D">
        <w:rPr>
          <w:lang w:val="en-CA"/>
        </w:rPr>
        <w:t>h</w:t>
      </w:r>
      <w:r>
        <w:rPr>
          <w:lang w:val="en-CA"/>
        </w:rPr>
        <w:t xml:space="preserve"> Halevi’s </w:t>
      </w:r>
      <w:proofErr w:type="spellStart"/>
      <w:r>
        <w:rPr>
          <w:i/>
          <w:iCs/>
          <w:lang w:val="en-CA"/>
        </w:rPr>
        <w:t>Kuzari</w:t>
      </w:r>
      <w:proofErr w:type="spellEnd"/>
      <w:r>
        <w:rPr>
          <w:i/>
          <w:iCs/>
          <w:lang w:val="en-CA"/>
        </w:rPr>
        <w:t xml:space="preserve"> </w:t>
      </w:r>
      <w:r>
        <w:rPr>
          <w:lang w:val="en-CA"/>
        </w:rPr>
        <w:t>(</w:t>
      </w:r>
      <w:r w:rsidR="00E5209D">
        <w:rPr>
          <w:lang w:val="en-CA"/>
        </w:rPr>
        <w:t>before</w:t>
      </w:r>
      <w:r>
        <w:rPr>
          <w:lang w:val="en-CA"/>
        </w:rPr>
        <w:t xml:space="preserve"> 1075-</w:t>
      </w:r>
      <w:r w:rsidRPr="002F6D4F">
        <w:rPr>
          <w:lang w:val="en-CA"/>
        </w:rPr>
        <w:t>1141) against the grain</w:t>
      </w:r>
      <w:r>
        <w:rPr>
          <w:lang w:val="en-CA"/>
        </w:rPr>
        <w:t xml:space="preserve"> as a secret defense of philosophy, even though the text presents itself as a defense of Judaism against various adversaries, philosophy among them.</w:t>
      </w:r>
      <w:r>
        <w:rPr>
          <w:rStyle w:val="Appelnotedebasdep"/>
          <w:lang w:val="en-CA"/>
        </w:rPr>
        <w:footnoteReference w:id="38"/>
      </w:r>
      <w:r>
        <w:rPr>
          <w:lang w:val="en-CA"/>
        </w:rPr>
        <w:t xml:space="preserve"> Schwartz shows that</w:t>
      </w:r>
      <w:r w:rsidR="005B418E">
        <w:rPr>
          <w:lang w:val="en-CA"/>
        </w:rPr>
        <w:t>,</w:t>
      </w:r>
      <w:r>
        <w:rPr>
          <w:lang w:val="en-CA"/>
        </w:rPr>
        <w:t xml:space="preserve"> inversely, we can</w:t>
      </w:r>
      <w:r w:rsidR="005B418E">
        <w:rPr>
          <w:lang w:val="en-CA"/>
        </w:rPr>
        <w:t xml:space="preserve"> also </w:t>
      </w:r>
      <w:r w:rsidR="00722D58">
        <w:rPr>
          <w:lang w:val="en-CA"/>
        </w:rPr>
        <w:t>view</w:t>
      </w:r>
      <w:r>
        <w:rPr>
          <w:lang w:val="en-CA"/>
        </w:rPr>
        <w:t xml:space="preserve"> the apparent legitimation of philosophy in this clearly anti-philosophical text as a clue that Halevi felt the need to conceal an even more conservative intellectual position: in a milieu already marked by philosophical thought, he could not have admitted his true position.</w:t>
      </w:r>
      <w:r>
        <w:rPr>
          <w:rStyle w:val="Appelnotedebasdep"/>
          <w:lang w:val="en-CA"/>
        </w:rPr>
        <w:footnoteReference w:id="39"/>
      </w:r>
      <w:r>
        <w:rPr>
          <w:lang w:val="en-CA"/>
        </w:rPr>
        <w:t xml:space="preserve"> On the subject of other authors, Schwartz proposes an “open hermeneutic” </w:t>
      </w:r>
      <w:r w:rsidR="00914A42">
        <w:rPr>
          <w:lang w:val="en-CA"/>
        </w:rPr>
        <w:t>showing</w:t>
      </w:r>
      <w:r>
        <w:rPr>
          <w:lang w:val="en-CA"/>
        </w:rPr>
        <w:t xml:space="preserve"> that various </w:t>
      </w:r>
      <w:r>
        <w:rPr>
          <w:lang w:val="en-CA"/>
        </w:rPr>
        <w:lastRenderedPageBreak/>
        <w:t xml:space="preserve">readings are equally legitimate and that it is impossible to choose among them. </w:t>
      </w:r>
      <w:r w:rsidR="00443A35">
        <w:rPr>
          <w:lang w:val="en-CA"/>
        </w:rPr>
        <w:t xml:space="preserve">In a striking example, he shows </w:t>
      </w:r>
      <w:r>
        <w:rPr>
          <w:lang w:val="en-CA"/>
        </w:rPr>
        <w:t xml:space="preserve">that it is completely possible to produce coherent esoteric readings of Maimonides’s </w:t>
      </w:r>
      <w:r>
        <w:rPr>
          <w:i/>
          <w:iCs/>
          <w:lang w:val="en-CA"/>
        </w:rPr>
        <w:t>Guide</w:t>
      </w:r>
      <w:r>
        <w:rPr>
          <w:lang w:val="en-CA"/>
        </w:rPr>
        <w:t xml:space="preserve"> oriented in two radically opposed directions (Maimonides as a</w:t>
      </w:r>
      <w:r w:rsidR="000C498B">
        <w:rPr>
          <w:lang w:val="en-CA"/>
        </w:rPr>
        <w:t>n esoteric</w:t>
      </w:r>
      <w:r>
        <w:rPr>
          <w:lang w:val="en-CA"/>
        </w:rPr>
        <w:t xml:space="preserve"> radical philosopher and Maimonides as secretly anti-philosophical).</w:t>
      </w:r>
      <w:r>
        <w:rPr>
          <w:rStyle w:val="Appelnotedebasdep"/>
          <w:lang w:val="en-CA"/>
        </w:rPr>
        <w:footnoteReference w:id="40"/>
      </w:r>
      <w:r>
        <w:rPr>
          <w:lang w:val="en-CA"/>
        </w:rPr>
        <w:t xml:space="preserve"> </w:t>
      </w:r>
    </w:p>
    <w:p w14:paraId="0EDDC3BC" w14:textId="775BB15A" w:rsidR="00297112" w:rsidRDefault="00297112" w:rsidP="006F45B9">
      <w:pPr>
        <w:spacing w:line="480" w:lineRule="auto"/>
        <w:ind w:firstLine="720"/>
      </w:pPr>
      <w:r>
        <w:rPr>
          <w:lang w:val="en-CA"/>
        </w:rPr>
        <w:t xml:space="preserve">If Schwartz acknowledges the undecidability that esoteric writing induces with respect to the author’s </w:t>
      </w:r>
      <w:r w:rsidRPr="00722D58">
        <w:rPr>
          <w:lang w:val="en-CA"/>
        </w:rPr>
        <w:t>real doctrine, he follows Strauss in a</w:t>
      </w:r>
      <w:r w:rsidR="00722D58" w:rsidRPr="00722D58">
        <w:rPr>
          <w:lang w:val="en-CA"/>
        </w:rPr>
        <w:t xml:space="preserve">dmitting </w:t>
      </w:r>
      <w:r w:rsidRPr="00722D58">
        <w:rPr>
          <w:lang w:val="en-CA"/>
        </w:rPr>
        <w:t xml:space="preserve">only the politico-religious motivation of persecution (whether </w:t>
      </w:r>
      <w:r w:rsidR="000C498B">
        <w:rPr>
          <w:lang w:val="en-CA"/>
        </w:rPr>
        <w:t>by</w:t>
      </w:r>
      <w:r w:rsidRPr="00722D58">
        <w:rPr>
          <w:lang w:val="en-CA"/>
        </w:rPr>
        <w:t xml:space="preserve"> the vulgar or </w:t>
      </w:r>
      <w:r w:rsidR="000C498B">
        <w:rPr>
          <w:lang w:val="en-CA"/>
        </w:rPr>
        <w:t xml:space="preserve">by </w:t>
      </w:r>
      <w:r w:rsidRPr="00722D58">
        <w:rPr>
          <w:lang w:val="en-CA"/>
        </w:rPr>
        <w:t xml:space="preserve">the philosophers), and this </w:t>
      </w:r>
      <w:r w:rsidR="000C498B">
        <w:rPr>
          <w:lang w:val="en-CA"/>
        </w:rPr>
        <w:t>specifically</w:t>
      </w:r>
      <w:r w:rsidRPr="00722D58">
        <w:rPr>
          <w:lang w:val="en-CA"/>
        </w:rPr>
        <w:t xml:space="preserve"> in relation to Jewish thought.</w:t>
      </w:r>
      <w:r>
        <w:rPr>
          <w:lang w:val="en-CA"/>
        </w:rPr>
        <w:t xml:space="preserve"> Schwartz grants that the dialectical </w:t>
      </w:r>
      <w:r w:rsidR="00722D58">
        <w:rPr>
          <w:lang w:val="en-CA"/>
        </w:rPr>
        <w:t>method</w:t>
      </w:r>
      <w:r>
        <w:rPr>
          <w:lang w:val="en-CA"/>
        </w:rPr>
        <w:t xml:space="preserve"> </w:t>
      </w:r>
      <w:r w:rsidR="00722D58">
        <w:rPr>
          <w:lang w:val="en-CA"/>
        </w:rPr>
        <w:t>in</w:t>
      </w:r>
      <w:r>
        <w:rPr>
          <w:lang w:val="en-CA"/>
        </w:rPr>
        <w:t xml:space="preserve"> scholastic thought</w:t>
      </w:r>
      <w:r w:rsidR="00722D58">
        <w:rPr>
          <w:lang w:val="en-CA"/>
        </w:rPr>
        <w:t xml:space="preserve"> – in which the </w:t>
      </w:r>
      <w:r w:rsidR="00722D58">
        <w:rPr>
          <w:i/>
          <w:iCs/>
          <w:lang w:val="en-CA"/>
        </w:rPr>
        <w:t xml:space="preserve">sic </w:t>
      </w:r>
      <w:r w:rsidR="00722D58">
        <w:rPr>
          <w:lang w:val="en-CA"/>
        </w:rPr>
        <w:t xml:space="preserve">and the </w:t>
      </w:r>
      <w:proofErr w:type="spellStart"/>
      <w:r w:rsidR="00722D58">
        <w:rPr>
          <w:i/>
          <w:iCs/>
          <w:lang w:val="en-CA"/>
        </w:rPr>
        <w:t>non</w:t>
      </w:r>
      <w:r w:rsidR="00722D58">
        <w:rPr>
          <w:lang w:val="en-CA"/>
        </w:rPr>
        <w:t xml:space="preserve"> continually</w:t>
      </w:r>
      <w:proofErr w:type="spellEnd"/>
      <w:r w:rsidR="00722D58">
        <w:rPr>
          <w:lang w:val="en-CA"/>
        </w:rPr>
        <w:t xml:space="preserve"> confront each other –</w:t>
      </w:r>
      <w:r>
        <w:rPr>
          <w:lang w:val="en-CA"/>
        </w:rPr>
        <w:t xml:space="preserve"> </w:t>
      </w:r>
      <w:r w:rsidR="00722D58">
        <w:rPr>
          <w:lang w:val="en-CA"/>
        </w:rPr>
        <w:t xml:space="preserve">can </w:t>
      </w:r>
      <w:r>
        <w:rPr>
          <w:lang w:val="en-CA"/>
        </w:rPr>
        <w:t xml:space="preserve">be interpreted as reflecting an acknowledgment of the intrinsic limitations of human knowledge. The University opens a space where this culture of doubt can be expressed. But a reading of this kind, which according to Schwartz </w:t>
      </w:r>
      <w:r w:rsidR="000C498B">
        <w:rPr>
          <w:lang w:val="en-CA"/>
        </w:rPr>
        <w:t>is</w:t>
      </w:r>
      <w:r>
        <w:rPr>
          <w:lang w:val="en-CA"/>
        </w:rPr>
        <w:t xml:space="preserve"> influenced by a </w:t>
      </w:r>
      <w:r>
        <w:t>“postmodern” hermeneutic, is inadmissible in relation to Jewish thinkers, who had no institutions guaranteeing them similar intellectual freedom and who were therefore constantly exposed to the threat of political violence.</w:t>
      </w:r>
      <w:r w:rsidR="00724481">
        <w:rPr>
          <w:rStyle w:val="Appelnotedebasdep"/>
        </w:rPr>
        <w:footnoteReference w:id="41"/>
      </w:r>
      <w:r>
        <w:t xml:space="preserve"> </w:t>
      </w:r>
    </w:p>
    <w:p w14:paraId="5B3AFEB9" w14:textId="7DA06CA1" w:rsidR="00297112" w:rsidRDefault="00297112" w:rsidP="006F45B9">
      <w:pPr>
        <w:spacing w:line="480" w:lineRule="auto"/>
        <w:ind w:firstLine="720"/>
      </w:pPr>
      <w:r>
        <w:t xml:space="preserve">This critique seems perfectly cogent </w:t>
      </w:r>
      <w:r w:rsidR="00DB7E7F">
        <w:t>as</w:t>
      </w:r>
      <w:r>
        <w:t xml:space="preserve"> long as we do not question the </w:t>
      </w:r>
      <w:proofErr w:type="spellStart"/>
      <w:r>
        <w:t>intentionalist</w:t>
      </w:r>
      <w:proofErr w:type="spellEnd"/>
      <w:r>
        <w:t xml:space="preserve"> assumption at the root of all of the </w:t>
      </w:r>
      <w:r w:rsidRPr="00DB7E7F">
        <w:t>major interpretive traditions</w:t>
      </w:r>
      <w:r>
        <w:t xml:space="preserve"> we have encountered so far. This assumption consists more or less in reducing the meaning of a text to its author’s intention, and to suppos</w:t>
      </w:r>
      <w:r w:rsidR="00DB7E7F">
        <w:t>ing</w:t>
      </w:r>
      <w:r>
        <w:t xml:space="preserve"> that the only legitimate aim of an interpreter is to determine the author’s “real th</w:t>
      </w:r>
      <w:r w:rsidR="00DB7E7F">
        <w:t>ought</w:t>
      </w:r>
      <w:r>
        <w:t xml:space="preserve">.” Indeed, in the case of Maimonides, both the Straussian interpreters </w:t>
      </w:r>
      <w:r w:rsidR="00DB7E7F">
        <w:t>who read</w:t>
      </w:r>
      <w:r>
        <w:t xml:space="preserve"> him as a “radical” philosopher and the interpreters who see him as a skeptical or </w:t>
      </w:r>
      <w:r w:rsidRPr="003F4D58">
        <w:t xml:space="preserve">“proto-critical” thinker </w:t>
      </w:r>
      <w:r w:rsidRPr="003F4D58">
        <w:lastRenderedPageBreak/>
        <w:t>give themselves the task of identifying his “</w:t>
      </w:r>
      <w:r w:rsidR="00724481" w:rsidRPr="003F4D58">
        <w:t>true</w:t>
      </w:r>
      <w:r w:rsidR="00724481">
        <w:t xml:space="preserve"> </w:t>
      </w:r>
      <w:r>
        <w:t>doctrine,”</w:t>
      </w:r>
      <w:r w:rsidR="00724481" w:rsidRPr="00724481">
        <w:rPr>
          <w:rStyle w:val="Appelnotedebasdep"/>
        </w:rPr>
        <w:t xml:space="preserve"> </w:t>
      </w:r>
      <w:r w:rsidR="00724481">
        <w:rPr>
          <w:rStyle w:val="Appelnotedebasdep"/>
        </w:rPr>
        <w:footnoteReference w:id="42"/>
      </w:r>
      <w:r>
        <w:t xml:space="preserve"> even </w:t>
      </w:r>
      <w:r w:rsidRPr="003F4D58">
        <w:t>as they concede</w:t>
      </w:r>
      <w:r>
        <w:t xml:space="preserve"> that no such certainty is possible.</w:t>
      </w:r>
      <w:r w:rsidR="00724481">
        <w:rPr>
          <w:rStyle w:val="Appelnotedebasdep"/>
        </w:rPr>
        <w:footnoteReference w:id="43"/>
      </w:r>
      <w:r>
        <w:t xml:space="preserve"> </w:t>
      </w:r>
    </w:p>
    <w:p w14:paraId="0444EC66" w14:textId="68784BD9" w:rsidR="00297112" w:rsidRDefault="00297112" w:rsidP="006F45B9">
      <w:pPr>
        <w:spacing w:line="480" w:lineRule="auto"/>
        <w:ind w:firstLine="720"/>
      </w:pPr>
      <w:r>
        <w:t xml:space="preserve">Yet, whatever one’s perspective on the recourse to esoteric writing might be, it seems to me that this </w:t>
      </w:r>
      <w:proofErr w:type="spellStart"/>
      <w:r>
        <w:t>intentionalist</w:t>
      </w:r>
      <w:proofErr w:type="spellEnd"/>
      <w:r>
        <w:t xml:space="preserve"> assumption must be abandoned. </w:t>
      </w:r>
    </w:p>
    <w:p w14:paraId="5245F46A" w14:textId="41174A22" w:rsidR="00297112" w:rsidRDefault="00297112" w:rsidP="006F45B9">
      <w:pPr>
        <w:spacing w:line="480" w:lineRule="auto"/>
        <w:ind w:firstLine="720"/>
      </w:pPr>
      <w:r>
        <w:t xml:space="preserve">From the point of view of “politico-religious” esotericism, the author’s intention appears, at first glance, as the alpha and the omega of </w:t>
      </w:r>
      <w:r w:rsidR="00891C10">
        <w:t xml:space="preserve">the </w:t>
      </w:r>
      <w:r>
        <w:t xml:space="preserve">esoteric </w:t>
      </w:r>
      <w:r w:rsidR="00891C10">
        <w:t>text</w:t>
      </w:r>
      <w:r>
        <w:t xml:space="preserve">. The discourse originates in an intent to communicate and ends in the reader’s identification of this intent to communicate, as per the </w:t>
      </w:r>
      <w:r w:rsidR="00FC09AF">
        <w:t xml:space="preserve">traditional </w:t>
      </w:r>
      <w:r>
        <w:t>communication schema whose foundation was laid by Aristotle.</w:t>
      </w:r>
      <w:r w:rsidR="00724481">
        <w:rPr>
          <w:rStyle w:val="Appelnotedebasdep"/>
        </w:rPr>
        <w:footnoteReference w:id="44"/>
      </w:r>
      <w:r>
        <w:t xml:space="preserve"> The message’s sender seeks to transmit to a receiver the “</w:t>
      </w:r>
      <w:r w:rsidR="00F23EC1">
        <w:t>affections or impressions</w:t>
      </w:r>
      <w:r>
        <w:t xml:space="preserve"> of </w:t>
      </w:r>
      <w:r w:rsidR="00F23EC1">
        <w:t>the</w:t>
      </w:r>
      <w:r>
        <w:t xml:space="preserve"> soul.” </w:t>
      </w:r>
      <w:r w:rsidR="00DB7E7F">
        <w:t>The sender</w:t>
      </w:r>
      <w:r>
        <w:t xml:space="preserve"> therefore chooses the vehicle of </w:t>
      </w:r>
      <w:r w:rsidRPr="00F23EC1">
        <w:t xml:space="preserve">“words </w:t>
      </w:r>
      <w:r w:rsidR="00F23EC1" w:rsidRPr="00F23EC1">
        <w:t>spoken</w:t>
      </w:r>
      <w:r w:rsidRPr="00F23EC1">
        <w:t xml:space="preserve">,” which will indicate the </w:t>
      </w:r>
      <w:r w:rsidR="00F23EC1">
        <w:t>“mental affections”</w:t>
      </w:r>
      <w:r w:rsidRPr="00F23EC1">
        <w:t xml:space="preserve"> in question to the receiver who shares the same language and make them arise in </w:t>
      </w:r>
      <w:r w:rsidR="00DB7E7F">
        <w:t xml:space="preserve">his </w:t>
      </w:r>
      <w:r w:rsidRPr="00F23EC1">
        <w:t>soul. In</w:t>
      </w:r>
      <w:r>
        <w:t xml:space="preserve"> the case of a written message, the additional step of transcribing the words into graphic </w:t>
      </w:r>
      <w:r>
        <w:lastRenderedPageBreak/>
        <w:t xml:space="preserve">signs is added. All the reader has to do is translate these signs into words and the words back into thoughts. </w:t>
      </w:r>
    </w:p>
    <w:p w14:paraId="2E499FD0" w14:textId="5D6C98D0" w:rsidR="00297112" w:rsidRDefault="00297112" w:rsidP="006F45B9">
      <w:pPr>
        <w:spacing w:line="480" w:lineRule="auto"/>
        <w:ind w:firstLine="720"/>
      </w:pPr>
      <w:r>
        <w:t>The model of “politico-religious” esotericism rests on the idea that esoteric writing – being instrumental – modifies this standard communication</w:t>
      </w:r>
      <w:r w:rsidR="00DB7E7F">
        <w:t xml:space="preserve"> </w:t>
      </w:r>
      <w:r w:rsidR="00891C10">
        <w:t>schema</w:t>
      </w:r>
      <w:r>
        <w:t xml:space="preserve"> only slightly. Ultimately, the translation of the state of the sender’s soul into linguistic symbols is always a form of encryption</w:t>
      </w:r>
      <w:r w:rsidR="00DB7E7F">
        <w:t>,</w:t>
      </w:r>
      <w:r>
        <w:t xml:space="preserve"> and the receiver’s interpretive operation </w:t>
      </w:r>
      <w:r w:rsidR="00DB7E7F">
        <w:t xml:space="preserve">one </w:t>
      </w:r>
      <w:r>
        <w:t xml:space="preserve">of decryption. The only specificity of the esoteric message is that only a single </w:t>
      </w:r>
      <w:r w:rsidR="00DB7E7F">
        <w:t>kind of</w:t>
      </w:r>
      <w:r>
        <w:t xml:space="preserve"> reader is supposed to have the capacity and the tools necessary to </w:t>
      </w:r>
      <w:r>
        <w:rPr>
          <w:i/>
          <w:iCs/>
        </w:rPr>
        <w:t xml:space="preserve">correctly </w:t>
      </w:r>
      <w:r>
        <w:t xml:space="preserve">decrypt the message. The message is coded such that other readers </w:t>
      </w:r>
      <w:r w:rsidR="00DB7E7F">
        <w:t xml:space="preserve">will </w:t>
      </w:r>
      <w:r>
        <w:t xml:space="preserve">decrypt it incorrectly and, without even knowing so, mistake the sender’s true intention. More than in a </w:t>
      </w:r>
      <w:r w:rsidR="00DB7E7F">
        <w:t>standard</w:t>
      </w:r>
      <w:r>
        <w:t xml:space="preserve"> message, the sender is understood to be the absolute master of his</w:t>
      </w:r>
      <w:r w:rsidR="00DB7E7F">
        <w:t xml:space="preserve"> </w:t>
      </w:r>
      <w:r>
        <w:t xml:space="preserve">discourse and of its effects, capable of producing a </w:t>
      </w:r>
      <w:proofErr w:type="spellStart"/>
      <w:r>
        <w:t>plurivocal</w:t>
      </w:r>
      <w:proofErr w:type="spellEnd"/>
      <w:r>
        <w:t xml:space="preserve"> message and of determining which of his</w:t>
      </w:r>
      <w:r w:rsidR="00DB7E7F">
        <w:t xml:space="preserve"> </w:t>
      </w:r>
      <w:r>
        <w:t xml:space="preserve">readers will be able to understand its true meaning and which will </w:t>
      </w:r>
      <w:r w:rsidR="00DB7E7F">
        <w:t>perceive</w:t>
      </w:r>
      <w:r>
        <w:t xml:space="preserve"> another meaning. Curiously, this</w:t>
      </w:r>
      <w:r w:rsidR="003B58E9">
        <w:t xml:space="preserve"> claim</w:t>
      </w:r>
      <w:r w:rsidR="00891C10">
        <w:t xml:space="preserve"> </w:t>
      </w:r>
      <w:r>
        <w:t>about the author’s absolute sovereignty over his discourse emerges</w:t>
      </w:r>
      <w:r w:rsidR="00DB7E7F">
        <w:t>,</w:t>
      </w:r>
      <w:r>
        <w:t xml:space="preserve"> in particular</w:t>
      </w:r>
      <w:r w:rsidR="00DB7E7F">
        <w:t>,</w:t>
      </w:r>
      <w:r>
        <w:t xml:space="preserve"> in several of Maimonides’s claims in his introduction to the </w:t>
      </w:r>
      <w:r>
        <w:rPr>
          <w:i/>
          <w:iCs/>
        </w:rPr>
        <w:t>Guide</w:t>
      </w:r>
      <w:r>
        <w:t>.</w:t>
      </w:r>
      <w:r w:rsidR="007A6DA7">
        <w:rPr>
          <w:rStyle w:val="Appelnotedebasdep"/>
        </w:rPr>
        <w:footnoteReference w:id="45"/>
      </w:r>
      <w:r>
        <w:t xml:space="preserve"> </w:t>
      </w:r>
    </w:p>
    <w:p w14:paraId="7E4A7F36" w14:textId="0E21101C" w:rsidR="00297112" w:rsidRDefault="00297112" w:rsidP="006F45B9">
      <w:pPr>
        <w:spacing w:line="480" w:lineRule="auto"/>
        <w:ind w:firstLine="720"/>
      </w:pPr>
      <w:r>
        <w:t>Yet, upon further reflection, in the case of an esoteric text –</w:t>
      </w:r>
      <w:r w:rsidR="0009738D">
        <w:t xml:space="preserve"> </w:t>
      </w:r>
      <w:r>
        <w:t>even through the lens of a “politico-religious” esoteri</w:t>
      </w:r>
      <w:r w:rsidR="002823C6">
        <w:t>ci</w:t>
      </w:r>
      <w:r>
        <w:t xml:space="preserve">sm </w:t>
      </w:r>
      <w:r w:rsidRPr="00297112">
        <w:t xml:space="preserve">– the conditions </w:t>
      </w:r>
      <w:r w:rsidRPr="00FC09AF">
        <w:t xml:space="preserve">subtending the </w:t>
      </w:r>
      <w:r w:rsidR="00FC09AF" w:rsidRPr="00FC09AF">
        <w:t xml:space="preserve">traditional </w:t>
      </w:r>
      <w:r w:rsidRPr="00FC09AF">
        <w:t>reading pact are actually</w:t>
      </w:r>
      <w:r w:rsidRPr="00297112">
        <w:t xml:space="preserve"> completely upended.</w:t>
      </w:r>
      <w:r>
        <w:t xml:space="preserve"> Insofar as the text is deliberately opaque, the reader is forced to attempt to reconstruct the author’s position by </w:t>
      </w:r>
      <w:r w:rsidR="0009738D">
        <w:t>devising</w:t>
      </w:r>
      <w:r>
        <w:t xml:space="preserve"> a key for interpreting the text, to evaluate the plausibility </w:t>
      </w:r>
      <w:r w:rsidRPr="00D81E16">
        <w:t>of his</w:t>
      </w:r>
      <w:r w:rsidR="00D81E16">
        <w:t xml:space="preserve"> </w:t>
      </w:r>
      <w:r>
        <w:t xml:space="preserve">reading in the light of </w:t>
      </w:r>
      <w:r w:rsidR="002823C6">
        <w:t>that reading’s</w:t>
      </w:r>
      <w:r>
        <w:t xml:space="preserve"> internal coherence (which is to say its ability to give an account of the text it interprets) </w:t>
      </w:r>
      <w:r w:rsidR="00D81E16">
        <w:t>or</w:t>
      </w:r>
      <w:r>
        <w:t xml:space="preserve"> of its external coherence with what </w:t>
      </w:r>
      <w:r w:rsidR="00D81E16">
        <w:t>the reader</w:t>
      </w:r>
      <w:r>
        <w:t xml:space="preserve"> otherwise knows of the author’s thought (which is to say, generally, of </w:t>
      </w:r>
      <w:r w:rsidR="0009738D">
        <w:t>the author’s</w:t>
      </w:r>
      <w:r>
        <w:t xml:space="preserve"> other </w:t>
      </w:r>
      <w:r>
        <w:lastRenderedPageBreak/>
        <w:t xml:space="preserve">texts). It is possible to convince oneself of the pertinence of one’s own reading and of the probability that it might correspond to the author’s effective intention; however, any certainty about such a correspondence is necessarily rendered impossible by the message’s obscurity, and by the absence of the author to clarify his </w:t>
      </w:r>
      <w:r w:rsidR="00D81E16">
        <w:t>statements</w:t>
      </w:r>
      <w:r>
        <w:t xml:space="preserve"> or confirm</w:t>
      </w:r>
      <w:r w:rsidR="00FC28EE" w:rsidRPr="00D81E16">
        <w:t>,</w:t>
      </w:r>
      <w:r w:rsidRPr="00D81E16">
        <w:t xml:space="preserve"> in whatever confessiona</w:t>
      </w:r>
      <w:r w:rsidR="00FC28EE" w:rsidRPr="00D81E16">
        <w:t>l,</w:t>
      </w:r>
      <w:r>
        <w:t xml:space="preserve"> that this in fact </w:t>
      </w:r>
      <w:r w:rsidR="00D81E16">
        <w:t>was</w:t>
      </w:r>
      <w:r>
        <w:t xml:space="preserve"> his</w:t>
      </w:r>
      <w:r w:rsidR="00D81E16">
        <w:t xml:space="preserve"> </w:t>
      </w:r>
      <w:r>
        <w:t xml:space="preserve">true intention. </w:t>
      </w:r>
      <w:r w:rsidR="00D90411">
        <w:t xml:space="preserve">Moreover, even supposing such a confession existed, could the reader be certain of the author’s sincerity? Can the reader ever be sure that he is one of the “chosen” readers, that the author </w:t>
      </w:r>
      <w:r w:rsidR="00D90411" w:rsidRPr="00D57E41">
        <w:t>did not send him off on the wrong track</w:t>
      </w:r>
      <w:r w:rsidR="00D90411">
        <w:t xml:space="preserve"> in order to further conceal his true intentions – that the apparent confession is not part of </w:t>
      </w:r>
      <w:r w:rsidR="0009738D">
        <w:t>the</w:t>
      </w:r>
      <w:r w:rsidR="00D90411">
        <w:t xml:space="preserve"> wider strategy of concealment? </w:t>
      </w:r>
    </w:p>
    <w:p w14:paraId="1A12434E" w14:textId="463DDB72" w:rsidR="00D90411" w:rsidRDefault="00D90411" w:rsidP="006F45B9">
      <w:pPr>
        <w:spacing w:line="480" w:lineRule="auto"/>
        <w:ind w:firstLine="720"/>
      </w:pPr>
      <w:r>
        <w:t xml:space="preserve">In the reading pact for an esoteric text, the relation of mutual trust between the author and the reader is broken. Instead, a complex game of trust and suspicion plays out between them. The author </w:t>
      </w:r>
      <w:r w:rsidRPr="003B58E9">
        <w:t>mistrusts his reader, who</w:t>
      </w:r>
      <w:r w:rsidR="0009738D" w:rsidRPr="003B58E9">
        <w:t xml:space="preserve"> might</w:t>
      </w:r>
      <w:r w:rsidRPr="003B58E9">
        <w:t xml:space="preserve"> be someone incapable of understanding</w:t>
      </w:r>
      <w:r>
        <w:t xml:space="preserve"> his ideas. Nevertheless, he trusts that</w:t>
      </w:r>
      <w:r w:rsidR="003F045A">
        <w:t>,</w:t>
      </w:r>
      <w:r>
        <w:t xml:space="preserve"> conversely</w:t>
      </w:r>
      <w:r w:rsidR="003F045A">
        <w:t>,</w:t>
      </w:r>
      <w:r>
        <w:t xml:space="preserve"> the qualified reader will be able to access the real thrust of his thinking. He therefore uses a style of writing that at one and the same time conceals his thought and reveals it. In turn, the reader trusts that the author inserted his true </w:t>
      </w:r>
      <w:r w:rsidR="0009738D">
        <w:t>thinking</w:t>
      </w:r>
      <w:r>
        <w:t xml:space="preserve"> in his text, but also mistrusts him, always suspecting him of not saying what he thinks, even as it is impossible to determine with any certainty whe</w:t>
      </w:r>
      <w:r w:rsidR="0009738D">
        <w:t>re</w:t>
      </w:r>
      <w:r>
        <w:t xml:space="preserve"> he is sincere and whe</w:t>
      </w:r>
      <w:r w:rsidR="0009738D">
        <w:t>re</w:t>
      </w:r>
      <w:r>
        <w:t xml:space="preserve"> he is not. The esoteric text is therefore a strange object: it carries an intent to </w:t>
      </w:r>
      <w:r w:rsidR="003F045A">
        <w:t>communicate</w:t>
      </w:r>
      <w:r w:rsidRPr="003B58E9">
        <w:t xml:space="preserve">, but </w:t>
      </w:r>
      <w:r w:rsidR="003F045A" w:rsidRPr="003B58E9">
        <w:t xml:space="preserve">the meaning </w:t>
      </w:r>
      <w:r w:rsidRPr="003B58E9">
        <w:t>finds</w:t>
      </w:r>
      <w:r>
        <w:t xml:space="preserve"> itself hidden behind the very vehicle designed to transport it. In the end, the only thing transported is the intent to signify, which the reader reconstructs in a hypothetical, probabilistic manner.</w:t>
      </w:r>
    </w:p>
    <w:p w14:paraId="32053BA1" w14:textId="062DBEF9" w:rsidR="003A78F0" w:rsidRPr="003A78F0" w:rsidRDefault="003A78F0" w:rsidP="006F45B9">
      <w:pPr>
        <w:spacing w:line="480" w:lineRule="auto"/>
        <w:ind w:firstLine="720"/>
      </w:pPr>
      <w:r>
        <w:t xml:space="preserve">The paradox of such </w:t>
      </w:r>
      <w:r w:rsidRPr="003B58E9">
        <w:t>a writing technique lies</w:t>
      </w:r>
      <w:r>
        <w:t xml:space="preserve"> in the fact that, in seeking to be the master of his discourse, the author actually cedes to the reader a freedom of interpretation much greater than that of an ordinary text, whose intention is clear and explicit. By choosing his words </w:t>
      </w:r>
      <w:r>
        <w:lastRenderedPageBreak/>
        <w:t xml:space="preserve">meticulously, by using sophisticated writing techniques such as allusion, parable, or deliberate contradictions, the author purports </w:t>
      </w:r>
      <w:r w:rsidRPr="003A78F0">
        <w:t xml:space="preserve">to </w:t>
      </w:r>
      <w:r>
        <w:t xml:space="preserve">communicate his true thinking only to a certain kind of reader, and other ideas to other readers. But in reality, by investing the reader with such a critical role in the elaboration or re-elaboration of the meaning of his text, he </w:t>
      </w:r>
      <w:r>
        <w:rPr>
          <w:i/>
          <w:iCs/>
        </w:rPr>
        <w:t xml:space="preserve">de facto </w:t>
      </w:r>
      <w:r>
        <w:t xml:space="preserve">renounces any absolute mastery </w:t>
      </w:r>
      <w:r w:rsidRPr="002823C6">
        <w:t>o</w:t>
      </w:r>
      <w:r w:rsidR="002823C6">
        <w:t>ver</w:t>
      </w:r>
      <w:r>
        <w:t xml:space="preserve"> the meaning of his own text. Without wanting to, the esoteric author thus puts into practice Barthes’s theoretical gesture reversing the balance of power in the traditional reading pact: the “death of the author” leads to the birth of reader.</w:t>
      </w:r>
      <w:r>
        <w:rPr>
          <w:rStyle w:val="Appelnotedebasdep"/>
        </w:rPr>
        <w:footnoteReference w:id="46"/>
      </w:r>
    </w:p>
    <w:p w14:paraId="74938B37" w14:textId="3B1685BB" w:rsidR="003A78F0" w:rsidRDefault="003A78F0" w:rsidP="006F45B9">
      <w:pPr>
        <w:spacing w:line="480" w:lineRule="auto"/>
        <w:ind w:firstLine="720"/>
      </w:pPr>
      <w:r>
        <w:t xml:space="preserve">The corollary of such a gesture is to renounce the notion of a “work” in favor of the idea of a “text.” The work is </w:t>
      </w:r>
      <w:r w:rsidR="00FC09AF">
        <w:t>what the author produces</w:t>
      </w:r>
      <w:r>
        <w:t xml:space="preserve">. </w:t>
      </w:r>
      <w:r w:rsidR="00CC5FEA">
        <w:t>T</w:t>
      </w:r>
      <w:r>
        <w:t>he text is a surface that arises in the reader’s field of vision, calling for the reader’s interpretation. “The author,” Barthes argues, “is reputed to be the father and the owner of his work; literary science thus teaches us to respect the manuscript and the author's declared intentions, and society postulates a legality of the author's relation to his work […]. The Text, on the other hand, is read without the Father's inscription.”</w:t>
      </w:r>
      <w:r>
        <w:rPr>
          <w:rStyle w:val="Appelnotedebasdep"/>
        </w:rPr>
        <w:footnoteReference w:id="47"/>
      </w:r>
      <w:r>
        <w:t xml:space="preserve"> It is therefore as “Texts” that we will consider the various texts of our corpus, </w:t>
      </w:r>
      <w:r w:rsidR="00FC09AF">
        <w:t xml:space="preserve">all of </w:t>
      </w:r>
      <w:r>
        <w:t>which</w:t>
      </w:r>
      <w:r w:rsidR="00495A9D">
        <w:t xml:space="preserve"> ponder the question of the creation of the world. As such, they cannot be reduced to their author’</w:t>
      </w:r>
      <w:r w:rsidR="00CC5FEA">
        <w:t>s</w:t>
      </w:r>
      <w:r w:rsidR="00495A9D">
        <w:t xml:space="preserve"> intention to </w:t>
      </w:r>
      <w:r w:rsidR="00CC5FEA">
        <w:t>communicate</w:t>
      </w:r>
      <w:r w:rsidR="00495A9D">
        <w:t xml:space="preserve">. Neither can the philosophical content they carry be limited to the author’s </w:t>
      </w:r>
      <w:r w:rsidR="00495A9D">
        <w:lastRenderedPageBreak/>
        <w:t xml:space="preserve">philosophical doctrine, or to that of his contemporaries, or to his conception of philosophy itself. The Straussian critique of any reading that would find something other than the author’s intention in a text is </w:t>
      </w:r>
      <w:r w:rsidR="00CC5FEA">
        <w:t xml:space="preserve">thus moot, </w:t>
      </w:r>
      <w:r w:rsidR="00495A9D">
        <w:t xml:space="preserve">because of the contradictions stemming from the </w:t>
      </w:r>
      <w:r w:rsidR="00CC5FEA">
        <w:t xml:space="preserve">very </w:t>
      </w:r>
      <w:r w:rsidR="00495A9D">
        <w:t xml:space="preserve">premises of “politico-religious” esotericism. </w:t>
      </w:r>
    </w:p>
    <w:p w14:paraId="25965622" w14:textId="2404152D" w:rsidR="00495A9D" w:rsidRDefault="009B73A3" w:rsidP="006F45B9">
      <w:pPr>
        <w:spacing w:line="480" w:lineRule="auto"/>
        <w:ind w:firstLine="720"/>
      </w:pPr>
      <w:r>
        <w:t xml:space="preserve">From the perspective of “essential” esotericism, </w:t>
      </w:r>
      <w:r w:rsidRPr="003B58E9">
        <w:t xml:space="preserve">the </w:t>
      </w:r>
      <w:r w:rsidR="00FC09AF" w:rsidRPr="003B58E9">
        <w:t xml:space="preserve">notion </w:t>
      </w:r>
      <w:r w:rsidRPr="003B58E9">
        <w:t>of</w:t>
      </w:r>
      <w:r>
        <w:t xml:space="preserve"> the author’s intention is contested even earlier, at the </w:t>
      </w:r>
      <w:r w:rsidR="00FC09AF">
        <w:t xml:space="preserve">very </w:t>
      </w:r>
      <w:r>
        <w:t>moment of the text’s writing. Indeed, the fundamental principle of this model of esotericism is that the very fact of wanting to express oneself on certain specific subjects leads the auth</w:t>
      </w:r>
      <w:r w:rsidR="00FC09AF">
        <w:t>or,</w:t>
      </w:r>
      <w:r>
        <w:t xml:space="preserve"> despite himself and however much he might want to express himself clearly</w:t>
      </w:r>
      <w:r w:rsidR="00FC09AF">
        <w:t xml:space="preserve">, </w:t>
      </w:r>
      <w:r>
        <w:t xml:space="preserve">to run up against the intrinsic inadequacy of his mode of expression. It is as though language begins to speak independently of the author’s intent to </w:t>
      </w:r>
      <w:r w:rsidR="00CC5FEA">
        <w:t>communicate</w:t>
      </w:r>
      <w:r>
        <w:t>, as though the author is seized by his subject, or rather that the subject has seized from him the mastery that he claims over his own writing. In this perspective, it is the message in itself – which</w:t>
      </w:r>
      <w:r w:rsidR="00FC09AF">
        <w:t>,</w:t>
      </w:r>
      <w:r>
        <w:t xml:space="preserve"> </w:t>
      </w:r>
      <w:r w:rsidR="002823C6">
        <w:t>in the end</w:t>
      </w:r>
      <w:r w:rsidR="00FC09AF">
        <w:t>, is</w:t>
      </w:r>
      <w:r>
        <w:t xml:space="preserve"> the only thing that readers can access – rather than the author’s thought that becomes the primary matter for interpretation. The surface meaning of the esoteric text is </w:t>
      </w:r>
      <w:r w:rsidR="00FC09AF">
        <w:t xml:space="preserve">thus </w:t>
      </w:r>
      <w:r>
        <w:t>rei</w:t>
      </w:r>
      <w:r w:rsidR="00C276C3">
        <w:t>nfus</w:t>
      </w:r>
      <w:r>
        <w:t xml:space="preserve">ed with value. However, this does not imply that we </w:t>
      </w:r>
      <w:r w:rsidRPr="00AD20B2">
        <w:t>should take the author’s words to represent his “</w:t>
      </w:r>
      <w:r w:rsidR="00CC5FEA">
        <w:t>true thought</w:t>
      </w:r>
      <w:r w:rsidRPr="00AD20B2">
        <w:t>.”</w:t>
      </w:r>
      <w:r>
        <w:t xml:space="preserve"> This would entail denying esotericism itself and obscuring the </w:t>
      </w:r>
      <w:r w:rsidRPr="003B58E9">
        <w:t xml:space="preserve">meaning that emerges </w:t>
      </w:r>
      <w:r w:rsidR="00AD20B2" w:rsidRPr="003B58E9">
        <w:t>from</w:t>
      </w:r>
      <w:r w:rsidRPr="003B58E9">
        <w:t xml:space="preserve"> the</w:t>
      </w:r>
      <w:r>
        <w:t xml:space="preserve"> author’s text</w:t>
      </w:r>
      <w:r w:rsidR="00CC5FEA">
        <w:t>,</w:t>
      </w:r>
      <w:r>
        <w:t xml:space="preserve"> </w:t>
      </w:r>
      <w:r w:rsidR="00AD20B2">
        <w:t xml:space="preserve">in </w:t>
      </w:r>
      <w:r>
        <w:t>spite</w:t>
      </w:r>
      <w:r w:rsidR="00AD20B2">
        <w:t xml:space="preserve"> of</w:t>
      </w:r>
      <w:r>
        <w:t xml:space="preserve"> him. The task is not to consider the </w:t>
      </w:r>
      <w:r w:rsidRPr="00AD20B2">
        <w:t>“surface”</w:t>
      </w:r>
      <w:r>
        <w:t xml:space="preserve"> statement as a statement of doctrine, but rather as a statement through which something is being said about a</w:t>
      </w:r>
      <w:r w:rsidR="00CC5FEA">
        <w:t xml:space="preserve"> certain</w:t>
      </w:r>
      <w:r>
        <w:t xml:space="preserve"> philosophical problem. </w:t>
      </w:r>
    </w:p>
    <w:p w14:paraId="64ED5CCC" w14:textId="496D6E5A" w:rsidR="009B73A3" w:rsidRDefault="009B73A3" w:rsidP="006F45B9">
      <w:pPr>
        <w:spacing w:line="480" w:lineRule="auto"/>
        <w:ind w:firstLine="720"/>
      </w:pPr>
      <w:r>
        <w:t xml:space="preserve">All in all, taking the stakes of esotericism into account leads us to radically alter the question we ask of an esoteric text. We will not ask what the author of a given text “really </w:t>
      </w:r>
      <w:r w:rsidR="00663A82">
        <w:t>thinks</w:t>
      </w:r>
      <w:r>
        <w:t xml:space="preserve">” </w:t>
      </w:r>
      <w:r w:rsidR="00663A82">
        <w:t>about</w:t>
      </w:r>
      <w:r>
        <w:t xml:space="preserve"> the question of creation, but rather what this text allows us to think about the </w:t>
      </w:r>
      <w:r>
        <w:lastRenderedPageBreak/>
        <w:t>question.</w:t>
      </w:r>
      <w:r w:rsidR="00C276C3">
        <w:rPr>
          <w:rStyle w:val="Appelnotedebasdep"/>
        </w:rPr>
        <w:footnoteReference w:id="48"/>
      </w:r>
      <w:r>
        <w:t xml:space="preserve"> In the same way, abandoning the doxographic perspective leads us to renounce the project of attempting by all means to provide a coherent reading of the entire</w:t>
      </w:r>
      <w:r w:rsidR="0037654B">
        <w:t>t</w:t>
      </w:r>
      <w:r>
        <w:t xml:space="preserve">y of an author’s </w:t>
      </w:r>
      <w:r w:rsidR="00AD20B2" w:rsidRPr="00AD20B2">
        <w:rPr>
          <w:i/>
          <w:iCs/>
        </w:rPr>
        <w:t>oeuvre</w:t>
      </w:r>
      <w:r>
        <w:t xml:space="preserve">; instead, we must seek to draw, out of the tensions that </w:t>
      </w:r>
      <w:r w:rsidR="00663A82">
        <w:t xml:space="preserve">his </w:t>
      </w:r>
      <w:r>
        <w:t xml:space="preserve">texts contain, a philosophical teaching. </w:t>
      </w:r>
    </w:p>
    <w:p w14:paraId="5C07E774" w14:textId="1B3AAD54" w:rsidR="009B73A3" w:rsidRDefault="009B73A3" w:rsidP="006F45B9">
      <w:pPr>
        <w:spacing w:line="480" w:lineRule="auto"/>
        <w:ind w:firstLine="720"/>
      </w:pPr>
      <w:r>
        <w:t xml:space="preserve">In the light of these preliminary remarks, I can now </w:t>
      </w:r>
      <w:r w:rsidR="00C52391">
        <w:t>describe</w:t>
      </w:r>
      <w:r>
        <w:t xml:space="preserve"> my project</w:t>
      </w:r>
      <w:r w:rsidR="00C52391">
        <w:t xml:space="preserve">: to treat the sophisticated strategies of writing about creation not as stratagems aiming to conceal a heterodox opinion, but rather as attempts to expose, in and through language, something of </w:t>
      </w:r>
      <w:r w:rsidR="0037654B">
        <w:t xml:space="preserve">language’s </w:t>
      </w:r>
      <w:r w:rsidR="00C52391">
        <w:t xml:space="preserve">own limits </w:t>
      </w:r>
      <w:r w:rsidR="0037654B">
        <w:t>–</w:t>
      </w:r>
      <w:r w:rsidR="00C52391">
        <w:t xml:space="preserve"> to know as far as possible something that by its very nature es</w:t>
      </w:r>
      <w:r w:rsidR="00385374">
        <w:t>cap</w:t>
      </w:r>
      <w:r w:rsidR="00C52391">
        <w:t xml:space="preserve">es the framework of human knowledge. </w:t>
      </w:r>
    </w:p>
    <w:p w14:paraId="56AC9379" w14:textId="77777777" w:rsidR="003A78F0" w:rsidRDefault="003A78F0" w:rsidP="006F45B9">
      <w:pPr>
        <w:spacing w:line="480" w:lineRule="auto"/>
      </w:pPr>
    </w:p>
    <w:p w14:paraId="19DCFEF9" w14:textId="185F95FF" w:rsidR="00D90411" w:rsidRPr="00AE394D" w:rsidRDefault="00D90411" w:rsidP="006F45B9">
      <w:pPr>
        <w:spacing w:line="480" w:lineRule="auto"/>
        <w:rPr>
          <w:b/>
          <w:bCs/>
        </w:rPr>
      </w:pPr>
      <w:r w:rsidRPr="00AE394D">
        <w:rPr>
          <w:b/>
          <w:bCs/>
        </w:rPr>
        <w:t>Our Authors</w:t>
      </w:r>
    </w:p>
    <w:p w14:paraId="260A04F8" w14:textId="696D73CF" w:rsidR="00D90411" w:rsidRDefault="00D90411" w:rsidP="006F45B9">
      <w:pPr>
        <w:spacing w:line="480" w:lineRule="auto"/>
      </w:pPr>
    </w:p>
    <w:p w14:paraId="2700C49C" w14:textId="4C2F357C" w:rsidR="00D90411" w:rsidRDefault="00D90411" w:rsidP="006F45B9">
      <w:pPr>
        <w:spacing w:line="480" w:lineRule="auto"/>
        <w:ind w:firstLine="720"/>
      </w:pPr>
      <w:r>
        <w:t xml:space="preserve">It might seem paradoxical that a </w:t>
      </w:r>
      <w:r w:rsidR="00385374">
        <w:t xml:space="preserve">book challenging the category of the author </w:t>
      </w:r>
      <w:r w:rsidR="00AD20B2">
        <w:t>centers each of its chapters on a single author</w:t>
      </w:r>
      <w:r w:rsidR="00385374">
        <w:t xml:space="preserve">. My goal is to show that, despite the diversity of their </w:t>
      </w:r>
      <w:r w:rsidR="00F424AC">
        <w:t>arguments around the question</w:t>
      </w:r>
      <w:r w:rsidR="00385374">
        <w:t>, each of the selected authors confronted the problem of the expressive limits of language, whether or not they wanted to. This is true even of those authors who in the end did not support the thesis of absolute creation and who therefore c</w:t>
      </w:r>
      <w:r w:rsidR="006326DE">
        <w:t>an</w:t>
      </w:r>
      <w:r w:rsidR="00385374">
        <w:t xml:space="preserve">not be </w:t>
      </w:r>
      <w:r w:rsidR="00385374">
        <w:lastRenderedPageBreak/>
        <w:t>suspected of duplicity. Beyond the problem of their doctrinal positioning, there is thus a constant that appears across their texts: the reflection on the problem of creation in itself</w:t>
      </w:r>
      <w:r w:rsidR="008266E5">
        <w:t xml:space="preserve"> is coupled with a reflection on </w:t>
      </w:r>
      <w:r w:rsidR="00385374">
        <w:t xml:space="preserve">the manner in which it is possible to speak of </w:t>
      </w:r>
      <w:r w:rsidR="003B58E9">
        <w:t>creation</w:t>
      </w:r>
      <w:r w:rsidR="00385374">
        <w:t xml:space="preserve">. The doctrinal outcome – when such an outcome is clearly stated – seems always to result from a reflection on the status of the discourse about the creation of the world. </w:t>
      </w:r>
    </w:p>
    <w:p w14:paraId="730AD31C" w14:textId="4C7BABE1" w:rsidR="00D90411" w:rsidRPr="00385374" w:rsidRDefault="00385374" w:rsidP="006F45B9">
      <w:pPr>
        <w:spacing w:line="480" w:lineRule="auto"/>
        <w:ind w:firstLine="720"/>
      </w:pPr>
      <w:r w:rsidRPr="00385374">
        <w:t xml:space="preserve">The six authors I </w:t>
      </w:r>
      <w:r w:rsidR="00640794">
        <w:t>study</w:t>
      </w:r>
      <w:r w:rsidRPr="00385374">
        <w:t xml:space="preserve"> here </w:t>
      </w:r>
      <w:r w:rsidR="00640794">
        <w:t>–</w:t>
      </w:r>
      <w:r w:rsidRPr="00385374">
        <w:t xml:space="preserve"> Saadia</w:t>
      </w:r>
      <w:r>
        <w:fldChar w:fldCharType="begin"/>
      </w:r>
      <w:r w:rsidRPr="00385374">
        <w:instrText xml:space="preserve"> XE "Saadia Gaon" </w:instrText>
      </w:r>
      <w:r>
        <w:fldChar w:fldCharType="end"/>
      </w:r>
      <w:r w:rsidRPr="00385374">
        <w:t xml:space="preserve"> Gaon (tenth century), Abraham Ibn Ezra</w:t>
      </w:r>
      <w:r>
        <w:fldChar w:fldCharType="begin"/>
      </w:r>
      <w:r w:rsidRPr="00385374">
        <w:instrText xml:space="preserve"> XE "Ibn Ezra, Abraham" </w:instrText>
      </w:r>
      <w:r>
        <w:fldChar w:fldCharType="end"/>
      </w:r>
      <w:r w:rsidRPr="00385374">
        <w:t xml:space="preserve"> (t</w:t>
      </w:r>
      <w:r>
        <w:t>welf</w:t>
      </w:r>
      <w:r w:rsidRPr="00385374">
        <w:t>th century), M</w:t>
      </w:r>
      <w:r w:rsidR="00640794">
        <w:t>aimonid</w:t>
      </w:r>
      <w:r w:rsidRPr="00385374">
        <w:t>e</w:t>
      </w:r>
      <w:r w:rsidR="00640794">
        <w:t>s</w:t>
      </w:r>
      <w:r>
        <w:fldChar w:fldCharType="begin"/>
      </w:r>
      <w:r w:rsidRPr="00385374">
        <w:instrText xml:space="preserve"> XE "Maïmonide" </w:instrText>
      </w:r>
      <w:r>
        <w:fldChar w:fldCharType="end"/>
      </w:r>
      <w:r w:rsidRPr="00385374">
        <w:t xml:space="preserve"> (t</w:t>
      </w:r>
      <w:r>
        <w:t>welf</w:t>
      </w:r>
      <w:r w:rsidRPr="00385374">
        <w:t>th century), Isaac Albalag</w:t>
      </w:r>
      <w:r>
        <w:fldChar w:fldCharType="begin"/>
      </w:r>
      <w:r w:rsidRPr="00385374">
        <w:instrText xml:space="preserve"> XE "Albalag, Isaac" </w:instrText>
      </w:r>
      <w:r>
        <w:fldChar w:fldCharType="end"/>
      </w:r>
      <w:r w:rsidRPr="00385374">
        <w:t xml:space="preserve"> (t</w:t>
      </w:r>
      <w:r>
        <w:t>hirteenth</w:t>
      </w:r>
      <w:r w:rsidRPr="00385374">
        <w:t xml:space="preserve"> century), </w:t>
      </w:r>
      <w:proofErr w:type="spellStart"/>
      <w:r w:rsidRPr="00385374">
        <w:t>Gersonide</w:t>
      </w:r>
      <w:r w:rsidR="00640794">
        <w:t>s</w:t>
      </w:r>
      <w:proofErr w:type="spellEnd"/>
      <w:r>
        <w:fldChar w:fldCharType="begin"/>
      </w:r>
      <w:r w:rsidRPr="00385374">
        <w:instrText xml:space="preserve"> XE "Gersonide" </w:instrText>
      </w:r>
      <w:r>
        <w:fldChar w:fldCharType="end"/>
      </w:r>
      <w:r w:rsidRPr="00385374">
        <w:t xml:space="preserve"> (</w:t>
      </w:r>
      <w:r>
        <w:t>fourteenth</w:t>
      </w:r>
      <w:r w:rsidRPr="00385374">
        <w:t xml:space="preserve"> century)</w:t>
      </w:r>
      <w:r w:rsidR="00640794">
        <w:t>,</w:t>
      </w:r>
      <w:r w:rsidRPr="00385374">
        <w:t xml:space="preserve"> </w:t>
      </w:r>
      <w:r>
        <w:t>and</w:t>
      </w:r>
      <w:r w:rsidRPr="00385374">
        <w:t xml:space="preserve"> </w:t>
      </w:r>
      <w:proofErr w:type="spellStart"/>
      <w:r w:rsidRPr="00385374">
        <w:t>Ḥasda</w:t>
      </w:r>
      <w:r w:rsidR="00640794">
        <w:t>i</w:t>
      </w:r>
      <w:proofErr w:type="spellEnd"/>
      <w:r w:rsidRPr="00385374">
        <w:t xml:space="preserve"> </w:t>
      </w:r>
      <w:proofErr w:type="spellStart"/>
      <w:r w:rsidRPr="00385374">
        <w:t>Crescas</w:t>
      </w:r>
      <w:proofErr w:type="spellEnd"/>
      <w:r>
        <w:fldChar w:fldCharType="begin"/>
      </w:r>
      <w:r w:rsidRPr="00385374">
        <w:instrText xml:space="preserve"> XE "Crescas, Ḥasday" </w:instrText>
      </w:r>
      <w:r>
        <w:fldChar w:fldCharType="end"/>
      </w:r>
      <w:r w:rsidRPr="00385374">
        <w:t xml:space="preserve"> (</w:t>
      </w:r>
      <w:r>
        <w:t xml:space="preserve">end of the fourteenth-beginning of the fifteenth </w:t>
      </w:r>
      <w:r w:rsidRPr="00385374">
        <w:t>century)</w:t>
      </w:r>
      <w:r w:rsidR="00640794">
        <w:t xml:space="preserve"> – all mark important milestones in the history of medieval Jewish philosophy.</w:t>
      </w:r>
      <w:r w:rsidR="00C276C3">
        <w:rPr>
          <w:rStyle w:val="Appelnotedebasdep"/>
        </w:rPr>
        <w:footnoteReference w:id="49"/>
      </w:r>
      <w:r w:rsidR="00640794">
        <w:t xml:space="preserve"> Each is commonly </w:t>
      </w:r>
      <w:r w:rsidR="006326DE">
        <w:t>identified</w:t>
      </w:r>
      <w:r w:rsidR="00640794">
        <w:t xml:space="preserve"> </w:t>
      </w:r>
      <w:r w:rsidR="006326DE" w:rsidRPr="003B58E9">
        <w:t>as</w:t>
      </w:r>
      <w:r w:rsidR="00640794" w:rsidRPr="003B58E9">
        <w:t xml:space="preserve"> the </w:t>
      </w:r>
      <w:r w:rsidR="006326DE" w:rsidRPr="003B58E9">
        <w:t xml:space="preserve">paradigmatic </w:t>
      </w:r>
      <w:r w:rsidR="00640794" w:rsidRPr="003B58E9">
        <w:t>representative</w:t>
      </w:r>
      <w:r w:rsidR="006326DE" w:rsidRPr="003B58E9">
        <w:t>,</w:t>
      </w:r>
      <w:r w:rsidR="00640794" w:rsidRPr="003B58E9">
        <w:t xml:space="preserve"> </w:t>
      </w:r>
      <w:r w:rsidR="006326DE" w:rsidRPr="003B58E9">
        <w:t xml:space="preserve">whether he avows it or not, </w:t>
      </w:r>
      <w:r w:rsidR="00640794" w:rsidRPr="003B58E9">
        <w:t>of one of the various positions on the problem of cosmogenesis (absolute creation</w:t>
      </w:r>
      <w:r w:rsidR="00640794">
        <w:t xml:space="preserve">, creation </w:t>
      </w:r>
      <w:r w:rsidR="00640794" w:rsidRPr="00640794">
        <w:rPr>
          <w:i/>
          <w:iCs/>
        </w:rPr>
        <w:t xml:space="preserve">ex </w:t>
      </w:r>
      <w:proofErr w:type="spellStart"/>
      <w:r w:rsidR="00640794" w:rsidRPr="00640794">
        <w:rPr>
          <w:i/>
          <w:iCs/>
        </w:rPr>
        <w:t>aliquo</w:t>
      </w:r>
      <w:proofErr w:type="spellEnd"/>
      <w:r w:rsidR="00640794">
        <w:t xml:space="preserve">, eternal creation) </w:t>
      </w:r>
      <w:r w:rsidR="00640794" w:rsidRPr="00913A7D">
        <w:t>and their different variants.</w:t>
      </w:r>
      <w:r w:rsidR="00640794">
        <w:t xml:space="preserve"> Each also deploys a singular writing strategy to address the </w:t>
      </w:r>
      <w:r w:rsidR="00640794" w:rsidRPr="003B58E9">
        <w:t xml:space="preserve">problem. </w:t>
      </w:r>
      <w:r w:rsidR="006326DE" w:rsidRPr="003B58E9">
        <w:t>What I want to show is how</w:t>
      </w:r>
      <w:r w:rsidR="006326DE">
        <w:t>, wh</w:t>
      </w:r>
      <w:r w:rsidR="00640794">
        <w:t>atever</w:t>
      </w:r>
      <w:r w:rsidR="006326DE">
        <w:t xml:space="preserve"> his</w:t>
      </w:r>
      <w:r w:rsidR="00640794">
        <w:t xml:space="preserve"> position may have been, each </w:t>
      </w:r>
      <w:r w:rsidR="00640794" w:rsidRPr="002F6D4F">
        <w:t>was confronted by</w:t>
      </w:r>
      <w:r w:rsidR="00640794">
        <w:t xml:space="preserve"> the problem at the heart of essential esotericism. My itinerary will follow a </w:t>
      </w:r>
      <w:r w:rsidR="00640794">
        <w:lastRenderedPageBreak/>
        <w:t xml:space="preserve">globally chronological trajectory, with the central pivot point being the author and the text at its heart, Maimonides and his </w:t>
      </w:r>
      <w:r w:rsidR="00640794">
        <w:rPr>
          <w:i/>
          <w:iCs/>
        </w:rPr>
        <w:t>Guide of the Perplexed</w:t>
      </w:r>
      <w:r w:rsidR="00640794">
        <w:t xml:space="preserve">. </w:t>
      </w:r>
    </w:p>
    <w:p w14:paraId="5C342F2C" w14:textId="77777777" w:rsidR="00247C9B" w:rsidRPr="00385374" w:rsidRDefault="00247C9B" w:rsidP="006F45B9">
      <w:pPr>
        <w:spacing w:line="480" w:lineRule="auto"/>
      </w:pPr>
      <w:bookmarkStart w:id="0" w:name="_GoBack"/>
      <w:bookmarkEnd w:id="0"/>
    </w:p>
    <w:p w14:paraId="0CE1997F" w14:textId="74145E09" w:rsidR="00D90411" w:rsidRPr="00D90411" w:rsidRDefault="00D90411" w:rsidP="006F45B9">
      <w:pPr>
        <w:autoSpaceDE w:val="0"/>
        <w:autoSpaceDN w:val="0"/>
        <w:adjustRightInd w:val="0"/>
        <w:spacing w:line="480" w:lineRule="auto"/>
        <w:ind w:firstLine="720"/>
      </w:pPr>
      <w:r>
        <w:t>This book is thus about writing and</w:t>
      </w:r>
      <w:r w:rsidR="003F4D58">
        <w:t xml:space="preserve"> unconditional</w:t>
      </w:r>
      <w:r>
        <w:t xml:space="preserve"> creation</w:t>
      </w:r>
      <w:r w:rsidR="009A08C5">
        <w:t xml:space="preserve">, but </w:t>
      </w:r>
      <w:r>
        <w:t xml:space="preserve">its writing was made possible only through the various supports I received. With their complementary voices, </w:t>
      </w:r>
      <w:r w:rsidRPr="00D90411">
        <w:t xml:space="preserve">Judith </w:t>
      </w:r>
      <w:proofErr w:type="spellStart"/>
      <w:r w:rsidRPr="00D90411">
        <w:t>Olszowy-Schlanger</w:t>
      </w:r>
      <w:proofErr w:type="spellEnd"/>
      <w:r w:rsidRPr="00D90411">
        <w:t xml:space="preserve"> and Paul Clavier guided a first version of this </w:t>
      </w:r>
      <w:r>
        <w:t xml:space="preserve">project. </w:t>
      </w:r>
      <w:r w:rsidRPr="00D90411">
        <w:t xml:space="preserve">The comments of Jean-Pierre Rothschild, </w:t>
      </w:r>
      <w:proofErr w:type="spellStart"/>
      <w:r w:rsidRPr="00D90411">
        <w:t>Zeev</w:t>
      </w:r>
      <w:proofErr w:type="spellEnd"/>
      <w:r w:rsidRPr="00D90411">
        <w:t xml:space="preserve"> Harvey, </w:t>
      </w:r>
      <w:proofErr w:type="spellStart"/>
      <w:r w:rsidRPr="00D90411">
        <w:t>Rémi</w:t>
      </w:r>
      <w:proofErr w:type="spellEnd"/>
      <w:r w:rsidRPr="00D90411">
        <w:t xml:space="preserve"> </w:t>
      </w:r>
      <w:proofErr w:type="spellStart"/>
      <w:r w:rsidRPr="00D90411">
        <w:t>Brague</w:t>
      </w:r>
      <w:proofErr w:type="spellEnd"/>
      <w:r w:rsidRPr="00D90411">
        <w:t xml:space="preserve">, and Olivier </w:t>
      </w:r>
      <w:proofErr w:type="spellStart"/>
      <w:r w:rsidRPr="00D90411">
        <w:t>Boulnois</w:t>
      </w:r>
      <w:proofErr w:type="spellEnd"/>
      <w:r w:rsidRPr="00D90411">
        <w:t xml:space="preserve"> </w:t>
      </w:r>
      <w:r>
        <w:t xml:space="preserve">helped make my thinking deeper and more precise. Conversations with Gad </w:t>
      </w:r>
      <w:proofErr w:type="spellStart"/>
      <w:r>
        <w:t>Freudenthal</w:t>
      </w:r>
      <w:proofErr w:type="spellEnd"/>
      <w:r>
        <w:t xml:space="preserve">, Colette </w:t>
      </w:r>
      <w:proofErr w:type="spellStart"/>
      <w:r>
        <w:t>Sirat</w:t>
      </w:r>
      <w:proofErr w:type="spellEnd"/>
      <w:r>
        <w:t xml:space="preserve">, Catherine </w:t>
      </w:r>
      <w:proofErr w:type="spellStart"/>
      <w:r>
        <w:t>Chalier</w:t>
      </w:r>
      <w:proofErr w:type="spellEnd"/>
      <w:r>
        <w:t xml:space="preserve">, José Costa, Ron </w:t>
      </w:r>
      <w:proofErr w:type="spellStart"/>
      <w:r>
        <w:t>Naiweld</w:t>
      </w:r>
      <w:proofErr w:type="spellEnd"/>
      <w:r>
        <w:t xml:space="preserve">, and Éric Smilévitch also allowed me to improve specific chapters of this book. Those on Maimonides owe much to my conversations with Emmanuel </w:t>
      </w:r>
      <w:proofErr w:type="spellStart"/>
      <w:r>
        <w:t>Bonamy</w:t>
      </w:r>
      <w:proofErr w:type="spellEnd"/>
      <w:r>
        <w:t xml:space="preserve"> and Jérôme </w:t>
      </w:r>
      <w:proofErr w:type="spellStart"/>
      <w:r>
        <w:t>Benarroch</w:t>
      </w:r>
      <w:proofErr w:type="spellEnd"/>
      <w:r>
        <w:t xml:space="preserve">. Thanks also to </w:t>
      </w:r>
      <w:proofErr w:type="spellStart"/>
      <w:r>
        <w:t>Mehdy</w:t>
      </w:r>
      <w:proofErr w:type="spellEnd"/>
      <w:r>
        <w:t xml:space="preserve"> </w:t>
      </w:r>
      <w:proofErr w:type="spellStart"/>
      <w:r>
        <w:t>Fatnassi</w:t>
      </w:r>
      <w:proofErr w:type="spellEnd"/>
      <w:r>
        <w:t xml:space="preserve"> for his help in preparing this manuscript.</w:t>
      </w:r>
    </w:p>
    <w:p w14:paraId="00D3628F" w14:textId="77777777" w:rsidR="00D90411" w:rsidRPr="00D90411" w:rsidRDefault="00D90411" w:rsidP="006F45B9">
      <w:pPr>
        <w:autoSpaceDE w:val="0"/>
        <w:autoSpaceDN w:val="0"/>
        <w:adjustRightInd w:val="0"/>
        <w:spacing w:line="480" w:lineRule="auto"/>
      </w:pPr>
    </w:p>
    <w:p w14:paraId="061206A2" w14:textId="518FABD7" w:rsidR="00D90411" w:rsidRPr="00E23168" w:rsidRDefault="00D90411" w:rsidP="006F45B9">
      <w:pPr>
        <w:spacing w:line="480" w:lineRule="auto"/>
      </w:pPr>
    </w:p>
    <w:sectPr w:rsidR="00D90411" w:rsidRPr="00E23168" w:rsidSect="00592316">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4801D" w14:textId="77777777" w:rsidR="007A216D" w:rsidRDefault="007A216D" w:rsidP="00846A7E">
      <w:r>
        <w:separator/>
      </w:r>
    </w:p>
  </w:endnote>
  <w:endnote w:type="continuationSeparator" w:id="0">
    <w:p w14:paraId="3ACFD74E" w14:textId="77777777" w:rsidR="007A216D" w:rsidRDefault="007A216D" w:rsidP="0084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0F02" w14:textId="77777777" w:rsidR="007A216D" w:rsidRDefault="007A216D" w:rsidP="00846A7E">
      <w:r>
        <w:separator/>
      </w:r>
    </w:p>
  </w:footnote>
  <w:footnote w:type="continuationSeparator" w:id="0">
    <w:p w14:paraId="5685CC48" w14:textId="77777777" w:rsidR="007A216D" w:rsidRDefault="007A216D" w:rsidP="00846A7E">
      <w:r>
        <w:continuationSeparator/>
      </w:r>
    </w:p>
  </w:footnote>
  <w:footnote w:id="1">
    <w:p w14:paraId="71D6CCE0" w14:textId="15D49337" w:rsidR="00846A7E" w:rsidRPr="0068550E" w:rsidRDefault="00846A7E"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1A28B4">
        <w:rPr>
          <w:rFonts w:ascii="Times New Roman" w:hAnsi="Times New Roman" w:cs="Times New Roman"/>
          <w:sz w:val="24"/>
          <w:szCs w:val="24"/>
        </w:rPr>
        <w:t xml:space="preserve">Moses </w:t>
      </w:r>
      <w:r w:rsidRPr="0068550E">
        <w:rPr>
          <w:rFonts w:ascii="Times New Roman" w:hAnsi="Times New Roman" w:cs="Times New Roman"/>
          <w:sz w:val="24"/>
          <w:szCs w:val="24"/>
          <w:lang w:val="en-CA"/>
        </w:rPr>
        <w:t xml:space="preserve">Maimonides, </w:t>
      </w:r>
      <w:r w:rsidRPr="0068550E">
        <w:rPr>
          <w:rFonts w:ascii="Times New Roman" w:hAnsi="Times New Roman" w:cs="Times New Roman"/>
          <w:i/>
          <w:iCs/>
          <w:sz w:val="24"/>
          <w:szCs w:val="24"/>
          <w:lang w:val="en-CA"/>
        </w:rPr>
        <w:t>The Guide of the Perplexed</w:t>
      </w:r>
      <w:r w:rsidRPr="0068550E">
        <w:rPr>
          <w:rFonts w:ascii="Times New Roman" w:hAnsi="Times New Roman" w:cs="Times New Roman"/>
          <w:sz w:val="24"/>
          <w:szCs w:val="24"/>
          <w:lang w:val="en-CA"/>
        </w:rPr>
        <w:t xml:space="preserve">, trans. </w:t>
      </w:r>
      <w:proofErr w:type="spellStart"/>
      <w:r w:rsidRPr="0068550E">
        <w:rPr>
          <w:rFonts w:ascii="Times New Roman" w:hAnsi="Times New Roman" w:cs="Times New Roman"/>
          <w:sz w:val="24"/>
          <w:szCs w:val="24"/>
          <w:lang w:val="en-CA"/>
        </w:rPr>
        <w:t>Shlomo</w:t>
      </w:r>
      <w:proofErr w:type="spellEnd"/>
      <w:r w:rsidRPr="0068550E">
        <w:rPr>
          <w:rFonts w:ascii="Times New Roman" w:hAnsi="Times New Roman" w:cs="Times New Roman"/>
          <w:sz w:val="24"/>
          <w:szCs w:val="24"/>
          <w:lang w:val="en-CA"/>
        </w:rPr>
        <w:t xml:space="preserve"> Pines</w:t>
      </w:r>
      <w:r w:rsidR="00152BF6">
        <w:rPr>
          <w:rFonts w:ascii="Times New Roman" w:hAnsi="Times New Roman" w:cs="Times New Roman"/>
          <w:sz w:val="24"/>
          <w:szCs w:val="24"/>
          <w:lang w:val="en-CA"/>
        </w:rPr>
        <w:t xml:space="preserve"> (</w:t>
      </w:r>
      <w:r w:rsidR="00957066">
        <w:rPr>
          <w:rFonts w:ascii="Times New Roman" w:hAnsi="Times New Roman" w:cs="Times New Roman"/>
          <w:sz w:val="24"/>
          <w:szCs w:val="24"/>
          <w:lang w:val="en-CA"/>
        </w:rPr>
        <w:t xml:space="preserve">Chicago: </w:t>
      </w:r>
      <w:r w:rsidRPr="0068550E">
        <w:rPr>
          <w:rFonts w:ascii="Times New Roman" w:hAnsi="Times New Roman" w:cs="Times New Roman"/>
          <w:sz w:val="24"/>
          <w:szCs w:val="24"/>
          <w:lang w:val="en-CA"/>
        </w:rPr>
        <w:t>University of Chicago Press, 1963</w:t>
      </w:r>
      <w:r w:rsidR="00152BF6">
        <w:rPr>
          <w:rFonts w:ascii="Times New Roman" w:hAnsi="Times New Roman" w:cs="Times New Roman"/>
          <w:sz w:val="24"/>
          <w:szCs w:val="24"/>
          <w:lang w:val="en-CA"/>
        </w:rPr>
        <w:t>)</w:t>
      </w:r>
      <w:r w:rsidRPr="0068550E">
        <w:rPr>
          <w:rFonts w:ascii="Times New Roman" w:hAnsi="Times New Roman" w:cs="Times New Roman"/>
          <w:sz w:val="24"/>
          <w:szCs w:val="24"/>
          <w:lang w:val="en-CA"/>
        </w:rPr>
        <w:t xml:space="preserve">, “Introduction to the First Part,” 9. </w:t>
      </w:r>
      <w:r w:rsidR="007A13A5" w:rsidRPr="0068550E">
        <w:rPr>
          <w:rFonts w:ascii="Times New Roman" w:hAnsi="Times New Roman" w:cs="Times New Roman"/>
          <w:sz w:val="24"/>
          <w:szCs w:val="24"/>
          <w:lang w:val="en-CA"/>
        </w:rPr>
        <w:t>When it is pertinent, I also refer to the corresponding Arabic passage in the “</w:t>
      </w:r>
      <w:proofErr w:type="spellStart"/>
      <w:r w:rsidR="007A13A5" w:rsidRPr="0068550E">
        <w:rPr>
          <w:rFonts w:ascii="Times New Roman" w:hAnsi="Times New Roman" w:cs="Times New Roman"/>
          <w:sz w:val="24"/>
          <w:szCs w:val="24"/>
          <w:lang w:val="en-CA"/>
        </w:rPr>
        <w:t>Munk</w:t>
      </w:r>
      <w:proofErr w:type="spellEnd"/>
      <w:r w:rsidR="007A13A5" w:rsidRPr="0068550E">
        <w:rPr>
          <w:rFonts w:ascii="Times New Roman" w:hAnsi="Times New Roman" w:cs="Times New Roman"/>
          <w:sz w:val="24"/>
          <w:szCs w:val="24"/>
          <w:lang w:val="en-CA"/>
        </w:rPr>
        <w:t xml:space="preserve"> Joel” edition </w:t>
      </w:r>
      <w:r w:rsidR="007A13A5" w:rsidRPr="0068550E">
        <w:rPr>
          <w:rFonts w:ascii="Times New Roman" w:hAnsi="Times New Roman" w:cs="Times New Roman"/>
          <w:sz w:val="24"/>
          <w:szCs w:val="24"/>
        </w:rPr>
        <w:t>(the line numbers follow the page numbers)</w:t>
      </w:r>
      <w:r w:rsidR="007A13A5" w:rsidRPr="0068550E">
        <w:rPr>
          <w:rFonts w:ascii="Times New Roman" w:hAnsi="Times New Roman" w:cs="Times New Roman"/>
          <w:sz w:val="24"/>
          <w:szCs w:val="24"/>
          <w:lang w:val="en-CA"/>
        </w:rPr>
        <w:t xml:space="preserve">: </w:t>
      </w:r>
      <w:proofErr w:type="spellStart"/>
      <w:r w:rsidR="007A13A5" w:rsidRPr="0068550E">
        <w:rPr>
          <w:rFonts w:ascii="Times New Roman" w:hAnsi="Times New Roman" w:cs="Times New Roman"/>
          <w:i/>
          <w:iCs/>
          <w:sz w:val="24"/>
          <w:szCs w:val="24"/>
        </w:rPr>
        <w:t>Dalālat</w:t>
      </w:r>
      <w:proofErr w:type="spellEnd"/>
      <w:r w:rsidR="007A13A5" w:rsidRPr="0068550E">
        <w:rPr>
          <w:rFonts w:ascii="Times New Roman" w:hAnsi="Times New Roman" w:cs="Times New Roman"/>
          <w:i/>
          <w:iCs/>
          <w:sz w:val="24"/>
          <w:szCs w:val="24"/>
        </w:rPr>
        <w:t xml:space="preserve"> al-</w:t>
      </w:r>
      <w:r w:rsidR="007A13A5" w:rsidRPr="0068550E">
        <w:rPr>
          <w:rFonts w:ascii="Times New Roman" w:hAnsi="Times New Roman" w:cs="Times New Roman"/>
          <w:i/>
          <w:iCs/>
          <w:sz w:val="24"/>
          <w:szCs w:val="24"/>
          <w:rtl/>
          <w:lang w:val="en-CA" w:bidi="he-IL"/>
        </w:rPr>
        <w:t>Ḥ</w:t>
      </w:r>
      <w:proofErr w:type="spellStart"/>
      <w:r w:rsidR="007A13A5" w:rsidRPr="0068550E">
        <w:rPr>
          <w:rFonts w:ascii="Times New Roman" w:hAnsi="Times New Roman" w:cs="Times New Roman"/>
          <w:i/>
          <w:iCs/>
          <w:sz w:val="24"/>
          <w:szCs w:val="24"/>
        </w:rPr>
        <w:t>ā</w:t>
      </w:r>
      <w:r w:rsidR="007A13A5" w:rsidRPr="0068550E">
        <w:rPr>
          <w:rFonts w:ascii="Times New Roman" w:hAnsi="Times New Roman" w:cs="Times New Roman"/>
          <w:sz w:val="24"/>
          <w:szCs w:val="24"/>
        </w:rPr>
        <w:t>ʾ</w:t>
      </w:r>
      <w:r w:rsidR="007A13A5" w:rsidRPr="0068550E">
        <w:rPr>
          <w:rFonts w:ascii="Times New Roman" w:hAnsi="Times New Roman" w:cs="Times New Roman"/>
          <w:i/>
          <w:iCs/>
          <w:sz w:val="24"/>
          <w:szCs w:val="24"/>
        </w:rPr>
        <w:t>irīn</w:t>
      </w:r>
      <w:proofErr w:type="spellEnd"/>
      <w:r w:rsidR="007A13A5" w:rsidRPr="0068550E">
        <w:rPr>
          <w:rFonts w:ascii="Times New Roman" w:hAnsi="Times New Roman" w:cs="Times New Roman"/>
          <w:sz w:val="24"/>
          <w:szCs w:val="24"/>
        </w:rPr>
        <w:t>, ed. S</w:t>
      </w:r>
      <w:r w:rsidR="001A28B4">
        <w:rPr>
          <w:rFonts w:ascii="Times New Roman" w:hAnsi="Times New Roman" w:cs="Times New Roman"/>
          <w:sz w:val="24"/>
          <w:szCs w:val="24"/>
        </w:rPr>
        <w:t>alomon</w:t>
      </w:r>
      <w:r w:rsidR="007A13A5" w:rsidRPr="0068550E">
        <w:rPr>
          <w:rFonts w:ascii="Times New Roman" w:hAnsi="Times New Roman" w:cs="Times New Roman"/>
          <w:sz w:val="24"/>
          <w:szCs w:val="24"/>
        </w:rPr>
        <w:t xml:space="preserve"> Munk and I</w:t>
      </w:r>
      <w:r w:rsidR="001A28B4">
        <w:rPr>
          <w:rFonts w:ascii="Times New Roman" w:hAnsi="Times New Roman" w:cs="Times New Roman"/>
          <w:sz w:val="24"/>
          <w:szCs w:val="24"/>
        </w:rPr>
        <w:t>ssachar</w:t>
      </w:r>
      <w:r w:rsidR="007A13A5" w:rsidRPr="0068550E">
        <w:rPr>
          <w:rFonts w:ascii="Times New Roman" w:hAnsi="Times New Roman" w:cs="Times New Roman"/>
          <w:sz w:val="24"/>
          <w:szCs w:val="24"/>
        </w:rPr>
        <w:t xml:space="preserve"> Joel</w:t>
      </w:r>
      <w:r w:rsidR="00957066">
        <w:rPr>
          <w:rFonts w:ascii="Times New Roman" w:hAnsi="Times New Roman" w:cs="Times New Roman"/>
          <w:sz w:val="24"/>
          <w:szCs w:val="24"/>
        </w:rPr>
        <w:t xml:space="preserve"> (</w:t>
      </w:r>
      <w:r w:rsidR="007A13A5" w:rsidRPr="0068550E">
        <w:rPr>
          <w:rFonts w:ascii="Times New Roman" w:hAnsi="Times New Roman" w:cs="Times New Roman"/>
          <w:sz w:val="24"/>
          <w:szCs w:val="24"/>
        </w:rPr>
        <w:t>Jerusalem</w:t>
      </w:r>
      <w:r w:rsidR="0056109D">
        <w:rPr>
          <w:rFonts w:ascii="Times New Roman" w:hAnsi="Times New Roman" w:cs="Times New Roman"/>
          <w:sz w:val="24"/>
          <w:szCs w:val="24"/>
        </w:rPr>
        <w:t>:</w:t>
      </w:r>
      <w:r w:rsidR="007A13A5" w:rsidRPr="0068550E">
        <w:rPr>
          <w:rFonts w:ascii="Times New Roman" w:hAnsi="Times New Roman" w:cs="Times New Roman"/>
          <w:sz w:val="24"/>
          <w:szCs w:val="24"/>
        </w:rPr>
        <w:t xml:space="preserve"> Azrieli, 1931</w:t>
      </w:r>
      <w:r w:rsidR="00957066">
        <w:rPr>
          <w:rFonts w:ascii="Times New Roman" w:hAnsi="Times New Roman" w:cs="Times New Roman"/>
          <w:sz w:val="24"/>
          <w:szCs w:val="24"/>
        </w:rPr>
        <w:t>)</w:t>
      </w:r>
      <w:r w:rsidR="007A13A5" w:rsidRPr="0068550E">
        <w:rPr>
          <w:rFonts w:ascii="Times New Roman" w:hAnsi="Times New Roman" w:cs="Times New Roman"/>
          <w:sz w:val="24"/>
          <w:szCs w:val="24"/>
        </w:rPr>
        <w:t>.</w:t>
      </w:r>
      <w:r w:rsidRPr="0068550E">
        <w:rPr>
          <w:rFonts w:ascii="Times New Roman" w:hAnsi="Times New Roman" w:cs="Times New Roman"/>
          <w:sz w:val="24"/>
          <w:szCs w:val="24"/>
          <w:lang w:val="en-CA"/>
        </w:rPr>
        <w:t xml:space="preserve"> </w:t>
      </w:r>
    </w:p>
  </w:footnote>
  <w:footnote w:id="2">
    <w:p w14:paraId="4621D7F8" w14:textId="24CAA3B9" w:rsidR="00846A7E" w:rsidRPr="0056109D" w:rsidRDefault="00846A7E" w:rsidP="006F45B9">
      <w:pPr>
        <w:pStyle w:val="Notedebasdepage"/>
        <w:spacing w:line="480" w:lineRule="auto"/>
        <w:rPr>
          <w:rFonts w:ascii="Times New Roman" w:hAnsi="Times New Roman" w:cs="Times New Roman"/>
          <w:iCs/>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01A45" w:rsidRPr="0068550E">
        <w:rPr>
          <w:rFonts w:ascii="Times New Roman" w:hAnsi="Times New Roman" w:cs="Times New Roman"/>
          <w:sz w:val="24"/>
          <w:szCs w:val="24"/>
        </w:rPr>
        <w:t xml:space="preserve">This text, however, does not appear in any well-known rabbinic source. </w:t>
      </w:r>
      <w:proofErr w:type="spellStart"/>
      <w:r w:rsidR="00901A45" w:rsidRPr="0068550E">
        <w:rPr>
          <w:rFonts w:ascii="Times New Roman" w:hAnsi="Times New Roman" w:cs="Times New Roman"/>
          <w:sz w:val="24"/>
          <w:szCs w:val="24"/>
        </w:rPr>
        <w:t>Its</w:t>
      </w:r>
      <w:proofErr w:type="spellEnd"/>
      <w:r w:rsidR="00901A45" w:rsidRPr="0068550E">
        <w:rPr>
          <w:rFonts w:ascii="Times New Roman" w:hAnsi="Times New Roman" w:cs="Times New Roman"/>
          <w:sz w:val="24"/>
          <w:szCs w:val="24"/>
        </w:rPr>
        <w:t xml:space="preserve"> probable source was found in manuscript fragments from the Cairo </w:t>
      </w:r>
      <w:proofErr w:type="spellStart"/>
      <w:r w:rsidR="00901A45" w:rsidRPr="0068550E">
        <w:rPr>
          <w:rFonts w:ascii="Times New Roman" w:hAnsi="Times New Roman" w:cs="Times New Roman"/>
          <w:sz w:val="24"/>
          <w:szCs w:val="24"/>
        </w:rPr>
        <w:t>Geniza</w:t>
      </w:r>
      <w:proofErr w:type="spellEnd"/>
      <w:r w:rsidR="00901A45" w:rsidRPr="0068550E">
        <w:rPr>
          <w:rFonts w:ascii="Times New Roman" w:hAnsi="Times New Roman" w:cs="Times New Roman"/>
          <w:sz w:val="24"/>
          <w:szCs w:val="24"/>
        </w:rPr>
        <w:t xml:space="preserve">, which were collected with the title </w:t>
      </w:r>
      <w:proofErr w:type="spellStart"/>
      <w:r w:rsidR="00901A45" w:rsidRPr="0068550E">
        <w:rPr>
          <w:rFonts w:ascii="Times New Roman" w:hAnsi="Times New Roman" w:cs="Times New Roman"/>
          <w:i/>
          <w:iCs/>
          <w:sz w:val="24"/>
          <w:szCs w:val="24"/>
        </w:rPr>
        <w:t>Midraš</w:t>
      </w:r>
      <w:proofErr w:type="spellEnd"/>
      <w:r w:rsidR="00901A45" w:rsidRPr="0068550E">
        <w:rPr>
          <w:rFonts w:ascii="Times New Roman" w:hAnsi="Times New Roman" w:cs="Times New Roman"/>
          <w:i/>
          <w:iCs/>
          <w:sz w:val="24"/>
          <w:szCs w:val="24"/>
        </w:rPr>
        <w:t xml:space="preserve"> </w:t>
      </w:r>
      <w:proofErr w:type="spellStart"/>
      <w:r w:rsidR="00901A45" w:rsidRPr="0068550E">
        <w:rPr>
          <w:rFonts w:ascii="Times New Roman" w:hAnsi="Times New Roman" w:cs="Times New Roman"/>
          <w:i/>
          <w:iCs/>
          <w:sz w:val="24"/>
          <w:szCs w:val="24"/>
        </w:rPr>
        <w:t>Šenei</w:t>
      </w:r>
      <w:proofErr w:type="spellEnd"/>
      <w:r w:rsidR="00901A45" w:rsidRPr="0068550E">
        <w:rPr>
          <w:rFonts w:ascii="Times New Roman" w:hAnsi="Times New Roman" w:cs="Times New Roman"/>
          <w:i/>
          <w:iCs/>
          <w:sz w:val="24"/>
          <w:szCs w:val="24"/>
        </w:rPr>
        <w:t xml:space="preserve"> Ketuvim</w:t>
      </w:r>
      <w:r w:rsidR="00957066">
        <w:rPr>
          <w:rFonts w:ascii="Times New Roman" w:hAnsi="Times New Roman" w:cs="Times New Roman"/>
          <w:iCs/>
          <w:sz w:val="24"/>
          <w:szCs w:val="24"/>
        </w:rPr>
        <w:t xml:space="preserve">, </w:t>
      </w:r>
      <w:r w:rsidR="00901A45" w:rsidRPr="0068550E">
        <w:rPr>
          <w:rFonts w:ascii="Times New Roman" w:hAnsi="Times New Roman" w:cs="Times New Roman"/>
          <w:iCs/>
          <w:sz w:val="24"/>
          <w:szCs w:val="24"/>
        </w:rPr>
        <w:t xml:space="preserve">published in </w:t>
      </w:r>
      <w:proofErr w:type="spellStart"/>
      <w:r w:rsidR="00901A45" w:rsidRPr="0068550E">
        <w:rPr>
          <w:rFonts w:ascii="Times New Roman" w:hAnsi="Times New Roman" w:cs="Times New Roman"/>
          <w:i/>
          <w:iCs/>
          <w:sz w:val="24"/>
          <w:szCs w:val="24"/>
        </w:rPr>
        <w:t>Batei</w:t>
      </w:r>
      <w:proofErr w:type="spellEnd"/>
      <w:r w:rsidR="00901A45" w:rsidRPr="0068550E">
        <w:rPr>
          <w:rFonts w:ascii="Times New Roman" w:hAnsi="Times New Roman" w:cs="Times New Roman"/>
          <w:i/>
          <w:iCs/>
          <w:sz w:val="24"/>
          <w:szCs w:val="24"/>
        </w:rPr>
        <w:t xml:space="preserve"> </w:t>
      </w:r>
      <w:proofErr w:type="spellStart"/>
      <w:r w:rsidR="00901A45" w:rsidRPr="0068550E">
        <w:rPr>
          <w:rFonts w:ascii="Times New Roman" w:hAnsi="Times New Roman" w:cs="Times New Roman"/>
          <w:i/>
          <w:iCs/>
          <w:sz w:val="24"/>
          <w:szCs w:val="24"/>
        </w:rPr>
        <w:t>Midrašot</w:t>
      </w:r>
      <w:proofErr w:type="spellEnd"/>
      <w:r w:rsidR="002D720E">
        <w:rPr>
          <w:rFonts w:ascii="Times New Roman" w:hAnsi="Times New Roman" w:cs="Times New Roman"/>
          <w:sz w:val="24"/>
          <w:szCs w:val="24"/>
        </w:rPr>
        <w:t>, ed.</w:t>
      </w:r>
      <w:r w:rsidR="00957066">
        <w:rPr>
          <w:rFonts w:ascii="Times New Roman" w:hAnsi="Times New Roman" w:cs="Times New Roman"/>
          <w:iCs/>
          <w:sz w:val="24"/>
          <w:szCs w:val="24"/>
        </w:rPr>
        <w:t xml:space="preserve"> </w:t>
      </w:r>
      <w:r w:rsidR="006F45B9" w:rsidRPr="006F45B9">
        <w:rPr>
          <w:rFonts w:ascii="Times New Roman" w:hAnsi="Times New Roman" w:cs="Times New Roman"/>
          <w:iCs/>
          <w:sz w:val="24"/>
          <w:szCs w:val="24"/>
        </w:rPr>
        <w:t>Solomon A</w:t>
      </w:r>
      <w:r w:rsidR="0056109D" w:rsidRPr="006F45B9">
        <w:rPr>
          <w:rFonts w:ascii="Times New Roman" w:hAnsi="Times New Roman" w:cs="Times New Roman"/>
          <w:iCs/>
          <w:sz w:val="24"/>
          <w:szCs w:val="24"/>
        </w:rPr>
        <w:t>.</w:t>
      </w:r>
      <w:r w:rsidR="002D720E" w:rsidRPr="0068550E">
        <w:rPr>
          <w:rFonts w:ascii="Times New Roman" w:hAnsi="Times New Roman" w:cs="Times New Roman"/>
          <w:iCs/>
          <w:sz w:val="24"/>
          <w:szCs w:val="24"/>
        </w:rPr>
        <w:t xml:space="preserve"> Wertheimer </w:t>
      </w:r>
      <w:r w:rsidR="00957066">
        <w:rPr>
          <w:rFonts w:ascii="Times New Roman" w:hAnsi="Times New Roman" w:cs="Times New Roman"/>
          <w:iCs/>
          <w:sz w:val="24"/>
          <w:szCs w:val="24"/>
        </w:rPr>
        <w:t>(</w:t>
      </w:r>
      <w:r w:rsidR="00901A45" w:rsidRPr="0068550E">
        <w:rPr>
          <w:rFonts w:ascii="Times New Roman" w:hAnsi="Times New Roman" w:cs="Times New Roman"/>
          <w:iCs/>
          <w:sz w:val="24"/>
          <w:szCs w:val="24"/>
        </w:rPr>
        <w:t>Jerusalem</w:t>
      </w:r>
      <w:r w:rsidR="0056109D">
        <w:rPr>
          <w:rFonts w:ascii="Times New Roman" w:hAnsi="Times New Roman" w:cs="Times New Roman"/>
          <w:iCs/>
          <w:sz w:val="24"/>
          <w:szCs w:val="24"/>
        </w:rPr>
        <w:t xml:space="preserve">: </w:t>
      </w:r>
      <w:r w:rsidR="00901A45" w:rsidRPr="0068550E">
        <w:rPr>
          <w:rFonts w:ascii="Times New Roman" w:hAnsi="Times New Roman" w:cs="Times New Roman"/>
          <w:iCs/>
          <w:sz w:val="24"/>
          <w:szCs w:val="24"/>
        </w:rPr>
        <w:t>Mossad ha-</w:t>
      </w:r>
      <w:proofErr w:type="spellStart"/>
      <w:r w:rsidR="00901A45" w:rsidRPr="0068550E">
        <w:rPr>
          <w:rFonts w:ascii="Times New Roman" w:hAnsi="Times New Roman" w:cs="Times New Roman"/>
          <w:iCs/>
          <w:sz w:val="24"/>
          <w:szCs w:val="24"/>
        </w:rPr>
        <w:t>Rav</w:t>
      </w:r>
      <w:proofErr w:type="spellEnd"/>
      <w:r w:rsidR="00901A45" w:rsidRPr="0068550E">
        <w:rPr>
          <w:rFonts w:ascii="Times New Roman" w:hAnsi="Times New Roman" w:cs="Times New Roman"/>
          <w:iCs/>
          <w:sz w:val="24"/>
          <w:szCs w:val="24"/>
        </w:rPr>
        <w:t xml:space="preserve"> Kook, 1952</w:t>
      </w:r>
      <w:r w:rsidR="00957066">
        <w:rPr>
          <w:rFonts w:ascii="Times New Roman" w:hAnsi="Times New Roman" w:cs="Times New Roman"/>
          <w:iCs/>
          <w:sz w:val="24"/>
          <w:szCs w:val="24"/>
        </w:rPr>
        <w:t>)</w:t>
      </w:r>
      <w:r w:rsidR="00901A45" w:rsidRPr="0068550E">
        <w:rPr>
          <w:rFonts w:ascii="Times New Roman" w:hAnsi="Times New Roman" w:cs="Times New Roman"/>
          <w:iCs/>
          <w:sz w:val="24"/>
          <w:szCs w:val="24"/>
        </w:rPr>
        <w:t xml:space="preserve">, </w:t>
      </w:r>
      <w:r w:rsidR="00957066">
        <w:rPr>
          <w:rFonts w:ascii="Times New Roman" w:hAnsi="Times New Roman" w:cs="Times New Roman"/>
          <w:iCs/>
          <w:sz w:val="24"/>
          <w:szCs w:val="24"/>
        </w:rPr>
        <w:t>vol</w:t>
      </w:r>
      <w:r w:rsidR="00901A45" w:rsidRPr="0068550E">
        <w:rPr>
          <w:rFonts w:ascii="Times New Roman" w:hAnsi="Times New Roman" w:cs="Times New Roman"/>
          <w:iCs/>
          <w:sz w:val="24"/>
          <w:szCs w:val="24"/>
        </w:rPr>
        <w:t>. 1, 251.</w:t>
      </w:r>
      <w:r w:rsidR="00901A45" w:rsidRPr="0068550E">
        <w:rPr>
          <w:rFonts w:ascii="Times New Roman" w:hAnsi="Times New Roman" w:cs="Times New Roman"/>
          <w:sz w:val="24"/>
          <w:szCs w:val="24"/>
        </w:rPr>
        <w:t xml:space="preserve"> </w:t>
      </w:r>
    </w:p>
  </w:footnote>
  <w:footnote w:id="3">
    <w:p w14:paraId="0F1A6072" w14:textId="77777777" w:rsidR="006E1D5B" w:rsidRPr="0068550E" w:rsidRDefault="006E1D5B" w:rsidP="006F45B9">
      <w:pPr>
        <w:spacing w:line="480" w:lineRule="auto"/>
      </w:pPr>
      <w:r w:rsidRPr="0068550E">
        <w:rPr>
          <w:rStyle w:val="Appelnotedebasdep"/>
        </w:rPr>
        <w:footnoteRef/>
      </w:r>
      <w:r w:rsidRPr="0068550E">
        <w:t xml:space="preserve"> Norbert M. Samuelson, </w:t>
      </w:r>
      <w:r w:rsidRPr="0068550E">
        <w:rPr>
          <w:i/>
          <w:iCs/>
        </w:rPr>
        <w:t>Judaism and the Doctrine of Creation</w:t>
      </w:r>
      <w:r w:rsidRPr="0068550E">
        <w:t xml:space="preserve"> (Cambridge: Cambridge University Press, 1994).</w:t>
      </w:r>
    </w:p>
  </w:footnote>
  <w:footnote w:id="4">
    <w:p w14:paraId="01F2BC4D" w14:textId="12E21464" w:rsidR="006E1D5B" w:rsidRPr="0068550E" w:rsidRDefault="006E1D5B"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Jacob I. </w:t>
      </w:r>
      <w:proofErr w:type="spellStart"/>
      <w:r w:rsidRPr="0068550E">
        <w:rPr>
          <w:rFonts w:ascii="Times New Roman" w:hAnsi="Times New Roman" w:cs="Times New Roman"/>
          <w:sz w:val="24"/>
          <w:szCs w:val="24"/>
        </w:rPr>
        <w:t>Dienstag</w:t>
      </w:r>
      <w:proofErr w:type="spellEnd"/>
      <w:r w:rsidRPr="0068550E">
        <w:rPr>
          <w:rFonts w:ascii="Times New Roman" w:hAnsi="Times New Roman" w:cs="Times New Roman"/>
          <w:sz w:val="24"/>
          <w:szCs w:val="24"/>
        </w:rPr>
        <w:t xml:space="preserve">, “Creation in Maimonides-Bibliography” </w:t>
      </w:r>
      <w:r w:rsidR="002D720E">
        <w:rPr>
          <w:rFonts w:ascii="Times New Roman" w:hAnsi="Times New Roman" w:cs="Times New Roman"/>
          <w:sz w:val="24"/>
          <w:szCs w:val="24"/>
        </w:rPr>
        <w:t>[</w:t>
      </w:r>
      <w:r w:rsidRPr="0068550E">
        <w:rPr>
          <w:rFonts w:ascii="Times New Roman" w:hAnsi="Times New Roman" w:cs="Times New Roman"/>
          <w:sz w:val="24"/>
          <w:szCs w:val="24"/>
        </w:rPr>
        <w:t>in Hebrew</w:t>
      </w:r>
      <w:r w:rsidR="002D720E">
        <w:rPr>
          <w:rFonts w:ascii="Times New Roman" w:hAnsi="Times New Roman" w:cs="Times New Roman"/>
          <w:sz w:val="24"/>
          <w:szCs w:val="24"/>
        </w:rPr>
        <w:t>]</w:t>
      </w:r>
      <w:r w:rsidRPr="0068550E">
        <w:rPr>
          <w:rFonts w:ascii="Times New Roman" w:hAnsi="Times New Roman" w:cs="Times New Roman"/>
          <w:sz w:val="24"/>
          <w:szCs w:val="24"/>
        </w:rPr>
        <w:t xml:space="preserve">, </w:t>
      </w:r>
      <w:proofErr w:type="spellStart"/>
      <w:r w:rsidRPr="0068550E">
        <w:rPr>
          <w:rFonts w:ascii="Times New Roman" w:hAnsi="Times New Roman" w:cs="Times New Roman"/>
          <w:i/>
          <w:iCs/>
          <w:sz w:val="24"/>
          <w:szCs w:val="24"/>
        </w:rPr>
        <w:t>Da’at</w:t>
      </w:r>
      <w:proofErr w:type="spellEnd"/>
      <w:r w:rsidRPr="0068550E">
        <w:rPr>
          <w:rFonts w:ascii="Times New Roman" w:hAnsi="Times New Roman" w:cs="Times New Roman"/>
          <w:sz w:val="24"/>
          <w:szCs w:val="24"/>
        </w:rPr>
        <w:t xml:space="preserve"> 32</w:t>
      </w:r>
      <w:r w:rsidRPr="0068550E">
        <w:rPr>
          <w:rFonts w:ascii="Times New Roman" w:hAnsi="Times New Roman" w:cs="Times New Roman"/>
          <w:sz w:val="24"/>
          <w:szCs w:val="24"/>
        </w:rPr>
        <w:noBreakHyphen/>
        <w:t>33 (1994): 247</w:t>
      </w:r>
      <w:r w:rsidRPr="0068550E">
        <w:rPr>
          <w:rFonts w:ascii="Times New Roman" w:hAnsi="Times New Roman" w:cs="Times New Roman"/>
          <w:sz w:val="24"/>
          <w:szCs w:val="24"/>
        </w:rPr>
        <w:noBreakHyphen/>
        <w:t>68.</w:t>
      </w:r>
    </w:p>
  </w:footnote>
  <w:footnote w:id="5">
    <w:p w14:paraId="582E8301" w14:textId="332715F6" w:rsidR="006E1D5B" w:rsidRPr="0068550E" w:rsidRDefault="006E1D5B" w:rsidP="006F45B9">
      <w:pPr>
        <w:spacing w:line="480" w:lineRule="auto"/>
      </w:pPr>
      <w:r w:rsidRPr="0068550E">
        <w:rPr>
          <w:rStyle w:val="Appelnotedebasdep"/>
        </w:rPr>
        <w:footnoteRef/>
      </w:r>
      <w:r w:rsidRPr="0068550E">
        <w:t xml:space="preserve"> See especially Jacob J. Staub, </w:t>
      </w:r>
      <w:r w:rsidRPr="0068550E">
        <w:rPr>
          <w:i/>
          <w:iCs/>
        </w:rPr>
        <w:t xml:space="preserve">The Creation of the World According to </w:t>
      </w:r>
      <w:proofErr w:type="spellStart"/>
      <w:r w:rsidRPr="0068550E">
        <w:rPr>
          <w:i/>
          <w:iCs/>
        </w:rPr>
        <w:t>Gersonides</w:t>
      </w:r>
      <w:proofErr w:type="spellEnd"/>
      <w:r w:rsidRPr="0068550E">
        <w:t xml:space="preserve"> (Chico: Scholars Press, 1982); Kenneth </w:t>
      </w:r>
      <w:proofErr w:type="spellStart"/>
      <w:r w:rsidRPr="0068550E">
        <w:t>Seeskin</w:t>
      </w:r>
      <w:proofErr w:type="spellEnd"/>
      <w:r w:rsidRPr="0068550E">
        <w:t xml:space="preserve">, </w:t>
      </w:r>
      <w:r w:rsidRPr="0068550E">
        <w:rPr>
          <w:i/>
          <w:iCs/>
        </w:rPr>
        <w:t>Maimonides on the Origin of the World</w:t>
      </w:r>
      <w:r w:rsidRPr="0068550E">
        <w:t xml:space="preserve"> (Cambridge</w:t>
      </w:r>
      <w:r w:rsidR="00957066">
        <w:t xml:space="preserve"> </w:t>
      </w:r>
      <w:r w:rsidR="00E33FCD">
        <w:t>and</w:t>
      </w:r>
      <w:r w:rsidR="00957066">
        <w:t xml:space="preserve"> </w:t>
      </w:r>
      <w:r w:rsidRPr="0068550E">
        <w:t xml:space="preserve">New York: Cambridge University Press, 2005); and very recently Ari Ackerman, </w:t>
      </w:r>
      <w:proofErr w:type="spellStart"/>
      <w:r w:rsidRPr="0068550E">
        <w:rPr>
          <w:i/>
          <w:iCs/>
        </w:rPr>
        <w:t>Hasdai</w:t>
      </w:r>
      <w:proofErr w:type="spellEnd"/>
      <w:r w:rsidRPr="0068550E">
        <w:rPr>
          <w:i/>
          <w:iCs/>
        </w:rPr>
        <w:t xml:space="preserve"> </w:t>
      </w:r>
      <w:proofErr w:type="spellStart"/>
      <w:r w:rsidRPr="0068550E">
        <w:rPr>
          <w:i/>
          <w:iCs/>
        </w:rPr>
        <w:t>Crescas</w:t>
      </w:r>
      <w:proofErr w:type="spellEnd"/>
      <w:r w:rsidRPr="0068550E">
        <w:rPr>
          <w:i/>
          <w:iCs/>
        </w:rPr>
        <w:t xml:space="preserve"> on Codification, Cosmology and Creation: The Infinite God and the Expanding Torah</w:t>
      </w:r>
      <w:r w:rsidRPr="0068550E">
        <w:t xml:space="preserve"> (Leiden: Brill, 2022).</w:t>
      </w:r>
    </w:p>
  </w:footnote>
  <w:footnote w:id="6">
    <w:p w14:paraId="0B649D94" w14:textId="77777777" w:rsidR="006E1D5B" w:rsidRPr="0068550E" w:rsidRDefault="006E1D5B" w:rsidP="006F45B9">
      <w:pPr>
        <w:spacing w:line="480" w:lineRule="auto"/>
      </w:pPr>
      <w:r w:rsidRPr="0068550E">
        <w:rPr>
          <w:rStyle w:val="Appelnotedebasdep"/>
        </w:rPr>
        <w:footnoteRef/>
      </w:r>
      <w:r w:rsidRPr="0068550E">
        <w:t xml:space="preserve"> Brian </w:t>
      </w:r>
      <w:proofErr w:type="spellStart"/>
      <w:r w:rsidRPr="0068550E">
        <w:t>Ogren</w:t>
      </w:r>
      <w:proofErr w:type="spellEnd"/>
      <w:r w:rsidRPr="0068550E">
        <w:t xml:space="preserve">, </w:t>
      </w:r>
      <w:r w:rsidRPr="0068550E">
        <w:rPr>
          <w:i/>
          <w:iCs/>
        </w:rPr>
        <w:t xml:space="preserve">The Beginning of the World in Renaissance Jewish Thought: </w:t>
      </w:r>
      <w:proofErr w:type="spellStart"/>
      <w:r w:rsidRPr="0068550E">
        <w:t>Ma’aseh</w:t>
      </w:r>
      <w:proofErr w:type="spellEnd"/>
      <w:r w:rsidRPr="0068550E">
        <w:t xml:space="preserve"> </w:t>
      </w:r>
      <w:proofErr w:type="spellStart"/>
      <w:r w:rsidRPr="0068550E">
        <w:t>Bereshit</w:t>
      </w:r>
      <w:proofErr w:type="spellEnd"/>
      <w:r w:rsidRPr="0068550E">
        <w:rPr>
          <w:i/>
          <w:iCs/>
        </w:rPr>
        <w:t xml:space="preserve"> in Italian Jewish Philosophy and Kabbalah, 1492-1535</w:t>
      </w:r>
      <w:r w:rsidRPr="0068550E">
        <w:t xml:space="preserve"> (Leiden: Brill, 2016).</w:t>
      </w:r>
    </w:p>
  </w:footnote>
  <w:footnote w:id="7">
    <w:p w14:paraId="7CFD818B" w14:textId="13BF1CD9" w:rsidR="00846A7E" w:rsidRPr="0068550E" w:rsidRDefault="00846A7E"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Pr="0068550E">
        <w:rPr>
          <w:rFonts w:ascii="Times New Roman" w:hAnsi="Times New Roman" w:cs="Times New Roman"/>
          <w:sz w:val="24"/>
          <w:szCs w:val="24"/>
          <w:lang w:val="en-CA"/>
        </w:rPr>
        <w:t xml:space="preserve">Raphael </w:t>
      </w:r>
      <w:proofErr w:type="spellStart"/>
      <w:r w:rsidRPr="0068550E">
        <w:rPr>
          <w:rFonts w:ascii="Times New Roman" w:hAnsi="Times New Roman" w:cs="Times New Roman"/>
          <w:sz w:val="24"/>
          <w:szCs w:val="24"/>
          <w:lang w:val="en-CA"/>
        </w:rPr>
        <w:t>Jospe’s</w:t>
      </w:r>
      <w:proofErr w:type="spellEnd"/>
      <w:r w:rsidRPr="0068550E">
        <w:rPr>
          <w:rFonts w:ascii="Times New Roman" w:hAnsi="Times New Roman" w:cs="Times New Roman"/>
          <w:sz w:val="24"/>
          <w:szCs w:val="24"/>
          <w:lang w:val="en-CA"/>
        </w:rPr>
        <w:t xml:space="preserve"> short monograph </w:t>
      </w:r>
      <w:r w:rsidRPr="0068550E">
        <w:rPr>
          <w:rFonts w:ascii="Times New Roman" w:hAnsi="Times New Roman" w:cs="Times New Roman"/>
          <w:i/>
          <w:iCs/>
          <w:sz w:val="24"/>
          <w:szCs w:val="24"/>
          <w:lang w:val="en-CA"/>
        </w:rPr>
        <w:t>What Is Jewish Philosophy</w:t>
      </w:r>
      <w:r w:rsidRPr="0068550E">
        <w:rPr>
          <w:rFonts w:ascii="Times New Roman" w:hAnsi="Times New Roman" w:cs="Times New Roman"/>
          <w:sz w:val="24"/>
          <w:szCs w:val="24"/>
          <w:lang w:val="en-CA"/>
        </w:rPr>
        <w:t>? (Ramat Aviv, Open University of Israel, 1988) offers a good starting point for this discussion.</w:t>
      </w:r>
    </w:p>
  </w:footnote>
  <w:footnote w:id="8">
    <w:p w14:paraId="417D6483" w14:textId="53511D9A"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01A45" w:rsidRPr="0068550E">
        <w:rPr>
          <w:rFonts w:ascii="Times New Roman" w:hAnsi="Times New Roman" w:cs="Times New Roman"/>
          <w:sz w:val="24"/>
          <w:szCs w:val="24"/>
        </w:rPr>
        <w:t>On this subject, see the vivid debates of the 1930s which opposed the partisans of the notion of a “Christian philosophy” (</w:t>
      </w:r>
      <w:r w:rsidR="00901A45" w:rsidRPr="0068550E">
        <w:rPr>
          <w:rFonts w:ascii="Times New Roman" w:hAnsi="Times New Roman" w:cs="Times New Roman"/>
          <w:sz w:val="24"/>
          <w:szCs w:val="24"/>
          <w:u w:color="000000"/>
        </w:rPr>
        <w:t>Étienne Gilson</w:t>
      </w:r>
      <w:r w:rsidR="00901A45" w:rsidRPr="0068550E">
        <w:rPr>
          <w:rFonts w:ascii="Times New Roman" w:hAnsi="Times New Roman" w:cs="Times New Roman"/>
          <w:sz w:val="24"/>
          <w:szCs w:val="24"/>
          <w:u w:color="000000"/>
        </w:rPr>
        <w:fldChar w:fldCharType="begin"/>
      </w:r>
      <w:r w:rsidR="00901A45" w:rsidRPr="0068550E">
        <w:rPr>
          <w:rFonts w:ascii="Times New Roman" w:hAnsi="Times New Roman" w:cs="Times New Roman"/>
          <w:sz w:val="24"/>
          <w:szCs w:val="24"/>
        </w:rPr>
        <w:instrText xml:space="preserve"> XE "Gilson, É." </w:instrText>
      </w:r>
      <w:r w:rsidR="00901A45" w:rsidRPr="0068550E">
        <w:rPr>
          <w:rFonts w:ascii="Times New Roman" w:hAnsi="Times New Roman" w:cs="Times New Roman"/>
          <w:sz w:val="24"/>
          <w:szCs w:val="24"/>
          <w:u w:color="000000"/>
        </w:rPr>
        <w:fldChar w:fldCharType="end"/>
      </w:r>
      <w:r w:rsidR="00901A45" w:rsidRPr="0068550E">
        <w:rPr>
          <w:rFonts w:ascii="Times New Roman" w:hAnsi="Times New Roman" w:cs="Times New Roman"/>
          <w:sz w:val="24"/>
          <w:szCs w:val="24"/>
          <w:u w:color="000000"/>
        </w:rPr>
        <w:t xml:space="preserve"> and Jacques Maritain, to name only the French philosophers) to its opponents (Émile </w:t>
      </w:r>
      <w:proofErr w:type="spellStart"/>
      <w:r w:rsidR="00901A45" w:rsidRPr="0068550E">
        <w:rPr>
          <w:rFonts w:ascii="Times New Roman" w:hAnsi="Times New Roman" w:cs="Times New Roman"/>
          <w:sz w:val="24"/>
          <w:szCs w:val="24"/>
          <w:u w:color="000000"/>
        </w:rPr>
        <w:t>Bréhier</w:t>
      </w:r>
      <w:proofErr w:type="spellEnd"/>
      <w:r w:rsidR="00901A45" w:rsidRPr="0068550E">
        <w:rPr>
          <w:rFonts w:ascii="Times New Roman" w:hAnsi="Times New Roman" w:cs="Times New Roman"/>
          <w:sz w:val="24"/>
          <w:szCs w:val="24"/>
          <w:u w:color="000000"/>
        </w:rPr>
        <w:t xml:space="preserve"> and Jacques </w:t>
      </w:r>
      <w:proofErr w:type="spellStart"/>
      <w:r w:rsidR="00901A45" w:rsidRPr="0068550E">
        <w:rPr>
          <w:rFonts w:ascii="Times New Roman" w:hAnsi="Times New Roman" w:cs="Times New Roman"/>
          <w:sz w:val="24"/>
          <w:szCs w:val="24"/>
          <w:u w:color="000000"/>
        </w:rPr>
        <w:t>Brunschwig</w:t>
      </w:r>
      <w:proofErr w:type="spellEnd"/>
      <w:r w:rsidR="00901A45" w:rsidRPr="0068550E">
        <w:rPr>
          <w:rFonts w:ascii="Times New Roman" w:hAnsi="Times New Roman" w:cs="Times New Roman"/>
          <w:sz w:val="24"/>
          <w:szCs w:val="24"/>
          <w:u w:color="000000"/>
        </w:rPr>
        <w:t>). A recent synthesis can be found in T</w:t>
      </w:r>
      <w:r w:rsidR="001A28B4">
        <w:rPr>
          <w:rFonts w:ascii="Times New Roman" w:hAnsi="Times New Roman" w:cs="Times New Roman"/>
          <w:sz w:val="24"/>
          <w:szCs w:val="24"/>
          <w:u w:color="000000"/>
        </w:rPr>
        <w:t>hierry-</w:t>
      </w:r>
      <w:r w:rsidR="00901A45" w:rsidRPr="0068550E">
        <w:rPr>
          <w:rFonts w:ascii="Times New Roman" w:hAnsi="Times New Roman" w:cs="Times New Roman"/>
          <w:sz w:val="24"/>
          <w:szCs w:val="24"/>
          <w:u w:color="000000"/>
        </w:rPr>
        <w:t>D</w:t>
      </w:r>
      <w:r w:rsidR="001A28B4">
        <w:rPr>
          <w:rFonts w:ascii="Times New Roman" w:hAnsi="Times New Roman" w:cs="Times New Roman"/>
          <w:sz w:val="24"/>
          <w:szCs w:val="24"/>
          <w:u w:color="000000"/>
        </w:rPr>
        <w:t>ominique</w:t>
      </w:r>
      <w:r w:rsidR="00901A45" w:rsidRPr="0068550E">
        <w:rPr>
          <w:rFonts w:ascii="Times New Roman" w:hAnsi="Times New Roman" w:cs="Times New Roman"/>
          <w:sz w:val="24"/>
          <w:szCs w:val="24"/>
          <w:u w:color="000000"/>
        </w:rPr>
        <w:t xml:space="preserve"> </w:t>
      </w:r>
      <w:proofErr w:type="spellStart"/>
      <w:r w:rsidR="00901A45" w:rsidRPr="0068550E">
        <w:rPr>
          <w:rFonts w:ascii="Times New Roman" w:hAnsi="Times New Roman" w:cs="Times New Roman"/>
          <w:sz w:val="24"/>
          <w:szCs w:val="24"/>
          <w:u w:color="000000"/>
        </w:rPr>
        <w:t>Humbrecht’s</w:t>
      </w:r>
      <w:proofErr w:type="spellEnd"/>
      <w:r w:rsidR="00901A45" w:rsidRPr="0068550E">
        <w:rPr>
          <w:rFonts w:ascii="Times New Roman" w:hAnsi="Times New Roman" w:cs="Times New Roman"/>
          <w:sz w:val="24"/>
          <w:szCs w:val="24"/>
          <w:u w:color="000000"/>
        </w:rPr>
        <w:t xml:space="preserve"> preface to </w:t>
      </w:r>
      <w:r w:rsidR="00901A45" w:rsidRPr="0068550E">
        <w:rPr>
          <w:rFonts w:ascii="Times New Roman" w:hAnsi="Times New Roman" w:cs="Times New Roman"/>
          <w:i/>
          <w:iCs/>
          <w:sz w:val="24"/>
          <w:szCs w:val="24"/>
          <w:u w:color="000000"/>
        </w:rPr>
        <w:t xml:space="preserve">Introduction à la </w:t>
      </w:r>
      <w:proofErr w:type="spellStart"/>
      <w:r w:rsidR="00901A45" w:rsidRPr="0068550E">
        <w:rPr>
          <w:rFonts w:ascii="Times New Roman" w:hAnsi="Times New Roman" w:cs="Times New Roman"/>
          <w:i/>
          <w:iCs/>
          <w:sz w:val="24"/>
          <w:szCs w:val="24"/>
          <w:u w:color="000000"/>
        </w:rPr>
        <w:t>philosophie</w:t>
      </w:r>
      <w:proofErr w:type="spellEnd"/>
      <w:r w:rsidR="00901A45" w:rsidRPr="0068550E">
        <w:rPr>
          <w:rFonts w:ascii="Times New Roman" w:hAnsi="Times New Roman" w:cs="Times New Roman"/>
          <w:i/>
          <w:iCs/>
          <w:sz w:val="24"/>
          <w:szCs w:val="24"/>
          <w:u w:color="000000"/>
        </w:rPr>
        <w:t xml:space="preserve"> </w:t>
      </w:r>
      <w:proofErr w:type="spellStart"/>
      <w:r w:rsidR="00901A45" w:rsidRPr="0068550E">
        <w:rPr>
          <w:rFonts w:ascii="Times New Roman" w:hAnsi="Times New Roman" w:cs="Times New Roman"/>
          <w:i/>
          <w:iCs/>
          <w:sz w:val="24"/>
          <w:szCs w:val="24"/>
          <w:u w:color="000000"/>
        </w:rPr>
        <w:t>chrétienne</w:t>
      </w:r>
      <w:proofErr w:type="spellEnd"/>
      <w:r w:rsidR="002D720E">
        <w:rPr>
          <w:rFonts w:ascii="Times New Roman" w:hAnsi="Times New Roman" w:cs="Times New Roman"/>
          <w:sz w:val="24"/>
          <w:szCs w:val="24"/>
          <w:u w:color="000000"/>
        </w:rPr>
        <w:t xml:space="preserve"> by </w:t>
      </w:r>
      <w:r w:rsidR="002D720E" w:rsidRPr="0068550E">
        <w:rPr>
          <w:rFonts w:ascii="Times New Roman" w:hAnsi="Times New Roman" w:cs="Times New Roman"/>
          <w:sz w:val="24"/>
          <w:szCs w:val="24"/>
          <w:u w:color="000000"/>
        </w:rPr>
        <w:t>É</w:t>
      </w:r>
      <w:r w:rsidR="001A28B4">
        <w:rPr>
          <w:rFonts w:ascii="Times New Roman" w:hAnsi="Times New Roman" w:cs="Times New Roman"/>
          <w:sz w:val="24"/>
          <w:szCs w:val="24"/>
          <w:u w:color="000000"/>
        </w:rPr>
        <w:t>tienne</w:t>
      </w:r>
      <w:r w:rsidR="002D720E" w:rsidRPr="0068550E">
        <w:rPr>
          <w:rFonts w:ascii="Times New Roman" w:hAnsi="Times New Roman" w:cs="Times New Roman"/>
          <w:sz w:val="24"/>
          <w:szCs w:val="24"/>
          <w:u w:color="000000"/>
        </w:rPr>
        <w:t xml:space="preserve"> Gilson</w:t>
      </w:r>
      <w:r w:rsidR="002D720E" w:rsidRPr="0068550E">
        <w:rPr>
          <w:rFonts w:ascii="Times New Roman" w:hAnsi="Times New Roman" w:cs="Times New Roman"/>
          <w:sz w:val="24"/>
          <w:szCs w:val="24"/>
          <w:u w:color="000000"/>
        </w:rPr>
        <w:fldChar w:fldCharType="begin"/>
      </w:r>
      <w:r w:rsidR="002D720E" w:rsidRPr="0068550E">
        <w:rPr>
          <w:rFonts w:ascii="Times New Roman" w:hAnsi="Times New Roman" w:cs="Times New Roman"/>
          <w:sz w:val="24"/>
          <w:szCs w:val="24"/>
        </w:rPr>
        <w:instrText xml:space="preserve"> XE "Gilson, É." </w:instrText>
      </w:r>
      <w:r w:rsidR="002D720E" w:rsidRPr="0068550E">
        <w:rPr>
          <w:rFonts w:ascii="Times New Roman" w:hAnsi="Times New Roman" w:cs="Times New Roman"/>
          <w:sz w:val="24"/>
          <w:szCs w:val="24"/>
          <w:u w:color="000000"/>
        </w:rPr>
        <w:fldChar w:fldCharType="end"/>
      </w:r>
      <w:r w:rsidR="00901A45" w:rsidRPr="0068550E">
        <w:rPr>
          <w:rFonts w:ascii="Times New Roman" w:hAnsi="Times New Roman" w:cs="Times New Roman"/>
          <w:sz w:val="24"/>
          <w:szCs w:val="24"/>
          <w:u w:color="000000"/>
        </w:rPr>
        <w:t xml:space="preserve"> </w:t>
      </w:r>
      <w:r w:rsidR="00957066">
        <w:rPr>
          <w:rFonts w:ascii="Times New Roman" w:hAnsi="Times New Roman" w:cs="Times New Roman"/>
          <w:sz w:val="24"/>
          <w:szCs w:val="24"/>
          <w:u w:color="000000"/>
        </w:rPr>
        <w:t>(</w:t>
      </w:r>
      <w:r w:rsidR="00901A45" w:rsidRPr="0068550E">
        <w:rPr>
          <w:rFonts w:ascii="Times New Roman" w:hAnsi="Times New Roman" w:cs="Times New Roman"/>
          <w:sz w:val="24"/>
          <w:szCs w:val="24"/>
          <w:u w:color="000000"/>
        </w:rPr>
        <w:t>Paris</w:t>
      </w:r>
      <w:r w:rsidR="00957066">
        <w:rPr>
          <w:rFonts w:ascii="Times New Roman" w:hAnsi="Times New Roman" w:cs="Times New Roman"/>
          <w:sz w:val="24"/>
          <w:szCs w:val="24"/>
          <w:u w:color="000000"/>
        </w:rPr>
        <w:t>:</w:t>
      </w:r>
      <w:r w:rsidR="00901A45" w:rsidRPr="0068550E">
        <w:rPr>
          <w:rFonts w:ascii="Times New Roman" w:hAnsi="Times New Roman" w:cs="Times New Roman"/>
          <w:sz w:val="24"/>
          <w:szCs w:val="24"/>
          <w:u w:color="000000"/>
        </w:rPr>
        <w:t xml:space="preserve"> </w:t>
      </w:r>
      <w:proofErr w:type="spellStart"/>
      <w:r w:rsidR="00901A45" w:rsidRPr="0068550E">
        <w:rPr>
          <w:rFonts w:ascii="Times New Roman" w:hAnsi="Times New Roman" w:cs="Times New Roman"/>
          <w:sz w:val="24"/>
          <w:szCs w:val="24"/>
          <w:u w:color="000000"/>
        </w:rPr>
        <w:t>Vrin</w:t>
      </w:r>
      <w:proofErr w:type="spellEnd"/>
      <w:r w:rsidR="00901A45" w:rsidRPr="0068550E">
        <w:rPr>
          <w:rFonts w:ascii="Times New Roman" w:hAnsi="Times New Roman" w:cs="Times New Roman"/>
          <w:sz w:val="24"/>
          <w:szCs w:val="24"/>
          <w:u w:color="000000"/>
        </w:rPr>
        <w:t>, 2007 [1968]</w:t>
      </w:r>
      <w:r w:rsidR="00957066">
        <w:rPr>
          <w:rFonts w:ascii="Times New Roman" w:hAnsi="Times New Roman" w:cs="Times New Roman"/>
          <w:sz w:val="24"/>
          <w:szCs w:val="24"/>
          <w:u w:color="000000"/>
        </w:rPr>
        <w:t>)</w:t>
      </w:r>
      <w:r w:rsidR="00901A45" w:rsidRPr="0068550E">
        <w:rPr>
          <w:rFonts w:ascii="Times New Roman" w:hAnsi="Times New Roman" w:cs="Times New Roman"/>
          <w:sz w:val="24"/>
          <w:szCs w:val="24"/>
          <w:u w:color="000000"/>
        </w:rPr>
        <w:t>.</w:t>
      </w:r>
    </w:p>
  </w:footnote>
  <w:footnote w:id="9">
    <w:p w14:paraId="453A5ACA" w14:textId="595CA76B" w:rsidR="00901A45"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01A45" w:rsidRPr="0068550E">
        <w:rPr>
          <w:rFonts w:ascii="Times New Roman" w:hAnsi="Times New Roman" w:cs="Times New Roman"/>
          <w:sz w:val="24"/>
          <w:szCs w:val="24"/>
        </w:rPr>
        <w:t>I borrow this concept of the “segment” from G</w:t>
      </w:r>
      <w:r w:rsidR="001A28B4">
        <w:rPr>
          <w:rFonts w:ascii="Times New Roman" w:hAnsi="Times New Roman" w:cs="Times New Roman"/>
          <w:sz w:val="24"/>
          <w:szCs w:val="24"/>
        </w:rPr>
        <w:t>érard</w:t>
      </w:r>
      <w:r w:rsidR="00901A45" w:rsidRPr="0068550E">
        <w:rPr>
          <w:rFonts w:ascii="Times New Roman" w:hAnsi="Times New Roman" w:cs="Times New Roman"/>
          <w:sz w:val="24"/>
          <w:szCs w:val="24"/>
        </w:rPr>
        <w:t xml:space="preserve"> </w:t>
      </w:r>
      <w:proofErr w:type="spellStart"/>
      <w:r w:rsidR="00901A45" w:rsidRPr="0068550E">
        <w:rPr>
          <w:rFonts w:ascii="Times New Roman" w:hAnsi="Times New Roman" w:cs="Times New Roman"/>
          <w:sz w:val="24"/>
          <w:szCs w:val="24"/>
          <w:u w:color="000000"/>
        </w:rPr>
        <w:t>Bensussan</w:t>
      </w:r>
      <w:proofErr w:type="spellEnd"/>
      <w:r w:rsidR="00901A45" w:rsidRPr="0068550E">
        <w:rPr>
          <w:rFonts w:ascii="Times New Roman" w:hAnsi="Times New Roman" w:cs="Times New Roman"/>
          <w:sz w:val="24"/>
          <w:szCs w:val="24"/>
          <w:u w:color="000000"/>
        </w:rPr>
        <w:t xml:space="preserve">, </w:t>
      </w:r>
      <w:proofErr w:type="spellStart"/>
      <w:r w:rsidR="00901A45" w:rsidRPr="0068550E">
        <w:rPr>
          <w:rFonts w:ascii="Times New Roman" w:hAnsi="Times New Roman" w:cs="Times New Roman"/>
          <w:i/>
          <w:iCs/>
          <w:sz w:val="24"/>
          <w:szCs w:val="24"/>
          <w:u w:color="000000"/>
        </w:rPr>
        <w:t>Qu’est-ce</w:t>
      </w:r>
      <w:proofErr w:type="spellEnd"/>
      <w:r w:rsidR="00901A45" w:rsidRPr="0068550E">
        <w:rPr>
          <w:rFonts w:ascii="Times New Roman" w:hAnsi="Times New Roman" w:cs="Times New Roman"/>
          <w:i/>
          <w:iCs/>
          <w:sz w:val="24"/>
          <w:szCs w:val="24"/>
          <w:u w:color="000000"/>
        </w:rPr>
        <w:t xml:space="preserve"> que la </w:t>
      </w:r>
      <w:proofErr w:type="spellStart"/>
      <w:r w:rsidR="00901A45" w:rsidRPr="0068550E">
        <w:rPr>
          <w:rFonts w:ascii="Times New Roman" w:hAnsi="Times New Roman" w:cs="Times New Roman"/>
          <w:i/>
          <w:iCs/>
          <w:sz w:val="24"/>
          <w:szCs w:val="24"/>
          <w:u w:color="000000"/>
        </w:rPr>
        <w:t>philosophie</w:t>
      </w:r>
      <w:proofErr w:type="spellEnd"/>
      <w:r w:rsidR="00901A45" w:rsidRPr="0068550E">
        <w:rPr>
          <w:rFonts w:ascii="Times New Roman" w:hAnsi="Times New Roman" w:cs="Times New Roman"/>
          <w:i/>
          <w:iCs/>
          <w:sz w:val="24"/>
          <w:szCs w:val="24"/>
          <w:u w:color="000000"/>
        </w:rPr>
        <w:t xml:space="preserve"> </w:t>
      </w:r>
      <w:proofErr w:type="spellStart"/>
      <w:proofErr w:type="gramStart"/>
      <w:r w:rsidR="00901A45" w:rsidRPr="0068550E">
        <w:rPr>
          <w:rFonts w:ascii="Times New Roman" w:hAnsi="Times New Roman" w:cs="Times New Roman"/>
          <w:i/>
          <w:iCs/>
          <w:sz w:val="24"/>
          <w:szCs w:val="24"/>
          <w:u w:color="000000"/>
        </w:rPr>
        <w:t>juive</w:t>
      </w:r>
      <w:proofErr w:type="spellEnd"/>
      <w:r w:rsidR="00901A45" w:rsidRPr="0068550E">
        <w:rPr>
          <w:rFonts w:ascii="Times New Roman" w:hAnsi="Times New Roman" w:cs="Times New Roman"/>
          <w:i/>
          <w:iCs/>
          <w:sz w:val="24"/>
          <w:szCs w:val="24"/>
          <w:u w:color="000000"/>
        </w:rPr>
        <w:t> ?</w:t>
      </w:r>
      <w:proofErr w:type="gramEnd"/>
      <w:r w:rsidR="00901A45" w:rsidRPr="0068550E">
        <w:rPr>
          <w:rFonts w:ascii="Times New Roman" w:hAnsi="Times New Roman" w:cs="Times New Roman"/>
          <w:sz w:val="24"/>
          <w:szCs w:val="24"/>
          <w:u w:color="000000"/>
        </w:rPr>
        <w:t xml:space="preserve"> </w:t>
      </w:r>
      <w:r w:rsidR="00957066">
        <w:rPr>
          <w:rFonts w:ascii="Times New Roman" w:hAnsi="Times New Roman" w:cs="Times New Roman"/>
          <w:sz w:val="24"/>
          <w:szCs w:val="24"/>
          <w:u w:color="000000"/>
        </w:rPr>
        <w:t>(</w:t>
      </w:r>
      <w:r w:rsidR="00901A45" w:rsidRPr="0068550E">
        <w:rPr>
          <w:rFonts w:ascii="Times New Roman" w:hAnsi="Times New Roman" w:cs="Times New Roman"/>
          <w:sz w:val="24"/>
          <w:szCs w:val="24"/>
          <w:u w:color="000000"/>
        </w:rPr>
        <w:t>Paris</w:t>
      </w:r>
      <w:r w:rsidR="00957066">
        <w:rPr>
          <w:rFonts w:ascii="Times New Roman" w:hAnsi="Times New Roman" w:cs="Times New Roman"/>
          <w:sz w:val="24"/>
          <w:szCs w:val="24"/>
          <w:u w:color="000000"/>
        </w:rPr>
        <w:t>:</w:t>
      </w:r>
      <w:r w:rsidR="00901A45" w:rsidRPr="0068550E">
        <w:rPr>
          <w:rFonts w:ascii="Times New Roman" w:hAnsi="Times New Roman" w:cs="Times New Roman"/>
          <w:sz w:val="24"/>
          <w:szCs w:val="24"/>
          <w:u w:color="000000"/>
        </w:rPr>
        <w:t xml:space="preserve"> </w:t>
      </w:r>
      <w:proofErr w:type="spellStart"/>
      <w:r w:rsidR="00901A45" w:rsidRPr="0068550E">
        <w:rPr>
          <w:rFonts w:ascii="Times New Roman" w:hAnsi="Times New Roman" w:cs="Times New Roman"/>
          <w:sz w:val="24"/>
          <w:szCs w:val="24"/>
          <w:u w:color="000000"/>
        </w:rPr>
        <w:t>Desclée</w:t>
      </w:r>
      <w:proofErr w:type="spellEnd"/>
      <w:r w:rsidR="00901A45" w:rsidRPr="0068550E">
        <w:rPr>
          <w:rFonts w:ascii="Times New Roman" w:hAnsi="Times New Roman" w:cs="Times New Roman"/>
          <w:sz w:val="24"/>
          <w:szCs w:val="24"/>
          <w:u w:color="000000"/>
        </w:rPr>
        <w:t xml:space="preserve"> de Brouwer, 2004</w:t>
      </w:r>
      <w:r w:rsidR="00957066">
        <w:rPr>
          <w:rFonts w:ascii="Times New Roman" w:hAnsi="Times New Roman" w:cs="Times New Roman"/>
          <w:sz w:val="24"/>
          <w:szCs w:val="24"/>
          <w:u w:color="000000"/>
        </w:rPr>
        <w:t>)</w:t>
      </w:r>
      <w:r w:rsidR="00901A45" w:rsidRPr="0068550E">
        <w:rPr>
          <w:rFonts w:ascii="Times New Roman" w:hAnsi="Times New Roman" w:cs="Times New Roman"/>
          <w:sz w:val="24"/>
          <w:szCs w:val="24"/>
          <w:u w:color="000000"/>
        </w:rPr>
        <w:t>.</w:t>
      </w:r>
    </w:p>
    <w:p w14:paraId="7E3BD7C9" w14:textId="6AB9CF0C" w:rsidR="006A6FE4" w:rsidRPr="0068550E" w:rsidRDefault="006A6FE4" w:rsidP="006F45B9">
      <w:pPr>
        <w:pStyle w:val="Notedebasdepage"/>
        <w:spacing w:line="480" w:lineRule="auto"/>
        <w:rPr>
          <w:rFonts w:ascii="Times New Roman" w:hAnsi="Times New Roman" w:cs="Times New Roman"/>
          <w:sz w:val="24"/>
          <w:szCs w:val="24"/>
          <w:lang w:val="en-CA"/>
        </w:rPr>
      </w:pPr>
    </w:p>
  </w:footnote>
  <w:footnote w:id="10">
    <w:p w14:paraId="1175CEB8" w14:textId="32042B47" w:rsidR="006A6FE4" w:rsidRPr="001F69FB"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01A45" w:rsidRPr="0068550E">
        <w:rPr>
          <w:rFonts w:ascii="Times New Roman" w:hAnsi="Times New Roman" w:cs="Times New Roman"/>
          <w:sz w:val="24"/>
          <w:szCs w:val="24"/>
        </w:rPr>
        <w:t xml:space="preserve">Nevertheless, this appears to be neither the biblical thesis nor that of the majority of rabbis. In the abundant bibliography on this topic, useful references can be found in </w:t>
      </w:r>
      <w:r w:rsidR="00901A45" w:rsidRPr="0068550E">
        <w:rPr>
          <w:rFonts w:ascii="Times New Roman" w:hAnsi="Times New Roman" w:cs="Times New Roman"/>
          <w:i/>
          <w:iCs/>
          <w:sz w:val="24"/>
          <w:szCs w:val="24"/>
        </w:rPr>
        <w:t>E</w:t>
      </w:r>
      <w:r w:rsidR="00A37FF7" w:rsidRPr="0068550E">
        <w:rPr>
          <w:rFonts w:ascii="Times New Roman" w:hAnsi="Times New Roman" w:cs="Times New Roman"/>
          <w:i/>
          <w:iCs/>
          <w:sz w:val="24"/>
          <w:szCs w:val="24"/>
        </w:rPr>
        <w:t xml:space="preserve">ncyclopedia </w:t>
      </w:r>
      <w:r w:rsidR="00901A45" w:rsidRPr="0068550E">
        <w:rPr>
          <w:rFonts w:ascii="Times New Roman" w:hAnsi="Times New Roman" w:cs="Times New Roman"/>
          <w:i/>
          <w:iCs/>
          <w:sz w:val="24"/>
          <w:szCs w:val="24"/>
        </w:rPr>
        <w:t>J</w:t>
      </w:r>
      <w:r w:rsidR="00A37FF7" w:rsidRPr="0068550E">
        <w:rPr>
          <w:rFonts w:ascii="Times New Roman" w:hAnsi="Times New Roman" w:cs="Times New Roman"/>
          <w:i/>
          <w:iCs/>
          <w:sz w:val="24"/>
          <w:szCs w:val="24"/>
        </w:rPr>
        <w:t>udaica</w:t>
      </w:r>
      <w:r w:rsidR="00901A45" w:rsidRPr="0068550E">
        <w:rPr>
          <w:rFonts w:ascii="Times New Roman" w:hAnsi="Times New Roman" w:cs="Times New Roman"/>
          <w:sz w:val="24"/>
          <w:szCs w:val="24"/>
        </w:rPr>
        <w:t xml:space="preserve">, “Creation and Cosmogony in the Bible.” </w:t>
      </w:r>
      <w:r w:rsidR="00901A45" w:rsidRPr="0068550E">
        <w:rPr>
          <w:rFonts w:ascii="Times New Roman" w:hAnsi="Times New Roman" w:cs="Times New Roman"/>
          <w:sz w:val="24"/>
          <w:szCs w:val="24"/>
          <w:lang w:val="fr-FR"/>
        </w:rPr>
        <w:t xml:space="preserve">On the </w:t>
      </w:r>
      <w:proofErr w:type="spellStart"/>
      <w:r w:rsidR="00901A45" w:rsidRPr="0068550E">
        <w:rPr>
          <w:rFonts w:ascii="Times New Roman" w:hAnsi="Times New Roman" w:cs="Times New Roman"/>
          <w:sz w:val="24"/>
          <w:szCs w:val="24"/>
          <w:lang w:val="fr-FR"/>
        </w:rPr>
        <w:t>rabbinic</w:t>
      </w:r>
      <w:proofErr w:type="spellEnd"/>
      <w:r w:rsidR="00901A45" w:rsidRPr="0068550E">
        <w:rPr>
          <w:rFonts w:ascii="Times New Roman" w:hAnsi="Times New Roman" w:cs="Times New Roman"/>
          <w:sz w:val="24"/>
          <w:szCs w:val="24"/>
          <w:lang w:val="fr-FR"/>
        </w:rPr>
        <w:t xml:space="preserve"> </w:t>
      </w:r>
      <w:proofErr w:type="spellStart"/>
      <w:r w:rsidR="00901A45" w:rsidRPr="0068550E">
        <w:rPr>
          <w:rFonts w:ascii="Times New Roman" w:hAnsi="Times New Roman" w:cs="Times New Roman"/>
          <w:sz w:val="24"/>
          <w:szCs w:val="24"/>
          <w:lang w:val="fr-FR"/>
        </w:rPr>
        <w:t>literature</w:t>
      </w:r>
      <w:proofErr w:type="spellEnd"/>
      <w:r w:rsidR="00901A45" w:rsidRPr="0068550E">
        <w:rPr>
          <w:rFonts w:ascii="Times New Roman" w:hAnsi="Times New Roman" w:cs="Times New Roman"/>
          <w:sz w:val="24"/>
          <w:szCs w:val="24"/>
          <w:lang w:val="fr-FR"/>
        </w:rPr>
        <w:t xml:space="preserve">, </w:t>
      </w:r>
      <w:proofErr w:type="spellStart"/>
      <w:r w:rsidR="00901A45" w:rsidRPr="0068550E">
        <w:rPr>
          <w:rFonts w:ascii="Times New Roman" w:hAnsi="Times New Roman" w:cs="Times New Roman"/>
          <w:sz w:val="24"/>
          <w:szCs w:val="24"/>
          <w:lang w:val="fr-FR"/>
        </w:rPr>
        <w:t>see</w:t>
      </w:r>
      <w:proofErr w:type="spellEnd"/>
      <w:r w:rsidR="00901A45" w:rsidRPr="0068550E">
        <w:rPr>
          <w:rFonts w:ascii="Times New Roman" w:hAnsi="Times New Roman" w:cs="Times New Roman"/>
          <w:sz w:val="24"/>
          <w:szCs w:val="24"/>
          <w:lang w:val="fr-FR"/>
        </w:rPr>
        <w:t xml:space="preserve"> A</w:t>
      </w:r>
      <w:r w:rsidR="001A28B4">
        <w:rPr>
          <w:rFonts w:ascii="Times New Roman" w:hAnsi="Times New Roman" w:cs="Times New Roman"/>
          <w:sz w:val="24"/>
          <w:szCs w:val="24"/>
          <w:lang w:val="fr-FR"/>
        </w:rPr>
        <w:t>lexander</w:t>
      </w:r>
      <w:r w:rsidR="00901A45" w:rsidRPr="0068550E">
        <w:rPr>
          <w:rFonts w:ascii="Times New Roman" w:hAnsi="Times New Roman" w:cs="Times New Roman"/>
          <w:sz w:val="24"/>
          <w:szCs w:val="24"/>
          <w:lang w:val="fr-FR"/>
        </w:rPr>
        <w:t xml:space="preserve"> </w:t>
      </w:r>
      <w:proofErr w:type="spellStart"/>
      <w:r w:rsidR="00901A45" w:rsidRPr="0068550E">
        <w:rPr>
          <w:rFonts w:ascii="Times New Roman" w:hAnsi="Times New Roman" w:cs="Times New Roman"/>
          <w:sz w:val="24"/>
          <w:szCs w:val="24"/>
          <w:lang w:val="fr-FR"/>
        </w:rPr>
        <w:t>Altmann</w:t>
      </w:r>
      <w:proofErr w:type="spellEnd"/>
      <w:r w:rsidR="00901A45" w:rsidRPr="0068550E">
        <w:rPr>
          <w:rFonts w:ascii="Times New Roman" w:hAnsi="Times New Roman" w:cs="Times New Roman"/>
          <w:sz w:val="24"/>
          <w:szCs w:val="24"/>
          <w:lang w:val="fr-FR"/>
        </w:rPr>
        <w:t xml:space="preserve">, “A Note on the </w:t>
      </w:r>
      <w:proofErr w:type="spellStart"/>
      <w:r w:rsidR="00901A45" w:rsidRPr="0068550E">
        <w:rPr>
          <w:rFonts w:ascii="Times New Roman" w:hAnsi="Times New Roman" w:cs="Times New Roman"/>
          <w:sz w:val="24"/>
          <w:szCs w:val="24"/>
          <w:lang w:val="fr-FR"/>
        </w:rPr>
        <w:t>Rabbinic</w:t>
      </w:r>
      <w:proofErr w:type="spellEnd"/>
      <w:r w:rsidR="00901A45" w:rsidRPr="0068550E">
        <w:rPr>
          <w:rFonts w:ascii="Times New Roman" w:hAnsi="Times New Roman" w:cs="Times New Roman"/>
          <w:sz w:val="24"/>
          <w:szCs w:val="24"/>
          <w:lang w:val="fr-FR"/>
        </w:rPr>
        <w:t xml:space="preserve"> Doctrine of </w:t>
      </w:r>
      <w:proofErr w:type="spellStart"/>
      <w:r w:rsidR="00901A45" w:rsidRPr="0068550E">
        <w:rPr>
          <w:rFonts w:ascii="Times New Roman" w:hAnsi="Times New Roman" w:cs="Times New Roman"/>
          <w:sz w:val="24"/>
          <w:szCs w:val="24"/>
          <w:lang w:val="fr-FR"/>
        </w:rPr>
        <w:t>Creation</w:t>
      </w:r>
      <w:proofErr w:type="spellEnd"/>
      <w:r w:rsidR="00901A45" w:rsidRPr="0068550E">
        <w:rPr>
          <w:rFonts w:ascii="Times New Roman" w:hAnsi="Times New Roman" w:cs="Times New Roman"/>
          <w:sz w:val="24"/>
          <w:szCs w:val="24"/>
          <w:lang w:val="fr-FR"/>
        </w:rPr>
        <w:t xml:space="preserve">,” </w:t>
      </w:r>
      <w:r w:rsidR="00901A45" w:rsidRPr="0068550E">
        <w:rPr>
          <w:rFonts w:ascii="Times New Roman" w:hAnsi="Times New Roman" w:cs="Times New Roman"/>
          <w:i/>
          <w:iCs/>
          <w:sz w:val="24"/>
          <w:szCs w:val="24"/>
          <w:lang w:val="fr-FR"/>
        </w:rPr>
        <w:t xml:space="preserve">Journal of </w:t>
      </w:r>
      <w:proofErr w:type="spellStart"/>
      <w:r w:rsidR="00901A45" w:rsidRPr="0068550E">
        <w:rPr>
          <w:rFonts w:ascii="Times New Roman" w:hAnsi="Times New Roman" w:cs="Times New Roman"/>
          <w:i/>
          <w:iCs/>
          <w:sz w:val="24"/>
          <w:szCs w:val="24"/>
          <w:lang w:val="fr-FR"/>
        </w:rPr>
        <w:t>Jewish</w:t>
      </w:r>
      <w:proofErr w:type="spellEnd"/>
      <w:r w:rsidR="00901A45" w:rsidRPr="0068550E">
        <w:rPr>
          <w:rFonts w:ascii="Times New Roman" w:hAnsi="Times New Roman" w:cs="Times New Roman"/>
          <w:i/>
          <w:iCs/>
          <w:sz w:val="24"/>
          <w:szCs w:val="24"/>
          <w:lang w:val="fr-FR"/>
        </w:rPr>
        <w:t xml:space="preserve"> </w:t>
      </w:r>
      <w:proofErr w:type="spellStart"/>
      <w:r w:rsidR="00901A45" w:rsidRPr="0068550E">
        <w:rPr>
          <w:rFonts w:ascii="Times New Roman" w:hAnsi="Times New Roman" w:cs="Times New Roman"/>
          <w:i/>
          <w:iCs/>
          <w:sz w:val="24"/>
          <w:szCs w:val="24"/>
          <w:lang w:val="fr-FR"/>
        </w:rPr>
        <w:t>Studies</w:t>
      </w:r>
      <w:proofErr w:type="spellEnd"/>
      <w:r w:rsidR="004415B5">
        <w:rPr>
          <w:rFonts w:ascii="Times New Roman" w:hAnsi="Times New Roman" w:cs="Times New Roman"/>
          <w:sz w:val="24"/>
          <w:szCs w:val="24"/>
          <w:lang w:val="fr-FR"/>
        </w:rPr>
        <w:t xml:space="preserve"> 7 (</w:t>
      </w:r>
      <w:r w:rsidR="00901A45" w:rsidRPr="0068550E">
        <w:rPr>
          <w:rFonts w:ascii="Times New Roman" w:hAnsi="Times New Roman" w:cs="Times New Roman"/>
          <w:sz w:val="24"/>
          <w:szCs w:val="24"/>
          <w:lang w:val="fr-FR"/>
        </w:rPr>
        <w:t>1956</w:t>
      </w:r>
      <w:r w:rsidR="004415B5">
        <w:rPr>
          <w:rFonts w:ascii="Times New Roman" w:hAnsi="Times New Roman" w:cs="Times New Roman"/>
          <w:sz w:val="24"/>
          <w:szCs w:val="24"/>
          <w:lang w:val="fr-FR"/>
        </w:rPr>
        <w:t>)</w:t>
      </w:r>
      <w:r w:rsidR="00901A45" w:rsidRPr="0068550E">
        <w:rPr>
          <w:rFonts w:ascii="Times New Roman" w:hAnsi="Times New Roman" w:cs="Times New Roman"/>
          <w:sz w:val="24"/>
          <w:szCs w:val="24"/>
          <w:lang w:val="fr-FR"/>
        </w:rPr>
        <w:t>, 195</w:t>
      </w:r>
      <w:r w:rsidR="00901A45" w:rsidRPr="0068550E">
        <w:rPr>
          <w:rFonts w:ascii="Times New Roman" w:hAnsi="Times New Roman" w:cs="Times New Roman"/>
          <w:sz w:val="24"/>
          <w:szCs w:val="24"/>
          <w:lang w:val="fr-FR"/>
        </w:rPr>
        <w:noBreakHyphen/>
        <w:t>206</w:t>
      </w:r>
      <w:r w:rsidR="001F69FB">
        <w:rPr>
          <w:rFonts w:ascii="Times New Roman" w:hAnsi="Times New Roman" w:cs="Times New Roman"/>
          <w:sz w:val="24"/>
          <w:szCs w:val="24"/>
          <w:lang w:val="fr-FR"/>
        </w:rPr>
        <w:t>,</w:t>
      </w:r>
      <w:r w:rsidR="00901A45" w:rsidRPr="0068550E">
        <w:rPr>
          <w:rFonts w:ascii="Times New Roman" w:hAnsi="Times New Roman" w:cs="Times New Roman"/>
          <w:sz w:val="24"/>
          <w:szCs w:val="24"/>
          <w:lang w:val="fr-FR"/>
        </w:rPr>
        <w:t xml:space="preserve"> and more </w:t>
      </w:r>
      <w:proofErr w:type="spellStart"/>
      <w:r w:rsidR="00901A45" w:rsidRPr="0068550E">
        <w:rPr>
          <w:rFonts w:ascii="Times New Roman" w:hAnsi="Times New Roman" w:cs="Times New Roman"/>
          <w:sz w:val="24"/>
          <w:szCs w:val="24"/>
          <w:lang w:val="fr-FR"/>
        </w:rPr>
        <w:t>recently</w:t>
      </w:r>
      <w:proofErr w:type="spellEnd"/>
      <w:r w:rsidR="00901A45" w:rsidRPr="0068550E">
        <w:rPr>
          <w:rFonts w:ascii="Times New Roman" w:hAnsi="Times New Roman" w:cs="Times New Roman"/>
          <w:sz w:val="24"/>
          <w:szCs w:val="24"/>
          <w:lang w:val="fr-FR"/>
        </w:rPr>
        <w:t>, J</w:t>
      </w:r>
      <w:r w:rsidR="001A28B4">
        <w:rPr>
          <w:rFonts w:ascii="Times New Roman" w:hAnsi="Times New Roman" w:cs="Times New Roman"/>
          <w:sz w:val="24"/>
          <w:szCs w:val="24"/>
          <w:lang w:val="fr-FR"/>
        </w:rPr>
        <w:t>osé</w:t>
      </w:r>
      <w:r w:rsidR="00901A45" w:rsidRPr="0068550E">
        <w:rPr>
          <w:rFonts w:ascii="Times New Roman" w:hAnsi="Times New Roman" w:cs="Times New Roman"/>
          <w:sz w:val="24"/>
          <w:szCs w:val="24"/>
          <w:lang w:val="fr-FR"/>
        </w:rPr>
        <w:t xml:space="preserve"> Costa, “Le récit de la création dans l’exégèse des rabbins et des Pères de l’Église : essai de comparaison,” in </w:t>
      </w:r>
      <w:r w:rsidR="00901A45" w:rsidRPr="0068550E">
        <w:rPr>
          <w:rFonts w:ascii="Times New Roman" w:hAnsi="Times New Roman" w:cs="Times New Roman"/>
          <w:i/>
          <w:iCs/>
          <w:sz w:val="24"/>
          <w:szCs w:val="24"/>
          <w:lang w:val="fr-FR"/>
        </w:rPr>
        <w:t>Judaïsme et christianisme dans les commentaires patristiques de la Genèse</w:t>
      </w:r>
      <w:r w:rsidR="001F69FB">
        <w:rPr>
          <w:rFonts w:ascii="Times New Roman" w:hAnsi="Times New Roman" w:cs="Times New Roman"/>
          <w:sz w:val="24"/>
          <w:szCs w:val="24"/>
          <w:lang w:val="fr-FR"/>
        </w:rPr>
        <w:t xml:space="preserve">, </w:t>
      </w:r>
      <w:proofErr w:type="spellStart"/>
      <w:r w:rsidR="001F69FB">
        <w:rPr>
          <w:rFonts w:ascii="Times New Roman" w:hAnsi="Times New Roman" w:cs="Times New Roman"/>
          <w:sz w:val="24"/>
          <w:szCs w:val="24"/>
          <w:lang w:val="fr-FR"/>
        </w:rPr>
        <w:t>ed</w:t>
      </w:r>
      <w:proofErr w:type="spellEnd"/>
      <w:r w:rsidR="001F69FB">
        <w:rPr>
          <w:rFonts w:ascii="Times New Roman" w:hAnsi="Times New Roman" w:cs="Times New Roman"/>
          <w:sz w:val="24"/>
          <w:szCs w:val="24"/>
          <w:lang w:val="fr-FR"/>
        </w:rPr>
        <w:t>.</w:t>
      </w:r>
      <w:r w:rsidR="00901A45" w:rsidRPr="0068550E">
        <w:rPr>
          <w:rFonts w:ascii="Times New Roman" w:hAnsi="Times New Roman" w:cs="Times New Roman"/>
          <w:sz w:val="24"/>
          <w:szCs w:val="24"/>
          <w:lang w:val="fr-FR"/>
        </w:rPr>
        <w:t xml:space="preserve"> </w:t>
      </w:r>
      <w:r w:rsidR="001A28B4">
        <w:rPr>
          <w:rFonts w:ascii="Times New Roman" w:hAnsi="Times New Roman" w:cs="Times New Roman"/>
          <w:sz w:val="24"/>
          <w:szCs w:val="24"/>
        </w:rPr>
        <w:t>Marie-Anne</w:t>
      </w:r>
      <w:r w:rsidR="001F69FB" w:rsidRPr="001F69FB">
        <w:rPr>
          <w:rFonts w:ascii="Times New Roman" w:hAnsi="Times New Roman" w:cs="Times New Roman"/>
          <w:sz w:val="24"/>
          <w:szCs w:val="24"/>
        </w:rPr>
        <w:t xml:space="preserve"> </w:t>
      </w:r>
      <w:proofErr w:type="spellStart"/>
      <w:r w:rsidR="001F69FB" w:rsidRPr="001F69FB">
        <w:rPr>
          <w:rFonts w:ascii="Times New Roman" w:hAnsi="Times New Roman" w:cs="Times New Roman"/>
          <w:sz w:val="24"/>
          <w:szCs w:val="24"/>
        </w:rPr>
        <w:t>Vannier</w:t>
      </w:r>
      <w:proofErr w:type="spellEnd"/>
      <w:r w:rsidR="001F69FB" w:rsidRPr="001F69FB">
        <w:rPr>
          <w:rFonts w:ascii="Times New Roman" w:hAnsi="Times New Roman" w:cs="Times New Roman"/>
          <w:i/>
          <w:iCs/>
          <w:sz w:val="24"/>
          <w:szCs w:val="24"/>
        </w:rPr>
        <w:t xml:space="preserve"> </w:t>
      </w:r>
      <w:r w:rsidR="004415B5" w:rsidRPr="001F69FB">
        <w:rPr>
          <w:rFonts w:ascii="Times New Roman" w:hAnsi="Times New Roman" w:cs="Times New Roman"/>
          <w:sz w:val="24"/>
          <w:szCs w:val="24"/>
        </w:rPr>
        <w:t>(</w:t>
      </w:r>
      <w:r w:rsidR="00901A45" w:rsidRPr="001F69FB">
        <w:rPr>
          <w:rFonts w:ascii="Times New Roman" w:hAnsi="Times New Roman" w:cs="Times New Roman"/>
          <w:sz w:val="24"/>
          <w:szCs w:val="24"/>
        </w:rPr>
        <w:t>Bern</w:t>
      </w:r>
      <w:r w:rsidR="004415B5" w:rsidRPr="001F69FB">
        <w:rPr>
          <w:rFonts w:ascii="Times New Roman" w:hAnsi="Times New Roman" w:cs="Times New Roman"/>
          <w:sz w:val="24"/>
          <w:szCs w:val="24"/>
        </w:rPr>
        <w:t>:</w:t>
      </w:r>
      <w:r w:rsidR="00901A45" w:rsidRPr="001F69FB">
        <w:rPr>
          <w:rFonts w:ascii="Times New Roman" w:hAnsi="Times New Roman" w:cs="Times New Roman"/>
          <w:sz w:val="24"/>
          <w:szCs w:val="24"/>
        </w:rPr>
        <w:t xml:space="preserve"> Peter Lang, 2014</w:t>
      </w:r>
      <w:r w:rsidR="004415B5" w:rsidRPr="001F69FB">
        <w:rPr>
          <w:rFonts w:ascii="Times New Roman" w:hAnsi="Times New Roman" w:cs="Times New Roman"/>
          <w:sz w:val="24"/>
          <w:szCs w:val="24"/>
        </w:rPr>
        <w:t>)</w:t>
      </w:r>
      <w:r w:rsidR="00901A45" w:rsidRPr="001F69FB">
        <w:rPr>
          <w:rFonts w:ascii="Times New Roman" w:hAnsi="Times New Roman" w:cs="Times New Roman"/>
          <w:sz w:val="24"/>
          <w:szCs w:val="24"/>
        </w:rPr>
        <w:t>, 13</w:t>
      </w:r>
      <w:r w:rsidR="00901A45" w:rsidRPr="001F69FB">
        <w:rPr>
          <w:rFonts w:ascii="Times New Roman" w:hAnsi="Times New Roman" w:cs="Times New Roman"/>
          <w:sz w:val="24"/>
          <w:szCs w:val="24"/>
        </w:rPr>
        <w:noBreakHyphen/>
        <w:t>42.</w:t>
      </w:r>
    </w:p>
  </w:footnote>
  <w:footnote w:id="11">
    <w:p w14:paraId="59845C23" w14:textId="709DB533" w:rsidR="006A6FE4" w:rsidRPr="004415B5" w:rsidRDefault="006A6FE4" w:rsidP="006F45B9">
      <w:pPr>
        <w:pStyle w:val="Notedebasdepage"/>
        <w:spacing w:line="480" w:lineRule="auto"/>
        <w:rPr>
          <w:rFonts w:ascii="Times New Roman" w:hAnsi="Times New Roman" w:cs="Times New Roman"/>
          <w:sz w:val="24"/>
          <w:szCs w:val="24"/>
          <w:u w:color="000000"/>
          <w:lang w:val="fr-FR"/>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01A45" w:rsidRPr="0068550E">
        <w:rPr>
          <w:rFonts w:ascii="Times New Roman" w:hAnsi="Times New Roman" w:cs="Times New Roman"/>
          <w:sz w:val="24"/>
          <w:szCs w:val="24"/>
          <w:u w:color="000000"/>
        </w:rPr>
        <w:t>See the essays collected in L</w:t>
      </w:r>
      <w:r w:rsidR="004415B5">
        <w:rPr>
          <w:rFonts w:ascii="Times New Roman" w:hAnsi="Times New Roman" w:cs="Times New Roman"/>
          <w:sz w:val="24"/>
          <w:szCs w:val="24"/>
          <w:u w:color="000000"/>
        </w:rPr>
        <w:t>eo</w:t>
      </w:r>
      <w:r w:rsidR="00901A45" w:rsidRPr="0068550E">
        <w:rPr>
          <w:rFonts w:ascii="Times New Roman" w:hAnsi="Times New Roman" w:cs="Times New Roman"/>
          <w:sz w:val="24"/>
          <w:szCs w:val="24"/>
          <w:u w:color="000000"/>
        </w:rPr>
        <w:t xml:space="preserve"> Strauss</w:t>
      </w:r>
      <w:r w:rsidR="00901A45" w:rsidRPr="0068550E">
        <w:rPr>
          <w:rFonts w:ascii="Times New Roman" w:hAnsi="Times New Roman" w:cs="Times New Roman"/>
          <w:sz w:val="24"/>
          <w:szCs w:val="24"/>
          <w:u w:color="000000"/>
        </w:rPr>
        <w:fldChar w:fldCharType="begin"/>
      </w:r>
      <w:r w:rsidR="00901A45" w:rsidRPr="0068550E">
        <w:rPr>
          <w:rFonts w:ascii="Times New Roman" w:hAnsi="Times New Roman" w:cs="Times New Roman"/>
          <w:sz w:val="24"/>
          <w:szCs w:val="24"/>
          <w:u w:color="000000"/>
        </w:rPr>
        <w:instrText xml:space="preserve"> XE "</w:instrText>
      </w:r>
      <w:r w:rsidR="00901A45" w:rsidRPr="0068550E">
        <w:rPr>
          <w:rFonts w:ascii="Times New Roman" w:hAnsi="Times New Roman" w:cs="Times New Roman"/>
          <w:sz w:val="24"/>
          <w:szCs w:val="24"/>
        </w:rPr>
        <w:instrText>Strauss, L."</w:instrText>
      </w:r>
      <w:r w:rsidR="00901A45" w:rsidRPr="0068550E">
        <w:rPr>
          <w:rFonts w:ascii="Times New Roman" w:hAnsi="Times New Roman" w:cs="Times New Roman"/>
          <w:sz w:val="24"/>
          <w:szCs w:val="24"/>
          <w:u w:color="000000"/>
        </w:rPr>
        <w:instrText xml:space="preserve"> </w:instrText>
      </w:r>
      <w:r w:rsidR="00901A45" w:rsidRPr="0068550E">
        <w:rPr>
          <w:rFonts w:ascii="Times New Roman" w:hAnsi="Times New Roman" w:cs="Times New Roman"/>
          <w:sz w:val="24"/>
          <w:szCs w:val="24"/>
          <w:u w:color="000000"/>
        </w:rPr>
        <w:fldChar w:fldCharType="end"/>
      </w:r>
      <w:r w:rsidR="00901A45" w:rsidRPr="0068550E">
        <w:rPr>
          <w:rFonts w:ascii="Times New Roman" w:hAnsi="Times New Roman" w:cs="Times New Roman"/>
          <w:sz w:val="24"/>
          <w:szCs w:val="24"/>
          <w:u w:color="000000"/>
        </w:rPr>
        <w:t xml:space="preserve">, </w:t>
      </w:r>
      <w:r w:rsidR="00901A45" w:rsidRPr="0068550E">
        <w:rPr>
          <w:rFonts w:ascii="Times New Roman" w:hAnsi="Times New Roman" w:cs="Times New Roman"/>
          <w:i/>
          <w:iCs/>
          <w:sz w:val="24"/>
          <w:szCs w:val="24"/>
          <w:u w:color="000000"/>
        </w:rPr>
        <w:t>Persecution and the Art of Writing</w:t>
      </w:r>
      <w:r w:rsidR="001F69FB">
        <w:rPr>
          <w:rFonts w:ascii="Times New Roman" w:hAnsi="Times New Roman" w:cs="Times New Roman"/>
          <w:sz w:val="24"/>
          <w:szCs w:val="24"/>
          <w:u w:color="000000"/>
        </w:rPr>
        <w:t xml:space="preserve"> (</w:t>
      </w:r>
      <w:r w:rsidR="00901A45" w:rsidRPr="0068550E">
        <w:rPr>
          <w:rFonts w:ascii="Times New Roman" w:hAnsi="Times New Roman" w:cs="Times New Roman"/>
          <w:sz w:val="24"/>
          <w:szCs w:val="24"/>
          <w:u w:color="000000"/>
        </w:rPr>
        <w:t>Chicago: University of Chicago Press, 1988 [1952]</w:t>
      </w:r>
      <w:r w:rsidR="001F69FB">
        <w:rPr>
          <w:rFonts w:ascii="Times New Roman" w:hAnsi="Times New Roman" w:cs="Times New Roman"/>
          <w:sz w:val="24"/>
          <w:szCs w:val="24"/>
          <w:u w:color="000000"/>
        </w:rPr>
        <w:t>)</w:t>
      </w:r>
      <w:r w:rsidR="00901A45" w:rsidRPr="0068550E">
        <w:rPr>
          <w:rFonts w:ascii="Times New Roman" w:hAnsi="Times New Roman" w:cs="Times New Roman"/>
          <w:sz w:val="24"/>
          <w:szCs w:val="24"/>
          <w:u w:color="000000"/>
        </w:rPr>
        <w:t xml:space="preserve">, especially “The Literary Character of the </w:t>
      </w:r>
      <w:r w:rsidR="00901A45" w:rsidRPr="0068550E">
        <w:rPr>
          <w:rFonts w:ascii="Times New Roman" w:hAnsi="Times New Roman" w:cs="Times New Roman"/>
          <w:i/>
          <w:iCs/>
          <w:sz w:val="24"/>
          <w:szCs w:val="24"/>
          <w:u w:color="000000"/>
        </w:rPr>
        <w:t>Guide for the Perplexed.</w:t>
      </w:r>
      <w:r w:rsidR="00901A45" w:rsidRPr="0068550E">
        <w:rPr>
          <w:rFonts w:ascii="Times New Roman" w:hAnsi="Times New Roman" w:cs="Times New Roman"/>
          <w:sz w:val="24"/>
          <w:szCs w:val="24"/>
          <w:u w:color="000000"/>
        </w:rPr>
        <w:t xml:space="preserve">” On the importance of Maimonides for Strauss’s thinking, see </w:t>
      </w:r>
      <w:proofErr w:type="spellStart"/>
      <w:r w:rsidR="00595B9E">
        <w:rPr>
          <w:rFonts w:ascii="Times New Roman" w:hAnsi="Times New Roman" w:cs="Times New Roman"/>
          <w:sz w:val="24"/>
          <w:szCs w:val="24"/>
        </w:rPr>
        <w:t>Rémi</w:t>
      </w:r>
      <w:proofErr w:type="spellEnd"/>
      <w:r w:rsidR="00901A45" w:rsidRPr="0068550E">
        <w:rPr>
          <w:rFonts w:ascii="Times New Roman" w:hAnsi="Times New Roman" w:cs="Times New Roman"/>
          <w:sz w:val="24"/>
          <w:szCs w:val="24"/>
        </w:rPr>
        <w:t xml:space="preserve"> </w:t>
      </w:r>
      <w:proofErr w:type="spellStart"/>
      <w:r w:rsidR="00901A45" w:rsidRPr="0068550E">
        <w:rPr>
          <w:rFonts w:ascii="Times New Roman" w:hAnsi="Times New Roman" w:cs="Times New Roman"/>
          <w:sz w:val="24"/>
          <w:szCs w:val="24"/>
        </w:rPr>
        <w:t>Brague</w:t>
      </w:r>
      <w:proofErr w:type="spellEnd"/>
      <w:r w:rsidR="00901A45" w:rsidRPr="0068550E">
        <w:rPr>
          <w:rFonts w:ascii="Times New Roman" w:hAnsi="Times New Roman" w:cs="Times New Roman"/>
          <w:sz w:val="24"/>
          <w:szCs w:val="24"/>
        </w:rPr>
        <w:t xml:space="preserve">, “Leo Strauss et </w:t>
      </w:r>
      <w:proofErr w:type="spellStart"/>
      <w:r w:rsidR="00901A45" w:rsidRPr="0068550E">
        <w:rPr>
          <w:rFonts w:ascii="Times New Roman" w:hAnsi="Times New Roman" w:cs="Times New Roman"/>
          <w:sz w:val="24"/>
          <w:szCs w:val="24"/>
        </w:rPr>
        <w:t>Maïmonide</w:t>
      </w:r>
      <w:proofErr w:type="spellEnd"/>
      <w:r w:rsidR="00901A45" w:rsidRPr="0068550E">
        <w:rPr>
          <w:rFonts w:ascii="Times New Roman" w:hAnsi="Times New Roman" w:cs="Times New Roman"/>
          <w:sz w:val="24"/>
          <w:szCs w:val="24"/>
        </w:rPr>
        <w:t xml:space="preserve">,” in </w:t>
      </w:r>
      <w:r w:rsidR="00901A45" w:rsidRPr="0068550E">
        <w:rPr>
          <w:rFonts w:ascii="Times New Roman" w:hAnsi="Times New Roman" w:cs="Times New Roman"/>
          <w:i/>
          <w:iCs/>
          <w:sz w:val="24"/>
          <w:szCs w:val="24"/>
        </w:rPr>
        <w:t>Maimonides and Philosophy: Papers Presented at the Sixth Jerusalem Philosophical Encounter, May 1985</w:t>
      </w:r>
      <w:r w:rsidR="00901A45" w:rsidRPr="0068550E">
        <w:rPr>
          <w:rFonts w:ascii="Times New Roman" w:hAnsi="Times New Roman" w:cs="Times New Roman"/>
          <w:sz w:val="24"/>
          <w:szCs w:val="24"/>
        </w:rPr>
        <w:t xml:space="preserve">, </w:t>
      </w:r>
      <w:r w:rsidR="004415B5">
        <w:rPr>
          <w:rFonts w:ascii="Times New Roman" w:hAnsi="Times New Roman" w:cs="Times New Roman"/>
          <w:sz w:val="24"/>
          <w:szCs w:val="24"/>
        </w:rPr>
        <w:t xml:space="preserve">ed. </w:t>
      </w:r>
      <w:proofErr w:type="spellStart"/>
      <w:r w:rsidR="004415B5" w:rsidRPr="004415B5">
        <w:rPr>
          <w:rFonts w:ascii="Times New Roman" w:hAnsi="Times New Roman" w:cs="Times New Roman"/>
          <w:sz w:val="24"/>
          <w:szCs w:val="24"/>
          <w:lang w:val="fr-FR"/>
        </w:rPr>
        <w:t>Y</w:t>
      </w:r>
      <w:r w:rsidR="00595B9E">
        <w:rPr>
          <w:rFonts w:ascii="Times New Roman" w:hAnsi="Times New Roman" w:cs="Times New Roman"/>
          <w:sz w:val="24"/>
          <w:szCs w:val="24"/>
          <w:lang w:val="fr-FR"/>
        </w:rPr>
        <w:t>irmiyahu</w:t>
      </w:r>
      <w:proofErr w:type="spellEnd"/>
      <w:r w:rsidR="004415B5" w:rsidRPr="004415B5">
        <w:rPr>
          <w:rFonts w:ascii="Times New Roman" w:hAnsi="Times New Roman" w:cs="Times New Roman"/>
          <w:sz w:val="24"/>
          <w:szCs w:val="24"/>
          <w:lang w:val="fr-FR"/>
        </w:rPr>
        <w:t xml:space="preserve"> </w:t>
      </w:r>
      <w:proofErr w:type="spellStart"/>
      <w:r w:rsidR="004415B5" w:rsidRPr="004415B5">
        <w:rPr>
          <w:rFonts w:ascii="Times New Roman" w:hAnsi="Times New Roman" w:cs="Times New Roman"/>
          <w:sz w:val="24"/>
          <w:szCs w:val="24"/>
          <w:lang w:val="fr-FR"/>
        </w:rPr>
        <w:t>Yovel</w:t>
      </w:r>
      <w:proofErr w:type="spellEnd"/>
      <w:r w:rsidR="004415B5" w:rsidRPr="004415B5">
        <w:rPr>
          <w:rFonts w:ascii="Times New Roman" w:hAnsi="Times New Roman" w:cs="Times New Roman"/>
          <w:sz w:val="24"/>
          <w:szCs w:val="24"/>
          <w:lang w:val="fr-FR"/>
        </w:rPr>
        <w:t xml:space="preserve"> and S</w:t>
      </w:r>
      <w:r w:rsidR="00595B9E">
        <w:rPr>
          <w:rFonts w:ascii="Times New Roman" w:hAnsi="Times New Roman" w:cs="Times New Roman"/>
          <w:sz w:val="24"/>
          <w:szCs w:val="24"/>
          <w:lang w:val="fr-FR"/>
        </w:rPr>
        <w:t>hlomo</w:t>
      </w:r>
      <w:r w:rsidR="004415B5" w:rsidRPr="004415B5">
        <w:rPr>
          <w:rFonts w:ascii="Times New Roman" w:hAnsi="Times New Roman" w:cs="Times New Roman"/>
          <w:sz w:val="24"/>
          <w:szCs w:val="24"/>
          <w:lang w:val="fr-FR"/>
        </w:rPr>
        <w:t xml:space="preserve"> Pines</w:t>
      </w:r>
      <w:r w:rsidR="004415B5" w:rsidRPr="0068550E">
        <w:rPr>
          <w:rFonts w:ascii="Times New Roman" w:hAnsi="Times New Roman" w:cs="Times New Roman"/>
          <w:sz w:val="24"/>
          <w:szCs w:val="24"/>
        </w:rPr>
        <w:fldChar w:fldCharType="begin"/>
      </w:r>
      <w:r w:rsidR="004415B5" w:rsidRPr="004415B5">
        <w:rPr>
          <w:rFonts w:ascii="Times New Roman" w:hAnsi="Times New Roman" w:cs="Times New Roman"/>
          <w:sz w:val="24"/>
          <w:szCs w:val="24"/>
          <w:lang w:val="fr-FR"/>
        </w:rPr>
        <w:instrText xml:space="preserve"> XE "Pinès, S." </w:instrText>
      </w:r>
      <w:r w:rsidR="004415B5" w:rsidRPr="0068550E">
        <w:rPr>
          <w:rFonts w:ascii="Times New Roman" w:hAnsi="Times New Roman" w:cs="Times New Roman"/>
          <w:sz w:val="24"/>
          <w:szCs w:val="24"/>
        </w:rPr>
        <w:fldChar w:fldCharType="end"/>
      </w:r>
      <w:r w:rsidR="004415B5" w:rsidRPr="004415B5">
        <w:rPr>
          <w:rFonts w:ascii="Times New Roman" w:hAnsi="Times New Roman" w:cs="Times New Roman"/>
          <w:sz w:val="24"/>
          <w:szCs w:val="24"/>
          <w:lang w:val="fr-FR"/>
        </w:rPr>
        <w:t xml:space="preserve"> (</w:t>
      </w:r>
      <w:r w:rsidR="00901A45" w:rsidRPr="004415B5">
        <w:rPr>
          <w:rFonts w:ascii="Times New Roman" w:hAnsi="Times New Roman" w:cs="Times New Roman"/>
          <w:sz w:val="24"/>
          <w:szCs w:val="24"/>
          <w:lang w:val="fr-FR"/>
        </w:rPr>
        <w:t xml:space="preserve">Dordrecht, M. </w:t>
      </w:r>
      <w:proofErr w:type="spellStart"/>
      <w:r w:rsidR="00901A45" w:rsidRPr="004415B5">
        <w:rPr>
          <w:rFonts w:ascii="Times New Roman" w:hAnsi="Times New Roman" w:cs="Times New Roman"/>
          <w:sz w:val="24"/>
          <w:szCs w:val="24"/>
          <w:lang w:val="fr-FR"/>
        </w:rPr>
        <w:t>Nijhoff</w:t>
      </w:r>
      <w:proofErr w:type="spellEnd"/>
      <w:r w:rsidR="00901A45" w:rsidRPr="004415B5">
        <w:rPr>
          <w:rFonts w:ascii="Times New Roman" w:hAnsi="Times New Roman" w:cs="Times New Roman"/>
          <w:sz w:val="24"/>
          <w:szCs w:val="24"/>
          <w:lang w:val="fr-FR"/>
        </w:rPr>
        <w:t>, 1986</w:t>
      </w:r>
      <w:r w:rsidR="004415B5" w:rsidRPr="004415B5">
        <w:rPr>
          <w:rFonts w:ascii="Times New Roman" w:hAnsi="Times New Roman" w:cs="Times New Roman"/>
          <w:sz w:val="24"/>
          <w:szCs w:val="24"/>
          <w:lang w:val="fr-FR"/>
        </w:rPr>
        <w:t>)</w:t>
      </w:r>
      <w:r w:rsidR="00901A45" w:rsidRPr="004415B5">
        <w:rPr>
          <w:rFonts w:ascii="Times New Roman" w:hAnsi="Times New Roman" w:cs="Times New Roman"/>
          <w:sz w:val="24"/>
          <w:szCs w:val="24"/>
          <w:lang w:val="fr-FR"/>
        </w:rPr>
        <w:t>, 246</w:t>
      </w:r>
      <w:r w:rsidR="00901A45" w:rsidRPr="004415B5">
        <w:rPr>
          <w:rFonts w:ascii="Times New Roman" w:hAnsi="Times New Roman" w:cs="Times New Roman"/>
          <w:sz w:val="24"/>
          <w:szCs w:val="24"/>
          <w:lang w:val="fr-FR"/>
        </w:rPr>
        <w:noBreakHyphen/>
        <w:t>268.</w:t>
      </w:r>
    </w:p>
  </w:footnote>
  <w:footnote w:id="12">
    <w:p w14:paraId="4EDC9AC8" w14:textId="6D3420F0" w:rsidR="006A6FE4" w:rsidRPr="004415B5"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lang w:val="fr-FR"/>
        </w:rPr>
        <w:t xml:space="preserve"> </w:t>
      </w:r>
      <w:r w:rsidR="00901A45" w:rsidRPr="0068550E">
        <w:rPr>
          <w:rFonts w:ascii="Times New Roman" w:hAnsi="Times New Roman" w:cs="Times New Roman"/>
          <w:sz w:val="24"/>
          <w:szCs w:val="24"/>
          <w:u w:color="000000"/>
          <w:lang w:val="fr-FR"/>
        </w:rPr>
        <w:t>C</w:t>
      </w:r>
      <w:r w:rsidR="00595B9E">
        <w:rPr>
          <w:rFonts w:ascii="Times New Roman" w:hAnsi="Times New Roman" w:cs="Times New Roman"/>
          <w:sz w:val="24"/>
          <w:szCs w:val="24"/>
          <w:u w:color="000000"/>
          <w:lang w:val="fr-FR"/>
        </w:rPr>
        <w:t>hristian</w:t>
      </w:r>
      <w:r w:rsidR="00901A45" w:rsidRPr="0068550E">
        <w:rPr>
          <w:rFonts w:ascii="Times New Roman" w:hAnsi="Times New Roman" w:cs="Times New Roman"/>
          <w:sz w:val="24"/>
          <w:szCs w:val="24"/>
          <w:u w:color="000000"/>
          <w:lang w:val="fr-FR"/>
        </w:rPr>
        <w:t xml:space="preserve"> </w:t>
      </w:r>
      <w:proofErr w:type="spellStart"/>
      <w:r w:rsidR="00901A45" w:rsidRPr="0068550E">
        <w:rPr>
          <w:rFonts w:ascii="Times New Roman" w:hAnsi="Times New Roman" w:cs="Times New Roman"/>
          <w:sz w:val="24"/>
          <w:szCs w:val="24"/>
          <w:u w:color="000000"/>
          <w:lang w:val="fr-FR"/>
        </w:rPr>
        <w:t>Jambet</w:t>
      </w:r>
      <w:proofErr w:type="spellEnd"/>
      <w:r w:rsidR="00901A45" w:rsidRPr="0068550E">
        <w:rPr>
          <w:rFonts w:ascii="Times New Roman" w:hAnsi="Times New Roman" w:cs="Times New Roman"/>
          <w:sz w:val="24"/>
          <w:szCs w:val="24"/>
          <w:u w:color="000000"/>
          <w:lang w:val="fr-FR"/>
        </w:rPr>
        <w:t xml:space="preserve">, </w:t>
      </w:r>
      <w:r w:rsidR="00901A45" w:rsidRPr="0068550E">
        <w:rPr>
          <w:rFonts w:ascii="Times New Roman" w:hAnsi="Times New Roman" w:cs="Times New Roman"/>
          <w:i/>
          <w:iCs/>
          <w:sz w:val="24"/>
          <w:szCs w:val="24"/>
          <w:u w:color="000000"/>
          <w:lang w:val="fr-FR"/>
        </w:rPr>
        <w:t>Qu’est-ce que la philosophie islamique</w:t>
      </w:r>
      <w:r w:rsidR="00901A45" w:rsidRPr="0068550E">
        <w:rPr>
          <w:rFonts w:ascii="Times New Roman" w:hAnsi="Times New Roman" w:cs="Times New Roman"/>
          <w:sz w:val="24"/>
          <w:szCs w:val="24"/>
          <w:u w:color="000000"/>
          <w:rtl/>
          <w:lang w:bidi="he-IL"/>
        </w:rPr>
        <w:t> </w:t>
      </w:r>
      <w:r w:rsidR="00901A45" w:rsidRPr="0068550E">
        <w:rPr>
          <w:rFonts w:ascii="Times New Roman" w:hAnsi="Times New Roman" w:cs="Times New Roman"/>
          <w:i/>
          <w:iCs/>
          <w:sz w:val="24"/>
          <w:szCs w:val="24"/>
          <w:u w:color="000000"/>
          <w:lang w:val="fr-FR"/>
        </w:rPr>
        <w:t>?</w:t>
      </w:r>
      <w:r w:rsidR="00901A45" w:rsidRPr="0068550E">
        <w:rPr>
          <w:rFonts w:ascii="Times New Roman" w:hAnsi="Times New Roman" w:cs="Times New Roman"/>
          <w:sz w:val="24"/>
          <w:szCs w:val="24"/>
          <w:u w:color="000000"/>
          <w:lang w:val="fr-FR"/>
        </w:rPr>
        <w:t xml:space="preserve"> </w:t>
      </w:r>
      <w:r w:rsidR="004415B5" w:rsidRPr="004415B5">
        <w:rPr>
          <w:rFonts w:ascii="Times New Roman" w:hAnsi="Times New Roman" w:cs="Times New Roman"/>
          <w:sz w:val="24"/>
          <w:szCs w:val="24"/>
          <w:u w:color="000000"/>
        </w:rPr>
        <w:t>(</w:t>
      </w:r>
      <w:r w:rsidR="00901A45" w:rsidRPr="004415B5">
        <w:rPr>
          <w:rFonts w:ascii="Times New Roman" w:hAnsi="Times New Roman" w:cs="Times New Roman"/>
          <w:sz w:val="24"/>
          <w:szCs w:val="24"/>
          <w:u w:color="000000"/>
        </w:rPr>
        <w:t>Paris</w:t>
      </w:r>
      <w:r w:rsidR="004415B5">
        <w:rPr>
          <w:rFonts w:ascii="Times New Roman" w:hAnsi="Times New Roman" w:cs="Times New Roman"/>
          <w:sz w:val="24"/>
          <w:szCs w:val="24"/>
          <w:u w:color="000000"/>
        </w:rPr>
        <w:t>:</w:t>
      </w:r>
      <w:r w:rsidR="00901A45" w:rsidRPr="004415B5">
        <w:rPr>
          <w:rFonts w:ascii="Times New Roman" w:hAnsi="Times New Roman" w:cs="Times New Roman"/>
          <w:sz w:val="24"/>
          <w:szCs w:val="24"/>
          <w:u w:color="000000"/>
        </w:rPr>
        <w:t xml:space="preserve"> Gallimard, 2011</w:t>
      </w:r>
      <w:r w:rsidR="004415B5" w:rsidRPr="004415B5">
        <w:rPr>
          <w:rFonts w:ascii="Times New Roman" w:hAnsi="Times New Roman" w:cs="Times New Roman"/>
          <w:sz w:val="24"/>
          <w:szCs w:val="24"/>
          <w:u w:color="000000"/>
        </w:rPr>
        <w:t>)</w:t>
      </w:r>
      <w:r w:rsidR="00901A45" w:rsidRPr="004415B5">
        <w:rPr>
          <w:rFonts w:ascii="Times New Roman" w:hAnsi="Times New Roman" w:cs="Times New Roman"/>
          <w:sz w:val="24"/>
          <w:szCs w:val="24"/>
          <w:u w:color="000000"/>
        </w:rPr>
        <w:t xml:space="preserve">, 65 and </w:t>
      </w:r>
      <w:r w:rsidR="00901A45" w:rsidRPr="004415B5">
        <w:rPr>
          <w:rFonts w:ascii="Times New Roman" w:hAnsi="Times New Roman" w:cs="Times New Roman"/>
          <w:i/>
          <w:iCs/>
          <w:sz w:val="24"/>
          <w:szCs w:val="24"/>
          <w:u w:color="000000"/>
        </w:rPr>
        <w:t>passim</w:t>
      </w:r>
      <w:r w:rsidR="00901A45" w:rsidRPr="004415B5">
        <w:rPr>
          <w:rFonts w:ascii="Times New Roman" w:hAnsi="Times New Roman" w:cs="Times New Roman"/>
          <w:sz w:val="24"/>
          <w:szCs w:val="24"/>
          <w:u w:color="000000"/>
        </w:rPr>
        <w:t>.</w:t>
      </w:r>
    </w:p>
  </w:footnote>
  <w:footnote w:id="13">
    <w:p w14:paraId="799B4D22" w14:textId="21731A97" w:rsidR="006A6FE4" w:rsidRPr="0068550E" w:rsidRDefault="006A6FE4"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01A45" w:rsidRPr="0068550E">
        <w:rPr>
          <w:rFonts w:ascii="Times New Roman" w:hAnsi="Times New Roman" w:cs="Times New Roman"/>
          <w:i/>
          <w:iCs/>
          <w:sz w:val="24"/>
          <w:szCs w:val="24"/>
          <w:u w:color="000000"/>
        </w:rPr>
        <w:t>Ibid.</w:t>
      </w:r>
      <w:r w:rsidR="00901A45" w:rsidRPr="0068550E">
        <w:rPr>
          <w:rFonts w:ascii="Times New Roman" w:hAnsi="Times New Roman" w:cs="Times New Roman"/>
          <w:sz w:val="24"/>
          <w:szCs w:val="24"/>
          <w:u w:color="000000"/>
        </w:rPr>
        <w:t>, 87-98.</w:t>
      </w:r>
    </w:p>
  </w:footnote>
  <w:footnote w:id="14">
    <w:p w14:paraId="45263161" w14:textId="4AA3AAA1" w:rsidR="006A6FE4" w:rsidRPr="003E5695" w:rsidRDefault="006A6FE4" w:rsidP="006F45B9">
      <w:pPr>
        <w:pStyle w:val="Notedebasdepage"/>
        <w:spacing w:line="480" w:lineRule="auto"/>
        <w:rPr>
          <w:rFonts w:ascii="Times New Roman" w:hAnsi="Times New Roman" w:cs="Times New Roman"/>
          <w:sz w:val="24"/>
          <w:szCs w:val="24"/>
          <w:lang w:bidi="he-IL"/>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01A45" w:rsidRPr="0068550E">
        <w:rPr>
          <w:rFonts w:ascii="Times New Roman" w:hAnsi="Times New Roman" w:cs="Times New Roman"/>
          <w:sz w:val="24"/>
          <w:szCs w:val="24"/>
        </w:rPr>
        <w:t xml:space="preserve">Mishna, </w:t>
      </w:r>
      <w:proofErr w:type="spellStart"/>
      <w:r w:rsidR="00901A45" w:rsidRPr="0068550E">
        <w:rPr>
          <w:rFonts w:ascii="Times New Roman" w:hAnsi="Times New Roman" w:cs="Times New Roman"/>
          <w:i/>
          <w:sz w:val="24"/>
          <w:szCs w:val="24"/>
        </w:rPr>
        <w:t>Ḥagiga</w:t>
      </w:r>
      <w:proofErr w:type="spellEnd"/>
      <w:r w:rsidR="00901A45" w:rsidRPr="0068550E">
        <w:rPr>
          <w:rFonts w:ascii="Times New Roman" w:hAnsi="Times New Roman" w:cs="Times New Roman"/>
          <w:sz w:val="24"/>
          <w:szCs w:val="24"/>
        </w:rPr>
        <w:t xml:space="preserve">, II, 1. A </w:t>
      </w:r>
      <w:r w:rsidR="00901A45" w:rsidRPr="0068550E">
        <w:rPr>
          <w:rFonts w:ascii="Times New Roman" w:hAnsi="Times New Roman" w:cs="Times New Roman"/>
          <w:i/>
          <w:iCs/>
          <w:sz w:val="24"/>
          <w:szCs w:val="24"/>
        </w:rPr>
        <w:t xml:space="preserve">Mishna </w:t>
      </w:r>
      <w:r w:rsidR="00901A45" w:rsidRPr="0068550E">
        <w:rPr>
          <w:rFonts w:ascii="Times New Roman" w:hAnsi="Times New Roman" w:cs="Times New Roman"/>
          <w:sz w:val="24"/>
          <w:szCs w:val="24"/>
        </w:rPr>
        <w:t>is a teaching originating from the oldest strata of the oral tradition of rabbinical Judaism, compiled in the second century.</w:t>
      </w:r>
    </w:p>
  </w:footnote>
  <w:footnote w:id="15">
    <w:p w14:paraId="15CD40A4" w14:textId="33D40C03" w:rsidR="006A6FE4" w:rsidRPr="0068550E" w:rsidRDefault="006A6FE4"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5A7B25" w:rsidRPr="0068550E">
        <w:rPr>
          <w:rFonts w:ascii="Times New Roman" w:hAnsi="Times New Roman" w:cs="Times New Roman"/>
          <w:sz w:val="24"/>
          <w:szCs w:val="24"/>
          <w:u w:color="000000"/>
        </w:rPr>
        <w:t>A</w:t>
      </w:r>
      <w:r w:rsidR="00595B9E">
        <w:rPr>
          <w:rFonts w:ascii="Times New Roman" w:hAnsi="Times New Roman" w:cs="Times New Roman"/>
          <w:sz w:val="24"/>
          <w:szCs w:val="24"/>
          <w:u w:color="000000"/>
        </w:rPr>
        <w:t>rthur</w:t>
      </w:r>
      <w:r w:rsidR="005A7B25" w:rsidRPr="0068550E">
        <w:rPr>
          <w:rFonts w:ascii="Times New Roman" w:hAnsi="Times New Roman" w:cs="Times New Roman"/>
          <w:sz w:val="24"/>
          <w:szCs w:val="24"/>
          <w:u w:color="000000"/>
        </w:rPr>
        <w:t xml:space="preserve"> M. Melzer, </w:t>
      </w:r>
      <w:r w:rsidR="005A7B25" w:rsidRPr="0068550E">
        <w:rPr>
          <w:rFonts w:ascii="Times New Roman" w:hAnsi="Times New Roman" w:cs="Times New Roman"/>
          <w:i/>
          <w:iCs/>
          <w:sz w:val="24"/>
          <w:szCs w:val="24"/>
          <w:u w:color="000000"/>
        </w:rPr>
        <w:t>Philosophy Between the Lines: The Lost History of Esoteric Writing</w:t>
      </w:r>
      <w:r w:rsidR="005A7B25" w:rsidRPr="0068550E">
        <w:rPr>
          <w:rFonts w:ascii="Times New Roman" w:hAnsi="Times New Roman" w:cs="Times New Roman"/>
          <w:sz w:val="24"/>
          <w:szCs w:val="24"/>
          <w:u w:color="000000"/>
        </w:rPr>
        <w:t xml:space="preserve"> </w:t>
      </w:r>
      <w:r w:rsidR="001F69FB">
        <w:rPr>
          <w:rFonts w:ascii="Times New Roman" w:hAnsi="Times New Roman" w:cs="Times New Roman"/>
          <w:sz w:val="24"/>
          <w:szCs w:val="24"/>
          <w:u w:color="000000"/>
        </w:rPr>
        <w:t>(</w:t>
      </w:r>
      <w:r w:rsidR="005A7B25" w:rsidRPr="0068550E">
        <w:rPr>
          <w:rFonts w:ascii="Times New Roman" w:hAnsi="Times New Roman" w:cs="Times New Roman"/>
          <w:sz w:val="24"/>
          <w:szCs w:val="24"/>
          <w:u w:color="000000"/>
        </w:rPr>
        <w:t>Chicago</w:t>
      </w:r>
      <w:r w:rsidR="001F69FB">
        <w:rPr>
          <w:rFonts w:ascii="Times New Roman" w:hAnsi="Times New Roman" w:cs="Times New Roman"/>
          <w:sz w:val="24"/>
          <w:szCs w:val="24"/>
          <w:u w:color="000000"/>
        </w:rPr>
        <w:t>:</w:t>
      </w:r>
      <w:r w:rsidR="005A7B25" w:rsidRPr="0068550E">
        <w:rPr>
          <w:rFonts w:ascii="Times New Roman" w:hAnsi="Times New Roman" w:cs="Times New Roman"/>
          <w:sz w:val="24"/>
          <w:szCs w:val="24"/>
          <w:u w:color="000000"/>
        </w:rPr>
        <w:t xml:space="preserve"> University of Chicago Press, 2014</w:t>
      </w:r>
      <w:r w:rsidR="001F69FB">
        <w:rPr>
          <w:rFonts w:ascii="Times New Roman" w:hAnsi="Times New Roman" w:cs="Times New Roman"/>
          <w:sz w:val="24"/>
          <w:szCs w:val="24"/>
          <w:u w:color="000000"/>
        </w:rPr>
        <w:t>)</w:t>
      </w:r>
      <w:r w:rsidR="005A7B25" w:rsidRPr="0068550E">
        <w:rPr>
          <w:rFonts w:ascii="Times New Roman" w:hAnsi="Times New Roman" w:cs="Times New Roman"/>
          <w:sz w:val="24"/>
          <w:szCs w:val="24"/>
          <w:u w:color="000000"/>
        </w:rPr>
        <w:t xml:space="preserve">, 4, </w:t>
      </w:r>
      <w:proofErr w:type="spellStart"/>
      <w:r w:rsidR="005A7B25" w:rsidRPr="0068550E">
        <w:rPr>
          <w:rFonts w:ascii="Times New Roman" w:hAnsi="Times New Roman" w:cs="Times New Roman"/>
          <w:sz w:val="24"/>
          <w:szCs w:val="24"/>
          <w:u w:color="000000"/>
        </w:rPr>
        <w:t>ch</w:t>
      </w:r>
      <w:r w:rsidR="001F69FB">
        <w:rPr>
          <w:rFonts w:ascii="Times New Roman" w:hAnsi="Times New Roman" w:cs="Times New Roman"/>
          <w:sz w:val="24"/>
          <w:szCs w:val="24"/>
          <w:u w:color="000000"/>
        </w:rPr>
        <w:t>.</w:t>
      </w:r>
      <w:proofErr w:type="spellEnd"/>
      <w:r w:rsidR="005A7B25" w:rsidRPr="0068550E">
        <w:rPr>
          <w:rFonts w:ascii="Times New Roman" w:hAnsi="Times New Roman" w:cs="Times New Roman"/>
          <w:sz w:val="24"/>
          <w:szCs w:val="24"/>
          <w:u w:color="000000"/>
        </w:rPr>
        <w:t xml:space="preserve"> 5</w:t>
      </w:r>
      <w:r w:rsidR="001F69FB">
        <w:rPr>
          <w:rFonts w:ascii="Times New Roman" w:hAnsi="Times New Roman" w:cs="Times New Roman"/>
          <w:sz w:val="24"/>
          <w:szCs w:val="24"/>
          <w:u w:color="000000"/>
        </w:rPr>
        <w:t>,</w:t>
      </w:r>
      <w:r w:rsidR="005A7B25" w:rsidRPr="0068550E">
        <w:rPr>
          <w:rFonts w:ascii="Times New Roman" w:hAnsi="Times New Roman" w:cs="Times New Roman"/>
          <w:sz w:val="24"/>
          <w:szCs w:val="24"/>
          <w:u w:color="000000"/>
        </w:rPr>
        <w:t xml:space="preserve"> </w:t>
      </w:r>
      <w:r w:rsidR="00901A45" w:rsidRPr="0068550E">
        <w:rPr>
          <w:rFonts w:ascii="Times New Roman" w:hAnsi="Times New Roman" w:cs="Times New Roman"/>
          <w:sz w:val="24"/>
          <w:szCs w:val="24"/>
          <w:u w:color="000000"/>
          <w:lang w:bidi="he-IL"/>
        </w:rPr>
        <w:t>and</w:t>
      </w:r>
      <w:r w:rsidR="005A7B25" w:rsidRPr="0068550E">
        <w:rPr>
          <w:rFonts w:ascii="Times New Roman" w:hAnsi="Times New Roman" w:cs="Times New Roman"/>
          <w:sz w:val="24"/>
          <w:szCs w:val="24"/>
          <w:u w:color="000000"/>
          <w:lang w:bidi="he-IL"/>
        </w:rPr>
        <w:t xml:space="preserve"> </w:t>
      </w:r>
      <w:r w:rsidR="005A7B25" w:rsidRPr="0068550E">
        <w:rPr>
          <w:rFonts w:ascii="Times New Roman" w:hAnsi="Times New Roman" w:cs="Times New Roman"/>
          <w:i/>
          <w:sz w:val="24"/>
          <w:szCs w:val="24"/>
          <w:u w:color="000000"/>
          <w:lang w:bidi="he-IL"/>
        </w:rPr>
        <w:t>passim</w:t>
      </w:r>
      <w:r w:rsidR="005A7B25" w:rsidRPr="0068550E">
        <w:rPr>
          <w:rFonts w:ascii="Times New Roman" w:hAnsi="Times New Roman" w:cs="Times New Roman"/>
          <w:sz w:val="24"/>
          <w:szCs w:val="24"/>
          <w:u w:color="000000"/>
          <w:lang w:bidi="he-IL"/>
        </w:rPr>
        <w:t>.</w:t>
      </w:r>
    </w:p>
  </w:footnote>
  <w:footnote w:id="16">
    <w:p w14:paraId="18B73719" w14:textId="4A7CF22F" w:rsidR="006A6FE4" w:rsidRPr="0068550E" w:rsidRDefault="006A6FE4" w:rsidP="006F45B9">
      <w:pPr>
        <w:pStyle w:val="Notedebasdepage"/>
        <w:spacing w:line="480" w:lineRule="auto"/>
        <w:rPr>
          <w:rFonts w:ascii="Times New Roman" w:hAnsi="Times New Roman" w:cs="Times New Roman"/>
          <w:iCs/>
          <w:sz w:val="24"/>
          <w:szCs w:val="24"/>
          <w:u w:color="000000"/>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01A45" w:rsidRPr="0068550E">
        <w:rPr>
          <w:rFonts w:ascii="Times New Roman" w:hAnsi="Times New Roman" w:cs="Times New Roman"/>
          <w:sz w:val="24"/>
          <w:szCs w:val="24"/>
          <w:u w:color="000000"/>
        </w:rPr>
        <w:t xml:space="preserve">See the translated excerpts of the </w:t>
      </w:r>
      <w:r w:rsidR="00901A45" w:rsidRPr="0068550E">
        <w:rPr>
          <w:rFonts w:ascii="Times New Roman" w:hAnsi="Times New Roman" w:cs="Times New Roman"/>
          <w:i/>
          <w:iCs/>
          <w:sz w:val="24"/>
          <w:szCs w:val="24"/>
          <w:u w:color="000000"/>
        </w:rPr>
        <w:t>Exposition of Religious Arguments</w:t>
      </w:r>
      <w:r w:rsidR="00901A45" w:rsidRPr="0068550E">
        <w:rPr>
          <w:rFonts w:ascii="Times New Roman" w:hAnsi="Times New Roman" w:cs="Times New Roman"/>
          <w:sz w:val="24"/>
          <w:szCs w:val="24"/>
          <w:u w:color="000000"/>
        </w:rPr>
        <w:t xml:space="preserve"> (</w:t>
      </w:r>
      <w:r w:rsidR="00901A45" w:rsidRPr="0068550E">
        <w:rPr>
          <w:rFonts w:ascii="Times New Roman" w:hAnsi="Times New Roman" w:cs="Times New Roman"/>
          <w:i/>
          <w:iCs/>
          <w:sz w:val="24"/>
          <w:szCs w:val="24"/>
          <w:u w:color="000000"/>
        </w:rPr>
        <w:t>Al-</w:t>
      </w:r>
      <w:proofErr w:type="spellStart"/>
      <w:r w:rsidR="00901A45" w:rsidRPr="0068550E">
        <w:rPr>
          <w:rFonts w:ascii="Times New Roman" w:hAnsi="Times New Roman" w:cs="Times New Roman"/>
          <w:i/>
          <w:iCs/>
          <w:sz w:val="24"/>
          <w:szCs w:val="24"/>
          <w:u w:color="000000"/>
        </w:rPr>
        <w:t>Kashf</w:t>
      </w:r>
      <w:proofErr w:type="spellEnd"/>
      <w:r w:rsidR="00901A45" w:rsidRPr="0068550E">
        <w:rPr>
          <w:rFonts w:ascii="Times New Roman" w:hAnsi="Times New Roman" w:cs="Times New Roman"/>
          <w:sz w:val="24"/>
          <w:szCs w:val="24"/>
          <w:u w:color="000000"/>
        </w:rPr>
        <w:t xml:space="preserve">) in Averroes, </w:t>
      </w:r>
      <w:r w:rsidR="00901A45" w:rsidRPr="0068550E">
        <w:rPr>
          <w:rFonts w:ascii="Times New Roman" w:hAnsi="Times New Roman" w:cs="Times New Roman"/>
          <w:i/>
          <w:sz w:val="24"/>
          <w:szCs w:val="24"/>
          <w:u w:color="000000"/>
        </w:rPr>
        <w:t>Faith and Reason in Islam</w:t>
      </w:r>
      <w:r w:rsidR="00901A45" w:rsidRPr="0068550E">
        <w:rPr>
          <w:rFonts w:ascii="Times New Roman" w:hAnsi="Times New Roman" w:cs="Times New Roman"/>
          <w:iCs/>
          <w:sz w:val="24"/>
          <w:szCs w:val="24"/>
          <w:u w:color="000000"/>
        </w:rPr>
        <w:t>, trans. I</w:t>
      </w:r>
      <w:r w:rsidR="00595B9E">
        <w:rPr>
          <w:rFonts w:ascii="Times New Roman" w:hAnsi="Times New Roman" w:cs="Times New Roman"/>
          <w:iCs/>
          <w:sz w:val="24"/>
          <w:szCs w:val="24"/>
          <w:u w:color="000000"/>
        </w:rPr>
        <w:t>brahim</w:t>
      </w:r>
      <w:r w:rsidR="00901A45" w:rsidRPr="0068550E">
        <w:rPr>
          <w:rFonts w:ascii="Times New Roman" w:hAnsi="Times New Roman" w:cs="Times New Roman"/>
          <w:iCs/>
          <w:sz w:val="24"/>
          <w:szCs w:val="24"/>
          <w:u w:color="000000"/>
        </w:rPr>
        <w:t xml:space="preserve"> Najjar</w:t>
      </w:r>
      <w:r w:rsidR="001F69FB">
        <w:rPr>
          <w:rFonts w:ascii="Times New Roman" w:hAnsi="Times New Roman" w:cs="Times New Roman"/>
          <w:iCs/>
          <w:sz w:val="24"/>
          <w:szCs w:val="24"/>
          <w:u w:color="000000"/>
        </w:rPr>
        <w:t xml:space="preserve"> (</w:t>
      </w:r>
      <w:r w:rsidR="00901A45" w:rsidRPr="0068550E">
        <w:rPr>
          <w:rFonts w:ascii="Times New Roman" w:hAnsi="Times New Roman" w:cs="Times New Roman"/>
          <w:iCs/>
          <w:sz w:val="24"/>
          <w:szCs w:val="24"/>
          <w:u w:color="000000"/>
        </w:rPr>
        <w:t>Oxford</w:t>
      </w:r>
      <w:r w:rsidR="001F69FB">
        <w:rPr>
          <w:rFonts w:ascii="Times New Roman" w:hAnsi="Times New Roman" w:cs="Times New Roman"/>
          <w:iCs/>
          <w:sz w:val="24"/>
          <w:szCs w:val="24"/>
          <w:u w:color="000000"/>
        </w:rPr>
        <w:t>:</w:t>
      </w:r>
      <w:r w:rsidR="00901A45" w:rsidRPr="0068550E">
        <w:rPr>
          <w:rFonts w:ascii="Times New Roman" w:hAnsi="Times New Roman" w:cs="Times New Roman"/>
          <w:iCs/>
          <w:sz w:val="24"/>
          <w:szCs w:val="24"/>
          <w:u w:color="000000"/>
        </w:rPr>
        <w:t xml:space="preserve"> </w:t>
      </w:r>
      <w:proofErr w:type="spellStart"/>
      <w:r w:rsidR="00901A45" w:rsidRPr="0068550E">
        <w:rPr>
          <w:rFonts w:ascii="Times New Roman" w:hAnsi="Times New Roman" w:cs="Times New Roman"/>
          <w:iCs/>
          <w:sz w:val="24"/>
          <w:szCs w:val="24"/>
          <w:u w:color="000000"/>
        </w:rPr>
        <w:t>Oneworld</w:t>
      </w:r>
      <w:proofErr w:type="spellEnd"/>
      <w:r w:rsidR="00901A45" w:rsidRPr="0068550E">
        <w:rPr>
          <w:rFonts w:ascii="Times New Roman" w:hAnsi="Times New Roman" w:cs="Times New Roman"/>
          <w:iCs/>
          <w:sz w:val="24"/>
          <w:szCs w:val="24"/>
          <w:u w:color="000000"/>
        </w:rPr>
        <w:t>, 2001</w:t>
      </w:r>
      <w:r w:rsidR="001F69FB">
        <w:rPr>
          <w:rFonts w:ascii="Times New Roman" w:hAnsi="Times New Roman" w:cs="Times New Roman"/>
          <w:iCs/>
          <w:sz w:val="24"/>
          <w:szCs w:val="24"/>
          <w:u w:color="000000"/>
        </w:rPr>
        <w:t>)</w:t>
      </w:r>
      <w:r w:rsidR="00901A45" w:rsidRPr="0068550E">
        <w:rPr>
          <w:rFonts w:ascii="Times New Roman" w:hAnsi="Times New Roman" w:cs="Times New Roman"/>
          <w:iCs/>
          <w:sz w:val="24"/>
          <w:szCs w:val="24"/>
          <w:u w:color="000000"/>
        </w:rPr>
        <w:t>, 56-60.</w:t>
      </w:r>
    </w:p>
  </w:footnote>
  <w:footnote w:id="17">
    <w:p w14:paraId="0BB3BE4A" w14:textId="2BA8A41C" w:rsidR="006A6FE4" w:rsidRPr="0068550E" w:rsidRDefault="006A6FE4"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5A7B25" w:rsidRPr="0068550E">
        <w:rPr>
          <w:rFonts w:ascii="Times New Roman" w:hAnsi="Times New Roman" w:cs="Times New Roman"/>
          <w:sz w:val="24"/>
          <w:szCs w:val="24"/>
        </w:rPr>
        <w:t xml:space="preserve">Melzer, </w:t>
      </w:r>
      <w:r w:rsidR="005A7B25" w:rsidRPr="0068550E">
        <w:rPr>
          <w:rFonts w:ascii="Times New Roman" w:hAnsi="Times New Roman" w:cs="Times New Roman"/>
          <w:i/>
          <w:sz w:val="24"/>
          <w:szCs w:val="24"/>
        </w:rPr>
        <w:t>Philosophy Between the Lines</w:t>
      </w:r>
      <w:r w:rsidR="007C0880">
        <w:rPr>
          <w:rFonts w:ascii="Times New Roman" w:hAnsi="Times New Roman" w:cs="Times New Roman"/>
          <w:sz w:val="24"/>
          <w:szCs w:val="24"/>
        </w:rPr>
        <w:t>,</w:t>
      </w:r>
      <w:r w:rsidR="005A7B25" w:rsidRPr="0068550E">
        <w:rPr>
          <w:rFonts w:ascii="Times New Roman" w:hAnsi="Times New Roman" w:cs="Times New Roman"/>
          <w:sz w:val="24"/>
          <w:szCs w:val="24"/>
        </w:rPr>
        <w:t xml:space="preserve"> 4, ch. 6</w:t>
      </w:r>
      <w:r w:rsidR="001F69FB">
        <w:rPr>
          <w:rFonts w:ascii="Times New Roman" w:hAnsi="Times New Roman" w:cs="Times New Roman"/>
          <w:sz w:val="24"/>
          <w:szCs w:val="24"/>
        </w:rPr>
        <w:t>,</w:t>
      </w:r>
      <w:r w:rsidR="005A7B25" w:rsidRPr="0068550E">
        <w:rPr>
          <w:rFonts w:ascii="Times New Roman" w:hAnsi="Times New Roman" w:cs="Times New Roman"/>
          <w:sz w:val="24"/>
          <w:szCs w:val="24"/>
        </w:rPr>
        <w:t xml:space="preserve"> </w:t>
      </w:r>
      <w:r w:rsidR="00901A45" w:rsidRPr="0068550E">
        <w:rPr>
          <w:rFonts w:ascii="Times New Roman" w:hAnsi="Times New Roman" w:cs="Times New Roman"/>
          <w:sz w:val="24"/>
          <w:szCs w:val="24"/>
        </w:rPr>
        <w:t>and</w:t>
      </w:r>
      <w:r w:rsidR="005A7B25" w:rsidRPr="0068550E">
        <w:rPr>
          <w:rFonts w:ascii="Times New Roman" w:hAnsi="Times New Roman" w:cs="Times New Roman"/>
          <w:i/>
          <w:sz w:val="24"/>
          <w:szCs w:val="24"/>
        </w:rPr>
        <w:t xml:space="preserve"> passim</w:t>
      </w:r>
      <w:r w:rsidR="005A7B25" w:rsidRPr="0068550E">
        <w:rPr>
          <w:rFonts w:ascii="Times New Roman" w:hAnsi="Times New Roman" w:cs="Times New Roman"/>
          <w:sz w:val="24"/>
          <w:szCs w:val="24"/>
        </w:rPr>
        <w:t>.</w:t>
      </w:r>
    </w:p>
  </w:footnote>
  <w:footnote w:id="18">
    <w:p w14:paraId="0CDA4286" w14:textId="2FA0162A"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5A7B25" w:rsidRPr="0068550E">
        <w:rPr>
          <w:rFonts w:ascii="Times New Roman" w:hAnsi="Times New Roman" w:cs="Times New Roman"/>
          <w:sz w:val="24"/>
          <w:szCs w:val="24"/>
        </w:rPr>
        <w:t>Plato</w:t>
      </w:r>
      <w:r w:rsidR="005A7B25" w:rsidRPr="0068550E">
        <w:rPr>
          <w:rFonts w:ascii="Times New Roman" w:hAnsi="Times New Roman" w:cs="Times New Roman"/>
          <w:sz w:val="24"/>
          <w:szCs w:val="24"/>
        </w:rPr>
        <w:fldChar w:fldCharType="begin"/>
      </w:r>
      <w:r w:rsidR="005A7B25" w:rsidRPr="0068550E">
        <w:rPr>
          <w:rFonts w:ascii="Times New Roman" w:hAnsi="Times New Roman" w:cs="Times New Roman"/>
          <w:sz w:val="24"/>
          <w:szCs w:val="24"/>
        </w:rPr>
        <w:instrText xml:space="preserve"> XE "Platon" </w:instrText>
      </w:r>
      <w:r w:rsidR="005A7B25" w:rsidRPr="0068550E">
        <w:rPr>
          <w:rFonts w:ascii="Times New Roman" w:hAnsi="Times New Roman" w:cs="Times New Roman"/>
          <w:sz w:val="24"/>
          <w:szCs w:val="24"/>
        </w:rPr>
        <w:fldChar w:fldCharType="end"/>
      </w:r>
      <w:r w:rsidR="005A7B25" w:rsidRPr="0068550E">
        <w:rPr>
          <w:rFonts w:ascii="Times New Roman" w:hAnsi="Times New Roman" w:cs="Times New Roman"/>
          <w:sz w:val="24"/>
          <w:szCs w:val="24"/>
        </w:rPr>
        <w:t xml:space="preserve">, </w:t>
      </w:r>
      <w:r w:rsidR="005A7B25" w:rsidRPr="0068550E">
        <w:rPr>
          <w:rFonts w:ascii="Times New Roman" w:hAnsi="Times New Roman" w:cs="Times New Roman"/>
          <w:i/>
          <w:iCs/>
          <w:sz w:val="24"/>
          <w:szCs w:val="24"/>
        </w:rPr>
        <w:t xml:space="preserve">Phaedrus, </w:t>
      </w:r>
      <w:r w:rsidR="005A7B25" w:rsidRPr="0068550E">
        <w:rPr>
          <w:rFonts w:ascii="Times New Roman" w:hAnsi="Times New Roman" w:cs="Times New Roman"/>
          <w:sz w:val="24"/>
          <w:szCs w:val="24"/>
        </w:rPr>
        <w:t>275d-276a and 277e-278d; Seventh Letter.</w:t>
      </w:r>
    </w:p>
  </w:footnote>
  <w:footnote w:id="19">
    <w:p w14:paraId="43305E2D" w14:textId="63A51D0D"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3029D" w:rsidRPr="0068550E">
        <w:rPr>
          <w:rFonts w:ascii="Times New Roman" w:hAnsi="Times New Roman" w:cs="Times New Roman"/>
          <w:sz w:val="24"/>
          <w:szCs w:val="24"/>
        </w:rPr>
        <w:t xml:space="preserve">See </w:t>
      </w:r>
      <w:r w:rsidR="0093029D" w:rsidRPr="007C0880">
        <w:rPr>
          <w:rFonts w:ascii="Times New Roman" w:hAnsi="Times New Roman" w:cs="Times New Roman"/>
          <w:sz w:val="24"/>
          <w:szCs w:val="24"/>
        </w:rPr>
        <w:t>M</w:t>
      </w:r>
      <w:r w:rsidR="00F060E2" w:rsidRPr="007C0880">
        <w:rPr>
          <w:rFonts w:ascii="Times New Roman" w:hAnsi="Times New Roman" w:cs="Times New Roman"/>
          <w:sz w:val="24"/>
          <w:szCs w:val="24"/>
        </w:rPr>
        <w:t>oshe</w:t>
      </w:r>
      <w:r w:rsidR="0093029D" w:rsidRPr="007C0880">
        <w:rPr>
          <w:rFonts w:ascii="Times New Roman" w:hAnsi="Times New Roman" w:cs="Times New Roman"/>
          <w:sz w:val="24"/>
          <w:szCs w:val="24"/>
        </w:rPr>
        <w:t xml:space="preserve"> </w:t>
      </w:r>
      <w:proofErr w:type="spellStart"/>
      <w:r w:rsidR="0093029D" w:rsidRPr="007C0880">
        <w:rPr>
          <w:rFonts w:ascii="Times New Roman" w:hAnsi="Times New Roman" w:cs="Times New Roman"/>
          <w:sz w:val="24"/>
          <w:szCs w:val="24"/>
        </w:rPr>
        <w:t>Halbertal</w:t>
      </w:r>
      <w:proofErr w:type="spellEnd"/>
      <w:r w:rsidR="0093029D" w:rsidRPr="007C0880">
        <w:rPr>
          <w:rFonts w:ascii="Times New Roman" w:hAnsi="Times New Roman" w:cs="Times New Roman"/>
          <w:sz w:val="24"/>
          <w:szCs w:val="24"/>
        </w:rPr>
        <w:t xml:space="preserve">, </w:t>
      </w:r>
      <w:r w:rsidR="0093029D" w:rsidRPr="007C0880">
        <w:rPr>
          <w:rFonts w:ascii="Times New Roman" w:hAnsi="Times New Roman" w:cs="Times New Roman"/>
          <w:i/>
          <w:sz w:val="24"/>
          <w:szCs w:val="24"/>
        </w:rPr>
        <w:t>Concealment and Revelation: Esotericism in Jewish Thought and its Philosophical Implications</w:t>
      </w:r>
      <w:r w:rsidR="007C0880">
        <w:rPr>
          <w:rFonts w:ascii="Times New Roman" w:hAnsi="Times New Roman" w:cs="Times New Roman"/>
          <w:iCs/>
          <w:sz w:val="24"/>
          <w:szCs w:val="24"/>
        </w:rPr>
        <w:t>,</w:t>
      </w:r>
      <w:r w:rsidR="0093029D" w:rsidRPr="007C0880">
        <w:rPr>
          <w:rFonts w:ascii="Times New Roman" w:hAnsi="Times New Roman" w:cs="Times New Roman"/>
          <w:sz w:val="24"/>
          <w:szCs w:val="24"/>
        </w:rPr>
        <w:t xml:space="preserve"> </w:t>
      </w:r>
      <w:r w:rsidR="007C0880" w:rsidRPr="007C0880">
        <w:rPr>
          <w:rFonts w:ascii="Times New Roman" w:hAnsi="Times New Roman" w:cs="Times New Roman"/>
          <w:sz w:val="24"/>
          <w:szCs w:val="24"/>
        </w:rPr>
        <w:t>trans. Jackie Feldman (Princeton: Princeton University Press, 2007)</w:t>
      </w:r>
      <w:r w:rsidR="0093029D" w:rsidRPr="007C0880">
        <w:rPr>
          <w:rFonts w:ascii="Times New Roman" w:hAnsi="Times New Roman" w:cs="Times New Roman"/>
          <w:sz w:val="24"/>
          <w:szCs w:val="24"/>
          <w:u w:color="000000"/>
        </w:rPr>
        <w:t>, 149-155</w:t>
      </w:r>
      <w:r w:rsidR="0093029D" w:rsidRPr="0068550E">
        <w:rPr>
          <w:rFonts w:ascii="Times New Roman" w:hAnsi="Times New Roman" w:cs="Times New Roman"/>
          <w:sz w:val="24"/>
          <w:szCs w:val="24"/>
          <w:u w:color="000000"/>
        </w:rPr>
        <w:t>.</w:t>
      </w:r>
    </w:p>
  </w:footnote>
  <w:footnote w:id="20">
    <w:p w14:paraId="38BBA2CE" w14:textId="01ADD65A" w:rsidR="006A6FE4" w:rsidRPr="0068550E" w:rsidRDefault="006A6FE4"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3029D" w:rsidRPr="0068550E">
        <w:rPr>
          <w:rFonts w:ascii="Times New Roman" w:hAnsi="Times New Roman" w:cs="Times New Roman"/>
          <w:i/>
          <w:sz w:val="24"/>
          <w:szCs w:val="24"/>
          <w:u w:color="000000"/>
        </w:rPr>
        <w:t>Ibid.</w:t>
      </w:r>
      <w:r w:rsidR="0093029D" w:rsidRPr="0068550E">
        <w:rPr>
          <w:rFonts w:ascii="Times New Roman" w:hAnsi="Times New Roman" w:cs="Times New Roman"/>
          <w:sz w:val="24"/>
          <w:szCs w:val="24"/>
          <w:u w:color="000000"/>
        </w:rPr>
        <w:t>, 156-162.</w:t>
      </w:r>
    </w:p>
  </w:footnote>
  <w:footnote w:id="21">
    <w:p w14:paraId="49AF5BDD" w14:textId="039A13A9" w:rsidR="006A6FE4" w:rsidRPr="0068550E" w:rsidRDefault="006A6FE4"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lang w:val="en-CA"/>
        </w:rPr>
        <w:t xml:space="preserve"> </w:t>
      </w:r>
      <w:r w:rsidR="00CA5CAF" w:rsidRPr="0068550E">
        <w:rPr>
          <w:rFonts w:ascii="Times New Roman" w:hAnsi="Times New Roman" w:cs="Times New Roman"/>
          <w:sz w:val="24"/>
          <w:szCs w:val="24"/>
          <w:u w:color="000000"/>
          <w:lang w:val="en-CA"/>
        </w:rPr>
        <w:t>See for example the Babylonian Talmud</w:t>
      </w:r>
      <w:r w:rsidR="00CA5CAF" w:rsidRPr="0068550E">
        <w:rPr>
          <w:rFonts w:ascii="Times New Roman" w:hAnsi="Times New Roman" w:cs="Times New Roman"/>
          <w:iCs/>
          <w:sz w:val="24"/>
          <w:szCs w:val="24"/>
          <w:u w:color="000000"/>
          <w:lang w:val="en-CA"/>
        </w:rPr>
        <w:t xml:space="preserve">, </w:t>
      </w:r>
      <w:proofErr w:type="spellStart"/>
      <w:r w:rsidR="00CA5CAF" w:rsidRPr="0068550E">
        <w:rPr>
          <w:rFonts w:ascii="Times New Roman" w:hAnsi="Times New Roman" w:cs="Times New Roman"/>
          <w:i/>
          <w:iCs/>
          <w:sz w:val="24"/>
          <w:szCs w:val="24"/>
          <w:u w:color="000000"/>
          <w:lang w:val="en-CA"/>
        </w:rPr>
        <w:t>Yevamot</w:t>
      </w:r>
      <w:proofErr w:type="spellEnd"/>
      <w:r w:rsidR="00CA5CAF" w:rsidRPr="0068550E">
        <w:rPr>
          <w:rFonts w:ascii="Times New Roman" w:hAnsi="Times New Roman" w:cs="Times New Roman"/>
          <w:sz w:val="24"/>
          <w:szCs w:val="24"/>
          <w:u w:color="000000"/>
          <w:lang w:val="en-CA"/>
        </w:rPr>
        <w:t xml:space="preserve"> 71a, </w:t>
      </w:r>
      <w:r w:rsidR="00CA5CAF" w:rsidRPr="0068550E">
        <w:rPr>
          <w:rFonts w:ascii="Times New Roman" w:hAnsi="Times New Roman" w:cs="Times New Roman"/>
          <w:i/>
          <w:iCs/>
          <w:sz w:val="24"/>
          <w:szCs w:val="24"/>
          <w:u w:color="000000"/>
          <w:lang w:val="en-CA"/>
        </w:rPr>
        <w:t xml:space="preserve">Baba </w:t>
      </w:r>
      <w:proofErr w:type="spellStart"/>
      <w:r w:rsidR="00CA5CAF" w:rsidRPr="0068550E">
        <w:rPr>
          <w:rFonts w:ascii="Times New Roman" w:hAnsi="Times New Roman" w:cs="Times New Roman"/>
          <w:i/>
          <w:iCs/>
          <w:sz w:val="24"/>
          <w:szCs w:val="24"/>
          <w:u w:color="000000"/>
          <w:lang w:val="en-CA"/>
        </w:rPr>
        <w:t>Meṣiʿa</w:t>
      </w:r>
      <w:proofErr w:type="spellEnd"/>
      <w:r w:rsidR="00CA5CAF" w:rsidRPr="0068550E">
        <w:rPr>
          <w:rFonts w:ascii="Times New Roman" w:hAnsi="Times New Roman" w:cs="Times New Roman"/>
          <w:sz w:val="24"/>
          <w:szCs w:val="24"/>
          <w:u w:color="000000"/>
          <w:lang w:val="en-CA"/>
        </w:rPr>
        <w:t xml:space="preserve"> 31b, and </w:t>
      </w:r>
      <w:r w:rsidR="00CA5CAF" w:rsidRPr="0068550E">
        <w:rPr>
          <w:rFonts w:ascii="Times New Roman" w:hAnsi="Times New Roman" w:cs="Times New Roman"/>
          <w:i/>
          <w:iCs/>
          <w:sz w:val="24"/>
          <w:szCs w:val="24"/>
          <w:u w:color="000000"/>
          <w:lang w:val="en-CA"/>
        </w:rPr>
        <w:t>passim</w:t>
      </w:r>
      <w:r w:rsidR="00CA5CAF" w:rsidRPr="0068550E">
        <w:rPr>
          <w:rFonts w:ascii="Times New Roman" w:hAnsi="Times New Roman" w:cs="Times New Roman"/>
          <w:sz w:val="24"/>
          <w:szCs w:val="24"/>
          <w:u w:color="000000"/>
          <w:lang w:val="en-CA"/>
        </w:rPr>
        <w:t>,</w:t>
      </w:r>
      <w:r w:rsidR="00CA5CAF" w:rsidRPr="0068550E">
        <w:rPr>
          <w:rFonts w:ascii="Times New Roman" w:hAnsi="Times New Roman" w:cs="Times New Roman"/>
          <w:i/>
          <w:iCs/>
          <w:sz w:val="24"/>
          <w:szCs w:val="24"/>
          <w:u w:color="000000"/>
          <w:lang w:val="en-CA"/>
        </w:rPr>
        <w:t xml:space="preserve"> </w:t>
      </w:r>
      <w:r w:rsidR="00CA5CAF" w:rsidRPr="0068550E">
        <w:rPr>
          <w:rFonts w:ascii="Times New Roman" w:hAnsi="Times New Roman" w:cs="Times New Roman"/>
          <w:sz w:val="24"/>
          <w:szCs w:val="24"/>
          <w:u w:color="000000"/>
          <w:lang w:val="en-CA"/>
        </w:rPr>
        <w:t>and Maimonides</w:t>
      </w:r>
      <w:r w:rsidR="00CA5CAF" w:rsidRPr="0068550E">
        <w:rPr>
          <w:rFonts w:ascii="Times New Roman" w:hAnsi="Times New Roman" w:cs="Times New Roman"/>
          <w:sz w:val="24"/>
          <w:szCs w:val="24"/>
          <w:u w:color="000000"/>
        </w:rPr>
        <w:fldChar w:fldCharType="begin"/>
      </w:r>
      <w:r w:rsidR="00CA5CAF" w:rsidRPr="0068550E">
        <w:rPr>
          <w:rFonts w:ascii="Times New Roman" w:hAnsi="Times New Roman" w:cs="Times New Roman"/>
          <w:sz w:val="24"/>
          <w:szCs w:val="24"/>
          <w:u w:color="000000"/>
          <w:lang w:val="en-CA"/>
        </w:rPr>
        <w:instrText xml:space="preserve"> XE "</w:instrText>
      </w:r>
      <w:r w:rsidR="00CA5CAF" w:rsidRPr="0068550E">
        <w:rPr>
          <w:rFonts w:ascii="Times New Roman" w:hAnsi="Times New Roman" w:cs="Times New Roman"/>
          <w:sz w:val="24"/>
          <w:szCs w:val="24"/>
          <w:lang w:val="en-CA"/>
        </w:rPr>
        <w:instrText>Maïmonide"</w:instrText>
      </w:r>
      <w:r w:rsidR="00CA5CAF" w:rsidRPr="0068550E">
        <w:rPr>
          <w:rFonts w:ascii="Times New Roman" w:hAnsi="Times New Roman" w:cs="Times New Roman"/>
          <w:sz w:val="24"/>
          <w:szCs w:val="24"/>
          <w:u w:color="000000"/>
          <w:lang w:val="en-CA"/>
        </w:rPr>
        <w:instrText xml:space="preserve"> </w:instrText>
      </w:r>
      <w:r w:rsidR="00CA5CAF" w:rsidRPr="0068550E">
        <w:rPr>
          <w:rFonts w:ascii="Times New Roman" w:hAnsi="Times New Roman" w:cs="Times New Roman"/>
          <w:sz w:val="24"/>
          <w:szCs w:val="24"/>
          <w:u w:color="000000"/>
        </w:rPr>
        <w:fldChar w:fldCharType="end"/>
      </w:r>
      <w:r w:rsidR="00CA5CAF" w:rsidRPr="0068550E">
        <w:rPr>
          <w:rFonts w:ascii="Times New Roman" w:hAnsi="Times New Roman" w:cs="Times New Roman"/>
          <w:sz w:val="24"/>
          <w:szCs w:val="24"/>
          <w:u w:color="000000"/>
          <w:lang w:val="en-CA"/>
        </w:rPr>
        <w:t xml:space="preserve">, </w:t>
      </w:r>
      <w:r w:rsidR="00CA5CAF" w:rsidRPr="0068550E">
        <w:rPr>
          <w:rFonts w:ascii="Times New Roman" w:hAnsi="Times New Roman" w:cs="Times New Roman"/>
          <w:i/>
          <w:iCs/>
          <w:sz w:val="24"/>
          <w:szCs w:val="24"/>
          <w:u w:color="000000"/>
          <w:lang w:val="en-CA"/>
        </w:rPr>
        <w:t>Guide</w:t>
      </w:r>
      <w:r w:rsidR="00CA5CAF" w:rsidRPr="0068550E">
        <w:rPr>
          <w:rFonts w:ascii="Times New Roman" w:hAnsi="Times New Roman" w:cs="Times New Roman"/>
          <w:i/>
          <w:iCs/>
          <w:sz w:val="24"/>
          <w:szCs w:val="24"/>
          <w:u w:color="000000"/>
        </w:rPr>
        <w:fldChar w:fldCharType="begin"/>
      </w:r>
      <w:r w:rsidR="00CA5CAF" w:rsidRPr="0068550E">
        <w:rPr>
          <w:rFonts w:ascii="Times New Roman" w:hAnsi="Times New Roman" w:cs="Times New Roman"/>
          <w:i/>
          <w:iCs/>
          <w:sz w:val="24"/>
          <w:szCs w:val="24"/>
          <w:u w:color="000000"/>
          <w:lang w:val="en-CA"/>
        </w:rPr>
        <w:instrText xml:space="preserve"> XE "</w:instrText>
      </w:r>
      <w:r w:rsidR="00CA5CAF" w:rsidRPr="0068550E">
        <w:rPr>
          <w:rFonts w:ascii="Times New Roman" w:hAnsi="Times New Roman" w:cs="Times New Roman"/>
          <w:sz w:val="24"/>
          <w:szCs w:val="24"/>
          <w:lang w:val="en-CA"/>
        </w:rPr>
        <w:instrText>Maïmonide:</w:instrText>
      </w:r>
      <w:r w:rsidR="00CA5CAF" w:rsidRPr="0068550E">
        <w:rPr>
          <w:rFonts w:ascii="Times New Roman" w:hAnsi="Times New Roman" w:cs="Times New Roman"/>
          <w:i/>
          <w:sz w:val="24"/>
          <w:szCs w:val="24"/>
          <w:lang w:val="en-CA"/>
        </w:rPr>
        <w:instrText>Guide des égarés"</w:instrText>
      </w:r>
      <w:r w:rsidR="00CA5CAF" w:rsidRPr="0068550E">
        <w:rPr>
          <w:rFonts w:ascii="Times New Roman" w:hAnsi="Times New Roman" w:cs="Times New Roman"/>
          <w:i/>
          <w:iCs/>
          <w:sz w:val="24"/>
          <w:szCs w:val="24"/>
          <w:u w:color="000000"/>
          <w:lang w:val="en-CA"/>
        </w:rPr>
        <w:instrText xml:space="preserve"> </w:instrText>
      </w:r>
      <w:r w:rsidR="00CA5CAF" w:rsidRPr="0068550E">
        <w:rPr>
          <w:rFonts w:ascii="Times New Roman" w:hAnsi="Times New Roman" w:cs="Times New Roman"/>
          <w:i/>
          <w:iCs/>
          <w:sz w:val="24"/>
          <w:szCs w:val="24"/>
          <w:u w:color="000000"/>
        </w:rPr>
        <w:fldChar w:fldCharType="end"/>
      </w:r>
      <w:r w:rsidR="00CA5CAF" w:rsidRPr="0068550E">
        <w:rPr>
          <w:rFonts w:ascii="Times New Roman" w:hAnsi="Times New Roman" w:cs="Times New Roman"/>
          <w:sz w:val="24"/>
          <w:szCs w:val="24"/>
          <w:u w:color="000000"/>
          <w:lang w:val="en-CA"/>
        </w:rPr>
        <w:t>, I</w:t>
      </w:r>
      <w:r w:rsidR="00CA5CAF" w:rsidRPr="00ED670E">
        <w:rPr>
          <w:rFonts w:ascii="Times New Roman" w:hAnsi="Times New Roman" w:cs="Times New Roman"/>
          <w:sz w:val="24"/>
          <w:szCs w:val="24"/>
          <w:u w:color="000000"/>
          <w:lang w:val="en-CA"/>
        </w:rPr>
        <w:t xml:space="preserve">, </w:t>
      </w:r>
      <w:r w:rsidR="00ED670E">
        <w:rPr>
          <w:rFonts w:ascii="Times New Roman" w:hAnsi="Times New Roman" w:cs="Times New Roman"/>
          <w:sz w:val="24"/>
          <w:szCs w:val="24"/>
          <w:u w:color="000000"/>
          <w:lang w:val="en-CA"/>
        </w:rPr>
        <w:t xml:space="preserve">Ch. </w:t>
      </w:r>
      <w:r w:rsidR="00CA5CAF" w:rsidRPr="00ED670E">
        <w:rPr>
          <w:rFonts w:ascii="Times New Roman" w:hAnsi="Times New Roman" w:cs="Times New Roman"/>
          <w:sz w:val="24"/>
          <w:szCs w:val="24"/>
          <w:u w:color="000000"/>
          <w:lang w:val="en-CA"/>
        </w:rPr>
        <w:t>26,</w:t>
      </w:r>
      <w:r w:rsidR="00ED670E">
        <w:rPr>
          <w:rFonts w:ascii="Times New Roman" w:hAnsi="Times New Roman" w:cs="Times New Roman"/>
          <w:sz w:val="24"/>
          <w:szCs w:val="24"/>
          <w:u w:color="000000"/>
          <w:lang w:val="en-CA"/>
        </w:rPr>
        <w:t xml:space="preserve"> </w:t>
      </w:r>
      <w:r w:rsidR="00CA5CAF" w:rsidRPr="00ED670E">
        <w:rPr>
          <w:rFonts w:ascii="Times New Roman" w:hAnsi="Times New Roman" w:cs="Times New Roman"/>
          <w:sz w:val="24"/>
          <w:szCs w:val="24"/>
          <w:u w:color="000000"/>
          <w:lang w:val="en-CA"/>
        </w:rPr>
        <w:t>56 and</w:t>
      </w:r>
      <w:r w:rsidR="00CA5CAF" w:rsidRPr="0068550E">
        <w:rPr>
          <w:rFonts w:ascii="Times New Roman" w:hAnsi="Times New Roman" w:cs="Times New Roman"/>
          <w:sz w:val="24"/>
          <w:szCs w:val="24"/>
          <w:u w:color="000000"/>
          <w:lang w:val="en-CA"/>
        </w:rPr>
        <w:t xml:space="preserve"> </w:t>
      </w:r>
      <w:r w:rsidR="00CA5CAF" w:rsidRPr="0068550E">
        <w:rPr>
          <w:rFonts w:ascii="Times New Roman" w:hAnsi="Times New Roman" w:cs="Times New Roman"/>
          <w:i/>
          <w:iCs/>
          <w:sz w:val="24"/>
          <w:szCs w:val="24"/>
          <w:u w:color="000000"/>
          <w:lang w:val="en-CA"/>
        </w:rPr>
        <w:t>passim</w:t>
      </w:r>
      <w:r w:rsidR="00CA5CAF" w:rsidRPr="0068550E">
        <w:rPr>
          <w:rFonts w:ascii="Times New Roman" w:hAnsi="Times New Roman" w:cs="Times New Roman"/>
          <w:sz w:val="24"/>
          <w:szCs w:val="24"/>
          <w:u w:color="000000"/>
          <w:lang w:val="en-CA"/>
        </w:rPr>
        <w:t>.</w:t>
      </w:r>
    </w:p>
  </w:footnote>
  <w:footnote w:id="22">
    <w:p w14:paraId="2785DD9A" w14:textId="12B5AD43"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3029D" w:rsidRPr="0068550E">
        <w:rPr>
          <w:rFonts w:ascii="Times New Roman" w:hAnsi="Times New Roman" w:cs="Times New Roman"/>
          <w:sz w:val="24"/>
          <w:szCs w:val="24"/>
          <w:u w:color="000000"/>
        </w:rPr>
        <w:t xml:space="preserve">See </w:t>
      </w:r>
      <w:r w:rsidR="0093029D" w:rsidRPr="0068550E">
        <w:rPr>
          <w:rFonts w:ascii="Times New Roman" w:hAnsi="Times New Roman" w:cs="Times New Roman"/>
          <w:sz w:val="24"/>
          <w:szCs w:val="24"/>
        </w:rPr>
        <w:t>M</w:t>
      </w:r>
      <w:r w:rsidR="00F060E2">
        <w:rPr>
          <w:rFonts w:ascii="Times New Roman" w:hAnsi="Times New Roman" w:cs="Times New Roman"/>
          <w:sz w:val="24"/>
          <w:szCs w:val="24"/>
        </w:rPr>
        <w:t>oshe</w:t>
      </w:r>
      <w:r w:rsidR="0093029D" w:rsidRPr="0068550E">
        <w:rPr>
          <w:rFonts w:ascii="Times New Roman" w:hAnsi="Times New Roman" w:cs="Times New Roman"/>
          <w:sz w:val="24"/>
          <w:szCs w:val="24"/>
        </w:rPr>
        <w:t xml:space="preserve"> </w:t>
      </w:r>
      <w:proofErr w:type="spellStart"/>
      <w:r w:rsidR="0093029D" w:rsidRPr="0068550E">
        <w:rPr>
          <w:rFonts w:ascii="Times New Roman" w:hAnsi="Times New Roman" w:cs="Times New Roman"/>
          <w:sz w:val="24"/>
          <w:szCs w:val="24"/>
        </w:rPr>
        <w:t>Halbertal</w:t>
      </w:r>
      <w:proofErr w:type="spellEnd"/>
      <w:r w:rsidR="0093029D" w:rsidRPr="0068550E">
        <w:rPr>
          <w:rFonts w:ascii="Times New Roman" w:hAnsi="Times New Roman" w:cs="Times New Roman"/>
          <w:sz w:val="24"/>
          <w:szCs w:val="24"/>
        </w:rPr>
        <w:t xml:space="preserve"> and </w:t>
      </w:r>
      <w:proofErr w:type="spellStart"/>
      <w:r w:rsidR="0093029D" w:rsidRPr="0068550E">
        <w:rPr>
          <w:rFonts w:ascii="Times New Roman" w:hAnsi="Times New Roman" w:cs="Times New Roman"/>
          <w:sz w:val="24"/>
          <w:szCs w:val="24"/>
        </w:rPr>
        <w:t>A</w:t>
      </w:r>
      <w:r w:rsidR="00F060E2">
        <w:rPr>
          <w:rFonts w:ascii="Times New Roman" w:hAnsi="Times New Roman" w:cs="Times New Roman"/>
          <w:sz w:val="24"/>
          <w:szCs w:val="24"/>
        </w:rPr>
        <w:t>vishai</w:t>
      </w:r>
      <w:proofErr w:type="spellEnd"/>
      <w:r w:rsidR="0093029D" w:rsidRPr="0068550E">
        <w:rPr>
          <w:rFonts w:ascii="Times New Roman" w:hAnsi="Times New Roman" w:cs="Times New Roman"/>
          <w:sz w:val="24"/>
          <w:szCs w:val="24"/>
        </w:rPr>
        <w:t xml:space="preserve"> </w:t>
      </w:r>
      <w:proofErr w:type="spellStart"/>
      <w:r w:rsidR="0093029D" w:rsidRPr="0068550E">
        <w:rPr>
          <w:rFonts w:ascii="Times New Roman" w:hAnsi="Times New Roman" w:cs="Times New Roman"/>
          <w:sz w:val="24"/>
          <w:szCs w:val="24"/>
        </w:rPr>
        <w:t>Margalit</w:t>
      </w:r>
      <w:proofErr w:type="spellEnd"/>
      <w:r w:rsidR="0093029D" w:rsidRPr="0068550E">
        <w:rPr>
          <w:rFonts w:ascii="Times New Roman" w:hAnsi="Times New Roman" w:cs="Times New Roman"/>
          <w:sz w:val="24"/>
          <w:szCs w:val="24"/>
        </w:rPr>
        <w:t xml:space="preserve">, </w:t>
      </w:r>
      <w:r w:rsidR="0093029D" w:rsidRPr="0068550E">
        <w:rPr>
          <w:rFonts w:ascii="Times New Roman" w:hAnsi="Times New Roman" w:cs="Times New Roman"/>
          <w:i/>
          <w:iCs/>
          <w:sz w:val="24"/>
          <w:szCs w:val="24"/>
        </w:rPr>
        <w:t>Idolatry</w:t>
      </w:r>
      <w:r w:rsidR="007C0880">
        <w:rPr>
          <w:rFonts w:ascii="Times New Roman" w:hAnsi="Times New Roman" w:cs="Times New Roman"/>
          <w:sz w:val="24"/>
          <w:szCs w:val="24"/>
        </w:rPr>
        <w:t>, trans. Naomi Goldblum</w:t>
      </w:r>
      <w:r w:rsidR="0093029D" w:rsidRPr="0068550E">
        <w:rPr>
          <w:rFonts w:ascii="Times New Roman" w:hAnsi="Times New Roman" w:cs="Times New Roman"/>
          <w:sz w:val="24"/>
          <w:szCs w:val="24"/>
        </w:rPr>
        <w:t xml:space="preserve"> </w:t>
      </w:r>
      <w:r w:rsidR="00D74453">
        <w:rPr>
          <w:rFonts w:ascii="Times New Roman" w:hAnsi="Times New Roman" w:cs="Times New Roman"/>
          <w:sz w:val="24"/>
          <w:szCs w:val="24"/>
        </w:rPr>
        <w:t>(</w:t>
      </w:r>
      <w:r w:rsidR="0093029D" w:rsidRPr="0068550E">
        <w:rPr>
          <w:rFonts w:ascii="Times New Roman" w:hAnsi="Times New Roman" w:cs="Times New Roman"/>
          <w:sz w:val="24"/>
          <w:szCs w:val="24"/>
        </w:rPr>
        <w:t>Cambridge</w:t>
      </w:r>
      <w:r w:rsidR="00D74453">
        <w:rPr>
          <w:rFonts w:ascii="Times New Roman" w:hAnsi="Times New Roman" w:cs="Times New Roman"/>
          <w:sz w:val="24"/>
          <w:szCs w:val="24"/>
        </w:rPr>
        <w:t xml:space="preserve">, MA: </w:t>
      </w:r>
      <w:r w:rsidR="0093029D" w:rsidRPr="0068550E">
        <w:rPr>
          <w:rFonts w:ascii="Times New Roman" w:hAnsi="Times New Roman" w:cs="Times New Roman"/>
          <w:sz w:val="24"/>
          <w:szCs w:val="24"/>
        </w:rPr>
        <w:t>Harvard University Press, 1992</w:t>
      </w:r>
      <w:r w:rsidR="00D74453">
        <w:rPr>
          <w:rFonts w:ascii="Times New Roman" w:hAnsi="Times New Roman" w:cs="Times New Roman"/>
          <w:sz w:val="24"/>
          <w:szCs w:val="24"/>
        </w:rPr>
        <w:t>)</w:t>
      </w:r>
      <w:r w:rsidR="0093029D" w:rsidRPr="0068550E">
        <w:rPr>
          <w:rFonts w:ascii="Times New Roman" w:hAnsi="Times New Roman" w:cs="Times New Roman"/>
          <w:sz w:val="24"/>
          <w:szCs w:val="24"/>
          <w:u w:color="000000"/>
        </w:rPr>
        <w:t xml:space="preserve">, 54-62. Conversely, for a “politico-religious” interpretation of Maimonides’s use of this Talmudic phrase, </w:t>
      </w:r>
      <w:r w:rsidR="0093029D" w:rsidRPr="00613DFE">
        <w:rPr>
          <w:rFonts w:ascii="Times New Roman" w:hAnsi="Times New Roman" w:cs="Times New Roman"/>
          <w:sz w:val="24"/>
          <w:szCs w:val="24"/>
          <w:u w:color="000000"/>
        </w:rPr>
        <w:t xml:space="preserve">see </w:t>
      </w:r>
      <w:r w:rsidR="00613DFE" w:rsidRPr="00613DFE">
        <w:rPr>
          <w:rFonts w:ascii="Times New Roman" w:hAnsi="Times New Roman" w:cs="Times New Roman"/>
          <w:sz w:val="24"/>
          <w:szCs w:val="24"/>
        </w:rPr>
        <w:t>Abraham</w:t>
      </w:r>
      <w:r w:rsidR="0093029D" w:rsidRPr="00613DFE">
        <w:rPr>
          <w:rFonts w:ascii="Times New Roman" w:hAnsi="Times New Roman" w:cs="Times New Roman"/>
          <w:sz w:val="24"/>
          <w:szCs w:val="24"/>
        </w:rPr>
        <w:t xml:space="preserve"> </w:t>
      </w:r>
      <w:proofErr w:type="spellStart"/>
      <w:r w:rsidR="0093029D" w:rsidRPr="00613DFE">
        <w:rPr>
          <w:rFonts w:ascii="Times New Roman" w:hAnsi="Times New Roman" w:cs="Times New Roman"/>
          <w:sz w:val="24"/>
          <w:szCs w:val="24"/>
        </w:rPr>
        <w:t>Nuriel</w:t>
      </w:r>
      <w:proofErr w:type="spellEnd"/>
      <w:r w:rsidR="0093029D" w:rsidRPr="00613DFE">
        <w:rPr>
          <w:rFonts w:ascii="Times New Roman" w:hAnsi="Times New Roman" w:cs="Times New Roman"/>
          <w:sz w:val="24"/>
          <w:szCs w:val="24"/>
        </w:rPr>
        <w:t xml:space="preserve">, ““The Torah Speaks in the Language of Human Beings” in the </w:t>
      </w:r>
      <w:r w:rsidR="0093029D" w:rsidRPr="00613DFE">
        <w:rPr>
          <w:rFonts w:ascii="Times New Roman" w:hAnsi="Times New Roman" w:cs="Times New Roman"/>
          <w:i/>
          <w:iCs/>
          <w:sz w:val="24"/>
          <w:szCs w:val="24"/>
        </w:rPr>
        <w:t>Guide</w:t>
      </w:r>
      <w:r w:rsidR="0093029D" w:rsidRPr="00613DFE">
        <w:rPr>
          <w:rFonts w:ascii="Times New Roman" w:hAnsi="Times New Roman" w:cs="Times New Roman"/>
          <w:i/>
          <w:iCs/>
          <w:sz w:val="24"/>
          <w:szCs w:val="24"/>
        </w:rPr>
        <w:fldChar w:fldCharType="begin"/>
      </w:r>
      <w:r w:rsidR="0093029D" w:rsidRPr="00613DFE">
        <w:rPr>
          <w:rFonts w:ascii="Times New Roman" w:hAnsi="Times New Roman" w:cs="Times New Roman"/>
          <w:i/>
          <w:iCs/>
          <w:sz w:val="24"/>
          <w:szCs w:val="24"/>
        </w:rPr>
        <w:instrText xml:space="preserve"> XE "</w:instrText>
      </w:r>
      <w:r w:rsidR="0093029D" w:rsidRPr="00613DFE">
        <w:rPr>
          <w:rFonts w:ascii="Times New Roman" w:hAnsi="Times New Roman" w:cs="Times New Roman"/>
          <w:sz w:val="24"/>
          <w:szCs w:val="24"/>
        </w:rPr>
        <w:instrText>Maïmonide:</w:instrText>
      </w:r>
      <w:r w:rsidR="0093029D" w:rsidRPr="00613DFE">
        <w:rPr>
          <w:rFonts w:ascii="Times New Roman" w:hAnsi="Times New Roman" w:cs="Times New Roman"/>
          <w:i/>
          <w:sz w:val="24"/>
          <w:szCs w:val="24"/>
        </w:rPr>
        <w:instrText>Guide des égarés"</w:instrText>
      </w:r>
      <w:r w:rsidR="0093029D" w:rsidRPr="00613DFE">
        <w:rPr>
          <w:rFonts w:ascii="Times New Roman" w:hAnsi="Times New Roman" w:cs="Times New Roman"/>
          <w:i/>
          <w:iCs/>
          <w:sz w:val="24"/>
          <w:szCs w:val="24"/>
        </w:rPr>
        <w:instrText xml:space="preserve"> </w:instrText>
      </w:r>
      <w:r w:rsidR="0093029D" w:rsidRPr="00613DFE">
        <w:rPr>
          <w:rFonts w:ascii="Times New Roman" w:hAnsi="Times New Roman" w:cs="Times New Roman"/>
          <w:i/>
          <w:iCs/>
          <w:sz w:val="24"/>
          <w:szCs w:val="24"/>
        </w:rPr>
        <w:fldChar w:fldCharType="end"/>
      </w:r>
      <w:r w:rsidR="0093029D" w:rsidRPr="00613DFE">
        <w:rPr>
          <w:rFonts w:ascii="Times New Roman" w:hAnsi="Times New Roman" w:cs="Times New Roman"/>
          <w:i/>
          <w:iCs/>
          <w:sz w:val="24"/>
          <w:szCs w:val="24"/>
        </w:rPr>
        <w:t xml:space="preserve"> of the Perplexed</w:t>
      </w:r>
      <w:r w:rsidR="0093029D" w:rsidRPr="00613DFE">
        <w:rPr>
          <w:rFonts w:ascii="Times New Roman" w:hAnsi="Times New Roman" w:cs="Times New Roman"/>
          <w:sz w:val="24"/>
          <w:szCs w:val="24"/>
        </w:rPr>
        <w:t>” [</w:t>
      </w:r>
      <w:r w:rsidR="00D74453" w:rsidRPr="00613DFE">
        <w:rPr>
          <w:rFonts w:ascii="Times New Roman" w:hAnsi="Times New Roman" w:cs="Times New Roman"/>
          <w:sz w:val="24"/>
          <w:szCs w:val="24"/>
        </w:rPr>
        <w:t xml:space="preserve">in </w:t>
      </w:r>
      <w:r w:rsidR="0093029D" w:rsidRPr="00613DFE">
        <w:rPr>
          <w:rFonts w:ascii="Times New Roman" w:hAnsi="Times New Roman" w:cs="Times New Roman"/>
          <w:sz w:val="24"/>
          <w:szCs w:val="24"/>
        </w:rPr>
        <w:t xml:space="preserve">Hebrew], in </w:t>
      </w:r>
      <w:r w:rsidR="0093029D" w:rsidRPr="00613DFE">
        <w:rPr>
          <w:rFonts w:ascii="Times New Roman" w:hAnsi="Times New Roman" w:cs="Times New Roman"/>
          <w:i/>
          <w:iCs/>
          <w:sz w:val="24"/>
          <w:szCs w:val="24"/>
        </w:rPr>
        <w:t>Religion and Language</w:t>
      </w:r>
      <w:r w:rsidR="0093029D" w:rsidRPr="00613DFE">
        <w:rPr>
          <w:rFonts w:ascii="Times New Roman" w:hAnsi="Times New Roman" w:cs="Times New Roman"/>
          <w:sz w:val="24"/>
          <w:szCs w:val="24"/>
        </w:rPr>
        <w:t xml:space="preserve">, </w:t>
      </w:r>
      <w:r w:rsidR="00D74453" w:rsidRPr="00613DFE">
        <w:rPr>
          <w:rFonts w:ascii="Times New Roman" w:hAnsi="Times New Roman" w:cs="Times New Roman"/>
          <w:sz w:val="24"/>
          <w:szCs w:val="24"/>
        </w:rPr>
        <w:t>ed. M</w:t>
      </w:r>
      <w:r w:rsidR="00613DFE" w:rsidRPr="00613DFE">
        <w:rPr>
          <w:rFonts w:ascii="Times New Roman" w:hAnsi="Times New Roman" w:cs="Times New Roman"/>
          <w:sz w:val="24"/>
          <w:szCs w:val="24"/>
        </w:rPr>
        <w:t>oshe</w:t>
      </w:r>
      <w:r w:rsidR="00D74453" w:rsidRPr="00613DFE">
        <w:rPr>
          <w:rFonts w:ascii="Times New Roman" w:hAnsi="Times New Roman" w:cs="Times New Roman"/>
          <w:sz w:val="24"/>
          <w:szCs w:val="24"/>
        </w:rPr>
        <w:t xml:space="preserve"> </w:t>
      </w:r>
      <w:proofErr w:type="spellStart"/>
      <w:r w:rsidR="00D74453" w:rsidRPr="00613DFE">
        <w:rPr>
          <w:rFonts w:ascii="Times New Roman" w:hAnsi="Times New Roman" w:cs="Times New Roman"/>
          <w:sz w:val="24"/>
          <w:szCs w:val="24"/>
        </w:rPr>
        <w:t>Hallamish</w:t>
      </w:r>
      <w:proofErr w:type="spellEnd"/>
      <w:r w:rsidR="00D74453" w:rsidRPr="00613DFE">
        <w:rPr>
          <w:rFonts w:ascii="Times New Roman" w:hAnsi="Times New Roman" w:cs="Times New Roman"/>
          <w:sz w:val="24"/>
          <w:szCs w:val="24"/>
        </w:rPr>
        <w:t xml:space="preserve"> and </w:t>
      </w:r>
      <w:proofErr w:type="spellStart"/>
      <w:r w:rsidR="00613DFE">
        <w:rPr>
          <w:rFonts w:ascii="Times New Roman" w:hAnsi="Times New Roman" w:cs="Times New Roman"/>
          <w:sz w:val="24"/>
          <w:szCs w:val="24"/>
        </w:rPr>
        <w:t>Assa</w:t>
      </w:r>
      <w:proofErr w:type="spellEnd"/>
      <w:r w:rsidR="00D74453" w:rsidRPr="00613DFE">
        <w:rPr>
          <w:rFonts w:ascii="Times New Roman" w:hAnsi="Times New Roman" w:cs="Times New Roman"/>
          <w:sz w:val="24"/>
          <w:szCs w:val="24"/>
        </w:rPr>
        <w:t xml:space="preserve"> Kasher (</w:t>
      </w:r>
      <w:r w:rsidR="0093029D" w:rsidRPr="00613DFE">
        <w:rPr>
          <w:rFonts w:ascii="Times New Roman" w:hAnsi="Times New Roman" w:cs="Times New Roman"/>
          <w:sz w:val="24"/>
          <w:szCs w:val="24"/>
        </w:rPr>
        <w:t>Tel</w:t>
      </w:r>
      <w:r w:rsidR="0093029D" w:rsidRPr="0068550E">
        <w:rPr>
          <w:rFonts w:ascii="Times New Roman" w:hAnsi="Times New Roman" w:cs="Times New Roman"/>
          <w:sz w:val="24"/>
          <w:szCs w:val="24"/>
        </w:rPr>
        <w:t xml:space="preserve"> Aviv</w:t>
      </w:r>
      <w:r w:rsidR="007C0880">
        <w:rPr>
          <w:rFonts w:ascii="Times New Roman" w:hAnsi="Times New Roman" w:cs="Times New Roman"/>
          <w:sz w:val="24"/>
          <w:szCs w:val="24"/>
        </w:rPr>
        <w:t>:</w:t>
      </w:r>
      <w:r w:rsidR="0093029D" w:rsidRPr="0068550E">
        <w:rPr>
          <w:rFonts w:ascii="Times New Roman" w:hAnsi="Times New Roman" w:cs="Times New Roman"/>
          <w:sz w:val="24"/>
          <w:szCs w:val="24"/>
        </w:rPr>
        <w:t xml:space="preserve"> University Publishing Projects, 1981</w:t>
      </w:r>
      <w:r w:rsidR="00D74453">
        <w:rPr>
          <w:rFonts w:ascii="Times New Roman" w:hAnsi="Times New Roman" w:cs="Times New Roman"/>
          <w:sz w:val="24"/>
          <w:szCs w:val="24"/>
        </w:rPr>
        <w:t>)</w:t>
      </w:r>
      <w:r w:rsidR="0093029D" w:rsidRPr="0068550E">
        <w:rPr>
          <w:rFonts w:ascii="Times New Roman" w:hAnsi="Times New Roman" w:cs="Times New Roman"/>
          <w:sz w:val="24"/>
          <w:szCs w:val="24"/>
        </w:rPr>
        <w:t>, 97</w:t>
      </w:r>
      <w:r w:rsidR="0093029D" w:rsidRPr="0068550E">
        <w:rPr>
          <w:rFonts w:ascii="Times New Roman" w:hAnsi="Times New Roman" w:cs="Times New Roman"/>
          <w:sz w:val="24"/>
          <w:szCs w:val="24"/>
        </w:rPr>
        <w:noBreakHyphen/>
        <w:t xml:space="preserve">103, reprinted in </w:t>
      </w:r>
      <w:r w:rsidR="0093029D" w:rsidRPr="0068550E">
        <w:rPr>
          <w:rFonts w:ascii="Times New Roman" w:hAnsi="Times New Roman" w:cs="Times New Roman"/>
          <w:i/>
          <w:iCs/>
          <w:sz w:val="24"/>
          <w:szCs w:val="24"/>
        </w:rPr>
        <w:t>Concealed and Revealed in Medieval Jewish Philosophy</w:t>
      </w:r>
      <w:r w:rsidR="0093029D" w:rsidRPr="0068550E">
        <w:rPr>
          <w:rFonts w:ascii="Times New Roman" w:hAnsi="Times New Roman" w:cs="Times New Roman"/>
          <w:iCs/>
          <w:sz w:val="24"/>
          <w:szCs w:val="24"/>
        </w:rPr>
        <w:t xml:space="preserve"> </w:t>
      </w:r>
      <w:r w:rsidR="0093029D" w:rsidRPr="0068550E">
        <w:rPr>
          <w:rFonts w:ascii="Times New Roman" w:hAnsi="Times New Roman" w:cs="Times New Roman"/>
          <w:sz w:val="24"/>
          <w:szCs w:val="24"/>
        </w:rPr>
        <w:t>[</w:t>
      </w:r>
      <w:r w:rsidR="00D74453">
        <w:rPr>
          <w:rFonts w:ascii="Times New Roman" w:hAnsi="Times New Roman" w:cs="Times New Roman"/>
          <w:sz w:val="24"/>
          <w:szCs w:val="24"/>
        </w:rPr>
        <w:t xml:space="preserve">in </w:t>
      </w:r>
      <w:r w:rsidR="0093029D" w:rsidRPr="0068550E">
        <w:rPr>
          <w:rFonts w:ascii="Times New Roman" w:hAnsi="Times New Roman" w:cs="Times New Roman"/>
          <w:sz w:val="24"/>
          <w:szCs w:val="24"/>
        </w:rPr>
        <w:t xml:space="preserve">Hebrew] </w:t>
      </w:r>
      <w:r w:rsidR="00D74453">
        <w:rPr>
          <w:rFonts w:ascii="Times New Roman" w:hAnsi="Times New Roman" w:cs="Times New Roman"/>
          <w:sz w:val="24"/>
          <w:szCs w:val="24"/>
        </w:rPr>
        <w:t>(</w:t>
      </w:r>
      <w:r w:rsidR="0093029D" w:rsidRPr="0068550E">
        <w:rPr>
          <w:rFonts w:ascii="Times New Roman" w:hAnsi="Times New Roman" w:cs="Times New Roman"/>
          <w:sz w:val="24"/>
          <w:szCs w:val="24"/>
        </w:rPr>
        <w:t>Jerusalem</w:t>
      </w:r>
      <w:r w:rsidR="00613DFE">
        <w:rPr>
          <w:rFonts w:ascii="Times New Roman" w:hAnsi="Times New Roman" w:cs="Times New Roman"/>
          <w:sz w:val="24"/>
          <w:szCs w:val="24"/>
        </w:rPr>
        <w:t>:</w:t>
      </w:r>
      <w:r w:rsidR="0093029D" w:rsidRPr="0068550E">
        <w:rPr>
          <w:rFonts w:ascii="Times New Roman" w:hAnsi="Times New Roman" w:cs="Times New Roman"/>
          <w:sz w:val="24"/>
          <w:szCs w:val="24"/>
        </w:rPr>
        <w:t xml:space="preserve"> </w:t>
      </w:r>
      <w:proofErr w:type="spellStart"/>
      <w:r w:rsidR="0093029D" w:rsidRPr="0068550E">
        <w:rPr>
          <w:rFonts w:ascii="Times New Roman" w:hAnsi="Times New Roman" w:cs="Times New Roman"/>
          <w:sz w:val="24"/>
          <w:szCs w:val="24"/>
        </w:rPr>
        <w:t>Magnes</w:t>
      </w:r>
      <w:proofErr w:type="spellEnd"/>
      <w:r w:rsidR="0093029D" w:rsidRPr="0068550E">
        <w:rPr>
          <w:rFonts w:ascii="Times New Roman" w:hAnsi="Times New Roman" w:cs="Times New Roman"/>
          <w:sz w:val="24"/>
          <w:szCs w:val="24"/>
        </w:rPr>
        <w:t xml:space="preserve"> Press, 2000</w:t>
      </w:r>
      <w:r w:rsidR="00D74453">
        <w:rPr>
          <w:rFonts w:ascii="Times New Roman" w:hAnsi="Times New Roman" w:cs="Times New Roman"/>
          <w:sz w:val="24"/>
          <w:szCs w:val="24"/>
        </w:rPr>
        <w:t>)</w:t>
      </w:r>
      <w:r w:rsidR="0093029D" w:rsidRPr="0068550E">
        <w:rPr>
          <w:rFonts w:ascii="Times New Roman" w:hAnsi="Times New Roman" w:cs="Times New Roman"/>
          <w:sz w:val="24"/>
          <w:szCs w:val="24"/>
        </w:rPr>
        <w:t>, 93-99.</w:t>
      </w:r>
    </w:p>
  </w:footnote>
  <w:footnote w:id="23">
    <w:p w14:paraId="0DECF19B" w14:textId="1434FF7C" w:rsidR="009516AD"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516AD" w:rsidRPr="0068550E">
        <w:rPr>
          <w:rFonts w:ascii="Times New Roman" w:hAnsi="Times New Roman" w:cs="Times New Roman"/>
          <w:sz w:val="24"/>
          <w:szCs w:val="24"/>
        </w:rPr>
        <w:t xml:space="preserve">Against such an understanding, </w:t>
      </w:r>
      <w:r w:rsidR="009516AD" w:rsidRPr="0068550E">
        <w:rPr>
          <w:rFonts w:ascii="Times New Roman" w:hAnsi="Times New Roman" w:cs="Times New Roman"/>
          <w:sz w:val="24"/>
          <w:szCs w:val="24"/>
          <w:u w:color="000000"/>
        </w:rPr>
        <w:t>P</w:t>
      </w:r>
      <w:r w:rsidR="00F060E2">
        <w:rPr>
          <w:rFonts w:ascii="Times New Roman" w:hAnsi="Times New Roman" w:cs="Times New Roman"/>
          <w:sz w:val="24"/>
          <w:szCs w:val="24"/>
          <w:u w:color="000000"/>
        </w:rPr>
        <w:t>aul</w:t>
      </w:r>
      <w:r w:rsidR="009516AD" w:rsidRPr="0068550E">
        <w:rPr>
          <w:rFonts w:ascii="Times New Roman" w:hAnsi="Times New Roman" w:cs="Times New Roman"/>
          <w:sz w:val="24"/>
          <w:szCs w:val="24"/>
          <w:u w:color="000000"/>
        </w:rPr>
        <w:t xml:space="preserve"> Clavier</w:t>
      </w:r>
      <w:r w:rsidR="001E7135" w:rsidRPr="001E7135">
        <w:rPr>
          <w:rFonts w:ascii="Times New Roman" w:hAnsi="Times New Roman" w:cs="Times New Roman"/>
          <w:sz w:val="24"/>
          <w:szCs w:val="24"/>
          <w:u w:color="000000"/>
        </w:rPr>
        <w:t xml:space="preserve"> </w:t>
      </w:r>
      <w:r w:rsidR="001E7135" w:rsidRPr="0068550E">
        <w:rPr>
          <w:rFonts w:ascii="Times New Roman" w:hAnsi="Times New Roman" w:cs="Times New Roman"/>
          <w:sz w:val="24"/>
          <w:szCs w:val="24"/>
          <w:u w:color="000000"/>
        </w:rPr>
        <w:t>argues</w:t>
      </w:r>
      <w:r w:rsidR="001E7135">
        <w:rPr>
          <w:rFonts w:ascii="Times New Roman" w:hAnsi="Times New Roman" w:cs="Times New Roman"/>
          <w:sz w:val="24"/>
          <w:szCs w:val="24"/>
          <w:u w:color="000000"/>
        </w:rPr>
        <w:t xml:space="preserve"> in</w:t>
      </w:r>
      <w:r w:rsidR="009516AD" w:rsidRPr="0068550E">
        <w:rPr>
          <w:rFonts w:ascii="Times New Roman" w:hAnsi="Times New Roman" w:cs="Times New Roman"/>
          <w:i/>
          <w:iCs/>
          <w:sz w:val="24"/>
          <w:szCs w:val="24"/>
          <w:u w:color="000000"/>
        </w:rPr>
        <w:t xml:space="preserve"> Ex nihilo</w:t>
      </w:r>
      <w:r w:rsidR="001E7135">
        <w:rPr>
          <w:rFonts w:ascii="Times New Roman" w:hAnsi="Times New Roman" w:cs="Times New Roman"/>
          <w:sz w:val="24"/>
          <w:szCs w:val="24"/>
          <w:u w:color="000000"/>
        </w:rPr>
        <w:t xml:space="preserve"> (</w:t>
      </w:r>
      <w:r w:rsidR="009516AD" w:rsidRPr="0068550E">
        <w:rPr>
          <w:rFonts w:ascii="Times New Roman" w:hAnsi="Times New Roman" w:cs="Times New Roman"/>
          <w:sz w:val="24"/>
          <w:szCs w:val="24"/>
          <w:u w:color="000000"/>
        </w:rPr>
        <w:t>Paris</w:t>
      </w:r>
      <w:r w:rsidR="001E7135">
        <w:rPr>
          <w:rFonts w:ascii="Times New Roman" w:hAnsi="Times New Roman" w:cs="Times New Roman"/>
          <w:sz w:val="24"/>
          <w:szCs w:val="24"/>
          <w:u w:color="000000"/>
        </w:rPr>
        <w:t>:</w:t>
      </w:r>
      <w:r w:rsidR="009516AD" w:rsidRPr="0068550E">
        <w:rPr>
          <w:rFonts w:ascii="Times New Roman" w:hAnsi="Times New Roman" w:cs="Times New Roman"/>
          <w:sz w:val="24"/>
          <w:szCs w:val="24"/>
          <w:u w:color="000000"/>
        </w:rPr>
        <w:t xml:space="preserve"> Hermann, 2011</w:t>
      </w:r>
      <w:r w:rsidR="001E7135">
        <w:rPr>
          <w:rFonts w:ascii="Times New Roman" w:hAnsi="Times New Roman" w:cs="Times New Roman"/>
          <w:sz w:val="24"/>
          <w:szCs w:val="24"/>
          <w:u w:color="000000"/>
        </w:rPr>
        <w:t>)</w:t>
      </w:r>
      <w:r w:rsidR="009516AD" w:rsidRPr="0068550E">
        <w:rPr>
          <w:rFonts w:ascii="Times New Roman" w:hAnsi="Times New Roman" w:cs="Times New Roman"/>
          <w:sz w:val="24"/>
          <w:szCs w:val="24"/>
          <w:u w:color="000000"/>
        </w:rPr>
        <w:t xml:space="preserve">, </w:t>
      </w:r>
      <w:r w:rsidR="001E7135">
        <w:rPr>
          <w:rFonts w:ascii="Times New Roman" w:hAnsi="Times New Roman" w:cs="Times New Roman"/>
          <w:sz w:val="24"/>
          <w:szCs w:val="24"/>
          <w:u w:color="000000"/>
        </w:rPr>
        <w:t xml:space="preserve">2 vols., </w:t>
      </w:r>
      <w:r w:rsidR="009516AD" w:rsidRPr="0068550E">
        <w:rPr>
          <w:rFonts w:ascii="Times New Roman" w:hAnsi="Times New Roman" w:cs="Times New Roman"/>
          <w:sz w:val="24"/>
          <w:szCs w:val="24"/>
          <w:u w:color="000000"/>
        </w:rPr>
        <w:t xml:space="preserve">for the properly philosophical pertinence of the concept of creation </w:t>
      </w:r>
      <w:r w:rsidR="009516AD" w:rsidRPr="0068550E">
        <w:rPr>
          <w:rFonts w:ascii="Times New Roman" w:hAnsi="Times New Roman" w:cs="Times New Roman"/>
          <w:i/>
          <w:iCs/>
          <w:sz w:val="24"/>
          <w:szCs w:val="24"/>
          <w:u w:color="000000"/>
        </w:rPr>
        <w:t>ex nihilo</w:t>
      </w:r>
      <w:r w:rsidR="009516AD" w:rsidRPr="0068550E">
        <w:rPr>
          <w:rFonts w:ascii="Times New Roman" w:hAnsi="Times New Roman" w:cs="Times New Roman"/>
          <w:sz w:val="24"/>
          <w:szCs w:val="24"/>
          <w:u w:color="000000"/>
        </w:rPr>
        <w:t xml:space="preserve"> (but not </w:t>
      </w:r>
      <w:r w:rsidR="009516AD" w:rsidRPr="0068550E">
        <w:rPr>
          <w:rFonts w:ascii="Times New Roman" w:hAnsi="Times New Roman" w:cs="Times New Roman"/>
          <w:i/>
          <w:iCs/>
          <w:sz w:val="24"/>
          <w:szCs w:val="24"/>
          <w:u w:color="000000"/>
        </w:rPr>
        <w:t>de novo</w:t>
      </w:r>
      <w:r w:rsidR="009516AD" w:rsidRPr="0068550E">
        <w:rPr>
          <w:rFonts w:ascii="Times New Roman" w:hAnsi="Times New Roman" w:cs="Times New Roman"/>
          <w:sz w:val="24"/>
          <w:szCs w:val="24"/>
          <w:u w:color="000000"/>
        </w:rPr>
        <w:t xml:space="preserve">). </w:t>
      </w:r>
    </w:p>
  </w:footnote>
  <w:footnote w:id="24">
    <w:p w14:paraId="3B9FB3AC" w14:textId="391874B9"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3029D" w:rsidRPr="0068550E">
        <w:rPr>
          <w:rFonts w:ascii="Times New Roman" w:hAnsi="Times New Roman" w:cs="Times New Roman"/>
          <w:sz w:val="24"/>
          <w:szCs w:val="24"/>
          <w:u w:color="000000"/>
        </w:rPr>
        <w:t>For these arguments, see the classic studies: R</w:t>
      </w:r>
      <w:r w:rsidR="00F060E2">
        <w:rPr>
          <w:rFonts w:ascii="Times New Roman" w:hAnsi="Times New Roman" w:cs="Times New Roman"/>
          <w:sz w:val="24"/>
          <w:szCs w:val="24"/>
          <w:u w:color="000000"/>
        </w:rPr>
        <w:t>ichard</w:t>
      </w:r>
      <w:r w:rsidR="0093029D" w:rsidRPr="0068550E">
        <w:rPr>
          <w:rFonts w:ascii="Times New Roman" w:hAnsi="Times New Roman" w:cs="Times New Roman"/>
          <w:sz w:val="24"/>
          <w:szCs w:val="24"/>
          <w:u w:color="000000"/>
        </w:rPr>
        <w:t xml:space="preserve"> </w:t>
      </w:r>
      <w:proofErr w:type="spellStart"/>
      <w:r w:rsidR="0093029D" w:rsidRPr="0068550E">
        <w:rPr>
          <w:rFonts w:ascii="Times New Roman" w:hAnsi="Times New Roman" w:cs="Times New Roman"/>
          <w:sz w:val="24"/>
          <w:szCs w:val="24"/>
          <w:u w:color="000000"/>
        </w:rPr>
        <w:t>Sorabji</w:t>
      </w:r>
      <w:proofErr w:type="spellEnd"/>
      <w:r w:rsidR="0093029D" w:rsidRPr="0068550E">
        <w:rPr>
          <w:rFonts w:ascii="Times New Roman" w:hAnsi="Times New Roman" w:cs="Times New Roman"/>
          <w:sz w:val="24"/>
          <w:szCs w:val="24"/>
          <w:u w:color="000000"/>
        </w:rPr>
        <w:t xml:space="preserve">, </w:t>
      </w:r>
      <w:r w:rsidR="0093029D" w:rsidRPr="0068550E">
        <w:rPr>
          <w:rFonts w:ascii="Times New Roman" w:hAnsi="Times New Roman" w:cs="Times New Roman"/>
          <w:i/>
          <w:iCs/>
          <w:sz w:val="24"/>
          <w:szCs w:val="24"/>
          <w:u w:color="000000"/>
        </w:rPr>
        <w:t>Time, Creation, and the Continuum: Theories in Antiquity and the Early Middle Ages</w:t>
      </w:r>
      <w:r w:rsidR="001E7135">
        <w:rPr>
          <w:rFonts w:ascii="Times New Roman" w:hAnsi="Times New Roman" w:cs="Times New Roman"/>
          <w:sz w:val="24"/>
          <w:szCs w:val="24"/>
          <w:u w:color="000000"/>
        </w:rPr>
        <w:t xml:space="preserve"> (</w:t>
      </w:r>
      <w:r w:rsidR="0093029D" w:rsidRPr="0068550E">
        <w:rPr>
          <w:rFonts w:ascii="Times New Roman" w:hAnsi="Times New Roman" w:cs="Times New Roman"/>
          <w:sz w:val="24"/>
          <w:szCs w:val="24"/>
          <w:u w:color="000000"/>
        </w:rPr>
        <w:t>Chicago</w:t>
      </w:r>
      <w:r w:rsidR="001E7135">
        <w:rPr>
          <w:rFonts w:ascii="Times New Roman" w:hAnsi="Times New Roman" w:cs="Times New Roman"/>
          <w:sz w:val="24"/>
          <w:szCs w:val="24"/>
          <w:u w:color="000000"/>
        </w:rPr>
        <w:t>:</w:t>
      </w:r>
      <w:r w:rsidR="0093029D" w:rsidRPr="0068550E">
        <w:rPr>
          <w:rFonts w:ascii="Times New Roman" w:hAnsi="Times New Roman" w:cs="Times New Roman"/>
          <w:sz w:val="24"/>
          <w:szCs w:val="24"/>
          <w:u w:color="000000"/>
        </w:rPr>
        <w:t xml:space="preserve"> University of Chicago Press, 2006 [1983]</w:t>
      </w:r>
      <w:r w:rsidR="001E7135">
        <w:rPr>
          <w:rFonts w:ascii="Times New Roman" w:hAnsi="Times New Roman" w:cs="Times New Roman"/>
          <w:sz w:val="24"/>
          <w:szCs w:val="24"/>
          <w:u w:color="000000"/>
        </w:rPr>
        <w:t>)</w:t>
      </w:r>
      <w:r w:rsidR="0093029D" w:rsidRPr="0068550E">
        <w:rPr>
          <w:rFonts w:ascii="Times New Roman" w:hAnsi="Times New Roman" w:cs="Times New Roman"/>
          <w:sz w:val="24"/>
          <w:szCs w:val="24"/>
          <w:u w:color="000000"/>
        </w:rPr>
        <w:t>, parts 3 and 4, and H</w:t>
      </w:r>
      <w:r w:rsidR="00F060E2">
        <w:rPr>
          <w:rFonts w:ascii="Times New Roman" w:hAnsi="Times New Roman" w:cs="Times New Roman"/>
          <w:sz w:val="24"/>
          <w:szCs w:val="24"/>
          <w:u w:color="000000"/>
        </w:rPr>
        <w:t>erbert</w:t>
      </w:r>
      <w:r w:rsidR="0093029D" w:rsidRPr="0068550E">
        <w:rPr>
          <w:rFonts w:ascii="Times New Roman" w:hAnsi="Times New Roman" w:cs="Times New Roman"/>
          <w:sz w:val="24"/>
          <w:szCs w:val="24"/>
          <w:u w:color="000000"/>
        </w:rPr>
        <w:t xml:space="preserve"> A. Davidson, </w:t>
      </w:r>
      <w:r w:rsidR="0093029D" w:rsidRPr="0068550E">
        <w:rPr>
          <w:rFonts w:ascii="Times New Roman" w:hAnsi="Times New Roman" w:cs="Times New Roman"/>
          <w:i/>
          <w:iCs/>
          <w:sz w:val="24"/>
          <w:szCs w:val="24"/>
          <w:u w:color="000000"/>
        </w:rPr>
        <w:t>Proofs for Eternity, Creation, and the Existence of God in Medieval Islamic and Jewish Philosophy</w:t>
      </w:r>
      <w:r w:rsidR="0093029D" w:rsidRPr="0068550E">
        <w:rPr>
          <w:rFonts w:ascii="Times New Roman" w:hAnsi="Times New Roman" w:cs="Times New Roman"/>
          <w:sz w:val="24"/>
          <w:szCs w:val="24"/>
          <w:u w:color="000000"/>
        </w:rPr>
        <w:t xml:space="preserve">, </w:t>
      </w:r>
      <w:r w:rsidR="001E7135">
        <w:rPr>
          <w:rFonts w:ascii="Times New Roman" w:hAnsi="Times New Roman" w:cs="Times New Roman"/>
          <w:sz w:val="24"/>
          <w:szCs w:val="24"/>
          <w:u w:color="000000"/>
        </w:rPr>
        <w:t>(</w:t>
      </w:r>
      <w:r w:rsidR="0093029D" w:rsidRPr="0068550E">
        <w:rPr>
          <w:rFonts w:ascii="Times New Roman" w:hAnsi="Times New Roman" w:cs="Times New Roman"/>
          <w:sz w:val="24"/>
          <w:szCs w:val="24"/>
          <w:u w:color="000000"/>
        </w:rPr>
        <w:t>New York and Oxford</w:t>
      </w:r>
      <w:r w:rsidR="001E7135">
        <w:rPr>
          <w:rFonts w:ascii="Times New Roman" w:hAnsi="Times New Roman" w:cs="Times New Roman"/>
          <w:sz w:val="24"/>
          <w:szCs w:val="24"/>
          <w:u w:color="000000"/>
        </w:rPr>
        <w:t>:</w:t>
      </w:r>
      <w:r w:rsidR="0093029D" w:rsidRPr="0068550E">
        <w:rPr>
          <w:rFonts w:ascii="Times New Roman" w:hAnsi="Times New Roman" w:cs="Times New Roman"/>
          <w:sz w:val="24"/>
          <w:szCs w:val="24"/>
          <w:u w:color="000000"/>
        </w:rPr>
        <w:t xml:space="preserve"> Oxford University Press, 1987</w:t>
      </w:r>
      <w:r w:rsidR="001E7135">
        <w:rPr>
          <w:rFonts w:ascii="Times New Roman" w:hAnsi="Times New Roman" w:cs="Times New Roman"/>
          <w:sz w:val="24"/>
          <w:szCs w:val="24"/>
          <w:u w:color="000000"/>
        </w:rPr>
        <w:t>)</w:t>
      </w:r>
      <w:r w:rsidR="0093029D" w:rsidRPr="0068550E">
        <w:rPr>
          <w:rFonts w:ascii="Times New Roman" w:hAnsi="Times New Roman" w:cs="Times New Roman"/>
          <w:sz w:val="24"/>
          <w:szCs w:val="24"/>
          <w:u w:color="000000"/>
        </w:rPr>
        <w:t xml:space="preserve"> (hereafter </w:t>
      </w:r>
      <w:r w:rsidR="0093029D" w:rsidRPr="0068550E">
        <w:rPr>
          <w:rFonts w:ascii="Times New Roman" w:hAnsi="Times New Roman" w:cs="Times New Roman"/>
          <w:i/>
          <w:sz w:val="24"/>
          <w:szCs w:val="24"/>
          <w:u w:color="000000"/>
        </w:rPr>
        <w:t>Proofs</w:t>
      </w:r>
      <w:r w:rsidR="0093029D" w:rsidRPr="0068550E">
        <w:rPr>
          <w:rFonts w:ascii="Times New Roman" w:hAnsi="Times New Roman" w:cs="Times New Roman"/>
          <w:sz w:val="24"/>
          <w:szCs w:val="24"/>
          <w:u w:color="000000"/>
        </w:rPr>
        <w:t>).</w:t>
      </w:r>
    </w:p>
  </w:footnote>
  <w:footnote w:id="25">
    <w:p w14:paraId="5663F8A0" w14:textId="5778AF82"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516AD" w:rsidRPr="0068550E">
        <w:rPr>
          <w:rFonts w:ascii="Times New Roman" w:hAnsi="Times New Roman" w:cs="Times New Roman"/>
          <w:sz w:val="24"/>
          <w:szCs w:val="24"/>
        </w:rPr>
        <w:t>L</w:t>
      </w:r>
      <w:r w:rsidR="00F060E2">
        <w:rPr>
          <w:rFonts w:ascii="Times New Roman" w:hAnsi="Times New Roman" w:cs="Times New Roman"/>
          <w:sz w:val="24"/>
          <w:szCs w:val="24"/>
        </w:rPr>
        <w:t>udwig</w:t>
      </w:r>
      <w:r w:rsidR="009516AD" w:rsidRPr="0068550E">
        <w:rPr>
          <w:rFonts w:ascii="Times New Roman" w:hAnsi="Times New Roman" w:cs="Times New Roman"/>
          <w:sz w:val="24"/>
          <w:szCs w:val="24"/>
        </w:rPr>
        <w:t xml:space="preserve"> Wittgenstein, </w:t>
      </w:r>
      <w:r w:rsidR="009516AD" w:rsidRPr="0068550E">
        <w:rPr>
          <w:rFonts w:ascii="Times New Roman" w:hAnsi="Times New Roman" w:cs="Times New Roman"/>
          <w:i/>
          <w:iCs/>
          <w:sz w:val="24"/>
          <w:szCs w:val="24"/>
        </w:rPr>
        <w:t>Lecture on Ethics</w:t>
      </w:r>
      <w:r w:rsidR="00E00762" w:rsidRPr="0068550E">
        <w:rPr>
          <w:rFonts w:ascii="Times New Roman" w:hAnsi="Times New Roman" w:cs="Times New Roman"/>
          <w:sz w:val="24"/>
          <w:szCs w:val="24"/>
        </w:rPr>
        <w:t xml:space="preserve">, </w:t>
      </w:r>
      <w:r w:rsidR="001E7135">
        <w:rPr>
          <w:rFonts w:ascii="Times New Roman" w:hAnsi="Times New Roman" w:cs="Times New Roman"/>
          <w:sz w:val="24"/>
          <w:szCs w:val="24"/>
        </w:rPr>
        <w:t>e</w:t>
      </w:r>
      <w:r w:rsidR="00E00762" w:rsidRPr="0068550E">
        <w:rPr>
          <w:rFonts w:ascii="Times New Roman" w:hAnsi="Times New Roman" w:cs="Times New Roman"/>
          <w:sz w:val="24"/>
          <w:szCs w:val="24"/>
        </w:rPr>
        <w:t xml:space="preserve">d. </w:t>
      </w:r>
      <w:proofErr w:type="spellStart"/>
      <w:r w:rsidR="00E00762" w:rsidRPr="0068550E">
        <w:rPr>
          <w:rFonts w:ascii="Times New Roman" w:hAnsi="Times New Roman" w:cs="Times New Roman"/>
          <w:sz w:val="24"/>
          <w:szCs w:val="24"/>
        </w:rPr>
        <w:t>E</w:t>
      </w:r>
      <w:r w:rsidR="00F060E2">
        <w:rPr>
          <w:rFonts w:ascii="Times New Roman" w:hAnsi="Times New Roman" w:cs="Times New Roman"/>
          <w:sz w:val="24"/>
          <w:szCs w:val="24"/>
        </w:rPr>
        <w:t>doardo</w:t>
      </w:r>
      <w:proofErr w:type="spellEnd"/>
      <w:r w:rsidR="00E00762" w:rsidRPr="0068550E">
        <w:rPr>
          <w:rFonts w:ascii="Times New Roman" w:hAnsi="Times New Roman" w:cs="Times New Roman"/>
          <w:sz w:val="24"/>
          <w:szCs w:val="24"/>
        </w:rPr>
        <w:t xml:space="preserve"> </w:t>
      </w:r>
      <w:proofErr w:type="spellStart"/>
      <w:r w:rsidR="00E00762" w:rsidRPr="0068550E">
        <w:rPr>
          <w:rFonts w:ascii="Times New Roman" w:hAnsi="Times New Roman" w:cs="Times New Roman"/>
          <w:sz w:val="24"/>
          <w:szCs w:val="24"/>
        </w:rPr>
        <w:t>Zamuner</w:t>
      </w:r>
      <w:proofErr w:type="spellEnd"/>
      <w:r w:rsidR="00E00762" w:rsidRPr="0068550E">
        <w:rPr>
          <w:rFonts w:ascii="Times New Roman" w:hAnsi="Times New Roman" w:cs="Times New Roman"/>
          <w:sz w:val="24"/>
          <w:szCs w:val="24"/>
        </w:rPr>
        <w:t>, E</w:t>
      </w:r>
      <w:r w:rsidR="00F060E2">
        <w:rPr>
          <w:rFonts w:ascii="Times New Roman" w:hAnsi="Times New Roman" w:cs="Times New Roman"/>
          <w:sz w:val="24"/>
          <w:szCs w:val="24"/>
        </w:rPr>
        <w:t>rmelinda Valentina</w:t>
      </w:r>
      <w:r w:rsidR="00E00762" w:rsidRPr="0068550E">
        <w:rPr>
          <w:rFonts w:ascii="Times New Roman" w:hAnsi="Times New Roman" w:cs="Times New Roman"/>
          <w:sz w:val="24"/>
          <w:szCs w:val="24"/>
        </w:rPr>
        <w:t xml:space="preserve"> Di </w:t>
      </w:r>
      <w:proofErr w:type="spellStart"/>
      <w:r w:rsidR="00E00762" w:rsidRPr="0068550E">
        <w:rPr>
          <w:rFonts w:ascii="Times New Roman" w:hAnsi="Times New Roman" w:cs="Times New Roman"/>
          <w:sz w:val="24"/>
          <w:szCs w:val="24"/>
        </w:rPr>
        <w:t>Lascio</w:t>
      </w:r>
      <w:proofErr w:type="spellEnd"/>
      <w:r w:rsidR="00E00762" w:rsidRPr="0068550E">
        <w:rPr>
          <w:rFonts w:ascii="Times New Roman" w:hAnsi="Times New Roman" w:cs="Times New Roman"/>
          <w:sz w:val="24"/>
          <w:szCs w:val="24"/>
        </w:rPr>
        <w:t>, and D.K. Levy</w:t>
      </w:r>
      <w:r w:rsidR="001E7135">
        <w:rPr>
          <w:rFonts w:ascii="Times New Roman" w:hAnsi="Times New Roman" w:cs="Times New Roman"/>
          <w:sz w:val="24"/>
          <w:szCs w:val="24"/>
        </w:rPr>
        <w:t xml:space="preserve"> (</w:t>
      </w:r>
      <w:r w:rsidR="00E00762" w:rsidRPr="0068550E">
        <w:rPr>
          <w:rFonts w:ascii="Times New Roman" w:hAnsi="Times New Roman" w:cs="Times New Roman"/>
          <w:sz w:val="24"/>
          <w:szCs w:val="24"/>
        </w:rPr>
        <w:t>John Wiley &amp; Sons, 2014</w:t>
      </w:r>
      <w:r w:rsidR="001E7135">
        <w:rPr>
          <w:rFonts w:ascii="Times New Roman" w:hAnsi="Times New Roman" w:cs="Times New Roman"/>
          <w:sz w:val="24"/>
          <w:szCs w:val="24"/>
        </w:rPr>
        <w:t>)</w:t>
      </w:r>
      <w:r w:rsidR="00E00762" w:rsidRPr="0068550E">
        <w:rPr>
          <w:rFonts w:ascii="Times New Roman" w:hAnsi="Times New Roman" w:cs="Times New Roman"/>
          <w:sz w:val="24"/>
          <w:szCs w:val="24"/>
        </w:rPr>
        <w:t>, 50.</w:t>
      </w:r>
    </w:p>
  </w:footnote>
  <w:footnote w:id="26">
    <w:p w14:paraId="62F341BA" w14:textId="3FC21D25" w:rsidR="006A6FE4" w:rsidRPr="0068550E" w:rsidRDefault="006A6FE4"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F74AA4" w:rsidRPr="0068550E">
        <w:rPr>
          <w:rFonts w:ascii="Times New Roman" w:hAnsi="Times New Roman" w:cs="Times New Roman"/>
          <w:i/>
          <w:iCs/>
          <w:sz w:val="24"/>
          <w:szCs w:val="24"/>
        </w:rPr>
        <w:t>Ibid.,</w:t>
      </w:r>
      <w:r w:rsidR="00F74AA4" w:rsidRPr="0068550E">
        <w:rPr>
          <w:rFonts w:ascii="Times New Roman" w:hAnsi="Times New Roman" w:cs="Times New Roman"/>
          <w:sz w:val="24"/>
          <w:szCs w:val="24"/>
        </w:rPr>
        <w:t xml:space="preserve"> 51.</w:t>
      </w:r>
    </w:p>
  </w:footnote>
  <w:footnote w:id="27">
    <w:p w14:paraId="4303A386" w14:textId="601DC0D8" w:rsidR="006A6FE4" w:rsidRPr="0068550E" w:rsidRDefault="006A6FE4"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E060FF" w:rsidRPr="0068550E">
        <w:rPr>
          <w:rFonts w:ascii="Times New Roman" w:hAnsi="Times New Roman" w:cs="Times New Roman"/>
          <w:sz w:val="24"/>
          <w:szCs w:val="24"/>
          <w:highlight w:val="green"/>
        </w:rPr>
        <w:t>Infra., p.</w:t>
      </w:r>
      <w:r w:rsidR="00E060FF" w:rsidRPr="0068550E">
        <w:rPr>
          <w:rFonts w:ascii="Times New Roman" w:hAnsi="Times New Roman" w:cs="Times New Roman"/>
          <w:sz w:val="24"/>
          <w:szCs w:val="24"/>
        </w:rPr>
        <w:t xml:space="preserve"> </w:t>
      </w:r>
    </w:p>
  </w:footnote>
  <w:footnote w:id="28">
    <w:p w14:paraId="1A1F51AC" w14:textId="2BD816B4" w:rsidR="006A6FE4" w:rsidRPr="0068550E" w:rsidRDefault="006A6FE4"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3029D" w:rsidRPr="0068550E">
        <w:rPr>
          <w:rFonts w:ascii="Times New Roman" w:hAnsi="Times New Roman" w:cs="Times New Roman"/>
          <w:sz w:val="24"/>
          <w:szCs w:val="24"/>
          <w:u w:color="000000"/>
        </w:rPr>
        <w:t>D</w:t>
      </w:r>
      <w:r w:rsidR="00F060E2">
        <w:rPr>
          <w:rFonts w:ascii="Times New Roman" w:hAnsi="Times New Roman" w:cs="Times New Roman"/>
          <w:sz w:val="24"/>
          <w:szCs w:val="24"/>
          <w:u w:color="000000"/>
        </w:rPr>
        <w:t>ov</w:t>
      </w:r>
      <w:r w:rsidR="0093029D" w:rsidRPr="0068550E">
        <w:rPr>
          <w:rFonts w:ascii="Times New Roman" w:hAnsi="Times New Roman" w:cs="Times New Roman"/>
          <w:sz w:val="24"/>
          <w:szCs w:val="24"/>
          <w:u w:color="000000"/>
        </w:rPr>
        <w:t xml:space="preserve"> Schwartz, </w:t>
      </w:r>
      <w:r w:rsidR="0093029D" w:rsidRPr="0068550E">
        <w:rPr>
          <w:rFonts w:ascii="Times New Roman" w:hAnsi="Times New Roman" w:cs="Times New Roman"/>
          <w:i/>
          <w:iCs/>
          <w:sz w:val="24"/>
          <w:szCs w:val="24"/>
          <w:u w:color="000000"/>
        </w:rPr>
        <w:t xml:space="preserve">Contradiction and Concealment in Medieval Jewish Thought </w:t>
      </w:r>
      <w:r w:rsidR="0093029D" w:rsidRPr="0068550E">
        <w:rPr>
          <w:rFonts w:ascii="Times New Roman" w:hAnsi="Times New Roman" w:cs="Times New Roman"/>
          <w:sz w:val="24"/>
          <w:szCs w:val="24"/>
          <w:u w:color="000000"/>
        </w:rPr>
        <w:t>[</w:t>
      </w:r>
      <w:r w:rsidR="008A64FA">
        <w:rPr>
          <w:rFonts w:ascii="Times New Roman" w:hAnsi="Times New Roman" w:cs="Times New Roman"/>
          <w:sz w:val="24"/>
          <w:szCs w:val="24"/>
          <w:u w:color="000000"/>
        </w:rPr>
        <w:t xml:space="preserve">in </w:t>
      </w:r>
      <w:r w:rsidR="0093029D" w:rsidRPr="0068550E">
        <w:rPr>
          <w:rFonts w:ascii="Times New Roman" w:hAnsi="Times New Roman" w:cs="Times New Roman"/>
          <w:sz w:val="24"/>
          <w:szCs w:val="24"/>
          <w:u w:color="000000"/>
        </w:rPr>
        <w:t xml:space="preserve">Hebrew], </w:t>
      </w:r>
      <w:r w:rsidR="008A64FA">
        <w:rPr>
          <w:rFonts w:ascii="Times New Roman" w:hAnsi="Times New Roman" w:cs="Times New Roman"/>
          <w:sz w:val="24"/>
          <w:szCs w:val="24"/>
          <w:u w:color="000000"/>
        </w:rPr>
        <w:t>(</w:t>
      </w:r>
      <w:r w:rsidR="0093029D" w:rsidRPr="0068550E">
        <w:rPr>
          <w:rFonts w:ascii="Times New Roman" w:hAnsi="Times New Roman" w:cs="Times New Roman"/>
          <w:sz w:val="24"/>
          <w:szCs w:val="24"/>
          <w:u w:color="000000"/>
        </w:rPr>
        <w:t>Ramat-Gan</w:t>
      </w:r>
      <w:r w:rsidR="008A64FA">
        <w:rPr>
          <w:rFonts w:ascii="Times New Roman" w:hAnsi="Times New Roman" w:cs="Times New Roman"/>
          <w:sz w:val="24"/>
          <w:szCs w:val="24"/>
          <w:u w:color="000000"/>
        </w:rPr>
        <w:t>:</w:t>
      </w:r>
      <w:r w:rsidR="0093029D" w:rsidRPr="0068550E">
        <w:rPr>
          <w:rFonts w:ascii="Times New Roman" w:hAnsi="Times New Roman" w:cs="Times New Roman"/>
          <w:sz w:val="24"/>
          <w:szCs w:val="24"/>
          <w:u w:color="000000"/>
        </w:rPr>
        <w:t xml:space="preserve"> Bar-</w:t>
      </w:r>
      <w:proofErr w:type="spellStart"/>
      <w:r w:rsidR="0093029D" w:rsidRPr="0068550E">
        <w:rPr>
          <w:rFonts w:ascii="Times New Roman" w:hAnsi="Times New Roman" w:cs="Times New Roman"/>
          <w:sz w:val="24"/>
          <w:szCs w:val="24"/>
          <w:u w:color="000000"/>
        </w:rPr>
        <w:t>Ilan</w:t>
      </w:r>
      <w:proofErr w:type="spellEnd"/>
      <w:r w:rsidR="0093029D" w:rsidRPr="0068550E">
        <w:rPr>
          <w:rFonts w:ascii="Times New Roman" w:hAnsi="Times New Roman" w:cs="Times New Roman"/>
          <w:sz w:val="24"/>
          <w:szCs w:val="24"/>
          <w:u w:color="000000"/>
        </w:rPr>
        <w:t xml:space="preserve"> University Press, 2002</w:t>
      </w:r>
      <w:r w:rsidR="008A64FA">
        <w:rPr>
          <w:rFonts w:ascii="Times New Roman" w:hAnsi="Times New Roman" w:cs="Times New Roman"/>
          <w:sz w:val="24"/>
          <w:szCs w:val="24"/>
          <w:u w:color="000000"/>
        </w:rPr>
        <w:t>)</w:t>
      </w:r>
      <w:r w:rsidR="0093029D" w:rsidRPr="0068550E">
        <w:rPr>
          <w:rFonts w:ascii="Times New Roman" w:hAnsi="Times New Roman" w:cs="Times New Roman"/>
          <w:sz w:val="24"/>
          <w:szCs w:val="24"/>
          <w:u w:color="000000"/>
        </w:rPr>
        <w:t>.</w:t>
      </w:r>
    </w:p>
  </w:footnote>
  <w:footnote w:id="29">
    <w:p w14:paraId="73159D5F" w14:textId="0BA56109" w:rsidR="006A6FE4" w:rsidRPr="0068550E" w:rsidRDefault="006A6FE4"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3029D" w:rsidRPr="0068550E">
        <w:rPr>
          <w:rFonts w:ascii="Times New Roman" w:hAnsi="Times New Roman" w:cs="Times New Roman"/>
          <w:sz w:val="24"/>
          <w:szCs w:val="24"/>
        </w:rPr>
        <w:t xml:space="preserve">Melzer, </w:t>
      </w:r>
      <w:r w:rsidR="0093029D" w:rsidRPr="0068550E">
        <w:rPr>
          <w:rFonts w:ascii="Times New Roman" w:hAnsi="Times New Roman" w:cs="Times New Roman"/>
          <w:i/>
          <w:sz w:val="24"/>
          <w:szCs w:val="24"/>
        </w:rPr>
        <w:t>Philosophy Between the Lines.</w:t>
      </w:r>
    </w:p>
  </w:footnote>
  <w:footnote w:id="30">
    <w:p w14:paraId="24E6B616" w14:textId="169FC6C2"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3029D" w:rsidRPr="0068550E">
        <w:rPr>
          <w:rFonts w:ascii="Times New Roman" w:hAnsi="Times New Roman" w:cs="Times New Roman"/>
          <w:sz w:val="24"/>
          <w:szCs w:val="24"/>
        </w:rPr>
        <w:t>On the subject of S</w:t>
      </w:r>
      <w:r w:rsidR="00F060E2">
        <w:rPr>
          <w:rFonts w:ascii="Times New Roman" w:hAnsi="Times New Roman" w:cs="Times New Roman"/>
          <w:sz w:val="24"/>
          <w:szCs w:val="24"/>
        </w:rPr>
        <w:t>amuel</w:t>
      </w:r>
      <w:r w:rsidR="0093029D" w:rsidRPr="0068550E">
        <w:rPr>
          <w:rFonts w:ascii="Times New Roman" w:hAnsi="Times New Roman" w:cs="Times New Roman"/>
          <w:sz w:val="24"/>
          <w:szCs w:val="24"/>
        </w:rPr>
        <w:t xml:space="preserve"> Ibn </w:t>
      </w:r>
      <w:proofErr w:type="spellStart"/>
      <w:r w:rsidR="0093029D" w:rsidRPr="0068550E">
        <w:rPr>
          <w:rFonts w:ascii="Times New Roman" w:hAnsi="Times New Roman" w:cs="Times New Roman"/>
          <w:sz w:val="24"/>
          <w:szCs w:val="24"/>
        </w:rPr>
        <w:t>Tibbon</w:t>
      </w:r>
      <w:proofErr w:type="spellEnd"/>
      <w:r w:rsidR="0093029D" w:rsidRPr="0068550E">
        <w:rPr>
          <w:rFonts w:ascii="Times New Roman" w:hAnsi="Times New Roman" w:cs="Times New Roman"/>
          <w:sz w:val="24"/>
          <w:szCs w:val="24"/>
        </w:rPr>
        <w:t xml:space="preserve"> as an esoteric reader of the </w:t>
      </w:r>
      <w:r w:rsidR="0093029D" w:rsidRPr="0068550E">
        <w:rPr>
          <w:rFonts w:ascii="Times New Roman" w:hAnsi="Times New Roman" w:cs="Times New Roman"/>
          <w:i/>
          <w:sz w:val="24"/>
          <w:szCs w:val="24"/>
        </w:rPr>
        <w:t>Guide</w:t>
      </w:r>
      <w:r w:rsidR="0093029D" w:rsidRPr="0068550E">
        <w:rPr>
          <w:rFonts w:ascii="Times New Roman" w:hAnsi="Times New Roman" w:cs="Times New Roman"/>
          <w:i/>
          <w:sz w:val="24"/>
          <w:szCs w:val="24"/>
        </w:rPr>
        <w:fldChar w:fldCharType="begin"/>
      </w:r>
      <w:r w:rsidR="0093029D" w:rsidRPr="0068550E">
        <w:rPr>
          <w:rFonts w:ascii="Times New Roman" w:hAnsi="Times New Roman" w:cs="Times New Roman"/>
          <w:i/>
          <w:sz w:val="24"/>
          <w:szCs w:val="24"/>
        </w:rPr>
        <w:instrText xml:space="preserve"> XE "</w:instrText>
      </w:r>
      <w:r w:rsidR="0093029D" w:rsidRPr="0068550E">
        <w:rPr>
          <w:rFonts w:ascii="Times New Roman" w:hAnsi="Times New Roman" w:cs="Times New Roman"/>
          <w:sz w:val="24"/>
          <w:szCs w:val="24"/>
        </w:rPr>
        <w:instrText>Maïmonide:</w:instrText>
      </w:r>
      <w:r w:rsidR="0093029D" w:rsidRPr="0068550E">
        <w:rPr>
          <w:rFonts w:ascii="Times New Roman" w:hAnsi="Times New Roman" w:cs="Times New Roman"/>
          <w:i/>
          <w:sz w:val="24"/>
          <w:szCs w:val="24"/>
        </w:rPr>
        <w:instrText xml:space="preserve">Guide des égarés" </w:instrText>
      </w:r>
      <w:r w:rsidR="0093029D" w:rsidRPr="0068550E">
        <w:rPr>
          <w:rFonts w:ascii="Times New Roman" w:hAnsi="Times New Roman" w:cs="Times New Roman"/>
          <w:i/>
          <w:sz w:val="24"/>
          <w:szCs w:val="24"/>
        </w:rPr>
        <w:fldChar w:fldCharType="end"/>
      </w:r>
      <w:r w:rsidR="0093029D" w:rsidRPr="0068550E">
        <w:rPr>
          <w:rFonts w:ascii="Times New Roman" w:hAnsi="Times New Roman" w:cs="Times New Roman"/>
          <w:sz w:val="24"/>
          <w:szCs w:val="24"/>
        </w:rPr>
        <w:t xml:space="preserve">, see </w:t>
      </w:r>
      <w:proofErr w:type="spellStart"/>
      <w:r w:rsidR="0093029D" w:rsidRPr="0068550E">
        <w:rPr>
          <w:rFonts w:ascii="Times New Roman" w:hAnsi="Times New Roman" w:cs="Times New Roman"/>
          <w:sz w:val="24"/>
          <w:szCs w:val="24"/>
        </w:rPr>
        <w:t>A</w:t>
      </w:r>
      <w:r w:rsidR="00F060E2">
        <w:rPr>
          <w:rFonts w:ascii="Times New Roman" w:hAnsi="Times New Roman" w:cs="Times New Roman"/>
          <w:sz w:val="24"/>
          <w:szCs w:val="24"/>
        </w:rPr>
        <w:t>viezer</w:t>
      </w:r>
      <w:proofErr w:type="spellEnd"/>
      <w:r w:rsidR="0093029D" w:rsidRPr="0068550E">
        <w:rPr>
          <w:rFonts w:ascii="Times New Roman" w:hAnsi="Times New Roman" w:cs="Times New Roman"/>
          <w:sz w:val="24"/>
          <w:szCs w:val="24"/>
        </w:rPr>
        <w:t xml:space="preserve"> </w:t>
      </w:r>
      <w:proofErr w:type="spellStart"/>
      <w:r w:rsidR="0093029D" w:rsidRPr="0068550E">
        <w:rPr>
          <w:rFonts w:ascii="Times New Roman" w:hAnsi="Times New Roman" w:cs="Times New Roman"/>
          <w:sz w:val="24"/>
          <w:szCs w:val="24"/>
        </w:rPr>
        <w:t>Ravitzky</w:t>
      </w:r>
      <w:proofErr w:type="spellEnd"/>
      <w:r w:rsidR="0093029D" w:rsidRPr="0068550E">
        <w:rPr>
          <w:rFonts w:ascii="Times New Roman" w:hAnsi="Times New Roman" w:cs="Times New Roman"/>
          <w:sz w:val="24"/>
          <w:szCs w:val="24"/>
        </w:rPr>
        <w:t xml:space="preserve">, “Samuel Ibn </w:t>
      </w:r>
      <w:proofErr w:type="spellStart"/>
      <w:r w:rsidR="0093029D" w:rsidRPr="0068550E">
        <w:rPr>
          <w:rFonts w:ascii="Times New Roman" w:hAnsi="Times New Roman" w:cs="Times New Roman"/>
          <w:sz w:val="24"/>
          <w:szCs w:val="24"/>
        </w:rPr>
        <w:t>Tibbon</w:t>
      </w:r>
      <w:proofErr w:type="spellEnd"/>
      <w:r w:rsidR="0093029D" w:rsidRPr="0068550E">
        <w:rPr>
          <w:rFonts w:ascii="Times New Roman" w:hAnsi="Times New Roman" w:cs="Times New Roman"/>
          <w:sz w:val="24"/>
          <w:szCs w:val="24"/>
        </w:rPr>
        <w:fldChar w:fldCharType="begin"/>
      </w:r>
      <w:r w:rsidR="0093029D" w:rsidRPr="0068550E">
        <w:rPr>
          <w:rFonts w:ascii="Times New Roman" w:hAnsi="Times New Roman" w:cs="Times New Roman"/>
          <w:sz w:val="24"/>
          <w:szCs w:val="24"/>
        </w:rPr>
        <w:instrText xml:space="preserve"> XE "Ibn Tibbon, Samuel" </w:instrText>
      </w:r>
      <w:r w:rsidR="0093029D" w:rsidRPr="0068550E">
        <w:rPr>
          <w:rFonts w:ascii="Times New Roman" w:hAnsi="Times New Roman" w:cs="Times New Roman"/>
          <w:sz w:val="24"/>
          <w:szCs w:val="24"/>
        </w:rPr>
        <w:fldChar w:fldCharType="end"/>
      </w:r>
      <w:r w:rsidR="0093029D" w:rsidRPr="0068550E">
        <w:rPr>
          <w:rFonts w:ascii="Times New Roman" w:hAnsi="Times New Roman" w:cs="Times New Roman"/>
          <w:sz w:val="24"/>
          <w:szCs w:val="24"/>
        </w:rPr>
        <w:t xml:space="preserve"> and the Esoteric Character of the </w:t>
      </w:r>
      <w:r w:rsidR="0093029D" w:rsidRPr="0068550E">
        <w:rPr>
          <w:rFonts w:ascii="Times New Roman" w:hAnsi="Times New Roman" w:cs="Times New Roman"/>
          <w:i/>
          <w:sz w:val="24"/>
          <w:szCs w:val="24"/>
        </w:rPr>
        <w:t>Guide of the Perplexed</w:t>
      </w:r>
      <w:r w:rsidR="0093029D" w:rsidRPr="0068550E">
        <w:rPr>
          <w:rFonts w:ascii="Times New Roman" w:hAnsi="Times New Roman" w:cs="Times New Roman"/>
          <w:sz w:val="24"/>
          <w:szCs w:val="24"/>
        </w:rPr>
        <w:t xml:space="preserve">,” </w:t>
      </w:r>
      <w:r w:rsidR="0093029D" w:rsidRPr="0068550E">
        <w:rPr>
          <w:rFonts w:ascii="Times New Roman" w:hAnsi="Times New Roman" w:cs="Times New Roman"/>
          <w:i/>
          <w:iCs/>
          <w:sz w:val="24"/>
          <w:szCs w:val="24"/>
        </w:rPr>
        <w:t>AJS Review</w:t>
      </w:r>
      <w:r w:rsidR="008A64FA">
        <w:rPr>
          <w:rFonts w:ascii="Times New Roman" w:hAnsi="Times New Roman" w:cs="Times New Roman"/>
          <w:i/>
          <w:iCs/>
          <w:sz w:val="24"/>
          <w:szCs w:val="24"/>
        </w:rPr>
        <w:t xml:space="preserve"> </w:t>
      </w:r>
      <w:r w:rsidR="008A64FA">
        <w:rPr>
          <w:rFonts w:ascii="Times New Roman" w:hAnsi="Times New Roman" w:cs="Times New Roman"/>
          <w:sz w:val="24"/>
          <w:szCs w:val="24"/>
        </w:rPr>
        <w:t xml:space="preserve">6 </w:t>
      </w:r>
      <w:r w:rsidR="008A64FA" w:rsidRPr="006F45B9">
        <w:rPr>
          <w:rFonts w:ascii="Times New Roman" w:hAnsi="Times New Roman" w:cs="Times New Roman"/>
          <w:sz w:val="24"/>
          <w:szCs w:val="24"/>
        </w:rPr>
        <w:t>(</w:t>
      </w:r>
      <w:r w:rsidR="0093029D" w:rsidRPr="006F45B9">
        <w:rPr>
          <w:rFonts w:ascii="Times New Roman" w:hAnsi="Times New Roman" w:cs="Times New Roman"/>
          <w:sz w:val="24"/>
          <w:szCs w:val="24"/>
        </w:rPr>
        <w:t>1981</w:t>
      </w:r>
      <w:r w:rsidR="008A64FA" w:rsidRPr="006F45B9">
        <w:rPr>
          <w:rFonts w:ascii="Times New Roman" w:hAnsi="Times New Roman" w:cs="Times New Roman"/>
          <w:sz w:val="24"/>
          <w:szCs w:val="24"/>
        </w:rPr>
        <w:t>):</w:t>
      </w:r>
      <w:r w:rsidR="0093029D" w:rsidRPr="006F45B9">
        <w:rPr>
          <w:rFonts w:ascii="Times New Roman" w:hAnsi="Times New Roman" w:cs="Times New Roman"/>
          <w:sz w:val="24"/>
          <w:szCs w:val="24"/>
        </w:rPr>
        <w:t xml:space="preserve"> 87</w:t>
      </w:r>
      <w:r w:rsidR="0093029D" w:rsidRPr="006F45B9">
        <w:rPr>
          <w:rFonts w:ascii="Times New Roman" w:hAnsi="Times New Roman" w:cs="Times New Roman"/>
          <w:sz w:val="24"/>
          <w:szCs w:val="24"/>
        </w:rPr>
        <w:noBreakHyphen/>
        <w:t>123 and C</w:t>
      </w:r>
      <w:r w:rsidR="006F45B9" w:rsidRPr="006F45B9">
        <w:rPr>
          <w:rFonts w:ascii="Times New Roman" w:hAnsi="Times New Roman" w:cs="Times New Roman"/>
          <w:sz w:val="24"/>
          <w:szCs w:val="24"/>
        </w:rPr>
        <w:t>arlos</w:t>
      </w:r>
      <w:r w:rsidR="0093029D" w:rsidRPr="006F45B9">
        <w:rPr>
          <w:rFonts w:ascii="Times New Roman" w:hAnsi="Times New Roman" w:cs="Times New Roman"/>
          <w:sz w:val="24"/>
          <w:szCs w:val="24"/>
        </w:rPr>
        <w:t xml:space="preserve"> Fraenkel, </w:t>
      </w:r>
      <w:r w:rsidR="0093029D" w:rsidRPr="006F45B9">
        <w:rPr>
          <w:rFonts w:ascii="Times New Roman" w:hAnsi="Times New Roman" w:cs="Times New Roman"/>
          <w:i/>
          <w:iCs/>
          <w:sz w:val="24"/>
          <w:szCs w:val="24"/>
        </w:rPr>
        <w:t xml:space="preserve">From Maimonides to Samuel Ibn </w:t>
      </w:r>
      <w:proofErr w:type="spellStart"/>
      <w:r w:rsidR="0093029D" w:rsidRPr="006F45B9">
        <w:rPr>
          <w:rFonts w:ascii="Times New Roman" w:hAnsi="Times New Roman" w:cs="Times New Roman"/>
          <w:i/>
          <w:iCs/>
          <w:sz w:val="24"/>
          <w:szCs w:val="24"/>
        </w:rPr>
        <w:t>Tibbon</w:t>
      </w:r>
      <w:proofErr w:type="spellEnd"/>
      <w:r w:rsidR="0093029D" w:rsidRPr="006F45B9">
        <w:rPr>
          <w:rFonts w:ascii="Times New Roman" w:hAnsi="Times New Roman" w:cs="Times New Roman"/>
          <w:i/>
          <w:iCs/>
          <w:sz w:val="24"/>
          <w:szCs w:val="24"/>
        </w:rPr>
        <w:t>. The</w:t>
      </w:r>
      <w:r w:rsidR="0093029D" w:rsidRPr="0068550E">
        <w:rPr>
          <w:rFonts w:ascii="Times New Roman" w:hAnsi="Times New Roman" w:cs="Times New Roman"/>
          <w:i/>
          <w:iCs/>
          <w:sz w:val="24"/>
          <w:szCs w:val="24"/>
        </w:rPr>
        <w:t xml:space="preserve"> Transformation of the </w:t>
      </w:r>
      <w:proofErr w:type="spellStart"/>
      <w:r w:rsidR="0093029D" w:rsidRPr="0068550E">
        <w:rPr>
          <w:rFonts w:ascii="Times New Roman" w:hAnsi="Times New Roman" w:cs="Times New Roman"/>
          <w:i/>
          <w:iCs/>
          <w:sz w:val="24"/>
          <w:szCs w:val="24"/>
        </w:rPr>
        <w:t>Dalālat</w:t>
      </w:r>
      <w:proofErr w:type="spellEnd"/>
      <w:r w:rsidR="0093029D" w:rsidRPr="0068550E">
        <w:rPr>
          <w:rFonts w:ascii="Times New Roman" w:hAnsi="Times New Roman" w:cs="Times New Roman"/>
          <w:i/>
          <w:iCs/>
          <w:sz w:val="24"/>
          <w:szCs w:val="24"/>
        </w:rPr>
        <w:t xml:space="preserve"> al-</w:t>
      </w:r>
      <w:proofErr w:type="spellStart"/>
      <w:r w:rsidR="0093029D" w:rsidRPr="0068550E">
        <w:rPr>
          <w:rFonts w:ascii="Times New Roman" w:hAnsi="Times New Roman" w:cs="Times New Roman"/>
          <w:i/>
          <w:iCs/>
          <w:sz w:val="24"/>
          <w:szCs w:val="24"/>
        </w:rPr>
        <w:t>Ḥāʾirīn</w:t>
      </w:r>
      <w:proofErr w:type="spellEnd"/>
      <w:r w:rsidR="0093029D" w:rsidRPr="0068550E">
        <w:rPr>
          <w:rFonts w:ascii="Times New Roman" w:hAnsi="Times New Roman" w:cs="Times New Roman"/>
          <w:i/>
          <w:iCs/>
          <w:sz w:val="24"/>
          <w:szCs w:val="24"/>
        </w:rPr>
        <w:t xml:space="preserve"> into the </w:t>
      </w:r>
      <w:proofErr w:type="spellStart"/>
      <w:r w:rsidR="0093029D" w:rsidRPr="0068550E">
        <w:rPr>
          <w:rFonts w:ascii="Times New Roman" w:hAnsi="Times New Roman" w:cs="Times New Roman"/>
          <w:i/>
          <w:iCs/>
          <w:sz w:val="24"/>
          <w:szCs w:val="24"/>
        </w:rPr>
        <w:t>Moreh</w:t>
      </w:r>
      <w:proofErr w:type="spellEnd"/>
      <w:r w:rsidR="0093029D" w:rsidRPr="0068550E">
        <w:rPr>
          <w:rFonts w:ascii="Times New Roman" w:hAnsi="Times New Roman" w:cs="Times New Roman"/>
          <w:i/>
          <w:iCs/>
          <w:sz w:val="24"/>
          <w:szCs w:val="24"/>
        </w:rPr>
        <w:t xml:space="preserve"> ha-</w:t>
      </w:r>
      <w:proofErr w:type="spellStart"/>
      <w:r w:rsidR="0093029D" w:rsidRPr="0068550E">
        <w:rPr>
          <w:rFonts w:ascii="Times New Roman" w:hAnsi="Times New Roman" w:cs="Times New Roman"/>
          <w:i/>
          <w:iCs/>
          <w:sz w:val="24"/>
          <w:szCs w:val="24"/>
        </w:rPr>
        <w:t>Nevukhim</w:t>
      </w:r>
      <w:proofErr w:type="spellEnd"/>
      <w:r w:rsidR="0093029D" w:rsidRPr="0068550E">
        <w:rPr>
          <w:rFonts w:ascii="Times New Roman" w:hAnsi="Times New Roman" w:cs="Times New Roman"/>
          <w:iCs/>
          <w:sz w:val="24"/>
          <w:szCs w:val="24"/>
        </w:rPr>
        <w:t xml:space="preserve"> [</w:t>
      </w:r>
      <w:r w:rsidR="008A64FA">
        <w:rPr>
          <w:rFonts w:ascii="Times New Roman" w:hAnsi="Times New Roman" w:cs="Times New Roman"/>
          <w:iCs/>
          <w:sz w:val="24"/>
          <w:szCs w:val="24"/>
        </w:rPr>
        <w:t xml:space="preserve">in </w:t>
      </w:r>
      <w:r w:rsidR="0093029D" w:rsidRPr="0068550E">
        <w:rPr>
          <w:rFonts w:ascii="Times New Roman" w:hAnsi="Times New Roman" w:cs="Times New Roman"/>
          <w:iCs/>
          <w:sz w:val="24"/>
          <w:szCs w:val="24"/>
        </w:rPr>
        <w:t>Hebrew]</w:t>
      </w:r>
      <w:r w:rsidR="008A64FA">
        <w:rPr>
          <w:rFonts w:ascii="Times New Roman" w:hAnsi="Times New Roman" w:cs="Times New Roman"/>
          <w:sz w:val="24"/>
          <w:szCs w:val="24"/>
        </w:rPr>
        <w:t xml:space="preserve"> (</w:t>
      </w:r>
      <w:r w:rsidR="0093029D" w:rsidRPr="0068550E">
        <w:rPr>
          <w:rFonts w:ascii="Times New Roman" w:hAnsi="Times New Roman" w:cs="Times New Roman"/>
          <w:sz w:val="24"/>
          <w:szCs w:val="24"/>
        </w:rPr>
        <w:t>Jerusalem</w:t>
      </w:r>
      <w:r w:rsidR="008A64FA">
        <w:rPr>
          <w:rFonts w:ascii="Times New Roman" w:hAnsi="Times New Roman" w:cs="Times New Roman"/>
          <w:sz w:val="24"/>
          <w:szCs w:val="24"/>
        </w:rPr>
        <w:t>:</w:t>
      </w:r>
      <w:r w:rsidR="0093029D" w:rsidRPr="0068550E">
        <w:rPr>
          <w:rFonts w:ascii="Times New Roman" w:hAnsi="Times New Roman" w:cs="Times New Roman"/>
          <w:sz w:val="24"/>
          <w:szCs w:val="24"/>
        </w:rPr>
        <w:t xml:space="preserve"> </w:t>
      </w:r>
      <w:proofErr w:type="spellStart"/>
      <w:r w:rsidR="0093029D" w:rsidRPr="0068550E">
        <w:rPr>
          <w:rFonts w:ascii="Times New Roman" w:hAnsi="Times New Roman" w:cs="Times New Roman"/>
          <w:sz w:val="24"/>
          <w:szCs w:val="24"/>
        </w:rPr>
        <w:t>Magnes</w:t>
      </w:r>
      <w:proofErr w:type="spellEnd"/>
      <w:r w:rsidR="0093029D" w:rsidRPr="0068550E">
        <w:rPr>
          <w:rFonts w:ascii="Times New Roman" w:hAnsi="Times New Roman" w:cs="Times New Roman"/>
          <w:sz w:val="24"/>
          <w:szCs w:val="24"/>
        </w:rPr>
        <w:t xml:space="preserve"> Press, 2007</w:t>
      </w:r>
      <w:r w:rsidR="008A64FA">
        <w:rPr>
          <w:rFonts w:ascii="Times New Roman" w:hAnsi="Times New Roman" w:cs="Times New Roman"/>
          <w:sz w:val="24"/>
          <w:szCs w:val="24"/>
        </w:rPr>
        <w:t>)</w:t>
      </w:r>
      <w:r w:rsidR="0093029D" w:rsidRPr="0068550E">
        <w:rPr>
          <w:rFonts w:ascii="Times New Roman" w:hAnsi="Times New Roman" w:cs="Times New Roman"/>
          <w:sz w:val="24"/>
          <w:szCs w:val="24"/>
        </w:rPr>
        <w:t xml:space="preserve">. </w:t>
      </w:r>
    </w:p>
  </w:footnote>
  <w:footnote w:id="31">
    <w:p w14:paraId="5B3BD725" w14:textId="5A4BDAD7"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93029D" w:rsidRPr="0068550E">
        <w:rPr>
          <w:rFonts w:ascii="Times New Roman" w:hAnsi="Times New Roman" w:cs="Times New Roman"/>
          <w:sz w:val="24"/>
          <w:szCs w:val="24"/>
          <w:u w:color="000000"/>
        </w:rPr>
        <w:t xml:space="preserve">On the history of the </w:t>
      </w:r>
      <w:r w:rsidR="0093029D" w:rsidRPr="0068550E">
        <w:rPr>
          <w:rFonts w:ascii="Times New Roman" w:hAnsi="Times New Roman" w:cs="Times New Roman"/>
          <w:i/>
          <w:iCs/>
          <w:sz w:val="24"/>
          <w:szCs w:val="24"/>
          <w:u w:color="000000"/>
        </w:rPr>
        <w:t>Guide</w:t>
      </w:r>
      <w:r w:rsidR="0093029D" w:rsidRPr="0068550E">
        <w:rPr>
          <w:rFonts w:ascii="Times New Roman" w:hAnsi="Times New Roman" w:cs="Times New Roman"/>
          <w:sz w:val="24"/>
          <w:szCs w:val="24"/>
          <w:u w:color="000000"/>
        </w:rPr>
        <w:t>’s reception and in particular the “radical” interpretive tradition, see especially</w:t>
      </w:r>
      <w:r w:rsidR="0093029D" w:rsidRPr="0068550E">
        <w:rPr>
          <w:rFonts w:ascii="Times New Roman" w:hAnsi="Times New Roman" w:cs="Times New Roman"/>
          <w:i/>
          <w:iCs/>
          <w:sz w:val="24"/>
          <w:szCs w:val="24"/>
          <w:u w:color="000000"/>
        </w:rPr>
        <w:fldChar w:fldCharType="begin"/>
      </w:r>
      <w:r w:rsidR="0093029D" w:rsidRPr="0068550E">
        <w:rPr>
          <w:rFonts w:ascii="Times New Roman" w:hAnsi="Times New Roman" w:cs="Times New Roman"/>
          <w:i/>
          <w:iCs/>
          <w:sz w:val="24"/>
          <w:szCs w:val="24"/>
          <w:u w:color="000000"/>
        </w:rPr>
        <w:instrText xml:space="preserve"> XE "</w:instrText>
      </w:r>
      <w:r w:rsidR="0093029D" w:rsidRPr="0068550E">
        <w:rPr>
          <w:rFonts w:ascii="Times New Roman" w:hAnsi="Times New Roman" w:cs="Times New Roman"/>
          <w:sz w:val="24"/>
          <w:szCs w:val="24"/>
        </w:rPr>
        <w:instrText>Maïmonide:</w:instrText>
      </w:r>
      <w:r w:rsidR="0093029D" w:rsidRPr="0068550E">
        <w:rPr>
          <w:rFonts w:ascii="Times New Roman" w:hAnsi="Times New Roman" w:cs="Times New Roman"/>
          <w:i/>
          <w:sz w:val="24"/>
          <w:szCs w:val="24"/>
        </w:rPr>
        <w:instrText>Guide des égarés"</w:instrText>
      </w:r>
      <w:r w:rsidR="0093029D" w:rsidRPr="0068550E">
        <w:rPr>
          <w:rFonts w:ascii="Times New Roman" w:hAnsi="Times New Roman" w:cs="Times New Roman"/>
          <w:i/>
          <w:iCs/>
          <w:sz w:val="24"/>
          <w:szCs w:val="24"/>
          <w:u w:color="000000"/>
        </w:rPr>
        <w:instrText xml:space="preserve"> </w:instrText>
      </w:r>
      <w:r w:rsidR="0093029D" w:rsidRPr="0068550E">
        <w:rPr>
          <w:rFonts w:ascii="Times New Roman" w:hAnsi="Times New Roman" w:cs="Times New Roman"/>
          <w:i/>
          <w:iCs/>
          <w:sz w:val="24"/>
          <w:szCs w:val="24"/>
          <w:u w:color="000000"/>
        </w:rPr>
        <w:fldChar w:fldCharType="end"/>
      </w:r>
      <w:r w:rsidR="0093029D" w:rsidRPr="0068550E">
        <w:rPr>
          <w:rFonts w:ascii="Times New Roman" w:hAnsi="Times New Roman" w:cs="Times New Roman"/>
          <w:sz w:val="24"/>
          <w:szCs w:val="24"/>
          <w:u w:color="000000"/>
        </w:rPr>
        <w:t xml:space="preserve"> </w:t>
      </w:r>
      <w:proofErr w:type="spellStart"/>
      <w:r w:rsidR="0093029D" w:rsidRPr="0068550E">
        <w:rPr>
          <w:rFonts w:ascii="Times New Roman" w:hAnsi="Times New Roman" w:cs="Times New Roman"/>
          <w:sz w:val="24"/>
          <w:szCs w:val="24"/>
          <w:u w:color="000000"/>
        </w:rPr>
        <w:t>A</w:t>
      </w:r>
      <w:r w:rsidR="0056109D">
        <w:rPr>
          <w:rFonts w:ascii="Times New Roman" w:hAnsi="Times New Roman" w:cs="Times New Roman"/>
          <w:sz w:val="24"/>
          <w:szCs w:val="24"/>
          <w:u w:color="000000"/>
        </w:rPr>
        <w:t>viezer</w:t>
      </w:r>
      <w:proofErr w:type="spellEnd"/>
      <w:r w:rsidR="0093029D" w:rsidRPr="0068550E">
        <w:rPr>
          <w:rFonts w:ascii="Times New Roman" w:hAnsi="Times New Roman" w:cs="Times New Roman"/>
          <w:sz w:val="24"/>
          <w:szCs w:val="24"/>
          <w:u w:color="000000"/>
        </w:rPr>
        <w:t xml:space="preserve"> </w:t>
      </w:r>
      <w:proofErr w:type="spellStart"/>
      <w:r w:rsidR="0093029D" w:rsidRPr="0068550E">
        <w:rPr>
          <w:rFonts w:ascii="Times New Roman" w:hAnsi="Times New Roman" w:cs="Times New Roman"/>
          <w:sz w:val="24"/>
          <w:szCs w:val="24"/>
          <w:u w:color="000000"/>
        </w:rPr>
        <w:t>Ravitzky</w:t>
      </w:r>
      <w:proofErr w:type="spellEnd"/>
      <w:r w:rsidR="0093029D" w:rsidRPr="0068550E">
        <w:rPr>
          <w:rFonts w:ascii="Times New Roman" w:hAnsi="Times New Roman" w:cs="Times New Roman"/>
          <w:sz w:val="24"/>
          <w:szCs w:val="24"/>
          <w:u w:color="000000"/>
        </w:rPr>
        <w:t xml:space="preserve">, </w:t>
      </w:r>
      <w:r w:rsidR="0093029D" w:rsidRPr="0068550E">
        <w:rPr>
          <w:rFonts w:ascii="Times New Roman" w:hAnsi="Times New Roman" w:cs="Times New Roman"/>
          <w:sz w:val="24"/>
          <w:szCs w:val="24"/>
        </w:rPr>
        <w:t xml:space="preserve">“The Secrets of Maimonides: Between the Thirteenth and the Twentieth Centuries,” in </w:t>
      </w:r>
      <w:r w:rsidR="0093029D" w:rsidRPr="0068550E">
        <w:rPr>
          <w:rFonts w:ascii="Times New Roman" w:hAnsi="Times New Roman" w:cs="Times New Roman"/>
          <w:i/>
          <w:iCs/>
          <w:sz w:val="24"/>
          <w:szCs w:val="24"/>
        </w:rPr>
        <w:t xml:space="preserve">Studies in </w:t>
      </w:r>
      <w:r w:rsidR="0093029D" w:rsidRPr="007C0880">
        <w:rPr>
          <w:rFonts w:ascii="Times New Roman" w:hAnsi="Times New Roman" w:cs="Times New Roman"/>
          <w:i/>
          <w:iCs/>
          <w:sz w:val="24"/>
          <w:szCs w:val="24"/>
        </w:rPr>
        <w:t>Maimonides</w:t>
      </w:r>
      <w:r w:rsidR="0093029D" w:rsidRPr="007C0880">
        <w:rPr>
          <w:rFonts w:ascii="Times New Roman" w:hAnsi="Times New Roman" w:cs="Times New Roman"/>
          <w:sz w:val="24"/>
          <w:szCs w:val="24"/>
        </w:rPr>
        <w:t>,</w:t>
      </w:r>
      <w:r w:rsidR="008A64FA" w:rsidRPr="007C0880">
        <w:rPr>
          <w:rFonts w:ascii="Times New Roman" w:hAnsi="Times New Roman" w:cs="Times New Roman"/>
          <w:sz w:val="24"/>
          <w:szCs w:val="24"/>
        </w:rPr>
        <w:t xml:space="preserve"> ed. I</w:t>
      </w:r>
      <w:r w:rsidR="007C0880" w:rsidRPr="007C0880">
        <w:rPr>
          <w:rFonts w:ascii="Times New Roman" w:hAnsi="Times New Roman" w:cs="Times New Roman"/>
          <w:sz w:val="24"/>
          <w:szCs w:val="24"/>
        </w:rPr>
        <w:t>sadore</w:t>
      </w:r>
      <w:r w:rsidR="008A64FA" w:rsidRPr="007C0880">
        <w:rPr>
          <w:rFonts w:ascii="Times New Roman" w:hAnsi="Times New Roman" w:cs="Times New Roman"/>
          <w:sz w:val="24"/>
          <w:szCs w:val="24"/>
        </w:rPr>
        <w:t xml:space="preserve"> </w:t>
      </w:r>
      <w:proofErr w:type="spellStart"/>
      <w:r w:rsidR="008A64FA" w:rsidRPr="007C0880">
        <w:rPr>
          <w:rFonts w:ascii="Times New Roman" w:hAnsi="Times New Roman" w:cs="Times New Roman"/>
          <w:sz w:val="24"/>
          <w:szCs w:val="24"/>
        </w:rPr>
        <w:t>Twersky</w:t>
      </w:r>
      <w:proofErr w:type="spellEnd"/>
      <w:r w:rsidR="0093029D" w:rsidRPr="007C0880">
        <w:rPr>
          <w:rFonts w:ascii="Times New Roman" w:hAnsi="Times New Roman" w:cs="Times New Roman"/>
          <w:sz w:val="24"/>
          <w:szCs w:val="24"/>
        </w:rPr>
        <w:t xml:space="preserve"> </w:t>
      </w:r>
      <w:r w:rsidR="008A64FA" w:rsidRPr="007C0880">
        <w:rPr>
          <w:rFonts w:ascii="Times New Roman" w:hAnsi="Times New Roman" w:cs="Times New Roman"/>
          <w:sz w:val="24"/>
          <w:szCs w:val="24"/>
        </w:rPr>
        <w:t>(</w:t>
      </w:r>
      <w:r w:rsidR="0093029D" w:rsidRPr="007C0880">
        <w:rPr>
          <w:rFonts w:ascii="Times New Roman" w:hAnsi="Times New Roman" w:cs="Times New Roman"/>
          <w:sz w:val="24"/>
          <w:szCs w:val="24"/>
        </w:rPr>
        <w:t>Cambridg</w:t>
      </w:r>
      <w:r w:rsidR="008A64FA" w:rsidRPr="007C0880">
        <w:rPr>
          <w:rFonts w:ascii="Times New Roman" w:hAnsi="Times New Roman" w:cs="Times New Roman"/>
          <w:sz w:val="24"/>
          <w:szCs w:val="24"/>
        </w:rPr>
        <w:t>e</w:t>
      </w:r>
      <w:r w:rsidR="008A64FA">
        <w:rPr>
          <w:rFonts w:ascii="Times New Roman" w:hAnsi="Times New Roman" w:cs="Times New Roman"/>
          <w:sz w:val="24"/>
          <w:szCs w:val="24"/>
        </w:rPr>
        <w:t>, MA:</w:t>
      </w:r>
      <w:r w:rsidR="0093029D" w:rsidRPr="0068550E">
        <w:rPr>
          <w:rFonts w:ascii="Times New Roman" w:hAnsi="Times New Roman" w:cs="Times New Roman"/>
          <w:sz w:val="24"/>
          <w:szCs w:val="24"/>
        </w:rPr>
        <w:t xml:space="preserve"> Harvard University Press, 1990</w:t>
      </w:r>
      <w:r w:rsidR="008A64FA">
        <w:rPr>
          <w:rFonts w:ascii="Times New Roman" w:hAnsi="Times New Roman" w:cs="Times New Roman"/>
          <w:sz w:val="24"/>
          <w:szCs w:val="24"/>
        </w:rPr>
        <w:t>)</w:t>
      </w:r>
      <w:r w:rsidR="0093029D" w:rsidRPr="0068550E">
        <w:rPr>
          <w:rFonts w:ascii="Times New Roman" w:hAnsi="Times New Roman" w:cs="Times New Roman"/>
          <w:sz w:val="24"/>
          <w:szCs w:val="24"/>
        </w:rPr>
        <w:t>, 159</w:t>
      </w:r>
      <w:r w:rsidR="0093029D" w:rsidRPr="0068550E">
        <w:rPr>
          <w:rFonts w:ascii="Times New Roman" w:hAnsi="Times New Roman" w:cs="Times New Roman"/>
          <w:sz w:val="24"/>
          <w:szCs w:val="24"/>
        </w:rPr>
        <w:noBreakHyphen/>
        <w:t xml:space="preserve">207 and reprinted in </w:t>
      </w:r>
      <w:r w:rsidR="0093029D" w:rsidRPr="0068550E">
        <w:rPr>
          <w:rFonts w:ascii="Times New Roman" w:hAnsi="Times New Roman" w:cs="Times New Roman"/>
          <w:i/>
          <w:iCs/>
          <w:sz w:val="24"/>
          <w:szCs w:val="24"/>
        </w:rPr>
        <w:t xml:space="preserve">History and Faith: Studies in Jewish </w:t>
      </w:r>
      <w:r w:rsidR="0093029D" w:rsidRPr="006F45B9">
        <w:rPr>
          <w:rFonts w:ascii="Times New Roman" w:hAnsi="Times New Roman" w:cs="Times New Roman"/>
          <w:i/>
          <w:iCs/>
          <w:sz w:val="24"/>
          <w:szCs w:val="24"/>
        </w:rPr>
        <w:t>Philosophy</w:t>
      </w:r>
      <w:r w:rsidR="0093029D" w:rsidRPr="006F45B9">
        <w:rPr>
          <w:rFonts w:ascii="Times New Roman" w:hAnsi="Times New Roman" w:cs="Times New Roman"/>
          <w:sz w:val="24"/>
          <w:szCs w:val="24"/>
        </w:rPr>
        <w:t xml:space="preserve"> </w:t>
      </w:r>
      <w:r w:rsidR="008A64FA" w:rsidRPr="006F45B9">
        <w:rPr>
          <w:rFonts w:ascii="Times New Roman" w:hAnsi="Times New Roman" w:cs="Times New Roman"/>
          <w:sz w:val="24"/>
          <w:szCs w:val="24"/>
        </w:rPr>
        <w:t>(</w:t>
      </w:r>
      <w:r w:rsidR="0093029D" w:rsidRPr="006F45B9">
        <w:rPr>
          <w:rFonts w:ascii="Times New Roman" w:hAnsi="Times New Roman" w:cs="Times New Roman"/>
          <w:sz w:val="24"/>
          <w:szCs w:val="24"/>
        </w:rPr>
        <w:t>Amsterdam</w:t>
      </w:r>
      <w:r w:rsidR="008A64FA" w:rsidRPr="006F45B9">
        <w:rPr>
          <w:rFonts w:ascii="Times New Roman" w:hAnsi="Times New Roman" w:cs="Times New Roman"/>
          <w:sz w:val="24"/>
          <w:szCs w:val="24"/>
        </w:rPr>
        <w:t>:</w:t>
      </w:r>
      <w:r w:rsidR="0093029D" w:rsidRPr="006F45B9">
        <w:rPr>
          <w:rFonts w:ascii="Times New Roman" w:hAnsi="Times New Roman" w:cs="Times New Roman"/>
          <w:sz w:val="24"/>
          <w:szCs w:val="24"/>
        </w:rPr>
        <w:t xml:space="preserve"> </w:t>
      </w:r>
      <w:r w:rsidR="0093029D" w:rsidRPr="006F45B9">
        <w:rPr>
          <w:rFonts w:ascii="Times New Roman" w:hAnsi="Times New Roman" w:cs="Times New Roman"/>
          <w:sz w:val="24"/>
          <w:szCs w:val="24"/>
          <w:u w:color="000000"/>
        </w:rPr>
        <w:t xml:space="preserve">J. C. </w:t>
      </w:r>
      <w:proofErr w:type="spellStart"/>
      <w:r w:rsidR="0093029D" w:rsidRPr="006F45B9">
        <w:rPr>
          <w:rFonts w:ascii="Times New Roman" w:hAnsi="Times New Roman" w:cs="Times New Roman"/>
          <w:sz w:val="24"/>
          <w:szCs w:val="24"/>
          <w:u w:color="000000"/>
        </w:rPr>
        <w:t>Gieben</w:t>
      </w:r>
      <w:proofErr w:type="spellEnd"/>
      <w:r w:rsidR="0093029D" w:rsidRPr="006F45B9">
        <w:rPr>
          <w:rFonts w:ascii="Times New Roman" w:hAnsi="Times New Roman" w:cs="Times New Roman"/>
          <w:sz w:val="24"/>
          <w:szCs w:val="24"/>
        </w:rPr>
        <w:t>, 1996</w:t>
      </w:r>
      <w:r w:rsidR="008A64FA" w:rsidRPr="006F45B9">
        <w:rPr>
          <w:rFonts w:ascii="Times New Roman" w:hAnsi="Times New Roman" w:cs="Times New Roman"/>
          <w:sz w:val="24"/>
          <w:szCs w:val="24"/>
        </w:rPr>
        <w:t>)</w:t>
      </w:r>
      <w:r w:rsidR="0093029D" w:rsidRPr="006F45B9">
        <w:rPr>
          <w:rFonts w:ascii="Times New Roman" w:hAnsi="Times New Roman" w:cs="Times New Roman"/>
          <w:sz w:val="24"/>
          <w:szCs w:val="24"/>
        </w:rPr>
        <w:t>, 246</w:t>
      </w:r>
      <w:r w:rsidR="0093029D" w:rsidRPr="006F45B9">
        <w:rPr>
          <w:rFonts w:ascii="Times New Roman" w:hAnsi="Times New Roman" w:cs="Times New Roman"/>
          <w:sz w:val="24"/>
          <w:szCs w:val="24"/>
        </w:rPr>
        <w:noBreakHyphen/>
        <w:t>303; A</w:t>
      </w:r>
      <w:r w:rsidR="006F45B9" w:rsidRPr="006F45B9">
        <w:rPr>
          <w:rFonts w:ascii="Times New Roman" w:hAnsi="Times New Roman" w:cs="Times New Roman"/>
          <w:sz w:val="24"/>
          <w:szCs w:val="24"/>
        </w:rPr>
        <w:t>lfred</w:t>
      </w:r>
      <w:r w:rsidR="0093029D" w:rsidRPr="006F45B9">
        <w:rPr>
          <w:rFonts w:ascii="Times New Roman" w:hAnsi="Times New Roman" w:cs="Times New Roman"/>
          <w:sz w:val="24"/>
          <w:szCs w:val="24"/>
        </w:rPr>
        <w:t xml:space="preserve"> L. Ivry, “Strategies of</w:t>
      </w:r>
      <w:r w:rsidR="0093029D" w:rsidRPr="0068550E">
        <w:rPr>
          <w:rFonts w:ascii="Times New Roman" w:hAnsi="Times New Roman" w:cs="Times New Roman"/>
          <w:sz w:val="24"/>
          <w:szCs w:val="24"/>
        </w:rPr>
        <w:t xml:space="preserve"> Interpretation in Maimonides’ </w:t>
      </w:r>
      <w:r w:rsidR="0093029D" w:rsidRPr="0068550E">
        <w:rPr>
          <w:rFonts w:ascii="Times New Roman" w:hAnsi="Times New Roman" w:cs="Times New Roman"/>
          <w:i/>
          <w:iCs/>
          <w:sz w:val="24"/>
          <w:szCs w:val="24"/>
        </w:rPr>
        <w:t>Guide of the Perplexed</w:t>
      </w:r>
      <w:r w:rsidR="0093029D" w:rsidRPr="0068550E">
        <w:rPr>
          <w:rFonts w:ascii="Times New Roman" w:hAnsi="Times New Roman" w:cs="Times New Roman"/>
          <w:sz w:val="24"/>
          <w:szCs w:val="24"/>
        </w:rPr>
        <w:t xml:space="preserve">,” </w:t>
      </w:r>
      <w:r w:rsidR="0093029D" w:rsidRPr="0068550E">
        <w:rPr>
          <w:rFonts w:ascii="Times New Roman" w:hAnsi="Times New Roman" w:cs="Times New Roman"/>
          <w:i/>
          <w:iCs/>
          <w:sz w:val="24"/>
          <w:szCs w:val="24"/>
        </w:rPr>
        <w:t>Jewish History</w:t>
      </w:r>
      <w:r w:rsidR="008A64FA">
        <w:rPr>
          <w:rFonts w:ascii="Times New Roman" w:hAnsi="Times New Roman" w:cs="Times New Roman"/>
          <w:i/>
          <w:iCs/>
          <w:sz w:val="24"/>
          <w:szCs w:val="24"/>
        </w:rPr>
        <w:t xml:space="preserve"> </w:t>
      </w:r>
      <w:r w:rsidR="008A64FA">
        <w:rPr>
          <w:rFonts w:ascii="Times New Roman" w:hAnsi="Times New Roman" w:cs="Times New Roman"/>
          <w:sz w:val="24"/>
          <w:szCs w:val="24"/>
        </w:rPr>
        <w:t>6</w:t>
      </w:r>
      <w:r w:rsidR="0093029D" w:rsidRPr="0068550E">
        <w:rPr>
          <w:rFonts w:ascii="Times New Roman" w:hAnsi="Times New Roman" w:cs="Times New Roman"/>
          <w:sz w:val="24"/>
          <w:szCs w:val="24"/>
        </w:rPr>
        <w:t>,</w:t>
      </w:r>
      <w:r w:rsidR="008A64FA">
        <w:rPr>
          <w:rFonts w:ascii="Times New Roman" w:hAnsi="Times New Roman" w:cs="Times New Roman"/>
          <w:sz w:val="24"/>
          <w:szCs w:val="24"/>
        </w:rPr>
        <w:t xml:space="preserve"> no. 1-2 (</w:t>
      </w:r>
      <w:r w:rsidR="0093029D" w:rsidRPr="0068550E">
        <w:rPr>
          <w:rFonts w:ascii="Times New Roman" w:hAnsi="Times New Roman" w:cs="Times New Roman"/>
          <w:sz w:val="24"/>
          <w:szCs w:val="24"/>
        </w:rPr>
        <w:t>1992</w:t>
      </w:r>
      <w:r w:rsidR="008A64FA">
        <w:rPr>
          <w:rFonts w:ascii="Times New Roman" w:hAnsi="Times New Roman" w:cs="Times New Roman"/>
          <w:sz w:val="24"/>
          <w:szCs w:val="24"/>
        </w:rPr>
        <w:t xml:space="preserve">): </w:t>
      </w:r>
      <w:r w:rsidR="0093029D" w:rsidRPr="0068550E">
        <w:rPr>
          <w:rFonts w:ascii="Times New Roman" w:hAnsi="Times New Roman" w:cs="Times New Roman"/>
          <w:sz w:val="24"/>
          <w:szCs w:val="24"/>
        </w:rPr>
        <w:t>113</w:t>
      </w:r>
      <w:r w:rsidR="0093029D" w:rsidRPr="0068550E">
        <w:rPr>
          <w:rFonts w:ascii="Times New Roman" w:hAnsi="Times New Roman" w:cs="Times New Roman"/>
          <w:sz w:val="24"/>
          <w:szCs w:val="24"/>
        </w:rPr>
        <w:noBreakHyphen/>
        <w:t>130</w:t>
      </w:r>
      <w:r w:rsidR="00B81D3F">
        <w:rPr>
          <w:rFonts w:ascii="Times New Roman" w:hAnsi="Times New Roman" w:cs="Times New Roman"/>
          <w:sz w:val="24"/>
          <w:szCs w:val="24"/>
        </w:rPr>
        <w:t>; and</w:t>
      </w:r>
      <w:r w:rsidR="0093029D" w:rsidRPr="0068550E">
        <w:rPr>
          <w:rFonts w:ascii="Times New Roman" w:hAnsi="Times New Roman" w:cs="Times New Roman"/>
          <w:sz w:val="24"/>
          <w:szCs w:val="24"/>
        </w:rPr>
        <w:t xml:space="preserve"> M</w:t>
      </w:r>
      <w:r w:rsidR="0056109D">
        <w:rPr>
          <w:rFonts w:ascii="Times New Roman" w:hAnsi="Times New Roman" w:cs="Times New Roman"/>
          <w:sz w:val="24"/>
          <w:szCs w:val="24"/>
        </w:rPr>
        <w:t>oshe</w:t>
      </w:r>
      <w:r w:rsidR="0093029D" w:rsidRPr="0068550E">
        <w:rPr>
          <w:rFonts w:ascii="Times New Roman" w:hAnsi="Times New Roman" w:cs="Times New Roman"/>
          <w:sz w:val="24"/>
          <w:szCs w:val="24"/>
        </w:rPr>
        <w:t xml:space="preserve"> </w:t>
      </w:r>
      <w:proofErr w:type="spellStart"/>
      <w:r w:rsidR="0093029D" w:rsidRPr="0068550E">
        <w:rPr>
          <w:rFonts w:ascii="Times New Roman" w:hAnsi="Times New Roman" w:cs="Times New Roman"/>
          <w:sz w:val="24"/>
          <w:szCs w:val="24"/>
        </w:rPr>
        <w:t>Halbertal’s</w:t>
      </w:r>
      <w:proofErr w:type="spellEnd"/>
      <w:r w:rsidR="0093029D" w:rsidRPr="0068550E">
        <w:rPr>
          <w:rFonts w:ascii="Times New Roman" w:hAnsi="Times New Roman" w:cs="Times New Roman"/>
          <w:sz w:val="24"/>
          <w:szCs w:val="24"/>
        </w:rPr>
        <w:t xml:space="preserve"> useful typology of readings of the </w:t>
      </w:r>
      <w:r w:rsidR="0093029D" w:rsidRPr="0068550E">
        <w:rPr>
          <w:rFonts w:ascii="Times New Roman" w:hAnsi="Times New Roman" w:cs="Times New Roman"/>
          <w:i/>
          <w:sz w:val="24"/>
          <w:szCs w:val="24"/>
        </w:rPr>
        <w:t xml:space="preserve">Guide </w:t>
      </w:r>
      <w:r w:rsidR="0093029D" w:rsidRPr="0068550E">
        <w:rPr>
          <w:rFonts w:ascii="Times New Roman" w:hAnsi="Times New Roman" w:cs="Times New Roman"/>
          <w:sz w:val="24"/>
          <w:szCs w:val="24"/>
        </w:rPr>
        <w:t xml:space="preserve">(conservative, philosophical, skeptical, and mystical) in </w:t>
      </w:r>
      <w:r w:rsidR="0093029D" w:rsidRPr="0068550E">
        <w:rPr>
          <w:rFonts w:ascii="Times New Roman" w:hAnsi="Times New Roman" w:cs="Times New Roman"/>
          <w:i/>
          <w:iCs/>
          <w:sz w:val="24"/>
          <w:szCs w:val="24"/>
        </w:rPr>
        <w:t>Maimonides: Life and Thought</w:t>
      </w:r>
      <w:r w:rsidR="007C0880">
        <w:rPr>
          <w:rFonts w:ascii="Times New Roman" w:hAnsi="Times New Roman" w:cs="Times New Roman"/>
          <w:sz w:val="24"/>
          <w:szCs w:val="24"/>
        </w:rPr>
        <w:t xml:space="preserve">, trans. Joel </w:t>
      </w:r>
      <w:proofErr w:type="spellStart"/>
      <w:r w:rsidR="007C0880">
        <w:rPr>
          <w:rFonts w:ascii="Times New Roman" w:hAnsi="Times New Roman" w:cs="Times New Roman"/>
          <w:sz w:val="24"/>
          <w:szCs w:val="24"/>
        </w:rPr>
        <w:t>Linsider</w:t>
      </w:r>
      <w:proofErr w:type="spellEnd"/>
      <w:r w:rsidR="0093029D" w:rsidRPr="0068550E">
        <w:rPr>
          <w:rFonts w:ascii="Times New Roman" w:hAnsi="Times New Roman" w:cs="Times New Roman"/>
          <w:sz w:val="24"/>
          <w:szCs w:val="24"/>
        </w:rPr>
        <w:t xml:space="preserve"> </w:t>
      </w:r>
      <w:r w:rsidR="00B81D3F">
        <w:rPr>
          <w:rFonts w:ascii="Times New Roman" w:hAnsi="Times New Roman" w:cs="Times New Roman"/>
          <w:sz w:val="24"/>
          <w:szCs w:val="24"/>
        </w:rPr>
        <w:t>(</w:t>
      </w:r>
      <w:r w:rsidR="0093029D" w:rsidRPr="0068550E">
        <w:rPr>
          <w:rFonts w:ascii="Times New Roman" w:hAnsi="Times New Roman" w:cs="Times New Roman"/>
          <w:sz w:val="24"/>
          <w:szCs w:val="24"/>
        </w:rPr>
        <w:t>Princeton</w:t>
      </w:r>
      <w:r w:rsidR="00B81D3F">
        <w:rPr>
          <w:rFonts w:ascii="Times New Roman" w:hAnsi="Times New Roman" w:cs="Times New Roman"/>
          <w:sz w:val="24"/>
          <w:szCs w:val="24"/>
        </w:rPr>
        <w:t>:</w:t>
      </w:r>
      <w:r w:rsidR="0093029D" w:rsidRPr="0068550E">
        <w:rPr>
          <w:rFonts w:ascii="Times New Roman" w:hAnsi="Times New Roman" w:cs="Times New Roman"/>
          <w:sz w:val="24"/>
          <w:szCs w:val="24"/>
        </w:rPr>
        <w:t xml:space="preserve"> Princeton University Press, 2013</w:t>
      </w:r>
      <w:r w:rsidR="00B81D3F">
        <w:rPr>
          <w:rFonts w:ascii="Times New Roman" w:hAnsi="Times New Roman" w:cs="Times New Roman"/>
          <w:sz w:val="24"/>
          <w:szCs w:val="24"/>
        </w:rPr>
        <w:t>)</w:t>
      </w:r>
      <w:r w:rsidR="0093029D" w:rsidRPr="0068550E">
        <w:rPr>
          <w:rFonts w:ascii="Times New Roman" w:hAnsi="Times New Roman" w:cs="Times New Roman"/>
          <w:sz w:val="24"/>
          <w:szCs w:val="24"/>
        </w:rPr>
        <w:t>, 277-368.</w:t>
      </w:r>
    </w:p>
  </w:footnote>
  <w:footnote w:id="32">
    <w:p w14:paraId="266175CD" w14:textId="2B17636A"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proofErr w:type="spellStart"/>
      <w:r w:rsidR="009516AD" w:rsidRPr="0068550E">
        <w:rPr>
          <w:rFonts w:ascii="Times New Roman" w:eastAsia="Times New Roman" w:hAnsi="Times New Roman" w:cs="Times New Roman"/>
          <w:sz w:val="24"/>
          <w:szCs w:val="24"/>
        </w:rPr>
        <w:t>S</w:t>
      </w:r>
      <w:r w:rsidR="00F060E2">
        <w:rPr>
          <w:rFonts w:ascii="Times New Roman" w:eastAsia="Times New Roman" w:hAnsi="Times New Roman" w:cs="Times New Roman"/>
          <w:sz w:val="24"/>
          <w:szCs w:val="24"/>
        </w:rPr>
        <w:t>hlomo</w:t>
      </w:r>
      <w:proofErr w:type="spellEnd"/>
      <w:r w:rsidR="009516AD" w:rsidRPr="0068550E">
        <w:rPr>
          <w:rFonts w:ascii="Times New Roman" w:eastAsia="Times New Roman" w:hAnsi="Times New Roman" w:cs="Times New Roman"/>
          <w:sz w:val="24"/>
          <w:szCs w:val="24"/>
        </w:rPr>
        <w:t xml:space="preserve"> Pines</w:t>
      </w:r>
      <w:r w:rsidR="009516AD" w:rsidRPr="0068550E">
        <w:rPr>
          <w:rFonts w:ascii="Times New Roman" w:eastAsia="Times New Roman" w:hAnsi="Times New Roman" w:cs="Times New Roman"/>
          <w:sz w:val="24"/>
          <w:szCs w:val="24"/>
        </w:rPr>
        <w:fldChar w:fldCharType="begin"/>
      </w:r>
      <w:r w:rsidR="009516AD" w:rsidRPr="0068550E">
        <w:rPr>
          <w:rFonts w:ascii="Times New Roman" w:eastAsia="Times New Roman" w:hAnsi="Times New Roman" w:cs="Times New Roman"/>
          <w:sz w:val="24"/>
          <w:szCs w:val="24"/>
        </w:rPr>
        <w:instrText xml:space="preserve"> XE "</w:instrText>
      </w:r>
      <w:r w:rsidR="009516AD" w:rsidRPr="0068550E">
        <w:rPr>
          <w:rFonts w:ascii="Times New Roman" w:hAnsi="Times New Roman" w:cs="Times New Roman"/>
          <w:sz w:val="24"/>
          <w:szCs w:val="24"/>
        </w:rPr>
        <w:instrText>Pinès, S."</w:instrText>
      </w:r>
      <w:r w:rsidR="009516AD" w:rsidRPr="0068550E">
        <w:rPr>
          <w:rFonts w:ascii="Times New Roman" w:eastAsia="Times New Roman" w:hAnsi="Times New Roman" w:cs="Times New Roman"/>
          <w:sz w:val="24"/>
          <w:szCs w:val="24"/>
        </w:rPr>
        <w:instrText xml:space="preserve"> </w:instrText>
      </w:r>
      <w:r w:rsidR="009516AD" w:rsidRPr="0068550E">
        <w:rPr>
          <w:rFonts w:ascii="Times New Roman" w:eastAsia="Times New Roman" w:hAnsi="Times New Roman" w:cs="Times New Roman"/>
          <w:sz w:val="24"/>
          <w:szCs w:val="24"/>
        </w:rPr>
        <w:fldChar w:fldCharType="end"/>
      </w:r>
      <w:r w:rsidR="009516AD" w:rsidRPr="0068550E">
        <w:rPr>
          <w:rFonts w:ascii="Times New Roman" w:eastAsia="Times New Roman" w:hAnsi="Times New Roman" w:cs="Times New Roman"/>
          <w:sz w:val="24"/>
          <w:szCs w:val="24"/>
        </w:rPr>
        <w:t>, “The Limitations of Human Knowledge According to Al-</w:t>
      </w:r>
      <w:proofErr w:type="spellStart"/>
      <w:r w:rsidR="009516AD" w:rsidRPr="0068550E">
        <w:rPr>
          <w:rFonts w:ascii="Times New Roman" w:eastAsia="Times New Roman" w:hAnsi="Times New Roman" w:cs="Times New Roman"/>
          <w:sz w:val="24"/>
          <w:szCs w:val="24"/>
        </w:rPr>
        <w:t>Fārābī</w:t>
      </w:r>
      <w:proofErr w:type="spellEnd"/>
      <w:r w:rsidR="009516AD" w:rsidRPr="0068550E">
        <w:rPr>
          <w:rFonts w:ascii="Times New Roman" w:eastAsia="Times New Roman" w:hAnsi="Times New Roman" w:cs="Times New Roman"/>
          <w:sz w:val="24"/>
          <w:szCs w:val="24"/>
        </w:rPr>
        <w:t xml:space="preserve">, Ibn </w:t>
      </w:r>
      <w:proofErr w:type="spellStart"/>
      <w:r w:rsidR="009516AD" w:rsidRPr="0068550E">
        <w:rPr>
          <w:rFonts w:ascii="Times New Roman" w:eastAsia="Times New Roman" w:hAnsi="Times New Roman" w:cs="Times New Roman"/>
          <w:sz w:val="24"/>
          <w:szCs w:val="24"/>
        </w:rPr>
        <w:t>Bājja</w:t>
      </w:r>
      <w:proofErr w:type="spellEnd"/>
      <w:r w:rsidR="009516AD" w:rsidRPr="0068550E">
        <w:rPr>
          <w:rFonts w:ascii="Times New Roman" w:eastAsia="Times New Roman" w:hAnsi="Times New Roman" w:cs="Times New Roman"/>
          <w:sz w:val="24"/>
          <w:szCs w:val="24"/>
        </w:rPr>
        <w:fldChar w:fldCharType="begin"/>
      </w:r>
      <w:r w:rsidR="009516AD" w:rsidRPr="0068550E">
        <w:rPr>
          <w:rFonts w:ascii="Times New Roman" w:eastAsia="Times New Roman" w:hAnsi="Times New Roman" w:cs="Times New Roman"/>
          <w:sz w:val="24"/>
          <w:szCs w:val="24"/>
        </w:rPr>
        <w:instrText xml:space="preserve"> XE "</w:instrText>
      </w:r>
      <w:r w:rsidR="009516AD" w:rsidRPr="0068550E">
        <w:rPr>
          <w:rFonts w:ascii="Times New Roman" w:hAnsi="Times New Roman" w:cs="Times New Roman"/>
          <w:sz w:val="24"/>
          <w:szCs w:val="24"/>
        </w:rPr>
        <w:instrText>Ibn Bājja"</w:instrText>
      </w:r>
      <w:r w:rsidR="009516AD" w:rsidRPr="0068550E">
        <w:rPr>
          <w:rFonts w:ascii="Times New Roman" w:eastAsia="Times New Roman" w:hAnsi="Times New Roman" w:cs="Times New Roman"/>
          <w:sz w:val="24"/>
          <w:szCs w:val="24"/>
        </w:rPr>
        <w:instrText xml:space="preserve"> </w:instrText>
      </w:r>
      <w:r w:rsidR="009516AD" w:rsidRPr="0068550E">
        <w:rPr>
          <w:rFonts w:ascii="Times New Roman" w:eastAsia="Times New Roman" w:hAnsi="Times New Roman" w:cs="Times New Roman"/>
          <w:sz w:val="24"/>
          <w:szCs w:val="24"/>
        </w:rPr>
        <w:fldChar w:fldCharType="end"/>
      </w:r>
      <w:r w:rsidR="009516AD" w:rsidRPr="0068550E">
        <w:rPr>
          <w:rFonts w:ascii="Times New Roman" w:eastAsia="Times New Roman" w:hAnsi="Times New Roman" w:cs="Times New Roman"/>
          <w:sz w:val="24"/>
          <w:szCs w:val="24"/>
        </w:rPr>
        <w:t xml:space="preserve"> and Maimonides,” </w:t>
      </w:r>
      <w:r w:rsidR="007C0880">
        <w:rPr>
          <w:rFonts w:ascii="Times New Roman" w:eastAsia="Times New Roman" w:hAnsi="Times New Roman" w:cs="Times New Roman"/>
          <w:sz w:val="24"/>
          <w:szCs w:val="24"/>
        </w:rPr>
        <w:t xml:space="preserve">in </w:t>
      </w:r>
      <w:r w:rsidR="009516AD" w:rsidRPr="0068550E">
        <w:rPr>
          <w:rFonts w:ascii="Times New Roman" w:eastAsia="Times New Roman" w:hAnsi="Times New Roman" w:cs="Times New Roman"/>
          <w:i/>
          <w:iCs/>
          <w:sz w:val="24"/>
          <w:szCs w:val="24"/>
        </w:rPr>
        <w:t>Studies in Medieval Jewish History and Literature</w:t>
      </w:r>
      <w:r w:rsidR="007C0880">
        <w:rPr>
          <w:rFonts w:ascii="Times New Roman" w:eastAsia="Times New Roman" w:hAnsi="Times New Roman" w:cs="Times New Roman"/>
          <w:sz w:val="24"/>
          <w:szCs w:val="24"/>
        </w:rPr>
        <w:t xml:space="preserve">, ed. </w:t>
      </w:r>
      <w:r w:rsidR="007C0880" w:rsidRPr="00E0412E">
        <w:rPr>
          <w:rFonts w:ascii="Times New Roman" w:eastAsia="Times New Roman" w:hAnsi="Times New Roman" w:cs="Times New Roman"/>
          <w:sz w:val="24"/>
          <w:szCs w:val="24"/>
        </w:rPr>
        <w:t xml:space="preserve">Isadore </w:t>
      </w:r>
      <w:proofErr w:type="spellStart"/>
      <w:r w:rsidR="007C0880" w:rsidRPr="00E0412E">
        <w:rPr>
          <w:rFonts w:ascii="Times New Roman" w:eastAsia="Times New Roman" w:hAnsi="Times New Roman" w:cs="Times New Roman"/>
          <w:sz w:val="24"/>
          <w:szCs w:val="24"/>
        </w:rPr>
        <w:t>Twersky</w:t>
      </w:r>
      <w:proofErr w:type="spellEnd"/>
      <w:r w:rsidR="00B231DB" w:rsidRPr="00E0412E">
        <w:rPr>
          <w:rFonts w:ascii="Times New Roman" w:eastAsia="Times New Roman" w:hAnsi="Times New Roman" w:cs="Times New Roman"/>
          <w:sz w:val="24"/>
          <w:szCs w:val="24"/>
        </w:rPr>
        <w:t xml:space="preserve"> </w:t>
      </w:r>
      <w:r w:rsidR="0056109D" w:rsidRPr="00E0412E">
        <w:rPr>
          <w:rFonts w:ascii="Times New Roman" w:eastAsia="Times New Roman" w:hAnsi="Times New Roman" w:cs="Times New Roman"/>
          <w:sz w:val="24"/>
          <w:szCs w:val="24"/>
        </w:rPr>
        <w:t>(</w:t>
      </w:r>
      <w:r w:rsidR="009516AD" w:rsidRPr="00E0412E">
        <w:rPr>
          <w:rFonts w:ascii="Times New Roman" w:eastAsia="Times New Roman" w:hAnsi="Times New Roman" w:cs="Times New Roman"/>
          <w:sz w:val="24"/>
          <w:szCs w:val="24"/>
        </w:rPr>
        <w:t>Cambridge</w:t>
      </w:r>
      <w:r w:rsidR="007C0880" w:rsidRPr="00E0412E">
        <w:rPr>
          <w:rFonts w:ascii="Times New Roman" w:eastAsia="Times New Roman" w:hAnsi="Times New Roman" w:cs="Times New Roman"/>
          <w:sz w:val="24"/>
          <w:szCs w:val="24"/>
        </w:rPr>
        <w:t>, MA: Harvard</w:t>
      </w:r>
      <w:r w:rsidR="009516AD" w:rsidRPr="00E0412E">
        <w:rPr>
          <w:rFonts w:ascii="Times New Roman" w:eastAsia="Times New Roman" w:hAnsi="Times New Roman" w:cs="Times New Roman"/>
          <w:sz w:val="24"/>
          <w:szCs w:val="24"/>
        </w:rPr>
        <w:t xml:space="preserve"> University Press, 1979</w:t>
      </w:r>
      <w:r w:rsidR="0056109D" w:rsidRPr="00E0412E">
        <w:rPr>
          <w:rFonts w:ascii="Times New Roman" w:eastAsia="Times New Roman" w:hAnsi="Times New Roman" w:cs="Times New Roman"/>
          <w:sz w:val="24"/>
          <w:szCs w:val="24"/>
        </w:rPr>
        <w:t>)</w:t>
      </w:r>
      <w:r w:rsidR="009516AD" w:rsidRPr="00E0412E">
        <w:rPr>
          <w:rFonts w:ascii="Times New Roman" w:eastAsia="Times New Roman" w:hAnsi="Times New Roman" w:cs="Times New Roman"/>
          <w:sz w:val="24"/>
          <w:szCs w:val="24"/>
        </w:rPr>
        <w:t>, 82</w:t>
      </w:r>
      <w:r w:rsidR="009516AD" w:rsidRPr="00E0412E">
        <w:rPr>
          <w:rFonts w:ascii="Times New Roman" w:eastAsia="Times New Roman" w:hAnsi="Times New Roman" w:cs="Times New Roman"/>
          <w:sz w:val="24"/>
          <w:szCs w:val="24"/>
        </w:rPr>
        <w:noBreakHyphen/>
        <w:t>109</w:t>
      </w:r>
      <w:r w:rsidR="00E0412E">
        <w:rPr>
          <w:rFonts w:ascii="Times New Roman" w:eastAsia="Times New Roman" w:hAnsi="Times New Roman" w:cs="Times New Roman"/>
          <w:sz w:val="24"/>
          <w:szCs w:val="24"/>
        </w:rPr>
        <w:t xml:space="preserve">, and </w:t>
      </w:r>
      <w:r w:rsidR="00E0412E" w:rsidRPr="00E0412E">
        <w:rPr>
          <w:rFonts w:ascii="Times New Roman" w:eastAsia="Times New Roman" w:hAnsi="Times New Roman" w:cs="Times New Roman"/>
          <w:sz w:val="24"/>
          <w:szCs w:val="24"/>
        </w:rPr>
        <w:t xml:space="preserve">“The Philosophic Purport of Maimonides’ Halachic Work,” in </w:t>
      </w:r>
      <w:r w:rsidR="00E0412E" w:rsidRPr="00E0412E">
        <w:rPr>
          <w:rFonts w:ascii="Times New Roman" w:eastAsia="Times New Roman" w:hAnsi="Times New Roman" w:cs="Times New Roman"/>
          <w:i/>
          <w:iCs/>
          <w:sz w:val="24"/>
          <w:szCs w:val="24"/>
        </w:rPr>
        <w:t>Maimonides and Philosophy: Papers Presented at the Sixth Jerusalem Philosophical Encounter, May 1985</w:t>
      </w:r>
      <w:r w:rsidR="00E0412E" w:rsidRPr="00E0412E">
        <w:rPr>
          <w:rFonts w:ascii="Times New Roman" w:eastAsia="Times New Roman" w:hAnsi="Times New Roman" w:cs="Times New Roman"/>
          <w:sz w:val="24"/>
          <w:szCs w:val="24"/>
        </w:rPr>
        <w:t>, 1</w:t>
      </w:r>
      <w:r w:rsidR="00E0412E" w:rsidRPr="00E0412E">
        <w:rPr>
          <w:rFonts w:ascii="Times New Roman" w:eastAsia="Times New Roman" w:hAnsi="Times New Roman" w:cs="Times New Roman"/>
          <w:sz w:val="24"/>
          <w:szCs w:val="24"/>
        </w:rPr>
        <w:noBreakHyphen/>
        <w:t>14.</w:t>
      </w:r>
      <w:r w:rsidR="00E0412E" w:rsidRPr="00E0412E">
        <w:rPr>
          <w:rFonts w:ascii="Times New Roman" w:hAnsi="Times New Roman" w:cs="Times New Roman"/>
          <w:sz w:val="24"/>
          <w:szCs w:val="24"/>
          <w:u w:color="000000"/>
        </w:rPr>
        <w:t xml:space="preserve"> </w:t>
      </w:r>
      <w:r w:rsidR="009516AD" w:rsidRPr="0068550E">
        <w:rPr>
          <w:rFonts w:ascii="Times New Roman" w:eastAsia="Times New Roman" w:hAnsi="Times New Roman" w:cs="Times New Roman"/>
          <w:sz w:val="24"/>
          <w:szCs w:val="24"/>
        </w:rPr>
        <w:t xml:space="preserve">For a searing critique of this approach, see </w:t>
      </w:r>
      <w:r w:rsidR="009516AD" w:rsidRPr="0068550E">
        <w:rPr>
          <w:rFonts w:ascii="Times New Roman" w:hAnsi="Times New Roman" w:cs="Times New Roman"/>
          <w:sz w:val="24"/>
          <w:szCs w:val="24"/>
        </w:rPr>
        <w:t>A</w:t>
      </w:r>
      <w:r w:rsidR="0056109D">
        <w:rPr>
          <w:rFonts w:ascii="Times New Roman" w:hAnsi="Times New Roman" w:cs="Times New Roman"/>
          <w:sz w:val="24"/>
          <w:szCs w:val="24"/>
        </w:rPr>
        <w:t>lexander</w:t>
      </w:r>
      <w:r w:rsidR="009516AD" w:rsidRPr="0068550E">
        <w:rPr>
          <w:rFonts w:ascii="Times New Roman" w:hAnsi="Times New Roman" w:cs="Times New Roman"/>
          <w:sz w:val="24"/>
          <w:szCs w:val="24"/>
        </w:rPr>
        <w:t xml:space="preserve"> Altmann, “Maimonides on the Intellect and the Scope of Metaphysics,” in </w:t>
      </w:r>
      <w:r w:rsidR="009516AD" w:rsidRPr="0068550E">
        <w:rPr>
          <w:rFonts w:ascii="Times New Roman" w:hAnsi="Times New Roman" w:cs="Times New Roman"/>
          <w:i/>
          <w:iCs/>
          <w:sz w:val="24"/>
          <w:szCs w:val="24"/>
        </w:rPr>
        <w:t xml:space="preserve">Von der </w:t>
      </w:r>
      <w:proofErr w:type="spellStart"/>
      <w:r w:rsidR="009516AD" w:rsidRPr="0068550E">
        <w:rPr>
          <w:rFonts w:ascii="Times New Roman" w:hAnsi="Times New Roman" w:cs="Times New Roman"/>
          <w:i/>
          <w:iCs/>
          <w:sz w:val="24"/>
          <w:szCs w:val="24"/>
        </w:rPr>
        <w:t>mittelalterlichen</w:t>
      </w:r>
      <w:proofErr w:type="spellEnd"/>
      <w:r w:rsidR="009516AD" w:rsidRPr="0068550E">
        <w:rPr>
          <w:rFonts w:ascii="Times New Roman" w:hAnsi="Times New Roman" w:cs="Times New Roman"/>
          <w:i/>
          <w:iCs/>
          <w:sz w:val="24"/>
          <w:szCs w:val="24"/>
        </w:rPr>
        <w:t xml:space="preserve"> </w:t>
      </w:r>
      <w:proofErr w:type="spellStart"/>
      <w:r w:rsidR="009516AD" w:rsidRPr="0068550E">
        <w:rPr>
          <w:rFonts w:ascii="Times New Roman" w:hAnsi="Times New Roman" w:cs="Times New Roman"/>
          <w:i/>
          <w:iCs/>
          <w:sz w:val="24"/>
          <w:szCs w:val="24"/>
        </w:rPr>
        <w:t>zur</w:t>
      </w:r>
      <w:proofErr w:type="spellEnd"/>
      <w:r w:rsidR="009516AD" w:rsidRPr="0068550E">
        <w:rPr>
          <w:rFonts w:ascii="Times New Roman" w:hAnsi="Times New Roman" w:cs="Times New Roman"/>
          <w:i/>
          <w:iCs/>
          <w:sz w:val="24"/>
          <w:szCs w:val="24"/>
        </w:rPr>
        <w:t xml:space="preserve"> </w:t>
      </w:r>
      <w:proofErr w:type="spellStart"/>
      <w:r w:rsidR="009516AD" w:rsidRPr="0068550E">
        <w:rPr>
          <w:rFonts w:ascii="Times New Roman" w:hAnsi="Times New Roman" w:cs="Times New Roman"/>
          <w:i/>
          <w:iCs/>
          <w:sz w:val="24"/>
          <w:szCs w:val="24"/>
        </w:rPr>
        <w:t>modernen</w:t>
      </w:r>
      <w:proofErr w:type="spellEnd"/>
      <w:r w:rsidR="009516AD" w:rsidRPr="0068550E">
        <w:rPr>
          <w:rFonts w:ascii="Times New Roman" w:hAnsi="Times New Roman" w:cs="Times New Roman"/>
          <w:i/>
          <w:iCs/>
          <w:sz w:val="24"/>
          <w:szCs w:val="24"/>
        </w:rPr>
        <w:t xml:space="preserve"> </w:t>
      </w:r>
      <w:proofErr w:type="spellStart"/>
      <w:r w:rsidR="009516AD" w:rsidRPr="0068550E">
        <w:rPr>
          <w:rFonts w:ascii="Times New Roman" w:hAnsi="Times New Roman" w:cs="Times New Roman"/>
          <w:i/>
          <w:iCs/>
          <w:sz w:val="24"/>
          <w:szCs w:val="24"/>
        </w:rPr>
        <w:t>Aufklärun</w:t>
      </w:r>
      <w:proofErr w:type="spellEnd"/>
      <w:r w:rsidR="009516AD" w:rsidRPr="0068550E">
        <w:rPr>
          <w:rFonts w:ascii="Times New Roman" w:hAnsi="Times New Roman" w:cs="Times New Roman"/>
          <w:i/>
          <w:iCs/>
          <w:sz w:val="24"/>
          <w:szCs w:val="24"/>
        </w:rPr>
        <w:t>: Texts and Studies in Early Modern Judaism</w:t>
      </w:r>
      <w:r w:rsidR="009516AD" w:rsidRPr="0068550E">
        <w:rPr>
          <w:rFonts w:ascii="Times New Roman" w:hAnsi="Times New Roman" w:cs="Times New Roman"/>
          <w:sz w:val="24"/>
          <w:szCs w:val="24"/>
        </w:rPr>
        <w:t xml:space="preserve"> </w:t>
      </w:r>
      <w:r w:rsidR="007C0880">
        <w:rPr>
          <w:rFonts w:ascii="Times New Roman" w:hAnsi="Times New Roman" w:cs="Times New Roman"/>
          <w:sz w:val="24"/>
          <w:szCs w:val="24"/>
        </w:rPr>
        <w:t>(</w:t>
      </w:r>
      <w:r w:rsidR="009516AD" w:rsidRPr="0068550E">
        <w:rPr>
          <w:rFonts w:ascii="Times New Roman" w:hAnsi="Times New Roman" w:cs="Times New Roman"/>
          <w:sz w:val="24"/>
          <w:szCs w:val="24"/>
        </w:rPr>
        <w:t>Tübingen</w:t>
      </w:r>
      <w:r w:rsidR="007C0880">
        <w:rPr>
          <w:rFonts w:ascii="Times New Roman" w:hAnsi="Times New Roman" w:cs="Times New Roman"/>
          <w:sz w:val="24"/>
          <w:szCs w:val="24"/>
        </w:rPr>
        <w:t>:</w:t>
      </w:r>
      <w:r w:rsidR="009516AD" w:rsidRPr="0068550E">
        <w:rPr>
          <w:rFonts w:ascii="Times New Roman" w:hAnsi="Times New Roman" w:cs="Times New Roman"/>
          <w:sz w:val="24"/>
          <w:szCs w:val="24"/>
        </w:rPr>
        <w:t xml:space="preserve"> Mohr </w:t>
      </w:r>
      <w:proofErr w:type="spellStart"/>
      <w:r w:rsidR="009516AD" w:rsidRPr="0068550E">
        <w:rPr>
          <w:rFonts w:ascii="Times New Roman" w:hAnsi="Times New Roman" w:cs="Times New Roman"/>
          <w:sz w:val="24"/>
          <w:szCs w:val="24"/>
        </w:rPr>
        <w:t>Siebeck</w:t>
      </w:r>
      <w:proofErr w:type="spellEnd"/>
      <w:r w:rsidR="009516AD" w:rsidRPr="0068550E">
        <w:rPr>
          <w:rFonts w:ascii="Times New Roman" w:hAnsi="Times New Roman" w:cs="Times New Roman"/>
          <w:sz w:val="24"/>
          <w:szCs w:val="24"/>
        </w:rPr>
        <w:t>, 1987</w:t>
      </w:r>
      <w:r w:rsidR="007C0880">
        <w:rPr>
          <w:rFonts w:ascii="Times New Roman" w:hAnsi="Times New Roman" w:cs="Times New Roman"/>
          <w:sz w:val="24"/>
          <w:szCs w:val="24"/>
        </w:rPr>
        <w:t>)</w:t>
      </w:r>
      <w:r w:rsidR="009516AD" w:rsidRPr="0068550E">
        <w:rPr>
          <w:rFonts w:ascii="Times New Roman" w:hAnsi="Times New Roman" w:cs="Times New Roman"/>
          <w:sz w:val="24"/>
          <w:szCs w:val="24"/>
        </w:rPr>
        <w:t>, 60</w:t>
      </w:r>
      <w:r w:rsidR="009516AD" w:rsidRPr="0068550E">
        <w:rPr>
          <w:rFonts w:ascii="Times New Roman" w:hAnsi="Times New Roman" w:cs="Times New Roman"/>
          <w:sz w:val="24"/>
          <w:szCs w:val="24"/>
        </w:rPr>
        <w:noBreakHyphen/>
        <w:t>129.</w:t>
      </w:r>
    </w:p>
  </w:footnote>
  <w:footnote w:id="33">
    <w:p w14:paraId="4BB96AB5" w14:textId="2EC70E69"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0093029D" w:rsidRPr="0068550E">
        <w:rPr>
          <w:rFonts w:ascii="Times New Roman" w:hAnsi="Times New Roman" w:cs="Times New Roman"/>
          <w:sz w:val="24"/>
          <w:szCs w:val="24"/>
        </w:rPr>
        <w:t xml:space="preserve"> </w:t>
      </w:r>
      <w:r w:rsidR="0093029D" w:rsidRPr="0056109D">
        <w:rPr>
          <w:rFonts w:ascii="Times New Roman" w:hAnsi="Times New Roman" w:cs="Times New Roman"/>
          <w:sz w:val="24"/>
          <w:szCs w:val="24"/>
        </w:rPr>
        <w:t>See</w:t>
      </w:r>
      <w:r w:rsidR="0093029D" w:rsidRPr="0056109D">
        <w:rPr>
          <w:rFonts w:ascii="Times New Roman" w:hAnsi="Times New Roman" w:cs="Times New Roman"/>
          <w:sz w:val="24"/>
          <w:szCs w:val="24"/>
          <w:u w:color="000000"/>
        </w:rPr>
        <w:t xml:space="preserve"> </w:t>
      </w:r>
      <w:proofErr w:type="spellStart"/>
      <w:r w:rsidR="0093029D" w:rsidRPr="0056109D">
        <w:rPr>
          <w:rFonts w:ascii="Times New Roman" w:hAnsi="Times New Roman" w:cs="Times New Roman"/>
          <w:sz w:val="24"/>
          <w:szCs w:val="24"/>
        </w:rPr>
        <w:t>Y</w:t>
      </w:r>
      <w:r w:rsidR="0056109D">
        <w:rPr>
          <w:rFonts w:ascii="Times New Roman" w:hAnsi="Times New Roman" w:cs="Times New Roman"/>
          <w:sz w:val="24"/>
          <w:szCs w:val="24"/>
        </w:rPr>
        <w:t>air</w:t>
      </w:r>
      <w:proofErr w:type="spellEnd"/>
      <w:r w:rsidR="0093029D" w:rsidRPr="0056109D">
        <w:rPr>
          <w:rFonts w:ascii="Times New Roman" w:hAnsi="Times New Roman" w:cs="Times New Roman"/>
          <w:sz w:val="24"/>
          <w:szCs w:val="24"/>
        </w:rPr>
        <w:t xml:space="preserve"> </w:t>
      </w:r>
      <w:proofErr w:type="spellStart"/>
      <w:r w:rsidR="0093029D" w:rsidRPr="0056109D">
        <w:rPr>
          <w:rFonts w:ascii="Times New Roman" w:hAnsi="Times New Roman" w:cs="Times New Roman"/>
          <w:sz w:val="24"/>
          <w:szCs w:val="24"/>
        </w:rPr>
        <w:t>Lorberbaum</w:t>
      </w:r>
      <w:proofErr w:type="spellEnd"/>
      <w:r w:rsidR="0093029D" w:rsidRPr="0056109D">
        <w:rPr>
          <w:rFonts w:ascii="Times New Roman" w:hAnsi="Times New Roman" w:cs="Times New Roman"/>
          <w:sz w:val="24"/>
          <w:szCs w:val="24"/>
        </w:rPr>
        <w:t>, “On Contradictions</w:t>
      </w:r>
      <w:r w:rsidR="0093029D" w:rsidRPr="0068550E">
        <w:rPr>
          <w:rFonts w:ascii="Times New Roman" w:hAnsi="Times New Roman" w:cs="Times New Roman"/>
          <w:sz w:val="24"/>
          <w:szCs w:val="24"/>
        </w:rPr>
        <w:t xml:space="preserve">, Rationality, Dialectics, and Esotericism in Maimonides’s </w:t>
      </w:r>
      <w:r w:rsidR="0093029D" w:rsidRPr="0068550E">
        <w:rPr>
          <w:rFonts w:ascii="Times New Roman" w:hAnsi="Times New Roman" w:cs="Times New Roman"/>
          <w:i/>
          <w:iCs/>
          <w:sz w:val="24"/>
          <w:szCs w:val="24"/>
        </w:rPr>
        <w:t>Guide</w:t>
      </w:r>
      <w:r w:rsidR="0093029D" w:rsidRPr="0068550E">
        <w:rPr>
          <w:rFonts w:ascii="Times New Roman" w:hAnsi="Times New Roman" w:cs="Times New Roman"/>
          <w:i/>
          <w:iCs/>
          <w:sz w:val="24"/>
          <w:szCs w:val="24"/>
        </w:rPr>
        <w:fldChar w:fldCharType="begin"/>
      </w:r>
      <w:r w:rsidR="0093029D" w:rsidRPr="0068550E">
        <w:rPr>
          <w:rFonts w:ascii="Times New Roman" w:hAnsi="Times New Roman" w:cs="Times New Roman"/>
          <w:i/>
          <w:iCs/>
          <w:sz w:val="24"/>
          <w:szCs w:val="24"/>
        </w:rPr>
        <w:instrText xml:space="preserve"> XE "</w:instrText>
      </w:r>
      <w:r w:rsidR="0093029D" w:rsidRPr="0068550E">
        <w:rPr>
          <w:rFonts w:ascii="Times New Roman" w:hAnsi="Times New Roman" w:cs="Times New Roman"/>
          <w:sz w:val="24"/>
          <w:szCs w:val="24"/>
        </w:rPr>
        <w:instrText>Maïmonide:</w:instrText>
      </w:r>
      <w:r w:rsidR="0093029D" w:rsidRPr="0068550E">
        <w:rPr>
          <w:rFonts w:ascii="Times New Roman" w:hAnsi="Times New Roman" w:cs="Times New Roman"/>
          <w:i/>
          <w:sz w:val="24"/>
          <w:szCs w:val="24"/>
        </w:rPr>
        <w:instrText>Guide des égarés"</w:instrText>
      </w:r>
      <w:r w:rsidR="0093029D" w:rsidRPr="0068550E">
        <w:rPr>
          <w:rFonts w:ascii="Times New Roman" w:hAnsi="Times New Roman" w:cs="Times New Roman"/>
          <w:i/>
          <w:iCs/>
          <w:sz w:val="24"/>
          <w:szCs w:val="24"/>
        </w:rPr>
        <w:instrText xml:space="preserve"> </w:instrText>
      </w:r>
      <w:r w:rsidR="0093029D" w:rsidRPr="0068550E">
        <w:rPr>
          <w:rFonts w:ascii="Times New Roman" w:hAnsi="Times New Roman" w:cs="Times New Roman"/>
          <w:i/>
          <w:iCs/>
          <w:sz w:val="24"/>
          <w:szCs w:val="24"/>
        </w:rPr>
        <w:fldChar w:fldCharType="end"/>
      </w:r>
      <w:r w:rsidR="0093029D" w:rsidRPr="0068550E">
        <w:rPr>
          <w:rFonts w:ascii="Times New Roman" w:hAnsi="Times New Roman" w:cs="Times New Roman"/>
          <w:i/>
          <w:iCs/>
          <w:sz w:val="24"/>
          <w:szCs w:val="24"/>
        </w:rPr>
        <w:t xml:space="preserve"> of the Perplexed</w:t>
      </w:r>
      <w:r w:rsidR="0093029D" w:rsidRPr="0068550E">
        <w:rPr>
          <w:rFonts w:ascii="Times New Roman" w:hAnsi="Times New Roman" w:cs="Times New Roman"/>
          <w:sz w:val="24"/>
          <w:szCs w:val="24"/>
        </w:rPr>
        <w:t xml:space="preserve">,” </w:t>
      </w:r>
      <w:r w:rsidR="0093029D" w:rsidRPr="0068550E">
        <w:rPr>
          <w:rFonts w:ascii="Times New Roman" w:hAnsi="Times New Roman" w:cs="Times New Roman"/>
          <w:i/>
          <w:iCs/>
          <w:sz w:val="24"/>
          <w:szCs w:val="24"/>
        </w:rPr>
        <w:t>The Review of Metaphysics</w:t>
      </w:r>
      <w:r w:rsidR="005B4299">
        <w:rPr>
          <w:rFonts w:ascii="Times New Roman" w:hAnsi="Times New Roman" w:cs="Times New Roman"/>
          <w:i/>
          <w:iCs/>
          <w:sz w:val="24"/>
          <w:szCs w:val="24"/>
        </w:rPr>
        <w:t xml:space="preserve"> </w:t>
      </w:r>
      <w:r w:rsidR="005B4299" w:rsidRPr="009C03B1">
        <w:rPr>
          <w:rFonts w:ascii="Times New Roman" w:hAnsi="Times New Roman" w:cs="Times New Roman"/>
          <w:sz w:val="24"/>
          <w:szCs w:val="24"/>
        </w:rPr>
        <w:t>55</w:t>
      </w:r>
      <w:r w:rsidR="0093029D" w:rsidRPr="009C03B1">
        <w:rPr>
          <w:rFonts w:ascii="Times New Roman" w:hAnsi="Times New Roman" w:cs="Times New Roman"/>
          <w:sz w:val="24"/>
          <w:szCs w:val="24"/>
        </w:rPr>
        <w:t>,</w:t>
      </w:r>
      <w:r w:rsidR="005B4299">
        <w:rPr>
          <w:rFonts w:ascii="Times New Roman" w:hAnsi="Times New Roman" w:cs="Times New Roman"/>
          <w:sz w:val="24"/>
          <w:szCs w:val="24"/>
        </w:rPr>
        <w:t xml:space="preserve"> no. 4</w:t>
      </w:r>
      <w:r w:rsidR="0093029D" w:rsidRPr="0068550E">
        <w:rPr>
          <w:rFonts w:ascii="Times New Roman" w:hAnsi="Times New Roman" w:cs="Times New Roman"/>
          <w:sz w:val="24"/>
          <w:szCs w:val="24"/>
        </w:rPr>
        <w:t xml:space="preserve"> </w:t>
      </w:r>
      <w:r w:rsidR="005B4299">
        <w:rPr>
          <w:rFonts w:ascii="Times New Roman" w:hAnsi="Times New Roman" w:cs="Times New Roman"/>
          <w:sz w:val="24"/>
          <w:szCs w:val="24"/>
        </w:rPr>
        <w:t>(</w:t>
      </w:r>
      <w:r w:rsidR="0093029D" w:rsidRPr="0068550E">
        <w:rPr>
          <w:rFonts w:ascii="Times New Roman" w:hAnsi="Times New Roman" w:cs="Times New Roman"/>
          <w:sz w:val="24"/>
          <w:szCs w:val="24"/>
        </w:rPr>
        <w:t>2002</w:t>
      </w:r>
      <w:r w:rsidR="005B4299">
        <w:rPr>
          <w:rFonts w:ascii="Times New Roman" w:hAnsi="Times New Roman" w:cs="Times New Roman"/>
          <w:sz w:val="24"/>
          <w:szCs w:val="24"/>
        </w:rPr>
        <w:t>)</w:t>
      </w:r>
      <w:r w:rsidR="0093029D" w:rsidRPr="0068550E">
        <w:rPr>
          <w:rFonts w:ascii="Times New Roman" w:hAnsi="Times New Roman" w:cs="Times New Roman"/>
          <w:sz w:val="24"/>
          <w:szCs w:val="24"/>
        </w:rPr>
        <w:t xml:space="preserve">, </w:t>
      </w:r>
      <w:r w:rsidR="0093029D" w:rsidRPr="0068550E">
        <w:rPr>
          <w:rFonts w:ascii="Times New Roman" w:hAnsi="Times New Roman" w:cs="Times New Roman"/>
          <w:sz w:val="24"/>
          <w:szCs w:val="24"/>
          <w:u w:color="000000"/>
        </w:rPr>
        <w:t>749</w:t>
      </w:r>
      <w:r w:rsidR="0093029D" w:rsidRPr="0068550E">
        <w:rPr>
          <w:rFonts w:ascii="Times New Roman" w:hAnsi="Times New Roman" w:cs="Times New Roman"/>
          <w:iCs/>
          <w:sz w:val="24"/>
          <w:szCs w:val="24"/>
          <w:u w:color="000000"/>
        </w:rPr>
        <w:noBreakHyphen/>
        <w:t>750</w:t>
      </w:r>
      <w:r w:rsidR="0093029D" w:rsidRPr="0068550E">
        <w:rPr>
          <w:rFonts w:ascii="Times New Roman" w:hAnsi="Times New Roman" w:cs="Times New Roman"/>
          <w:sz w:val="24"/>
          <w:szCs w:val="24"/>
          <w:u w:color="000000"/>
        </w:rPr>
        <w:t>.</w:t>
      </w:r>
    </w:p>
  </w:footnote>
  <w:footnote w:id="34">
    <w:p w14:paraId="1CE24089" w14:textId="4A288A59"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FB7080" w:rsidRPr="0068550E">
        <w:rPr>
          <w:rFonts w:ascii="Times New Roman" w:hAnsi="Times New Roman" w:cs="Times New Roman"/>
          <w:sz w:val="24"/>
          <w:szCs w:val="24"/>
          <w:u w:color="000000"/>
        </w:rPr>
        <w:t xml:space="preserve">See </w:t>
      </w:r>
      <w:r w:rsidR="005755C4" w:rsidRPr="0068550E">
        <w:rPr>
          <w:rFonts w:ascii="Times New Roman" w:hAnsi="Times New Roman" w:cs="Times New Roman"/>
          <w:i/>
          <w:iCs/>
          <w:sz w:val="24"/>
          <w:szCs w:val="24"/>
          <w:u w:color="000000"/>
        </w:rPr>
        <w:t>Guide</w:t>
      </w:r>
      <w:r w:rsidR="005755C4" w:rsidRPr="0068550E">
        <w:rPr>
          <w:rFonts w:ascii="Times New Roman" w:hAnsi="Times New Roman" w:cs="Times New Roman"/>
          <w:i/>
          <w:iCs/>
          <w:sz w:val="24"/>
          <w:szCs w:val="24"/>
          <w:u w:color="000000"/>
        </w:rPr>
        <w:fldChar w:fldCharType="begin"/>
      </w:r>
      <w:r w:rsidR="005755C4" w:rsidRPr="0068550E">
        <w:rPr>
          <w:rFonts w:ascii="Times New Roman" w:hAnsi="Times New Roman" w:cs="Times New Roman"/>
          <w:i/>
          <w:iCs/>
          <w:sz w:val="24"/>
          <w:szCs w:val="24"/>
          <w:u w:color="000000"/>
        </w:rPr>
        <w:instrText xml:space="preserve"> XE "</w:instrText>
      </w:r>
      <w:r w:rsidR="005755C4" w:rsidRPr="0068550E">
        <w:rPr>
          <w:rFonts w:ascii="Times New Roman" w:hAnsi="Times New Roman" w:cs="Times New Roman"/>
          <w:sz w:val="24"/>
          <w:szCs w:val="24"/>
        </w:rPr>
        <w:instrText>Maïmonide:</w:instrText>
      </w:r>
      <w:r w:rsidR="005755C4" w:rsidRPr="0068550E">
        <w:rPr>
          <w:rFonts w:ascii="Times New Roman" w:hAnsi="Times New Roman" w:cs="Times New Roman"/>
          <w:i/>
          <w:sz w:val="24"/>
          <w:szCs w:val="24"/>
        </w:rPr>
        <w:instrText>Guide des égarés"</w:instrText>
      </w:r>
      <w:r w:rsidR="005755C4" w:rsidRPr="0068550E">
        <w:rPr>
          <w:rFonts w:ascii="Times New Roman" w:hAnsi="Times New Roman" w:cs="Times New Roman"/>
          <w:i/>
          <w:iCs/>
          <w:sz w:val="24"/>
          <w:szCs w:val="24"/>
          <w:u w:color="000000"/>
        </w:rPr>
        <w:instrText xml:space="preserve"> </w:instrText>
      </w:r>
      <w:r w:rsidR="005755C4" w:rsidRPr="0068550E">
        <w:rPr>
          <w:rFonts w:ascii="Times New Roman" w:hAnsi="Times New Roman" w:cs="Times New Roman"/>
          <w:i/>
          <w:iCs/>
          <w:sz w:val="24"/>
          <w:szCs w:val="24"/>
          <w:u w:color="000000"/>
        </w:rPr>
        <w:fldChar w:fldCharType="end"/>
      </w:r>
      <w:r w:rsidR="005755C4" w:rsidRPr="0068550E">
        <w:rPr>
          <w:rFonts w:ascii="Times New Roman" w:hAnsi="Times New Roman" w:cs="Times New Roman"/>
          <w:sz w:val="24"/>
          <w:szCs w:val="24"/>
          <w:u w:color="000000"/>
        </w:rPr>
        <w:t>, Introduction</w:t>
      </w:r>
      <w:r w:rsidR="005755C4" w:rsidRPr="006E1228">
        <w:rPr>
          <w:rFonts w:ascii="Times New Roman" w:hAnsi="Times New Roman" w:cs="Times New Roman"/>
          <w:sz w:val="24"/>
          <w:szCs w:val="24"/>
          <w:highlight w:val="green"/>
          <w:u w:color="000000"/>
        </w:rPr>
        <w:t xml:space="preserve">, </w:t>
      </w:r>
      <w:r w:rsidR="00404D18" w:rsidRPr="006E1228">
        <w:rPr>
          <w:rFonts w:ascii="Times New Roman" w:hAnsi="Times New Roman" w:cs="Times New Roman"/>
          <w:sz w:val="24"/>
          <w:szCs w:val="24"/>
          <w:highlight w:val="green"/>
          <w:u w:color="000000"/>
        </w:rPr>
        <w:t>15</w:t>
      </w:r>
      <w:r w:rsidR="005755C4" w:rsidRPr="006E1228">
        <w:rPr>
          <w:rFonts w:ascii="Times New Roman" w:hAnsi="Times New Roman" w:cs="Times New Roman"/>
          <w:sz w:val="24"/>
          <w:szCs w:val="24"/>
          <w:highlight w:val="green"/>
          <w:u w:color="000000"/>
        </w:rPr>
        <w:t>, cit</w:t>
      </w:r>
      <w:r w:rsidR="00FB7080" w:rsidRPr="006E1228">
        <w:rPr>
          <w:rFonts w:ascii="Times New Roman" w:hAnsi="Times New Roman" w:cs="Times New Roman"/>
          <w:sz w:val="24"/>
          <w:szCs w:val="24"/>
          <w:highlight w:val="green"/>
          <w:u w:color="000000"/>
        </w:rPr>
        <w:t>ed</w:t>
      </w:r>
      <w:r w:rsidR="005755C4" w:rsidRPr="006E1228">
        <w:rPr>
          <w:rFonts w:ascii="Times New Roman" w:hAnsi="Times New Roman" w:cs="Times New Roman"/>
          <w:sz w:val="24"/>
          <w:szCs w:val="24"/>
          <w:highlight w:val="green"/>
          <w:u w:color="000000"/>
        </w:rPr>
        <w:t xml:space="preserve"> </w:t>
      </w:r>
      <w:r w:rsidR="005755C4" w:rsidRPr="006E1228">
        <w:rPr>
          <w:rFonts w:ascii="Times New Roman" w:hAnsi="Times New Roman" w:cs="Times New Roman"/>
          <w:i/>
          <w:iCs/>
          <w:sz w:val="24"/>
          <w:szCs w:val="24"/>
          <w:highlight w:val="green"/>
          <w:u w:color="000000"/>
        </w:rPr>
        <w:t>infra</w:t>
      </w:r>
      <w:r w:rsidR="005755C4" w:rsidRPr="006E1228">
        <w:rPr>
          <w:rFonts w:ascii="Times New Roman" w:hAnsi="Times New Roman" w:cs="Times New Roman"/>
          <w:sz w:val="24"/>
          <w:szCs w:val="24"/>
          <w:highlight w:val="green"/>
          <w:u w:color="000000"/>
        </w:rPr>
        <w:t xml:space="preserve">, </w:t>
      </w:r>
      <w:r w:rsidR="006E1228">
        <w:rPr>
          <w:rFonts w:ascii="Times New Roman" w:hAnsi="Times New Roman" w:cs="Times New Roman"/>
          <w:sz w:val="24"/>
          <w:szCs w:val="24"/>
          <w:highlight w:val="green"/>
          <w:u w:color="000000"/>
        </w:rPr>
        <w:t>PG# in</w:t>
      </w:r>
      <w:r w:rsidR="005755C4" w:rsidRPr="006E1228">
        <w:rPr>
          <w:rFonts w:ascii="Times New Roman" w:hAnsi="Times New Roman" w:cs="Times New Roman"/>
          <w:sz w:val="24"/>
          <w:szCs w:val="24"/>
          <w:highlight w:val="green"/>
          <w:u w:color="000000"/>
        </w:rPr>
        <w:t xml:space="preserve"> n.</w:t>
      </w:r>
      <w:r w:rsidR="006E1228">
        <w:rPr>
          <w:rFonts w:ascii="Times New Roman" w:hAnsi="Times New Roman" w:cs="Times New Roman"/>
          <w:sz w:val="24"/>
          <w:szCs w:val="24"/>
          <w:highlight w:val="green"/>
          <w:u w:color="000000"/>
        </w:rPr>
        <w:t xml:space="preserve"> #</w:t>
      </w:r>
      <w:r w:rsidR="005755C4" w:rsidRPr="006E1228">
        <w:rPr>
          <w:rFonts w:ascii="Times New Roman" w:hAnsi="Times New Roman" w:cs="Times New Roman"/>
          <w:sz w:val="24"/>
          <w:szCs w:val="24"/>
          <w:highlight w:val="green"/>
          <w:u w:color="000000"/>
        </w:rPr>
        <w:t>.</w:t>
      </w:r>
      <w:r w:rsidR="005755C4" w:rsidRPr="0068550E">
        <w:rPr>
          <w:rFonts w:ascii="Times New Roman" w:hAnsi="Times New Roman" w:cs="Times New Roman"/>
          <w:sz w:val="24"/>
          <w:szCs w:val="24"/>
          <w:u w:color="000000"/>
        </w:rPr>
        <w:t xml:space="preserve"> </w:t>
      </w:r>
      <w:r w:rsidR="00FB7080" w:rsidRPr="0068550E">
        <w:rPr>
          <w:rFonts w:ascii="Times New Roman" w:hAnsi="Times New Roman" w:cs="Times New Roman"/>
          <w:sz w:val="24"/>
          <w:szCs w:val="24"/>
          <w:u w:color="000000"/>
        </w:rPr>
        <w:t>This reproach is addressed to those who promote the skeptical reading and</w:t>
      </w:r>
      <w:r w:rsidR="00404D18" w:rsidRPr="0068550E">
        <w:rPr>
          <w:rFonts w:ascii="Times New Roman" w:hAnsi="Times New Roman" w:cs="Times New Roman"/>
          <w:sz w:val="24"/>
          <w:szCs w:val="24"/>
          <w:u w:color="000000"/>
        </w:rPr>
        <w:t>,</w:t>
      </w:r>
      <w:r w:rsidR="00FB7080" w:rsidRPr="0068550E">
        <w:rPr>
          <w:rFonts w:ascii="Times New Roman" w:hAnsi="Times New Roman" w:cs="Times New Roman"/>
          <w:sz w:val="24"/>
          <w:szCs w:val="24"/>
          <w:u w:color="000000"/>
        </w:rPr>
        <w:t xml:space="preserve"> especially to </w:t>
      </w:r>
      <w:proofErr w:type="spellStart"/>
      <w:r w:rsidR="005755C4" w:rsidRPr="0068550E">
        <w:rPr>
          <w:rFonts w:ascii="Times New Roman" w:hAnsi="Times New Roman" w:cs="Times New Roman"/>
          <w:sz w:val="24"/>
          <w:szCs w:val="24"/>
          <w:u w:color="000000"/>
        </w:rPr>
        <w:t>S</w:t>
      </w:r>
      <w:r w:rsidR="0056109D">
        <w:rPr>
          <w:rFonts w:ascii="Times New Roman" w:hAnsi="Times New Roman" w:cs="Times New Roman"/>
          <w:sz w:val="24"/>
          <w:szCs w:val="24"/>
          <w:u w:color="000000"/>
        </w:rPr>
        <w:t>hlomo</w:t>
      </w:r>
      <w:proofErr w:type="spellEnd"/>
      <w:r w:rsidR="005755C4" w:rsidRPr="0068550E">
        <w:rPr>
          <w:rFonts w:ascii="Times New Roman" w:hAnsi="Times New Roman" w:cs="Times New Roman"/>
          <w:sz w:val="24"/>
          <w:szCs w:val="24"/>
          <w:u w:color="000000"/>
        </w:rPr>
        <w:t xml:space="preserve"> Pin</w:t>
      </w:r>
      <w:r w:rsidR="00FB7080" w:rsidRPr="0068550E">
        <w:rPr>
          <w:rFonts w:ascii="Times New Roman" w:hAnsi="Times New Roman" w:cs="Times New Roman"/>
          <w:sz w:val="24"/>
          <w:szCs w:val="24"/>
          <w:u w:color="000000"/>
        </w:rPr>
        <w:t>e</w:t>
      </w:r>
      <w:r w:rsidR="005755C4" w:rsidRPr="0068550E">
        <w:rPr>
          <w:rFonts w:ascii="Times New Roman" w:hAnsi="Times New Roman" w:cs="Times New Roman"/>
          <w:sz w:val="24"/>
          <w:szCs w:val="24"/>
          <w:u w:color="000000"/>
        </w:rPr>
        <w:t>s</w:t>
      </w:r>
      <w:r w:rsidR="00404D18" w:rsidRPr="0068550E">
        <w:rPr>
          <w:rFonts w:ascii="Times New Roman" w:hAnsi="Times New Roman" w:cs="Times New Roman"/>
          <w:sz w:val="24"/>
          <w:szCs w:val="24"/>
          <w:u w:color="000000"/>
        </w:rPr>
        <w:t>,</w:t>
      </w:r>
      <w:r w:rsidR="005755C4" w:rsidRPr="0068550E">
        <w:rPr>
          <w:rFonts w:ascii="Times New Roman" w:hAnsi="Times New Roman" w:cs="Times New Roman"/>
          <w:sz w:val="24"/>
          <w:szCs w:val="24"/>
          <w:u w:color="000000"/>
        </w:rPr>
        <w:fldChar w:fldCharType="begin"/>
      </w:r>
      <w:r w:rsidR="005755C4" w:rsidRPr="0068550E">
        <w:rPr>
          <w:rFonts w:ascii="Times New Roman" w:hAnsi="Times New Roman" w:cs="Times New Roman"/>
          <w:sz w:val="24"/>
          <w:szCs w:val="24"/>
          <w:u w:color="000000"/>
        </w:rPr>
        <w:instrText xml:space="preserve"> XE "</w:instrText>
      </w:r>
      <w:r w:rsidR="005755C4" w:rsidRPr="0068550E">
        <w:rPr>
          <w:rFonts w:ascii="Times New Roman" w:hAnsi="Times New Roman" w:cs="Times New Roman"/>
          <w:sz w:val="24"/>
          <w:szCs w:val="24"/>
        </w:rPr>
        <w:instrText>Pinès, S."</w:instrText>
      </w:r>
      <w:r w:rsidR="005755C4" w:rsidRPr="0068550E">
        <w:rPr>
          <w:rFonts w:ascii="Times New Roman" w:hAnsi="Times New Roman" w:cs="Times New Roman"/>
          <w:sz w:val="24"/>
          <w:szCs w:val="24"/>
          <w:u w:color="000000"/>
        </w:rPr>
        <w:instrText xml:space="preserve"> </w:instrText>
      </w:r>
      <w:r w:rsidR="005755C4" w:rsidRPr="0068550E">
        <w:rPr>
          <w:rFonts w:ascii="Times New Roman" w:hAnsi="Times New Roman" w:cs="Times New Roman"/>
          <w:sz w:val="24"/>
          <w:szCs w:val="24"/>
          <w:u w:color="000000"/>
        </w:rPr>
        <w:fldChar w:fldCharType="end"/>
      </w:r>
      <w:r w:rsidR="00FB7080" w:rsidRPr="0068550E">
        <w:rPr>
          <w:rFonts w:ascii="Times New Roman" w:hAnsi="Times New Roman" w:cs="Times New Roman"/>
          <w:sz w:val="24"/>
          <w:szCs w:val="24"/>
          <w:u w:color="000000"/>
        </w:rPr>
        <w:t xml:space="preserve"> in</w:t>
      </w:r>
      <w:r w:rsidR="005755C4" w:rsidRPr="0068550E">
        <w:rPr>
          <w:rFonts w:ascii="Times New Roman" w:hAnsi="Times New Roman" w:cs="Times New Roman"/>
          <w:sz w:val="24"/>
          <w:szCs w:val="24"/>
          <w:u w:color="000000"/>
        </w:rPr>
        <w:t xml:space="preserve"> </w:t>
      </w:r>
      <w:r w:rsidR="005755C4" w:rsidRPr="0068550E">
        <w:rPr>
          <w:rFonts w:ascii="Times New Roman" w:hAnsi="Times New Roman" w:cs="Times New Roman"/>
          <w:sz w:val="24"/>
          <w:szCs w:val="24"/>
        </w:rPr>
        <w:t>P</w:t>
      </w:r>
      <w:r w:rsidR="0056109D">
        <w:rPr>
          <w:rFonts w:ascii="Times New Roman" w:hAnsi="Times New Roman" w:cs="Times New Roman"/>
          <w:sz w:val="24"/>
          <w:szCs w:val="24"/>
        </w:rPr>
        <w:t>ierre</w:t>
      </w:r>
      <w:r w:rsidR="005755C4" w:rsidRPr="0068550E">
        <w:rPr>
          <w:rFonts w:ascii="Times New Roman" w:hAnsi="Times New Roman" w:cs="Times New Roman"/>
          <w:sz w:val="24"/>
          <w:szCs w:val="24"/>
        </w:rPr>
        <w:t xml:space="preserve"> </w:t>
      </w:r>
      <w:proofErr w:type="spellStart"/>
      <w:r w:rsidR="005755C4" w:rsidRPr="0068550E">
        <w:rPr>
          <w:rFonts w:ascii="Times New Roman" w:hAnsi="Times New Roman" w:cs="Times New Roman"/>
          <w:sz w:val="24"/>
          <w:szCs w:val="24"/>
        </w:rPr>
        <w:t>Bouretz</w:t>
      </w:r>
      <w:proofErr w:type="spellEnd"/>
      <w:r w:rsidR="005755C4" w:rsidRPr="0068550E">
        <w:rPr>
          <w:rFonts w:ascii="Times New Roman" w:hAnsi="Times New Roman" w:cs="Times New Roman"/>
          <w:sz w:val="24"/>
          <w:szCs w:val="24"/>
        </w:rPr>
        <w:t xml:space="preserve">, </w:t>
      </w:r>
      <w:proofErr w:type="spellStart"/>
      <w:r w:rsidR="005755C4" w:rsidRPr="0068550E">
        <w:rPr>
          <w:rFonts w:ascii="Times New Roman" w:hAnsi="Times New Roman" w:cs="Times New Roman"/>
          <w:i/>
          <w:iCs/>
          <w:sz w:val="24"/>
          <w:szCs w:val="24"/>
        </w:rPr>
        <w:t>Lumières</w:t>
      </w:r>
      <w:proofErr w:type="spellEnd"/>
      <w:r w:rsidR="005755C4" w:rsidRPr="0068550E">
        <w:rPr>
          <w:rFonts w:ascii="Times New Roman" w:hAnsi="Times New Roman" w:cs="Times New Roman"/>
          <w:i/>
          <w:iCs/>
          <w:sz w:val="24"/>
          <w:szCs w:val="24"/>
        </w:rPr>
        <w:t xml:space="preserve"> du </w:t>
      </w:r>
      <w:proofErr w:type="spellStart"/>
      <w:r w:rsidR="005755C4" w:rsidRPr="0068550E">
        <w:rPr>
          <w:rFonts w:ascii="Times New Roman" w:hAnsi="Times New Roman" w:cs="Times New Roman"/>
          <w:i/>
          <w:iCs/>
          <w:sz w:val="24"/>
          <w:szCs w:val="24"/>
        </w:rPr>
        <w:t>Moyen</w:t>
      </w:r>
      <w:proofErr w:type="spellEnd"/>
      <w:r w:rsidR="005755C4" w:rsidRPr="0068550E">
        <w:rPr>
          <w:rFonts w:ascii="Times New Roman" w:hAnsi="Times New Roman" w:cs="Times New Roman"/>
          <w:i/>
          <w:iCs/>
          <w:sz w:val="24"/>
          <w:szCs w:val="24"/>
        </w:rPr>
        <w:t xml:space="preserve"> </w:t>
      </w:r>
      <w:proofErr w:type="spellStart"/>
      <w:r w:rsidR="005755C4" w:rsidRPr="0068550E">
        <w:rPr>
          <w:rFonts w:ascii="Times New Roman" w:hAnsi="Times New Roman" w:cs="Times New Roman"/>
          <w:i/>
          <w:iCs/>
          <w:sz w:val="24"/>
          <w:szCs w:val="24"/>
        </w:rPr>
        <w:t>Âge</w:t>
      </w:r>
      <w:proofErr w:type="spellEnd"/>
      <w:r w:rsidR="005755C4" w:rsidRPr="0068550E">
        <w:rPr>
          <w:rFonts w:ascii="Times New Roman" w:hAnsi="Times New Roman" w:cs="Times New Roman"/>
          <w:i/>
          <w:iCs/>
          <w:sz w:val="24"/>
          <w:szCs w:val="24"/>
        </w:rPr>
        <w:t xml:space="preserve">. </w:t>
      </w:r>
      <w:proofErr w:type="spellStart"/>
      <w:r w:rsidR="005755C4" w:rsidRPr="0068550E">
        <w:rPr>
          <w:rFonts w:ascii="Times New Roman" w:hAnsi="Times New Roman" w:cs="Times New Roman"/>
          <w:i/>
          <w:iCs/>
          <w:sz w:val="24"/>
          <w:szCs w:val="24"/>
        </w:rPr>
        <w:t>Maïmonide</w:t>
      </w:r>
      <w:proofErr w:type="spellEnd"/>
      <w:r w:rsidR="005755C4" w:rsidRPr="0068550E">
        <w:rPr>
          <w:rFonts w:ascii="Times New Roman" w:hAnsi="Times New Roman" w:cs="Times New Roman"/>
          <w:i/>
          <w:iCs/>
          <w:sz w:val="24"/>
          <w:szCs w:val="24"/>
        </w:rPr>
        <w:fldChar w:fldCharType="begin"/>
      </w:r>
      <w:r w:rsidR="005755C4" w:rsidRPr="0068550E">
        <w:rPr>
          <w:rFonts w:ascii="Times New Roman" w:hAnsi="Times New Roman" w:cs="Times New Roman"/>
          <w:i/>
          <w:iCs/>
          <w:sz w:val="24"/>
          <w:szCs w:val="24"/>
        </w:rPr>
        <w:instrText xml:space="preserve"> XE "</w:instrText>
      </w:r>
      <w:r w:rsidR="005755C4" w:rsidRPr="0068550E">
        <w:rPr>
          <w:rFonts w:ascii="Times New Roman" w:hAnsi="Times New Roman" w:cs="Times New Roman"/>
          <w:sz w:val="24"/>
          <w:szCs w:val="24"/>
        </w:rPr>
        <w:instrText>Maïmonide"</w:instrText>
      </w:r>
      <w:r w:rsidR="005755C4" w:rsidRPr="0068550E">
        <w:rPr>
          <w:rFonts w:ascii="Times New Roman" w:hAnsi="Times New Roman" w:cs="Times New Roman"/>
          <w:i/>
          <w:iCs/>
          <w:sz w:val="24"/>
          <w:szCs w:val="24"/>
        </w:rPr>
        <w:instrText xml:space="preserve"> </w:instrText>
      </w:r>
      <w:r w:rsidR="005755C4" w:rsidRPr="0068550E">
        <w:rPr>
          <w:rFonts w:ascii="Times New Roman" w:hAnsi="Times New Roman" w:cs="Times New Roman"/>
          <w:i/>
          <w:iCs/>
          <w:sz w:val="24"/>
          <w:szCs w:val="24"/>
        </w:rPr>
        <w:fldChar w:fldCharType="end"/>
      </w:r>
      <w:r w:rsidR="005755C4" w:rsidRPr="0068550E">
        <w:rPr>
          <w:rFonts w:ascii="Times New Roman" w:hAnsi="Times New Roman" w:cs="Times New Roman"/>
          <w:i/>
          <w:iCs/>
          <w:sz w:val="24"/>
          <w:szCs w:val="24"/>
        </w:rPr>
        <w:t xml:space="preserve"> philosophe</w:t>
      </w:r>
      <w:r w:rsidR="005755C4" w:rsidRPr="0068550E">
        <w:rPr>
          <w:rFonts w:ascii="Times New Roman" w:hAnsi="Times New Roman" w:cs="Times New Roman"/>
          <w:sz w:val="24"/>
          <w:szCs w:val="24"/>
        </w:rPr>
        <w:t xml:space="preserve"> </w:t>
      </w:r>
      <w:r w:rsidR="009C03B1">
        <w:rPr>
          <w:rFonts w:ascii="Times New Roman" w:hAnsi="Times New Roman" w:cs="Times New Roman"/>
          <w:sz w:val="24"/>
          <w:szCs w:val="24"/>
        </w:rPr>
        <w:t>(</w:t>
      </w:r>
      <w:r w:rsidR="005755C4" w:rsidRPr="0068550E">
        <w:rPr>
          <w:rFonts w:ascii="Times New Roman" w:hAnsi="Times New Roman" w:cs="Times New Roman"/>
          <w:sz w:val="24"/>
          <w:szCs w:val="24"/>
        </w:rPr>
        <w:t>Paris</w:t>
      </w:r>
      <w:r w:rsidR="009C03B1">
        <w:rPr>
          <w:rFonts w:ascii="Times New Roman" w:hAnsi="Times New Roman" w:cs="Times New Roman"/>
          <w:sz w:val="24"/>
          <w:szCs w:val="24"/>
        </w:rPr>
        <w:t>:</w:t>
      </w:r>
      <w:r w:rsidR="005755C4" w:rsidRPr="0068550E">
        <w:rPr>
          <w:rFonts w:ascii="Times New Roman" w:hAnsi="Times New Roman" w:cs="Times New Roman"/>
          <w:sz w:val="24"/>
          <w:szCs w:val="24"/>
        </w:rPr>
        <w:t xml:space="preserve"> Gallimard, 2015</w:t>
      </w:r>
      <w:r w:rsidR="009C03B1">
        <w:rPr>
          <w:rFonts w:ascii="Times New Roman" w:hAnsi="Times New Roman" w:cs="Times New Roman"/>
          <w:sz w:val="24"/>
          <w:szCs w:val="24"/>
        </w:rPr>
        <w:t>)</w:t>
      </w:r>
      <w:r w:rsidR="005755C4" w:rsidRPr="0068550E">
        <w:rPr>
          <w:rFonts w:ascii="Times New Roman" w:hAnsi="Times New Roman" w:cs="Times New Roman"/>
          <w:sz w:val="24"/>
          <w:szCs w:val="24"/>
        </w:rPr>
        <w:t>, 343-344.</w:t>
      </w:r>
    </w:p>
  </w:footnote>
  <w:footnote w:id="35">
    <w:p w14:paraId="2891FEA8" w14:textId="5C2A7551" w:rsidR="006A6FE4" w:rsidRPr="0068550E" w:rsidRDefault="006A6FE4" w:rsidP="006F45B9">
      <w:pPr>
        <w:pStyle w:val="Notedebasdepage"/>
        <w:spacing w:line="480" w:lineRule="auto"/>
        <w:rPr>
          <w:rFonts w:ascii="Times New Roman" w:hAnsi="Times New Roman" w:cs="Times New Roman"/>
          <w:iCs/>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5755C4" w:rsidRPr="0068550E">
        <w:rPr>
          <w:rFonts w:ascii="Times New Roman" w:hAnsi="Times New Roman" w:cs="Times New Roman"/>
          <w:sz w:val="24"/>
          <w:szCs w:val="24"/>
        </w:rPr>
        <w:t>I</w:t>
      </w:r>
      <w:r w:rsidR="00F060E2">
        <w:rPr>
          <w:rFonts w:ascii="Times New Roman" w:hAnsi="Times New Roman" w:cs="Times New Roman"/>
          <w:sz w:val="24"/>
          <w:szCs w:val="24"/>
        </w:rPr>
        <w:t>mmanuel</w:t>
      </w:r>
      <w:r w:rsidR="005755C4" w:rsidRPr="0068550E">
        <w:rPr>
          <w:rFonts w:ascii="Times New Roman" w:hAnsi="Times New Roman" w:cs="Times New Roman"/>
          <w:sz w:val="24"/>
          <w:szCs w:val="24"/>
        </w:rPr>
        <w:t xml:space="preserve"> Kant</w:t>
      </w:r>
      <w:r w:rsidR="005755C4" w:rsidRPr="0068550E">
        <w:rPr>
          <w:rFonts w:ascii="Times New Roman" w:hAnsi="Times New Roman" w:cs="Times New Roman"/>
          <w:sz w:val="24"/>
          <w:szCs w:val="24"/>
        </w:rPr>
        <w:fldChar w:fldCharType="begin"/>
      </w:r>
      <w:r w:rsidR="005755C4" w:rsidRPr="0068550E">
        <w:rPr>
          <w:rFonts w:ascii="Times New Roman" w:hAnsi="Times New Roman" w:cs="Times New Roman"/>
          <w:sz w:val="24"/>
          <w:szCs w:val="24"/>
        </w:rPr>
        <w:instrText xml:space="preserve"> XE "Kant, I." </w:instrText>
      </w:r>
      <w:r w:rsidR="005755C4" w:rsidRPr="0068550E">
        <w:rPr>
          <w:rFonts w:ascii="Times New Roman" w:hAnsi="Times New Roman" w:cs="Times New Roman"/>
          <w:sz w:val="24"/>
          <w:szCs w:val="24"/>
        </w:rPr>
        <w:fldChar w:fldCharType="end"/>
      </w:r>
      <w:r w:rsidR="005755C4" w:rsidRPr="0068550E">
        <w:rPr>
          <w:rFonts w:ascii="Times New Roman" w:hAnsi="Times New Roman" w:cs="Times New Roman"/>
          <w:sz w:val="24"/>
          <w:szCs w:val="24"/>
        </w:rPr>
        <w:t xml:space="preserve">, </w:t>
      </w:r>
      <w:proofErr w:type="spellStart"/>
      <w:r w:rsidR="00724481" w:rsidRPr="0068550E">
        <w:rPr>
          <w:rFonts w:ascii="Times New Roman" w:hAnsi="Times New Roman" w:cs="Times New Roman"/>
          <w:i/>
          <w:sz w:val="24"/>
          <w:szCs w:val="24"/>
        </w:rPr>
        <w:t>Kritik</w:t>
      </w:r>
      <w:proofErr w:type="spellEnd"/>
      <w:r w:rsidR="00724481" w:rsidRPr="0068550E">
        <w:rPr>
          <w:rFonts w:ascii="Times New Roman" w:hAnsi="Times New Roman" w:cs="Times New Roman"/>
          <w:i/>
          <w:sz w:val="24"/>
          <w:szCs w:val="24"/>
        </w:rPr>
        <w:t xml:space="preserve"> der </w:t>
      </w:r>
      <w:proofErr w:type="spellStart"/>
      <w:r w:rsidR="00724481" w:rsidRPr="0068550E">
        <w:rPr>
          <w:rFonts w:ascii="Times New Roman" w:hAnsi="Times New Roman" w:cs="Times New Roman"/>
          <w:i/>
          <w:sz w:val="24"/>
          <w:szCs w:val="24"/>
        </w:rPr>
        <w:t>reinen</w:t>
      </w:r>
      <w:proofErr w:type="spellEnd"/>
      <w:r w:rsidR="00724481" w:rsidRPr="0068550E">
        <w:rPr>
          <w:rFonts w:ascii="Times New Roman" w:hAnsi="Times New Roman" w:cs="Times New Roman"/>
          <w:i/>
          <w:sz w:val="24"/>
          <w:szCs w:val="24"/>
        </w:rPr>
        <w:t xml:space="preserve"> </w:t>
      </w:r>
      <w:proofErr w:type="spellStart"/>
      <w:r w:rsidR="00724481" w:rsidRPr="0068550E">
        <w:rPr>
          <w:rFonts w:ascii="Times New Roman" w:hAnsi="Times New Roman" w:cs="Times New Roman"/>
          <w:i/>
          <w:sz w:val="24"/>
          <w:szCs w:val="24"/>
        </w:rPr>
        <w:t>Vernunft</w:t>
      </w:r>
      <w:proofErr w:type="spellEnd"/>
      <w:r w:rsidR="00724481" w:rsidRPr="0068550E">
        <w:rPr>
          <w:rFonts w:ascii="Times New Roman" w:hAnsi="Times New Roman" w:cs="Times New Roman"/>
          <w:iCs/>
          <w:sz w:val="24"/>
          <w:szCs w:val="24"/>
        </w:rPr>
        <w:t>, B 370, AK III, 241.</w:t>
      </w:r>
    </w:p>
  </w:footnote>
  <w:footnote w:id="36">
    <w:p w14:paraId="575DE490" w14:textId="080C9BBA"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FB7080" w:rsidRPr="0068550E">
        <w:rPr>
          <w:rFonts w:ascii="Times New Roman" w:hAnsi="Times New Roman" w:cs="Times New Roman"/>
          <w:sz w:val="24"/>
          <w:szCs w:val="24"/>
        </w:rPr>
        <w:t>L</w:t>
      </w:r>
      <w:r w:rsidR="00F060E2">
        <w:rPr>
          <w:rFonts w:ascii="Times New Roman" w:hAnsi="Times New Roman" w:cs="Times New Roman"/>
          <w:sz w:val="24"/>
          <w:szCs w:val="24"/>
        </w:rPr>
        <w:t xml:space="preserve">eo </w:t>
      </w:r>
      <w:r w:rsidR="00FB7080" w:rsidRPr="0068550E">
        <w:rPr>
          <w:rFonts w:ascii="Times New Roman" w:hAnsi="Times New Roman" w:cs="Times New Roman"/>
          <w:sz w:val="24"/>
          <w:szCs w:val="24"/>
        </w:rPr>
        <w:t xml:space="preserve">Strauss, “How to Begin to Study Medieval Philosophy” </w:t>
      </w:r>
      <w:r w:rsidR="009C03B1">
        <w:rPr>
          <w:rFonts w:ascii="Times New Roman" w:hAnsi="Times New Roman" w:cs="Times New Roman"/>
          <w:sz w:val="24"/>
          <w:szCs w:val="24"/>
        </w:rPr>
        <w:t>[</w:t>
      </w:r>
      <w:r w:rsidR="00FB7080" w:rsidRPr="0068550E">
        <w:rPr>
          <w:rFonts w:ascii="Times New Roman" w:hAnsi="Times New Roman" w:cs="Times New Roman"/>
          <w:sz w:val="24"/>
          <w:szCs w:val="24"/>
        </w:rPr>
        <w:t>1944</w:t>
      </w:r>
      <w:r w:rsidR="009C03B1">
        <w:rPr>
          <w:rFonts w:ascii="Times New Roman" w:hAnsi="Times New Roman" w:cs="Times New Roman"/>
          <w:sz w:val="24"/>
          <w:szCs w:val="24"/>
        </w:rPr>
        <w:t>]</w:t>
      </w:r>
      <w:r w:rsidR="00FB7080" w:rsidRPr="0068550E">
        <w:rPr>
          <w:rFonts w:ascii="Times New Roman" w:hAnsi="Times New Roman" w:cs="Times New Roman"/>
          <w:sz w:val="24"/>
          <w:szCs w:val="24"/>
        </w:rPr>
        <w:t>, in</w:t>
      </w:r>
      <w:r w:rsidR="00FB7080" w:rsidRPr="0068550E">
        <w:rPr>
          <w:rFonts w:ascii="Times New Roman" w:hAnsi="Times New Roman" w:cs="Times New Roman"/>
          <w:i/>
          <w:iCs/>
          <w:sz w:val="24"/>
          <w:szCs w:val="24"/>
        </w:rPr>
        <w:t xml:space="preserve"> The Rebirth of Classical Political Rationalism</w:t>
      </w:r>
      <w:r w:rsidR="00FB7080" w:rsidRPr="0068550E">
        <w:rPr>
          <w:rFonts w:ascii="Times New Roman" w:hAnsi="Times New Roman" w:cs="Times New Roman"/>
          <w:sz w:val="24"/>
          <w:szCs w:val="24"/>
        </w:rPr>
        <w:t xml:space="preserve"> </w:t>
      </w:r>
      <w:r w:rsidR="009C03B1">
        <w:rPr>
          <w:rFonts w:ascii="Times New Roman" w:hAnsi="Times New Roman" w:cs="Times New Roman"/>
          <w:sz w:val="24"/>
          <w:szCs w:val="24"/>
        </w:rPr>
        <w:t xml:space="preserve">(Chicago: </w:t>
      </w:r>
      <w:r w:rsidR="00FB7080" w:rsidRPr="0068550E">
        <w:rPr>
          <w:rFonts w:ascii="Times New Roman" w:hAnsi="Times New Roman" w:cs="Times New Roman"/>
          <w:sz w:val="24"/>
          <w:szCs w:val="24"/>
        </w:rPr>
        <w:t>University of Chicago Press, 1989</w:t>
      </w:r>
      <w:r w:rsidR="009C03B1">
        <w:rPr>
          <w:rFonts w:ascii="Times New Roman" w:hAnsi="Times New Roman" w:cs="Times New Roman"/>
          <w:sz w:val="24"/>
          <w:szCs w:val="24"/>
        </w:rPr>
        <w:t>)</w:t>
      </w:r>
      <w:r w:rsidR="00FB7080" w:rsidRPr="0068550E">
        <w:rPr>
          <w:rFonts w:ascii="Times New Roman" w:hAnsi="Times New Roman" w:cs="Times New Roman"/>
          <w:sz w:val="24"/>
          <w:szCs w:val="24"/>
        </w:rPr>
        <w:t>, 208.</w:t>
      </w:r>
    </w:p>
  </w:footnote>
  <w:footnote w:id="37">
    <w:p w14:paraId="57FD5378" w14:textId="050EFCC7" w:rsidR="006A6FE4" w:rsidRPr="0068550E" w:rsidRDefault="006A6FE4"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FB7080" w:rsidRPr="0068550E">
        <w:rPr>
          <w:rFonts w:ascii="Times New Roman" w:hAnsi="Times New Roman" w:cs="Times New Roman"/>
          <w:sz w:val="24"/>
          <w:szCs w:val="24"/>
          <w:u w:color="000000"/>
        </w:rPr>
        <w:t>L</w:t>
      </w:r>
      <w:r w:rsidR="00F060E2">
        <w:rPr>
          <w:rFonts w:ascii="Times New Roman" w:hAnsi="Times New Roman" w:cs="Times New Roman"/>
          <w:sz w:val="24"/>
          <w:szCs w:val="24"/>
          <w:u w:color="000000"/>
        </w:rPr>
        <w:t>eo</w:t>
      </w:r>
      <w:r w:rsidR="00FB7080" w:rsidRPr="0068550E">
        <w:rPr>
          <w:rFonts w:ascii="Times New Roman" w:hAnsi="Times New Roman" w:cs="Times New Roman"/>
          <w:sz w:val="24"/>
          <w:szCs w:val="24"/>
          <w:u w:color="000000"/>
        </w:rPr>
        <w:t xml:space="preserve"> Strauss</w:t>
      </w:r>
      <w:r w:rsidR="00FB7080" w:rsidRPr="0068550E">
        <w:rPr>
          <w:rFonts w:ascii="Times New Roman" w:hAnsi="Times New Roman" w:cs="Times New Roman"/>
          <w:sz w:val="24"/>
          <w:szCs w:val="24"/>
          <w:u w:color="000000"/>
        </w:rPr>
        <w:fldChar w:fldCharType="begin"/>
      </w:r>
      <w:r w:rsidR="00FB7080" w:rsidRPr="0068550E">
        <w:rPr>
          <w:rFonts w:ascii="Times New Roman" w:hAnsi="Times New Roman" w:cs="Times New Roman"/>
          <w:sz w:val="24"/>
          <w:szCs w:val="24"/>
          <w:u w:color="000000"/>
        </w:rPr>
        <w:instrText xml:space="preserve"> XE "</w:instrText>
      </w:r>
      <w:r w:rsidR="00FB7080" w:rsidRPr="0068550E">
        <w:rPr>
          <w:rFonts w:ascii="Times New Roman" w:hAnsi="Times New Roman" w:cs="Times New Roman"/>
          <w:sz w:val="24"/>
          <w:szCs w:val="24"/>
        </w:rPr>
        <w:instrText>Strauss, L."</w:instrText>
      </w:r>
      <w:r w:rsidR="00FB7080" w:rsidRPr="0068550E">
        <w:rPr>
          <w:rFonts w:ascii="Times New Roman" w:hAnsi="Times New Roman" w:cs="Times New Roman"/>
          <w:sz w:val="24"/>
          <w:szCs w:val="24"/>
          <w:u w:color="000000"/>
        </w:rPr>
        <w:instrText xml:space="preserve"> </w:instrText>
      </w:r>
      <w:r w:rsidR="00FB7080" w:rsidRPr="0068550E">
        <w:rPr>
          <w:rFonts w:ascii="Times New Roman" w:hAnsi="Times New Roman" w:cs="Times New Roman"/>
          <w:sz w:val="24"/>
          <w:szCs w:val="24"/>
          <w:u w:color="000000"/>
        </w:rPr>
        <w:fldChar w:fldCharType="end"/>
      </w:r>
      <w:r w:rsidR="00FB7080" w:rsidRPr="0068550E">
        <w:rPr>
          <w:rFonts w:ascii="Times New Roman" w:hAnsi="Times New Roman" w:cs="Times New Roman"/>
          <w:sz w:val="24"/>
          <w:szCs w:val="24"/>
          <w:u w:color="000000"/>
        </w:rPr>
        <w:t xml:space="preserve">, “The Literary Character of the </w:t>
      </w:r>
      <w:r w:rsidR="00FB7080" w:rsidRPr="0068550E">
        <w:rPr>
          <w:rFonts w:ascii="Times New Roman" w:hAnsi="Times New Roman" w:cs="Times New Roman"/>
          <w:i/>
          <w:iCs/>
          <w:sz w:val="24"/>
          <w:szCs w:val="24"/>
          <w:u w:color="000000"/>
        </w:rPr>
        <w:t>Guide for the Perplexed</w:t>
      </w:r>
      <w:r w:rsidR="00FB7080" w:rsidRPr="0068550E">
        <w:rPr>
          <w:rFonts w:ascii="Times New Roman" w:hAnsi="Times New Roman" w:cs="Times New Roman"/>
          <w:sz w:val="24"/>
          <w:szCs w:val="24"/>
          <w:u w:color="000000"/>
        </w:rPr>
        <w:t xml:space="preserve">,” </w:t>
      </w:r>
      <w:r w:rsidR="00FB7080" w:rsidRPr="0068550E">
        <w:rPr>
          <w:rFonts w:ascii="Times New Roman" w:hAnsi="Times New Roman" w:cs="Times New Roman"/>
          <w:i/>
          <w:sz w:val="24"/>
          <w:szCs w:val="24"/>
          <w:u w:color="000000"/>
        </w:rPr>
        <w:t>op. cit.</w:t>
      </w:r>
      <w:r w:rsidR="00FB7080" w:rsidRPr="0068550E">
        <w:rPr>
          <w:rFonts w:ascii="Times New Roman" w:hAnsi="Times New Roman" w:cs="Times New Roman"/>
          <w:sz w:val="24"/>
          <w:szCs w:val="24"/>
          <w:u w:color="000000"/>
        </w:rPr>
        <w:t>, 42.</w:t>
      </w:r>
    </w:p>
  </w:footnote>
  <w:footnote w:id="38">
    <w:p w14:paraId="1A60FA7D" w14:textId="4782396B" w:rsidR="00297112" w:rsidRPr="0068550E" w:rsidRDefault="00297112"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00724481" w:rsidRPr="0068550E">
        <w:rPr>
          <w:rFonts w:ascii="Times New Roman" w:hAnsi="Times New Roman" w:cs="Times New Roman"/>
          <w:sz w:val="24"/>
          <w:szCs w:val="24"/>
        </w:rPr>
        <w:t xml:space="preserve"> </w:t>
      </w:r>
      <w:r w:rsidR="00FB7080" w:rsidRPr="0068550E">
        <w:rPr>
          <w:rFonts w:ascii="Times New Roman" w:hAnsi="Times New Roman" w:cs="Times New Roman"/>
          <w:sz w:val="24"/>
          <w:szCs w:val="24"/>
        </w:rPr>
        <w:t>L</w:t>
      </w:r>
      <w:r w:rsidR="00E33FCD">
        <w:rPr>
          <w:rFonts w:ascii="Times New Roman" w:hAnsi="Times New Roman" w:cs="Times New Roman"/>
          <w:sz w:val="24"/>
          <w:szCs w:val="24"/>
        </w:rPr>
        <w:t>eo</w:t>
      </w:r>
      <w:r w:rsidR="00FB7080" w:rsidRPr="0068550E">
        <w:rPr>
          <w:rFonts w:ascii="Times New Roman" w:hAnsi="Times New Roman" w:cs="Times New Roman"/>
          <w:sz w:val="24"/>
          <w:szCs w:val="24"/>
        </w:rPr>
        <w:t xml:space="preserve"> Strauss, “The Law of Reason in the </w:t>
      </w:r>
      <w:proofErr w:type="spellStart"/>
      <w:r w:rsidR="00FB7080" w:rsidRPr="0068550E">
        <w:rPr>
          <w:rFonts w:ascii="Times New Roman" w:hAnsi="Times New Roman" w:cs="Times New Roman"/>
          <w:i/>
          <w:iCs/>
          <w:sz w:val="24"/>
          <w:szCs w:val="24"/>
        </w:rPr>
        <w:t>Kuzari</w:t>
      </w:r>
      <w:proofErr w:type="spellEnd"/>
      <w:r w:rsidR="00FB7080" w:rsidRPr="0068550E">
        <w:rPr>
          <w:rFonts w:ascii="Times New Roman" w:hAnsi="Times New Roman" w:cs="Times New Roman"/>
          <w:sz w:val="24"/>
          <w:szCs w:val="24"/>
        </w:rPr>
        <w:t xml:space="preserve">,” in </w:t>
      </w:r>
      <w:r w:rsidR="00FB7080" w:rsidRPr="0068550E">
        <w:rPr>
          <w:rFonts w:ascii="Times New Roman" w:hAnsi="Times New Roman" w:cs="Times New Roman"/>
          <w:i/>
          <w:iCs/>
          <w:sz w:val="24"/>
          <w:szCs w:val="24"/>
          <w:u w:color="000000"/>
        </w:rPr>
        <w:t>Persecution and the Art of Writing</w:t>
      </w:r>
      <w:r w:rsidR="00FB7080" w:rsidRPr="0068550E">
        <w:rPr>
          <w:rFonts w:ascii="Times New Roman" w:hAnsi="Times New Roman" w:cs="Times New Roman"/>
          <w:i/>
          <w:sz w:val="24"/>
          <w:szCs w:val="24"/>
          <w:u w:color="000000"/>
        </w:rPr>
        <w:t>.</w:t>
      </w:r>
    </w:p>
  </w:footnote>
  <w:footnote w:id="39">
    <w:p w14:paraId="4ED38DD9" w14:textId="69E19F33" w:rsidR="00297112" w:rsidRPr="0068550E" w:rsidRDefault="00297112"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724481" w:rsidRPr="0068550E">
        <w:rPr>
          <w:rFonts w:ascii="Times New Roman" w:hAnsi="Times New Roman" w:cs="Times New Roman"/>
          <w:sz w:val="24"/>
          <w:szCs w:val="24"/>
        </w:rPr>
        <w:t>D</w:t>
      </w:r>
      <w:r w:rsidR="00E33FCD">
        <w:rPr>
          <w:rFonts w:ascii="Times New Roman" w:hAnsi="Times New Roman" w:cs="Times New Roman"/>
          <w:sz w:val="24"/>
          <w:szCs w:val="24"/>
        </w:rPr>
        <w:t>ov</w:t>
      </w:r>
      <w:r w:rsidR="00724481" w:rsidRPr="0068550E">
        <w:rPr>
          <w:rFonts w:ascii="Times New Roman" w:hAnsi="Times New Roman" w:cs="Times New Roman"/>
          <w:sz w:val="24"/>
          <w:szCs w:val="24"/>
        </w:rPr>
        <w:t xml:space="preserve"> Schwartz, </w:t>
      </w:r>
      <w:r w:rsidR="00724481" w:rsidRPr="0068550E">
        <w:rPr>
          <w:rFonts w:ascii="Times New Roman" w:hAnsi="Times New Roman" w:cs="Times New Roman"/>
          <w:i/>
          <w:iCs/>
          <w:sz w:val="24"/>
          <w:szCs w:val="24"/>
        </w:rPr>
        <w:t>Contradiction and Concealment in Medieval Jewish Thought</w:t>
      </w:r>
      <w:r w:rsidR="00724481" w:rsidRPr="0068550E">
        <w:rPr>
          <w:rFonts w:ascii="Times New Roman" w:hAnsi="Times New Roman" w:cs="Times New Roman"/>
          <w:i/>
          <w:sz w:val="24"/>
          <w:szCs w:val="24"/>
        </w:rPr>
        <w:t xml:space="preserve">, </w:t>
      </w:r>
      <w:proofErr w:type="spellStart"/>
      <w:r w:rsidR="00724481" w:rsidRPr="0068550E">
        <w:rPr>
          <w:rFonts w:ascii="Times New Roman" w:hAnsi="Times New Roman" w:cs="Times New Roman"/>
          <w:sz w:val="24"/>
          <w:szCs w:val="24"/>
          <w:u w:color="000000"/>
        </w:rPr>
        <w:t>ch.</w:t>
      </w:r>
      <w:proofErr w:type="spellEnd"/>
      <w:r w:rsidR="00724481" w:rsidRPr="0068550E">
        <w:rPr>
          <w:rFonts w:ascii="Times New Roman" w:hAnsi="Times New Roman" w:cs="Times New Roman"/>
          <w:sz w:val="24"/>
          <w:szCs w:val="24"/>
          <w:u w:color="000000"/>
        </w:rPr>
        <w:t xml:space="preserve"> 2, 45-67.</w:t>
      </w:r>
    </w:p>
  </w:footnote>
  <w:footnote w:id="40">
    <w:p w14:paraId="6C1028A7" w14:textId="67330C6C" w:rsidR="00297112" w:rsidRPr="0068550E" w:rsidRDefault="00297112"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724481" w:rsidRPr="0068550E">
        <w:rPr>
          <w:rFonts w:ascii="Times New Roman" w:hAnsi="Times New Roman" w:cs="Times New Roman"/>
          <w:i/>
          <w:iCs/>
          <w:sz w:val="24"/>
          <w:szCs w:val="24"/>
          <w:u w:color="000000"/>
        </w:rPr>
        <w:t>Ibid.</w:t>
      </w:r>
      <w:r w:rsidR="00724481" w:rsidRPr="0068550E">
        <w:rPr>
          <w:rFonts w:ascii="Times New Roman" w:hAnsi="Times New Roman" w:cs="Times New Roman"/>
          <w:sz w:val="24"/>
          <w:szCs w:val="24"/>
          <w:u w:color="000000"/>
        </w:rPr>
        <w:t xml:space="preserve">, </w:t>
      </w:r>
      <w:proofErr w:type="spellStart"/>
      <w:r w:rsidR="00724481" w:rsidRPr="0068550E">
        <w:rPr>
          <w:rFonts w:ascii="Times New Roman" w:hAnsi="Times New Roman" w:cs="Times New Roman"/>
          <w:sz w:val="24"/>
          <w:szCs w:val="24"/>
          <w:u w:color="000000"/>
        </w:rPr>
        <w:t>ch.</w:t>
      </w:r>
      <w:proofErr w:type="spellEnd"/>
      <w:r w:rsidR="00724481" w:rsidRPr="0068550E">
        <w:rPr>
          <w:rFonts w:ascii="Times New Roman" w:hAnsi="Times New Roman" w:cs="Times New Roman"/>
          <w:sz w:val="24"/>
          <w:szCs w:val="24"/>
          <w:u w:color="000000"/>
        </w:rPr>
        <w:t xml:space="preserve"> 3, 68-111.</w:t>
      </w:r>
    </w:p>
  </w:footnote>
  <w:footnote w:id="41">
    <w:p w14:paraId="4323B0B0" w14:textId="2C707EC6" w:rsidR="00724481" w:rsidRPr="0068550E" w:rsidRDefault="00724481"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Pr="0068550E">
        <w:rPr>
          <w:rFonts w:ascii="Times New Roman" w:hAnsi="Times New Roman" w:cs="Times New Roman"/>
          <w:i/>
          <w:iCs/>
          <w:sz w:val="24"/>
          <w:szCs w:val="24"/>
          <w:u w:color="000000"/>
        </w:rPr>
        <w:t>Ibid.</w:t>
      </w:r>
      <w:r w:rsidRPr="0068550E">
        <w:rPr>
          <w:rFonts w:ascii="Times New Roman" w:hAnsi="Times New Roman" w:cs="Times New Roman"/>
          <w:sz w:val="24"/>
          <w:szCs w:val="24"/>
          <w:u w:color="000000"/>
        </w:rPr>
        <w:t>, 266-267.</w:t>
      </w:r>
    </w:p>
  </w:footnote>
  <w:footnote w:id="42">
    <w:p w14:paraId="6A695295" w14:textId="0FA565DC" w:rsidR="00724481" w:rsidRPr="0068550E" w:rsidRDefault="00724481"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FB7080" w:rsidRPr="0068550E">
        <w:rPr>
          <w:rFonts w:ascii="Times New Roman" w:hAnsi="Times New Roman" w:cs="Times New Roman"/>
          <w:sz w:val="24"/>
          <w:szCs w:val="24"/>
          <w:u w:color="000000"/>
        </w:rPr>
        <w:t>L</w:t>
      </w:r>
      <w:r w:rsidR="00E33FCD">
        <w:rPr>
          <w:rFonts w:ascii="Times New Roman" w:hAnsi="Times New Roman" w:cs="Times New Roman"/>
          <w:sz w:val="24"/>
          <w:szCs w:val="24"/>
          <w:u w:color="000000"/>
        </w:rPr>
        <w:t>eo</w:t>
      </w:r>
      <w:r w:rsidR="00FB7080" w:rsidRPr="0068550E">
        <w:rPr>
          <w:rFonts w:ascii="Times New Roman" w:hAnsi="Times New Roman" w:cs="Times New Roman"/>
          <w:sz w:val="24"/>
          <w:szCs w:val="24"/>
          <w:u w:color="000000"/>
        </w:rPr>
        <w:t xml:space="preserve"> Strauss</w:t>
      </w:r>
      <w:r w:rsidR="00FB7080" w:rsidRPr="0068550E">
        <w:rPr>
          <w:rFonts w:ascii="Times New Roman" w:hAnsi="Times New Roman" w:cs="Times New Roman"/>
          <w:sz w:val="24"/>
          <w:szCs w:val="24"/>
          <w:u w:color="000000"/>
        </w:rPr>
        <w:fldChar w:fldCharType="begin"/>
      </w:r>
      <w:r w:rsidR="00FB7080" w:rsidRPr="0068550E">
        <w:rPr>
          <w:rFonts w:ascii="Times New Roman" w:hAnsi="Times New Roman" w:cs="Times New Roman"/>
          <w:sz w:val="24"/>
          <w:szCs w:val="24"/>
          <w:u w:color="000000"/>
        </w:rPr>
        <w:instrText xml:space="preserve"> XE "</w:instrText>
      </w:r>
      <w:r w:rsidR="00FB7080" w:rsidRPr="0068550E">
        <w:rPr>
          <w:rFonts w:ascii="Times New Roman" w:hAnsi="Times New Roman" w:cs="Times New Roman"/>
          <w:sz w:val="24"/>
          <w:szCs w:val="24"/>
        </w:rPr>
        <w:instrText>Strauss, L."</w:instrText>
      </w:r>
      <w:r w:rsidR="00FB7080" w:rsidRPr="0068550E">
        <w:rPr>
          <w:rFonts w:ascii="Times New Roman" w:hAnsi="Times New Roman" w:cs="Times New Roman"/>
          <w:sz w:val="24"/>
          <w:szCs w:val="24"/>
          <w:u w:color="000000"/>
        </w:rPr>
        <w:instrText xml:space="preserve"> </w:instrText>
      </w:r>
      <w:r w:rsidR="00FB7080" w:rsidRPr="0068550E">
        <w:rPr>
          <w:rFonts w:ascii="Times New Roman" w:hAnsi="Times New Roman" w:cs="Times New Roman"/>
          <w:sz w:val="24"/>
          <w:szCs w:val="24"/>
          <w:u w:color="000000"/>
        </w:rPr>
        <w:fldChar w:fldCharType="end"/>
      </w:r>
      <w:r w:rsidR="00FB7080" w:rsidRPr="0068550E">
        <w:rPr>
          <w:rFonts w:ascii="Times New Roman" w:hAnsi="Times New Roman" w:cs="Times New Roman"/>
          <w:sz w:val="24"/>
          <w:szCs w:val="24"/>
          <w:u w:color="000000"/>
        </w:rPr>
        <w:t xml:space="preserve">, “The Literary Character of the </w:t>
      </w:r>
      <w:r w:rsidR="00FB7080" w:rsidRPr="0068550E">
        <w:rPr>
          <w:rFonts w:ascii="Times New Roman" w:hAnsi="Times New Roman" w:cs="Times New Roman"/>
          <w:i/>
          <w:iCs/>
          <w:sz w:val="24"/>
          <w:szCs w:val="24"/>
          <w:u w:color="000000"/>
        </w:rPr>
        <w:t>Guide for the Perplexed</w:t>
      </w:r>
      <w:r w:rsidR="00FB7080" w:rsidRPr="0068550E">
        <w:rPr>
          <w:rFonts w:ascii="Times New Roman" w:hAnsi="Times New Roman" w:cs="Times New Roman"/>
          <w:sz w:val="24"/>
          <w:szCs w:val="24"/>
          <w:u w:color="000000"/>
        </w:rPr>
        <w:t>,”</w:t>
      </w:r>
      <w:r w:rsidR="00FB7080" w:rsidRPr="0068550E">
        <w:rPr>
          <w:rFonts w:ascii="Times New Roman" w:hAnsi="Times New Roman" w:cs="Times New Roman"/>
          <w:i/>
          <w:sz w:val="24"/>
          <w:szCs w:val="24"/>
          <w:u w:color="000000"/>
        </w:rPr>
        <w:t xml:space="preserve"> </w:t>
      </w:r>
      <w:r w:rsidR="00FB7080" w:rsidRPr="0068550E">
        <w:rPr>
          <w:rFonts w:ascii="Times New Roman" w:hAnsi="Times New Roman" w:cs="Times New Roman"/>
          <w:sz w:val="24"/>
          <w:szCs w:val="24"/>
        </w:rPr>
        <w:t xml:space="preserve">73: “we are certainly in need of a general answer to the general question: which of the two contradictory statements </w:t>
      </w:r>
      <w:r w:rsidR="00FB7080" w:rsidRPr="0068550E">
        <w:rPr>
          <w:rFonts w:ascii="Times New Roman" w:hAnsi="Times New Roman" w:cs="Times New Roman"/>
          <w:i/>
          <w:iCs/>
          <w:sz w:val="24"/>
          <w:szCs w:val="24"/>
        </w:rPr>
        <w:t>is in each instance considered by Maimonides as the true statement</w:t>
      </w:r>
      <w:r w:rsidR="00FB7080" w:rsidRPr="0068550E">
        <w:rPr>
          <w:rFonts w:ascii="Times New Roman" w:hAnsi="Times New Roman" w:cs="Times New Roman"/>
          <w:sz w:val="24"/>
          <w:szCs w:val="24"/>
        </w:rPr>
        <w:t>? That answer would be</w:t>
      </w:r>
      <w:r w:rsidR="00FB7080" w:rsidRPr="0068550E">
        <w:rPr>
          <w:rFonts w:ascii="Times New Roman" w:hAnsi="Times New Roman" w:cs="Times New Roman"/>
          <w:i/>
          <w:iCs/>
          <w:sz w:val="24"/>
          <w:szCs w:val="24"/>
        </w:rPr>
        <w:t xml:space="preserve"> the </w:t>
      </w:r>
      <w:r w:rsidR="00FB7080" w:rsidRPr="0068550E">
        <w:rPr>
          <w:rFonts w:ascii="Times New Roman" w:hAnsi="Times New Roman" w:cs="Times New Roman"/>
          <w:sz w:val="24"/>
          <w:szCs w:val="24"/>
        </w:rPr>
        <w:t>guide for the understanding of Maimonides’ work”</w:t>
      </w:r>
      <w:r w:rsidR="00FB7080" w:rsidRPr="0068550E">
        <w:rPr>
          <w:rFonts w:ascii="Times New Roman" w:hAnsi="Times New Roman" w:cs="Times New Roman"/>
          <w:sz w:val="24"/>
          <w:szCs w:val="24"/>
          <w:u w:color="000000"/>
        </w:rPr>
        <w:t xml:space="preserve"> (my emphasis). For an anti-esoteric reading, see </w:t>
      </w:r>
      <w:proofErr w:type="spellStart"/>
      <w:r w:rsidR="00FB7080" w:rsidRPr="0068550E">
        <w:rPr>
          <w:rFonts w:ascii="Times New Roman" w:hAnsi="Times New Roman" w:cs="Times New Roman"/>
          <w:sz w:val="24"/>
          <w:szCs w:val="24"/>
          <w:u w:color="000000"/>
        </w:rPr>
        <w:t>K</w:t>
      </w:r>
      <w:r w:rsidR="00E33FCD">
        <w:rPr>
          <w:rFonts w:ascii="Times New Roman" w:hAnsi="Times New Roman" w:cs="Times New Roman"/>
          <w:sz w:val="24"/>
          <w:szCs w:val="24"/>
          <w:u w:color="000000"/>
        </w:rPr>
        <w:t>ennet</w:t>
      </w:r>
      <w:proofErr w:type="spellEnd"/>
      <w:r w:rsidR="00FB7080" w:rsidRPr="0068550E">
        <w:rPr>
          <w:rFonts w:ascii="Times New Roman" w:hAnsi="Times New Roman" w:cs="Times New Roman"/>
          <w:sz w:val="24"/>
          <w:szCs w:val="24"/>
          <w:u w:color="000000"/>
        </w:rPr>
        <w:t xml:space="preserve"> </w:t>
      </w:r>
      <w:proofErr w:type="spellStart"/>
      <w:r w:rsidR="00FB7080" w:rsidRPr="0068550E">
        <w:rPr>
          <w:rFonts w:ascii="Times New Roman" w:hAnsi="Times New Roman" w:cs="Times New Roman"/>
          <w:sz w:val="24"/>
          <w:szCs w:val="24"/>
          <w:u w:color="000000"/>
        </w:rPr>
        <w:t>Seeskin</w:t>
      </w:r>
      <w:proofErr w:type="spellEnd"/>
      <w:r w:rsidR="00FB7080" w:rsidRPr="0068550E">
        <w:rPr>
          <w:rFonts w:ascii="Times New Roman" w:hAnsi="Times New Roman" w:cs="Times New Roman"/>
          <w:sz w:val="24"/>
          <w:szCs w:val="24"/>
          <w:u w:color="000000"/>
        </w:rPr>
        <w:t xml:space="preserve">, </w:t>
      </w:r>
      <w:r w:rsidR="00FB7080" w:rsidRPr="0068550E">
        <w:rPr>
          <w:rFonts w:ascii="Times New Roman" w:hAnsi="Times New Roman" w:cs="Times New Roman"/>
          <w:i/>
          <w:iCs/>
          <w:sz w:val="24"/>
          <w:szCs w:val="24"/>
          <w:u w:color="000000"/>
        </w:rPr>
        <w:t>Maimonides on the Origin of the World</w:t>
      </w:r>
      <w:r w:rsidR="00FB7080" w:rsidRPr="0068550E">
        <w:rPr>
          <w:rFonts w:ascii="Times New Roman" w:hAnsi="Times New Roman" w:cs="Times New Roman"/>
          <w:sz w:val="24"/>
          <w:szCs w:val="24"/>
          <w:u w:color="000000"/>
        </w:rPr>
        <w:t xml:space="preserve">, 181: “I suggest, therefore, that </w:t>
      </w:r>
      <w:r w:rsidR="00FB7080" w:rsidRPr="0068550E">
        <w:rPr>
          <w:rFonts w:ascii="Times New Roman" w:hAnsi="Times New Roman" w:cs="Times New Roman"/>
          <w:i/>
          <w:iCs/>
          <w:sz w:val="24"/>
          <w:szCs w:val="24"/>
          <w:u w:color="000000"/>
        </w:rPr>
        <w:t xml:space="preserve">Maimonides’ convictions </w:t>
      </w:r>
      <w:r w:rsidR="00FB7080" w:rsidRPr="0068550E">
        <w:rPr>
          <w:rFonts w:ascii="Times New Roman" w:hAnsi="Times New Roman" w:cs="Times New Roman"/>
          <w:iCs/>
          <w:sz w:val="24"/>
          <w:szCs w:val="24"/>
          <w:u w:color="000000"/>
        </w:rPr>
        <w:t>are exactly as he states them</w:t>
      </w:r>
      <w:r w:rsidR="00FB7080" w:rsidRPr="0068550E">
        <w:rPr>
          <w:rFonts w:ascii="Times New Roman" w:hAnsi="Times New Roman" w:cs="Times New Roman"/>
          <w:sz w:val="24"/>
          <w:szCs w:val="24"/>
          <w:u w:color="000000"/>
        </w:rPr>
        <w:t>” (my emphasis).</w:t>
      </w:r>
    </w:p>
  </w:footnote>
  <w:footnote w:id="43">
    <w:p w14:paraId="7B4B8DFE" w14:textId="74E8A95D" w:rsidR="00724481" w:rsidRPr="0068550E" w:rsidRDefault="00724481"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Pr="0068550E">
        <w:rPr>
          <w:rFonts w:ascii="Times New Roman" w:hAnsi="Times New Roman" w:cs="Times New Roman"/>
          <w:sz w:val="24"/>
          <w:szCs w:val="24"/>
          <w:u w:color="000000"/>
        </w:rPr>
        <w:t xml:space="preserve">See, for example, </w:t>
      </w:r>
      <w:r w:rsidRPr="0068550E">
        <w:rPr>
          <w:rFonts w:ascii="Times New Roman" w:hAnsi="Times New Roman" w:cs="Times New Roman"/>
          <w:sz w:val="24"/>
          <w:szCs w:val="24"/>
        </w:rPr>
        <w:t>W</w:t>
      </w:r>
      <w:r w:rsidR="00E33FCD">
        <w:rPr>
          <w:rFonts w:ascii="Times New Roman" w:hAnsi="Times New Roman" w:cs="Times New Roman"/>
          <w:sz w:val="24"/>
          <w:szCs w:val="24"/>
        </w:rPr>
        <w:t>arren Zev</w:t>
      </w:r>
      <w:r w:rsidRPr="0068550E">
        <w:rPr>
          <w:rFonts w:ascii="Times New Roman" w:hAnsi="Times New Roman" w:cs="Times New Roman"/>
          <w:sz w:val="24"/>
          <w:szCs w:val="24"/>
        </w:rPr>
        <w:t xml:space="preserve"> Harvey’s concluding remarks in “A Third Approach to Maimonides’ Cosmogony-</w:t>
      </w:r>
      <w:proofErr w:type="spellStart"/>
      <w:r w:rsidRPr="0068550E">
        <w:rPr>
          <w:rFonts w:ascii="Times New Roman" w:hAnsi="Times New Roman" w:cs="Times New Roman"/>
          <w:sz w:val="24"/>
          <w:szCs w:val="24"/>
        </w:rPr>
        <w:t>Prophetology</w:t>
      </w:r>
      <w:proofErr w:type="spellEnd"/>
      <w:r w:rsidRPr="0068550E">
        <w:rPr>
          <w:rFonts w:ascii="Times New Roman" w:hAnsi="Times New Roman" w:cs="Times New Roman"/>
          <w:sz w:val="24"/>
          <w:szCs w:val="24"/>
        </w:rPr>
        <w:t xml:space="preserve"> Puzzle,” </w:t>
      </w:r>
      <w:r w:rsidRPr="0068550E">
        <w:rPr>
          <w:rFonts w:ascii="Times New Roman" w:hAnsi="Times New Roman" w:cs="Times New Roman"/>
          <w:i/>
          <w:iCs/>
          <w:sz w:val="24"/>
          <w:szCs w:val="24"/>
        </w:rPr>
        <w:t>The Harvard Theological Review</w:t>
      </w:r>
      <w:r w:rsidR="009C03B1">
        <w:rPr>
          <w:rFonts w:ascii="Times New Roman" w:hAnsi="Times New Roman" w:cs="Times New Roman"/>
          <w:sz w:val="24"/>
          <w:szCs w:val="24"/>
        </w:rPr>
        <w:t xml:space="preserve"> 74, no. 3</w:t>
      </w:r>
      <w:r w:rsidRPr="0068550E">
        <w:rPr>
          <w:rFonts w:ascii="Times New Roman" w:hAnsi="Times New Roman" w:cs="Times New Roman"/>
          <w:sz w:val="24"/>
          <w:szCs w:val="24"/>
        </w:rPr>
        <w:t xml:space="preserve"> </w:t>
      </w:r>
      <w:r w:rsidR="009C03B1">
        <w:rPr>
          <w:rFonts w:ascii="Times New Roman" w:hAnsi="Times New Roman" w:cs="Times New Roman"/>
          <w:sz w:val="24"/>
          <w:szCs w:val="24"/>
        </w:rPr>
        <w:t>(</w:t>
      </w:r>
      <w:r w:rsidRPr="0068550E">
        <w:rPr>
          <w:rFonts w:ascii="Times New Roman" w:hAnsi="Times New Roman" w:cs="Times New Roman"/>
          <w:sz w:val="24"/>
          <w:szCs w:val="24"/>
        </w:rPr>
        <w:t>1981</w:t>
      </w:r>
      <w:r w:rsidR="009C03B1">
        <w:rPr>
          <w:rFonts w:ascii="Times New Roman" w:hAnsi="Times New Roman" w:cs="Times New Roman"/>
          <w:sz w:val="24"/>
          <w:szCs w:val="24"/>
        </w:rPr>
        <w:t>)</w:t>
      </w:r>
      <w:r w:rsidRPr="0068550E">
        <w:rPr>
          <w:rFonts w:ascii="Times New Roman" w:hAnsi="Times New Roman" w:cs="Times New Roman"/>
          <w:sz w:val="24"/>
          <w:szCs w:val="24"/>
        </w:rPr>
        <w:t xml:space="preserve">, </w:t>
      </w:r>
      <w:r w:rsidRPr="0068550E">
        <w:rPr>
          <w:rFonts w:ascii="Times New Roman" w:hAnsi="Times New Roman" w:cs="Times New Roman"/>
          <w:sz w:val="24"/>
          <w:szCs w:val="24"/>
          <w:u w:color="000000"/>
        </w:rPr>
        <w:t>301.</w:t>
      </w:r>
    </w:p>
  </w:footnote>
  <w:footnote w:id="44">
    <w:p w14:paraId="38874500" w14:textId="0808D620" w:rsidR="00724481" w:rsidRPr="0068550E" w:rsidRDefault="00724481"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Aristotle, </w:t>
      </w:r>
      <w:r w:rsidRPr="0068550E">
        <w:rPr>
          <w:rFonts w:ascii="Times New Roman" w:hAnsi="Times New Roman" w:cs="Times New Roman"/>
          <w:i/>
          <w:iCs/>
          <w:sz w:val="24"/>
          <w:szCs w:val="24"/>
        </w:rPr>
        <w:t>On Interpretation</w:t>
      </w:r>
      <w:r w:rsidRPr="0068550E">
        <w:rPr>
          <w:rFonts w:ascii="Times New Roman" w:hAnsi="Times New Roman" w:cs="Times New Roman"/>
          <w:sz w:val="24"/>
          <w:szCs w:val="24"/>
        </w:rPr>
        <w:t xml:space="preserve">, I, 16a. </w:t>
      </w:r>
    </w:p>
  </w:footnote>
  <w:footnote w:id="45">
    <w:p w14:paraId="37E889A3" w14:textId="77803B69" w:rsidR="007A6DA7" w:rsidRPr="0068550E" w:rsidRDefault="007A6DA7"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Pr="0068550E">
        <w:rPr>
          <w:rFonts w:ascii="Times New Roman" w:hAnsi="Times New Roman" w:cs="Times New Roman"/>
          <w:i/>
          <w:iCs/>
          <w:sz w:val="24"/>
          <w:szCs w:val="24"/>
          <w:u w:color="000000"/>
        </w:rPr>
        <w:t>Guide</w:t>
      </w:r>
      <w:r w:rsidRPr="0068550E">
        <w:rPr>
          <w:rFonts w:ascii="Times New Roman" w:hAnsi="Times New Roman" w:cs="Times New Roman"/>
          <w:i/>
          <w:iCs/>
          <w:sz w:val="24"/>
          <w:szCs w:val="24"/>
          <w:u w:color="000000"/>
        </w:rPr>
        <w:fldChar w:fldCharType="begin"/>
      </w:r>
      <w:r w:rsidRPr="0068550E">
        <w:rPr>
          <w:rFonts w:ascii="Times New Roman" w:hAnsi="Times New Roman" w:cs="Times New Roman"/>
          <w:i/>
          <w:iCs/>
          <w:sz w:val="24"/>
          <w:szCs w:val="24"/>
          <w:u w:color="000000"/>
        </w:rPr>
        <w:instrText xml:space="preserve"> XE "</w:instrText>
      </w:r>
      <w:r w:rsidRPr="0068550E">
        <w:rPr>
          <w:rFonts w:ascii="Times New Roman" w:hAnsi="Times New Roman" w:cs="Times New Roman"/>
          <w:sz w:val="24"/>
          <w:szCs w:val="24"/>
        </w:rPr>
        <w:instrText>Maïmonide:</w:instrText>
      </w:r>
      <w:r w:rsidRPr="0068550E">
        <w:rPr>
          <w:rFonts w:ascii="Times New Roman" w:hAnsi="Times New Roman" w:cs="Times New Roman"/>
          <w:i/>
          <w:sz w:val="24"/>
          <w:szCs w:val="24"/>
        </w:rPr>
        <w:instrText>Guide des égarés"</w:instrText>
      </w:r>
      <w:r w:rsidRPr="0068550E">
        <w:rPr>
          <w:rFonts w:ascii="Times New Roman" w:hAnsi="Times New Roman" w:cs="Times New Roman"/>
          <w:i/>
          <w:iCs/>
          <w:sz w:val="24"/>
          <w:szCs w:val="24"/>
          <w:u w:color="000000"/>
        </w:rPr>
        <w:instrText xml:space="preserve"> </w:instrText>
      </w:r>
      <w:r w:rsidRPr="0068550E">
        <w:rPr>
          <w:rFonts w:ascii="Times New Roman" w:hAnsi="Times New Roman" w:cs="Times New Roman"/>
          <w:i/>
          <w:iCs/>
          <w:sz w:val="24"/>
          <w:szCs w:val="24"/>
          <w:u w:color="000000"/>
        </w:rPr>
        <w:fldChar w:fldCharType="end"/>
      </w:r>
      <w:r w:rsidRPr="0068550E">
        <w:rPr>
          <w:rFonts w:ascii="Times New Roman" w:hAnsi="Times New Roman" w:cs="Times New Roman"/>
          <w:sz w:val="24"/>
          <w:szCs w:val="24"/>
          <w:u w:color="000000"/>
        </w:rPr>
        <w:t xml:space="preserve">, I, Introduction, 15, cited and analyzed </w:t>
      </w:r>
      <w:r w:rsidRPr="0068550E">
        <w:rPr>
          <w:rFonts w:ascii="Times New Roman" w:hAnsi="Times New Roman" w:cs="Times New Roman"/>
          <w:i/>
          <w:iCs/>
          <w:sz w:val="24"/>
          <w:szCs w:val="24"/>
          <w:highlight w:val="green"/>
          <w:u w:color="000000"/>
        </w:rPr>
        <w:t xml:space="preserve">infra, </w:t>
      </w:r>
      <w:r w:rsidRPr="0068550E">
        <w:rPr>
          <w:rFonts w:ascii="Times New Roman" w:hAnsi="Times New Roman" w:cs="Times New Roman"/>
          <w:sz w:val="24"/>
          <w:szCs w:val="24"/>
          <w:highlight w:val="green"/>
          <w:u w:color="000000"/>
        </w:rPr>
        <w:t>p.</w:t>
      </w:r>
      <w:r w:rsidRPr="0068550E">
        <w:rPr>
          <w:rFonts w:ascii="Times New Roman" w:hAnsi="Times New Roman" w:cs="Times New Roman"/>
          <w:sz w:val="24"/>
          <w:szCs w:val="24"/>
          <w:u w:color="000000"/>
        </w:rPr>
        <w:t> </w:t>
      </w:r>
      <w:r w:rsidRPr="0068550E">
        <w:rPr>
          <w:rFonts w:ascii="Times New Roman" w:hAnsi="Times New Roman" w:cs="Times New Roman"/>
          <w:sz w:val="24"/>
          <w:szCs w:val="24"/>
        </w:rPr>
        <w:t xml:space="preserve"> </w:t>
      </w:r>
    </w:p>
  </w:footnote>
  <w:footnote w:id="46">
    <w:p w14:paraId="78C88FA1" w14:textId="3648B668" w:rsidR="003A78F0" w:rsidRPr="0068550E" w:rsidRDefault="003A78F0"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E33FCD">
        <w:rPr>
          <w:rFonts w:ascii="Times New Roman" w:hAnsi="Times New Roman" w:cs="Times New Roman"/>
          <w:sz w:val="24"/>
          <w:szCs w:val="24"/>
        </w:rPr>
        <w:t xml:space="preserve">Roland </w:t>
      </w:r>
      <w:r w:rsidRPr="0068550E">
        <w:rPr>
          <w:rFonts w:ascii="Times New Roman" w:hAnsi="Times New Roman" w:cs="Times New Roman"/>
          <w:sz w:val="24"/>
          <w:szCs w:val="24"/>
        </w:rPr>
        <w:t xml:space="preserve">Barthes, “The Death of the Author,” in </w:t>
      </w:r>
      <w:r w:rsidRPr="0068550E">
        <w:rPr>
          <w:rFonts w:ascii="Times New Roman" w:hAnsi="Times New Roman" w:cs="Times New Roman"/>
          <w:i/>
          <w:iCs/>
          <w:sz w:val="24"/>
          <w:szCs w:val="24"/>
        </w:rPr>
        <w:t>The Rustle of Language</w:t>
      </w:r>
      <w:r w:rsidRPr="0068550E">
        <w:rPr>
          <w:rFonts w:ascii="Times New Roman" w:hAnsi="Times New Roman" w:cs="Times New Roman"/>
          <w:sz w:val="24"/>
          <w:szCs w:val="24"/>
        </w:rPr>
        <w:t xml:space="preserve">, trans. Richard Howard (New York: Hill and Wang, 1986), 49-55.  On the subject of the “death of the author,” see Foucault’s famous lecture “What Is an </w:t>
      </w:r>
      <w:proofErr w:type="gramStart"/>
      <w:r w:rsidRPr="0068550E">
        <w:rPr>
          <w:rFonts w:ascii="Times New Roman" w:hAnsi="Times New Roman" w:cs="Times New Roman"/>
          <w:sz w:val="24"/>
          <w:szCs w:val="24"/>
        </w:rPr>
        <w:t>Author?,</w:t>
      </w:r>
      <w:proofErr w:type="gramEnd"/>
      <w:r w:rsidRPr="0068550E">
        <w:rPr>
          <w:rFonts w:ascii="Times New Roman" w:hAnsi="Times New Roman" w:cs="Times New Roman"/>
          <w:sz w:val="24"/>
          <w:szCs w:val="24"/>
        </w:rPr>
        <w:t xml:space="preserve">” trans. </w:t>
      </w:r>
      <w:proofErr w:type="spellStart"/>
      <w:r w:rsidRPr="0068550E">
        <w:rPr>
          <w:rFonts w:ascii="Times New Roman" w:hAnsi="Times New Roman" w:cs="Times New Roman"/>
          <w:sz w:val="24"/>
          <w:szCs w:val="24"/>
        </w:rPr>
        <w:t>Josué</w:t>
      </w:r>
      <w:proofErr w:type="spellEnd"/>
      <w:r w:rsidRPr="0068550E">
        <w:rPr>
          <w:rFonts w:ascii="Times New Roman" w:hAnsi="Times New Roman" w:cs="Times New Roman"/>
          <w:sz w:val="24"/>
          <w:szCs w:val="24"/>
        </w:rPr>
        <w:t xml:space="preserve"> V. Harari, reprinted in </w:t>
      </w:r>
      <w:r w:rsidRPr="0068550E">
        <w:rPr>
          <w:rFonts w:ascii="Times New Roman" w:hAnsi="Times New Roman" w:cs="Times New Roman"/>
          <w:i/>
          <w:iCs/>
          <w:sz w:val="24"/>
          <w:szCs w:val="24"/>
        </w:rPr>
        <w:t>Essential Works of Foucault, 1954-1984, Vol. II:</w:t>
      </w:r>
      <w:r w:rsidRPr="0068550E">
        <w:rPr>
          <w:rFonts w:ascii="Times New Roman" w:hAnsi="Times New Roman" w:cs="Times New Roman"/>
          <w:sz w:val="24"/>
          <w:szCs w:val="24"/>
        </w:rPr>
        <w:t xml:space="preserve"> </w:t>
      </w:r>
      <w:r w:rsidRPr="0068550E">
        <w:rPr>
          <w:rFonts w:ascii="Times New Roman" w:hAnsi="Times New Roman" w:cs="Times New Roman"/>
          <w:i/>
          <w:iCs/>
          <w:sz w:val="24"/>
          <w:szCs w:val="24"/>
        </w:rPr>
        <w:t>Aesthetics, Method, and Epistemology</w:t>
      </w:r>
      <w:r w:rsidRPr="0068550E">
        <w:rPr>
          <w:rFonts w:ascii="Times New Roman" w:hAnsi="Times New Roman" w:cs="Times New Roman"/>
          <w:sz w:val="24"/>
          <w:szCs w:val="24"/>
        </w:rPr>
        <w:t xml:space="preserve">, ed. James D. </w:t>
      </w:r>
      <w:proofErr w:type="spellStart"/>
      <w:r w:rsidRPr="0068550E">
        <w:rPr>
          <w:rFonts w:ascii="Times New Roman" w:hAnsi="Times New Roman" w:cs="Times New Roman"/>
          <w:sz w:val="24"/>
          <w:szCs w:val="24"/>
        </w:rPr>
        <w:t>Faubion</w:t>
      </w:r>
      <w:proofErr w:type="spellEnd"/>
      <w:r w:rsidRPr="0068550E">
        <w:rPr>
          <w:rFonts w:ascii="Times New Roman" w:hAnsi="Times New Roman" w:cs="Times New Roman"/>
          <w:sz w:val="24"/>
          <w:szCs w:val="24"/>
        </w:rPr>
        <w:t xml:space="preserve"> (New York: The New Press, 1998), 205-222.</w:t>
      </w:r>
    </w:p>
  </w:footnote>
  <w:footnote w:id="47">
    <w:p w14:paraId="5609ECA0" w14:textId="105056E5" w:rsidR="003A78F0" w:rsidRPr="0068550E" w:rsidRDefault="003A78F0"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Barthes, “From Work to Text,” in </w:t>
      </w:r>
      <w:r w:rsidRPr="0068550E">
        <w:rPr>
          <w:rFonts w:ascii="Times New Roman" w:hAnsi="Times New Roman" w:cs="Times New Roman"/>
          <w:i/>
          <w:iCs/>
          <w:sz w:val="24"/>
          <w:szCs w:val="24"/>
        </w:rPr>
        <w:t>The Rustle of Language</w:t>
      </w:r>
      <w:r w:rsidRPr="0068550E">
        <w:rPr>
          <w:rFonts w:ascii="Times New Roman" w:hAnsi="Times New Roman" w:cs="Times New Roman"/>
          <w:sz w:val="24"/>
          <w:szCs w:val="24"/>
        </w:rPr>
        <w:t xml:space="preserve">, 61. </w:t>
      </w:r>
    </w:p>
  </w:footnote>
  <w:footnote w:id="48">
    <w:p w14:paraId="19108470" w14:textId="12A0145D" w:rsidR="00C276C3" w:rsidRPr="006E1228" w:rsidRDefault="00C276C3" w:rsidP="006F45B9">
      <w:pPr>
        <w:pStyle w:val="Notedebasdepage"/>
        <w:spacing w:line="480" w:lineRule="auto"/>
        <w:rPr>
          <w:rFonts w:ascii="Times New Roman" w:hAnsi="Times New Roman" w:cs="Times New Roman"/>
          <w:sz w:val="24"/>
          <w:szCs w:val="24"/>
          <w:lang w:val="en-CA"/>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lang w:val="en-CA"/>
        </w:rPr>
        <w:t xml:space="preserve"> </w:t>
      </w:r>
      <w:r w:rsidR="000B2613" w:rsidRPr="0068550E">
        <w:rPr>
          <w:rFonts w:ascii="Times New Roman" w:hAnsi="Times New Roman" w:cs="Times New Roman"/>
          <w:sz w:val="24"/>
          <w:szCs w:val="24"/>
          <w:u w:color="000000"/>
          <w:lang w:val="en-CA"/>
        </w:rPr>
        <w:t xml:space="preserve">For other reasons that come down to contesting the </w:t>
      </w:r>
      <w:r w:rsidR="000B2613" w:rsidRPr="0068550E">
        <w:rPr>
          <w:rFonts w:ascii="Times New Roman" w:hAnsi="Times New Roman" w:cs="Times New Roman"/>
          <w:i/>
          <w:iCs/>
          <w:sz w:val="24"/>
          <w:szCs w:val="24"/>
          <w:u w:color="000000"/>
          <w:lang w:val="en-CA"/>
        </w:rPr>
        <w:t>Guide</w:t>
      </w:r>
      <w:r w:rsidR="000B2613" w:rsidRPr="0068550E">
        <w:rPr>
          <w:rFonts w:ascii="Times New Roman" w:hAnsi="Times New Roman" w:cs="Times New Roman"/>
          <w:sz w:val="24"/>
          <w:szCs w:val="24"/>
          <w:u w:color="000000"/>
          <w:lang w:val="en-CA"/>
        </w:rPr>
        <w:t>’s very esotericism</w:t>
      </w:r>
      <w:r w:rsidR="000B2613" w:rsidRPr="0068550E">
        <w:rPr>
          <w:rFonts w:ascii="Times New Roman" w:hAnsi="Times New Roman" w:cs="Times New Roman"/>
          <w:i/>
          <w:iCs/>
          <w:sz w:val="24"/>
          <w:szCs w:val="24"/>
          <w:u w:color="000000"/>
        </w:rPr>
        <w:fldChar w:fldCharType="begin"/>
      </w:r>
      <w:r w:rsidR="000B2613" w:rsidRPr="0068550E">
        <w:rPr>
          <w:rFonts w:ascii="Times New Roman" w:hAnsi="Times New Roman" w:cs="Times New Roman"/>
          <w:i/>
          <w:iCs/>
          <w:sz w:val="24"/>
          <w:szCs w:val="24"/>
          <w:u w:color="000000"/>
          <w:lang w:val="en-CA"/>
        </w:rPr>
        <w:instrText xml:space="preserve"> XE "</w:instrText>
      </w:r>
      <w:r w:rsidR="000B2613" w:rsidRPr="0068550E">
        <w:rPr>
          <w:rFonts w:ascii="Times New Roman" w:hAnsi="Times New Roman" w:cs="Times New Roman"/>
          <w:sz w:val="24"/>
          <w:szCs w:val="24"/>
          <w:lang w:val="en-CA"/>
        </w:rPr>
        <w:instrText>Maïmonide:</w:instrText>
      </w:r>
      <w:r w:rsidR="000B2613" w:rsidRPr="0068550E">
        <w:rPr>
          <w:rFonts w:ascii="Times New Roman" w:hAnsi="Times New Roman" w:cs="Times New Roman"/>
          <w:i/>
          <w:sz w:val="24"/>
          <w:szCs w:val="24"/>
          <w:lang w:val="en-CA"/>
        </w:rPr>
        <w:instrText>Guide des égarés"</w:instrText>
      </w:r>
      <w:r w:rsidR="000B2613" w:rsidRPr="0068550E">
        <w:rPr>
          <w:rFonts w:ascii="Times New Roman" w:hAnsi="Times New Roman" w:cs="Times New Roman"/>
          <w:i/>
          <w:iCs/>
          <w:sz w:val="24"/>
          <w:szCs w:val="24"/>
          <w:u w:color="000000"/>
          <w:lang w:val="en-CA"/>
        </w:rPr>
        <w:instrText xml:space="preserve"> </w:instrText>
      </w:r>
      <w:r w:rsidR="000B2613" w:rsidRPr="0068550E">
        <w:rPr>
          <w:rFonts w:ascii="Times New Roman" w:hAnsi="Times New Roman" w:cs="Times New Roman"/>
          <w:i/>
          <w:iCs/>
          <w:sz w:val="24"/>
          <w:szCs w:val="24"/>
          <w:u w:color="000000"/>
        </w:rPr>
        <w:fldChar w:fldCharType="end"/>
      </w:r>
      <w:r w:rsidR="000B2613" w:rsidRPr="0068550E">
        <w:rPr>
          <w:rFonts w:ascii="Times New Roman" w:hAnsi="Times New Roman" w:cs="Times New Roman"/>
          <w:sz w:val="24"/>
          <w:szCs w:val="24"/>
          <w:u w:color="000000"/>
          <w:lang w:val="en-CA"/>
        </w:rPr>
        <w:t xml:space="preserve">, </w:t>
      </w:r>
      <w:r w:rsidR="001A400E" w:rsidRPr="0068550E">
        <w:rPr>
          <w:rFonts w:ascii="Times New Roman" w:hAnsi="Times New Roman" w:cs="Times New Roman"/>
          <w:sz w:val="24"/>
          <w:szCs w:val="24"/>
          <w:u w:color="000000"/>
          <w:lang w:val="en-CA"/>
        </w:rPr>
        <w:t>some interpreters have urged that the quest for Maimonides’s “true thought” be abandoned. See</w:t>
      </w:r>
      <w:r w:rsidR="000B2613" w:rsidRPr="0068550E">
        <w:rPr>
          <w:rFonts w:ascii="Times New Roman" w:hAnsi="Times New Roman" w:cs="Times New Roman"/>
          <w:sz w:val="24"/>
          <w:szCs w:val="24"/>
          <w:u w:color="000000"/>
          <w:lang w:val="en-CA"/>
        </w:rPr>
        <w:t xml:space="preserve"> </w:t>
      </w:r>
      <w:proofErr w:type="spellStart"/>
      <w:r w:rsidR="000B2613" w:rsidRPr="0068550E">
        <w:rPr>
          <w:rFonts w:ascii="Times New Roman" w:hAnsi="Times New Roman" w:cs="Times New Roman"/>
          <w:sz w:val="24"/>
          <w:szCs w:val="24"/>
          <w:lang w:val="en-CA"/>
        </w:rPr>
        <w:t>Y</w:t>
      </w:r>
      <w:r w:rsidR="006E1228">
        <w:rPr>
          <w:rFonts w:ascii="Times New Roman" w:hAnsi="Times New Roman" w:cs="Times New Roman"/>
          <w:sz w:val="24"/>
          <w:szCs w:val="24"/>
          <w:lang w:val="en-CA"/>
        </w:rPr>
        <w:t>air</w:t>
      </w:r>
      <w:proofErr w:type="spellEnd"/>
      <w:r w:rsidR="000B2613" w:rsidRPr="0068550E">
        <w:rPr>
          <w:rFonts w:ascii="Times New Roman" w:hAnsi="Times New Roman" w:cs="Times New Roman"/>
          <w:sz w:val="24"/>
          <w:szCs w:val="24"/>
          <w:lang w:val="en-CA"/>
        </w:rPr>
        <w:t xml:space="preserve"> </w:t>
      </w:r>
      <w:proofErr w:type="spellStart"/>
      <w:r w:rsidR="000B2613" w:rsidRPr="0068550E">
        <w:rPr>
          <w:rFonts w:ascii="Times New Roman" w:hAnsi="Times New Roman" w:cs="Times New Roman"/>
          <w:sz w:val="24"/>
          <w:szCs w:val="24"/>
          <w:lang w:val="en-CA"/>
        </w:rPr>
        <w:t>Lorberbaum</w:t>
      </w:r>
      <w:proofErr w:type="spellEnd"/>
      <w:r w:rsidR="000B2613" w:rsidRPr="0068550E">
        <w:rPr>
          <w:rFonts w:ascii="Times New Roman" w:hAnsi="Times New Roman" w:cs="Times New Roman"/>
          <w:sz w:val="24"/>
          <w:szCs w:val="24"/>
          <w:lang w:val="en-CA"/>
        </w:rPr>
        <w:t xml:space="preserve">, </w:t>
      </w:r>
      <w:r w:rsidR="001A400E" w:rsidRPr="0068550E">
        <w:rPr>
          <w:rFonts w:ascii="Times New Roman" w:hAnsi="Times New Roman" w:cs="Times New Roman"/>
          <w:sz w:val="24"/>
          <w:szCs w:val="24"/>
          <w:lang w:val="en-CA"/>
        </w:rPr>
        <w:t>“</w:t>
      </w:r>
      <w:r w:rsidR="000B2613" w:rsidRPr="0068550E">
        <w:rPr>
          <w:rFonts w:ascii="Times New Roman" w:hAnsi="Times New Roman" w:cs="Times New Roman"/>
          <w:sz w:val="24"/>
          <w:szCs w:val="24"/>
          <w:lang w:val="en-CA"/>
        </w:rPr>
        <w:t>On Contradictions, Rationality, Dialectics, and Esotericism in Maimonides’s</w:t>
      </w:r>
      <w:r w:rsidR="000B2613" w:rsidRPr="0068550E">
        <w:rPr>
          <w:rFonts w:ascii="Times New Roman" w:hAnsi="Times New Roman" w:cs="Times New Roman"/>
          <w:i/>
          <w:sz w:val="24"/>
          <w:szCs w:val="24"/>
          <w:lang w:val="en-CA"/>
        </w:rPr>
        <w:t xml:space="preserve"> Guide of the Perplexed</w:t>
      </w:r>
      <w:r w:rsidR="000B2613" w:rsidRPr="0068550E">
        <w:rPr>
          <w:rFonts w:ascii="Times New Roman" w:hAnsi="Times New Roman" w:cs="Times New Roman"/>
          <w:sz w:val="24"/>
          <w:szCs w:val="24"/>
          <w:lang w:val="en-CA"/>
        </w:rPr>
        <w:t>,</w:t>
      </w:r>
      <w:r w:rsidR="001A400E" w:rsidRPr="0068550E">
        <w:rPr>
          <w:rFonts w:ascii="Times New Roman" w:hAnsi="Times New Roman" w:cs="Times New Roman"/>
          <w:sz w:val="24"/>
          <w:szCs w:val="24"/>
          <w:lang w:val="en-CA"/>
        </w:rPr>
        <w:t>”</w:t>
      </w:r>
      <w:r w:rsidR="000B2613" w:rsidRPr="0068550E">
        <w:rPr>
          <w:rFonts w:ascii="Times New Roman" w:hAnsi="Times New Roman" w:cs="Times New Roman"/>
          <w:sz w:val="24"/>
          <w:szCs w:val="24"/>
          <w:lang w:val="en-CA"/>
        </w:rPr>
        <w:t xml:space="preserve"> </w:t>
      </w:r>
      <w:r w:rsidR="000B2613" w:rsidRPr="0068550E">
        <w:rPr>
          <w:rFonts w:ascii="Times New Roman" w:hAnsi="Times New Roman" w:cs="Times New Roman"/>
          <w:sz w:val="24"/>
          <w:szCs w:val="24"/>
          <w:u w:color="000000"/>
          <w:lang w:val="en-CA"/>
        </w:rPr>
        <w:t>748</w:t>
      </w:r>
      <w:r w:rsidR="001A400E" w:rsidRPr="0068550E">
        <w:rPr>
          <w:rFonts w:ascii="Times New Roman" w:hAnsi="Times New Roman" w:cs="Times New Roman"/>
          <w:sz w:val="24"/>
          <w:szCs w:val="24"/>
          <w:u w:color="000000"/>
          <w:lang w:val="en-CA"/>
        </w:rPr>
        <w:t>,</w:t>
      </w:r>
      <w:r w:rsidR="000B2613" w:rsidRPr="0068550E">
        <w:rPr>
          <w:rFonts w:ascii="Times New Roman" w:hAnsi="Times New Roman" w:cs="Times New Roman"/>
          <w:sz w:val="24"/>
          <w:szCs w:val="24"/>
          <w:u w:color="000000"/>
          <w:lang w:val="en-CA"/>
        </w:rPr>
        <w:t xml:space="preserve"> </w:t>
      </w:r>
      <w:r w:rsidR="001A400E" w:rsidRPr="0068550E">
        <w:rPr>
          <w:rFonts w:ascii="Times New Roman" w:hAnsi="Times New Roman" w:cs="Times New Roman"/>
          <w:sz w:val="24"/>
          <w:szCs w:val="24"/>
          <w:u w:color="000000"/>
          <w:lang w:val="en-CA"/>
        </w:rPr>
        <w:t>and</w:t>
      </w:r>
      <w:r w:rsidR="000B2613" w:rsidRPr="0068550E">
        <w:rPr>
          <w:rFonts w:ascii="Times New Roman" w:hAnsi="Times New Roman" w:cs="Times New Roman"/>
          <w:sz w:val="24"/>
          <w:szCs w:val="24"/>
          <w:u w:color="000000"/>
          <w:lang w:val="en-CA"/>
        </w:rPr>
        <w:t xml:space="preserve"> H</w:t>
      </w:r>
      <w:r w:rsidR="0056109D">
        <w:rPr>
          <w:rFonts w:ascii="Times New Roman" w:hAnsi="Times New Roman" w:cs="Times New Roman"/>
          <w:sz w:val="24"/>
          <w:szCs w:val="24"/>
          <w:u w:color="000000"/>
          <w:lang w:val="en-CA"/>
        </w:rPr>
        <w:t>erbert</w:t>
      </w:r>
      <w:r w:rsidR="000B2613" w:rsidRPr="0068550E">
        <w:rPr>
          <w:rFonts w:ascii="Times New Roman" w:hAnsi="Times New Roman" w:cs="Times New Roman"/>
          <w:sz w:val="24"/>
          <w:szCs w:val="24"/>
          <w:u w:color="000000"/>
          <w:lang w:val="en-CA"/>
        </w:rPr>
        <w:t xml:space="preserve"> A. Davidson, </w:t>
      </w:r>
      <w:r w:rsidR="000B2613" w:rsidRPr="0068550E">
        <w:rPr>
          <w:rFonts w:ascii="Times New Roman" w:hAnsi="Times New Roman" w:cs="Times New Roman"/>
          <w:i/>
          <w:iCs/>
          <w:sz w:val="24"/>
          <w:szCs w:val="24"/>
          <w:u w:color="000000"/>
          <w:lang w:val="en-CA"/>
        </w:rPr>
        <w:t>Moses Maimonide</w:t>
      </w:r>
      <w:r w:rsidR="009C03B1">
        <w:rPr>
          <w:rFonts w:ascii="Times New Roman" w:hAnsi="Times New Roman" w:cs="Times New Roman"/>
          <w:i/>
          <w:iCs/>
          <w:sz w:val="24"/>
          <w:szCs w:val="24"/>
          <w:u w:color="000000"/>
          <w:lang w:val="en-CA"/>
        </w:rPr>
        <w:t>s:</w:t>
      </w:r>
      <w:r w:rsidR="000B2613" w:rsidRPr="0068550E">
        <w:rPr>
          <w:rFonts w:ascii="Times New Roman" w:hAnsi="Times New Roman" w:cs="Times New Roman"/>
          <w:i/>
          <w:iCs/>
          <w:sz w:val="24"/>
          <w:szCs w:val="24"/>
          <w:u w:color="000000"/>
          <w:lang w:val="en-CA"/>
        </w:rPr>
        <w:t xml:space="preserve"> </w:t>
      </w:r>
      <w:r w:rsidR="000B2613" w:rsidRPr="0068550E">
        <w:rPr>
          <w:rFonts w:ascii="Times New Roman" w:hAnsi="Times New Roman" w:cs="Times New Roman"/>
          <w:i/>
          <w:iCs/>
          <w:sz w:val="24"/>
          <w:szCs w:val="24"/>
          <w:u w:color="000000"/>
        </w:rPr>
        <w:t>The Man and His Works</w:t>
      </w:r>
      <w:r w:rsidR="000B2613" w:rsidRPr="0068550E">
        <w:rPr>
          <w:rFonts w:ascii="Times New Roman" w:hAnsi="Times New Roman" w:cs="Times New Roman"/>
          <w:sz w:val="24"/>
          <w:szCs w:val="24"/>
          <w:u w:color="000000"/>
        </w:rPr>
        <w:t xml:space="preserve"> </w:t>
      </w:r>
      <w:r w:rsidR="009C03B1">
        <w:rPr>
          <w:rFonts w:ascii="Times New Roman" w:hAnsi="Times New Roman" w:cs="Times New Roman"/>
          <w:sz w:val="24"/>
          <w:szCs w:val="24"/>
          <w:u w:color="000000"/>
        </w:rPr>
        <w:t>(</w:t>
      </w:r>
      <w:r w:rsidR="000B2613" w:rsidRPr="0068550E">
        <w:rPr>
          <w:rFonts w:ascii="Times New Roman" w:hAnsi="Times New Roman" w:cs="Times New Roman"/>
          <w:sz w:val="24"/>
          <w:szCs w:val="24"/>
          <w:u w:color="000000"/>
        </w:rPr>
        <w:t>New York</w:t>
      </w:r>
      <w:r w:rsidR="009C03B1">
        <w:rPr>
          <w:rFonts w:ascii="Times New Roman" w:hAnsi="Times New Roman" w:cs="Times New Roman"/>
          <w:sz w:val="24"/>
          <w:szCs w:val="24"/>
          <w:u w:color="000000"/>
        </w:rPr>
        <w:t>:</w:t>
      </w:r>
      <w:r w:rsidR="000B2613" w:rsidRPr="0068550E">
        <w:rPr>
          <w:rFonts w:ascii="Times New Roman" w:hAnsi="Times New Roman" w:cs="Times New Roman"/>
          <w:sz w:val="24"/>
          <w:szCs w:val="24"/>
          <w:u w:color="000000"/>
        </w:rPr>
        <w:t xml:space="preserve"> Oxford University Press, 2005</w:t>
      </w:r>
      <w:r w:rsidR="009C03B1">
        <w:rPr>
          <w:rFonts w:ascii="Times New Roman" w:hAnsi="Times New Roman" w:cs="Times New Roman"/>
          <w:sz w:val="24"/>
          <w:szCs w:val="24"/>
          <w:u w:color="000000"/>
        </w:rPr>
        <w:t>)</w:t>
      </w:r>
      <w:r w:rsidR="000B2613" w:rsidRPr="0068550E">
        <w:rPr>
          <w:rFonts w:ascii="Times New Roman" w:hAnsi="Times New Roman" w:cs="Times New Roman"/>
          <w:sz w:val="24"/>
          <w:szCs w:val="24"/>
          <w:u w:color="000000"/>
        </w:rPr>
        <w:t>, 393-402.</w:t>
      </w:r>
    </w:p>
  </w:footnote>
  <w:footnote w:id="49">
    <w:p w14:paraId="5CBCD4C0" w14:textId="066D0B11" w:rsidR="00C276C3" w:rsidRPr="0068550E" w:rsidRDefault="00C276C3" w:rsidP="006F45B9">
      <w:pPr>
        <w:pStyle w:val="Notedebasdepage"/>
        <w:spacing w:line="480" w:lineRule="auto"/>
        <w:rPr>
          <w:rFonts w:ascii="Times New Roman" w:hAnsi="Times New Roman" w:cs="Times New Roman"/>
          <w:sz w:val="24"/>
          <w:szCs w:val="24"/>
        </w:rPr>
      </w:pPr>
      <w:r w:rsidRPr="0068550E">
        <w:rPr>
          <w:rStyle w:val="Appelnotedebasdep"/>
          <w:rFonts w:ascii="Times New Roman" w:hAnsi="Times New Roman" w:cs="Times New Roman"/>
          <w:sz w:val="24"/>
          <w:szCs w:val="24"/>
        </w:rPr>
        <w:footnoteRef/>
      </w:r>
      <w:r w:rsidRPr="0068550E">
        <w:rPr>
          <w:rFonts w:ascii="Times New Roman" w:hAnsi="Times New Roman" w:cs="Times New Roman"/>
          <w:sz w:val="24"/>
          <w:szCs w:val="24"/>
        </w:rPr>
        <w:t xml:space="preserve"> </w:t>
      </w:r>
      <w:r w:rsidR="001A400E" w:rsidRPr="0068550E">
        <w:rPr>
          <w:rFonts w:ascii="Times New Roman" w:hAnsi="Times New Roman" w:cs="Times New Roman"/>
          <w:sz w:val="24"/>
          <w:szCs w:val="24"/>
        </w:rPr>
        <w:t xml:space="preserve">I end my history with </w:t>
      </w:r>
      <w:proofErr w:type="spellStart"/>
      <w:r w:rsidR="001A400E" w:rsidRPr="0068550E">
        <w:rPr>
          <w:rFonts w:ascii="Times New Roman" w:hAnsi="Times New Roman" w:cs="Times New Roman"/>
          <w:sz w:val="24"/>
          <w:szCs w:val="24"/>
        </w:rPr>
        <w:t>Ḥasda</w:t>
      </w:r>
      <w:r w:rsidR="00E51E0E">
        <w:rPr>
          <w:rFonts w:ascii="Times New Roman" w:hAnsi="Times New Roman" w:cs="Times New Roman"/>
          <w:sz w:val="24"/>
          <w:szCs w:val="24"/>
        </w:rPr>
        <w:t>i</w:t>
      </w:r>
      <w:proofErr w:type="spellEnd"/>
      <w:r w:rsidR="001A400E" w:rsidRPr="0068550E">
        <w:rPr>
          <w:rFonts w:ascii="Times New Roman" w:hAnsi="Times New Roman" w:cs="Times New Roman"/>
          <w:sz w:val="24"/>
          <w:szCs w:val="24"/>
        </w:rPr>
        <w:t xml:space="preserve"> </w:t>
      </w:r>
      <w:proofErr w:type="spellStart"/>
      <w:r w:rsidR="001A400E" w:rsidRPr="0068550E">
        <w:rPr>
          <w:rFonts w:ascii="Times New Roman" w:hAnsi="Times New Roman" w:cs="Times New Roman"/>
          <w:sz w:val="24"/>
          <w:szCs w:val="24"/>
        </w:rPr>
        <w:t>Crescas</w:t>
      </w:r>
      <w:proofErr w:type="spellEnd"/>
      <w:r w:rsidR="001A400E" w:rsidRPr="0068550E">
        <w:rPr>
          <w:rFonts w:ascii="Times New Roman" w:hAnsi="Times New Roman" w:cs="Times New Roman"/>
          <w:sz w:val="24"/>
          <w:szCs w:val="24"/>
        </w:rPr>
        <w:t xml:space="preserve"> who concluded, with his critique of Aristotelianism, an important chapter of the history of medieval Jewish philosophy. The medieval reflection on our problem would nonetheless </w:t>
      </w:r>
      <w:r w:rsidR="00622027" w:rsidRPr="0068550E">
        <w:rPr>
          <w:rFonts w:ascii="Times New Roman" w:hAnsi="Times New Roman" w:cs="Times New Roman"/>
          <w:sz w:val="24"/>
          <w:szCs w:val="24"/>
        </w:rPr>
        <w:t>continue</w:t>
      </w:r>
      <w:r w:rsidR="001A400E" w:rsidRPr="0068550E">
        <w:rPr>
          <w:rFonts w:ascii="Times New Roman" w:hAnsi="Times New Roman" w:cs="Times New Roman"/>
          <w:sz w:val="24"/>
          <w:szCs w:val="24"/>
        </w:rPr>
        <w:t xml:space="preserve"> in the Renaissance, notably in the intersection of philosophy and Kabbalah in Italy. For these extensions, see B</w:t>
      </w:r>
      <w:r w:rsidR="0056109D">
        <w:rPr>
          <w:rFonts w:ascii="Times New Roman" w:hAnsi="Times New Roman" w:cs="Times New Roman"/>
          <w:sz w:val="24"/>
          <w:szCs w:val="24"/>
        </w:rPr>
        <w:t>rian</w:t>
      </w:r>
      <w:r w:rsidR="001A400E" w:rsidRPr="0068550E">
        <w:rPr>
          <w:rFonts w:ascii="Times New Roman" w:hAnsi="Times New Roman" w:cs="Times New Roman"/>
          <w:sz w:val="24"/>
          <w:szCs w:val="24"/>
        </w:rPr>
        <w:t xml:space="preserve"> </w:t>
      </w:r>
      <w:proofErr w:type="spellStart"/>
      <w:r w:rsidR="001A400E" w:rsidRPr="0068550E">
        <w:rPr>
          <w:rFonts w:ascii="Times New Roman" w:hAnsi="Times New Roman" w:cs="Times New Roman"/>
          <w:sz w:val="24"/>
          <w:szCs w:val="24"/>
        </w:rPr>
        <w:t>Ogren</w:t>
      </w:r>
      <w:proofErr w:type="spellEnd"/>
      <w:r w:rsidR="001A400E" w:rsidRPr="0068550E">
        <w:rPr>
          <w:rFonts w:ascii="Times New Roman" w:hAnsi="Times New Roman" w:cs="Times New Roman"/>
          <w:sz w:val="24"/>
          <w:szCs w:val="24"/>
        </w:rPr>
        <w:t xml:space="preserve">, </w:t>
      </w:r>
      <w:r w:rsidR="001A400E" w:rsidRPr="0068550E">
        <w:rPr>
          <w:rFonts w:ascii="Times New Roman" w:hAnsi="Times New Roman" w:cs="Times New Roman"/>
          <w:i/>
          <w:iCs/>
          <w:sz w:val="24"/>
          <w:szCs w:val="24"/>
        </w:rPr>
        <w:t xml:space="preserve">The Beginning of the World in Renaissance Jewish Thought: </w:t>
      </w:r>
      <w:proofErr w:type="spellStart"/>
      <w:r w:rsidR="001A400E" w:rsidRPr="0068550E">
        <w:rPr>
          <w:rFonts w:ascii="Times New Roman" w:hAnsi="Times New Roman" w:cs="Times New Roman"/>
          <w:sz w:val="24"/>
          <w:szCs w:val="24"/>
        </w:rPr>
        <w:t>Ma’aseh</w:t>
      </w:r>
      <w:proofErr w:type="spellEnd"/>
      <w:r w:rsidR="001A400E" w:rsidRPr="0068550E">
        <w:rPr>
          <w:rFonts w:ascii="Times New Roman" w:hAnsi="Times New Roman" w:cs="Times New Roman"/>
          <w:sz w:val="24"/>
          <w:szCs w:val="24"/>
        </w:rPr>
        <w:t xml:space="preserve"> </w:t>
      </w:r>
      <w:proofErr w:type="spellStart"/>
      <w:r w:rsidR="001A400E" w:rsidRPr="0068550E">
        <w:rPr>
          <w:rFonts w:ascii="Times New Roman" w:hAnsi="Times New Roman" w:cs="Times New Roman"/>
          <w:sz w:val="24"/>
          <w:szCs w:val="24"/>
        </w:rPr>
        <w:t>Bereshit</w:t>
      </w:r>
      <w:proofErr w:type="spellEnd"/>
      <w:r w:rsidR="001A400E" w:rsidRPr="0068550E">
        <w:rPr>
          <w:rFonts w:ascii="Times New Roman" w:hAnsi="Times New Roman" w:cs="Times New Roman"/>
          <w:i/>
          <w:iCs/>
          <w:sz w:val="24"/>
          <w:szCs w:val="24"/>
        </w:rPr>
        <w:t xml:space="preserve"> in Italian Jewish Philosophy and Kabbalah, 1492-1535</w:t>
      </w:r>
      <w:r w:rsidR="001A400E" w:rsidRPr="0068550E">
        <w:rPr>
          <w:rFonts w:ascii="Times New Roman" w:hAnsi="Times New Roman" w:cs="Times New Roman"/>
          <w:sz w:val="24"/>
          <w:szCs w:val="24"/>
        </w:rPr>
        <w:t xml:space="preserve"> </w:t>
      </w:r>
      <w:r w:rsidR="009C03B1">
        <w:rPr>
          <w:rFonts w:ascii="Times New Roman" w:hAnsi="Times New Roman" w:cs="Times New Roman"/>
          <w:sz w:val="24"/>
          <w:szCs w:val="24"/>
        </w:rPr>
        <w:t>(</w:t>
      </w:r>
      <w:r w:rsidR="001A400E" w:rsidRPr="0068550E">
        <w:rPr>
          <w:rFonts w:ascii="Times New Roman" w:hAnsi="Times New Roman" w:cs="Times New Roman"/>
          <w:sz w:val="24"/>
          <w:szCs w:val="24"/>
        </w:rPr>
        <w:t>Leiden</w:t>
      </w:r>
      <w:r w:rsidR="009C03B1">
        <w:rPr>
          <w:rFonts w:ascii="Times New Roman" w:hAnsi="Times New Roman" w:cs="Times New Roman"/>
          <w:sz w:val="24"/>
          <w:szCs w:val="24"/>
        </w:rPr>
        <w:t>:</w:t>
      </w:r>
      <w:r w:rsidR="001A400E" w:rsidRPr="0068550E">
        <w:rPr>
          <w:rFonts w:ascii="Times New Roman" w:hAnsi="Times New Roman" w:cs="Times New Roman"/>
          <w:sz w:val="24"/>
          <w:szCs w:val="24"/>
        </w:rPr>
        <w:t xml:space="preserve"> Brill, 2016</w:t>
      </w:r>
      <w:r w:rsidR="009C03B1">
        <w:rPr>
          <w:rFonts w:ascii="Times New Roman" w:hAnsi="Times New Roman" w:cs="Times New Roman"/>
          <w:sz w:val="24"/>
          <w:szCs w:val="24"/>
        </w:rPr>
        <w:t>)</w:t>
      </w:r>
      <w:r w:rsidR="001A400E" w:rsidRPr="0068550E">
        <w:rPr>
          <w:rFonts w:ascii="Times New Roman" w:hAnsi="Times New Roman" w:cs="Times New Roman"/>
          <w:sz w:val="24"/>
          <w:szCs w:val="24"/>
        </w:rPr>
        <w:t xml:space="preserve">, which also insists on the importance of the epistemological status of the problem in the writings of </w:t>
      </w:r>
      <w:proofErr w:type="spellStart"/>
      <w:r w:rsidR="001A400E" w:rsidRPr="0068550E">
        <w:rPr>
          <w:rFonts w:ascii="Times New Roman" w:hAnsi="Times New Roman" w:cs="Times New Roman"/>
          <w:sz w:val="24"/>
          <w:szCs w:val="24"/>
        </w:rPr>
        <w:t>Yo</w:t>
      </w:r>
      <w:r w:rsidR="001541AB" w:rsidRPr="0068550E">
        <w:rPr>
          <w:rFonts w:ascii="Times New Roman" w:hAnsi="Times New Roman" w:cs="Times New Roman"/>
          <w:sz w:val="24"/>
          <w:szCs w:val="24"/>
        </w:rPr>
        <w:t>h</w:t>
      </w:r>
      <w:r w:rsidR="001A400E" w:rsidRPr="0068550E">
        <w:rPr>
          <w:rFonts w:ascii="Times New Roman" w:hAnsi="Times New Roman" w:cs="Times New Roman"/>
          <w:sz w:val="24"/>
          <w:szCs w:val="24"/>
        </w:rPr>
        <w:t>anan</w:t>
      </w:r>
      <w:proofErr w:type="spellEnd"/>
      <w:r w:rsidR="001A400E" w:rsidRPr="0068550E">
        <w:rPr>
          <w:rFonts w:ascii="Times New Roman" w:hAnsi="Times New Roman" w:cs="Times New Roman"/>
          <w:sz w:val="24"/>
          <w:szCs w:val="24"/>
        </w:rPr>
        <w:t xml:space="preserve"> </w:t>
      </w:r>
      <w:proofErr w:type="spellStart"/>
      <w:r w:rsidR="001A400E" w:rsidRPr="0068550E">
        <w:rPr>
          <w:rFonts w:ascii="Times New Roman" w:hAnsi="Times New Roman" w:cs="Times New Roman"/>
          <w:sz w:val="24"/>
          <w:szCs w:val="24"/>
        </w:rPr>
        <w:t>Alemanno</w:t>
      </w:r>
      <w:proofErr w:type="spellEnd"/>
      <w:r w:rsidR="001A400E" w:rsidRPr="0068550E">
        <w:rPr>
          <w:rFonts w:ascii="Times New Roman" w:hAnsi="Times New Roman" w:cs="Times New Roman"/>
          <w:sz w:val="24"/>
          <w:szCs w:val="24"/>
        </w:rPr>
        <w:t>, Isaac Ab</w:t>
      </w:r>
      <w:r w:rsidR="001541AB" w:rsidRPr="0068550E">
        <w:rPr>
          <w:rFonts w:ascii="Times New Roman" w:hAnsi="Times New Roman" w:cs="Times New Roman"/>
          <w:sz w:val="24"/>
          <w:szCs w:val="24"/>
        </w:rPr>
        <w:t>arb</w:t>
      </w:r>
      <w:r w:rsidR="001A400E" w:rsidRPr="0068550E">
        <w:rPr>
          <w:rFonts w:ascii="Times New Roman" w:hAnsi="Times New Roman" w:cs="Times New Roman"/>
          <w:sz w:val="24"/>
          <w:szCs w:val="24"/>
        </w:rPr>
        <w:t>anel</w:t>
      </w:r>
      <w:r w:rsidR="001A400E" w:rsidRPr="0068550E">
        <w:rPr>
          <w:rFonts w:ascii="Times New Roman" w:hAnsi="Times New Roman" w:cs="Times New Roman"/>
          <w:sz w:val="24"/>
          <w:szCs w:val="24"/>
        </w:rPr>
        <w:fldChar w:fldCharType="begin"/>
      </w:r>
      <w:r w:rsidR="001A400E" w:rsidRPr="0068550E">
        <w:rPr>
          <w:rFonts w:ascii="Times New Roman" w:hAnsi="Times New Roman" w:cs="Times New Roman"/>
          <w:sz w:val="24"/>
          <w:szCs w:val="24"/>
        </w:rPr>
        <w:instrText xml:space="preserve"> XE "Abravanel, Isaac" </w:instrText>
      </w:r>
      <w:r w:rsidR="001A400E" w:rsidRPr="0068550E">
        <w:rPr>
          <w:rFonts w:ascii="Times New Roman" w:hAnsi="Times New Roman" w:cs="Times New Roman"/>
          <w:sz w:val="24"/>
          <w:szCs w:val="24"/>
        </w:rPr>
        <w:fldChar w:fldCharType="end"/>
      </w:r>
      <w:r w:rsidR="001A400E" w:rsidRPr="0068550E">
        <w:rPr>
          <w:rFonts w:ascii="Times New Roman" w:hAnsi="Times New Roman" w:cs="Times New Roman"/>
          <w:sz w:val="24"/>
          <w:szCs w:val="24"/>
        </w:rPr>
        <w:t>, Pic</w:t>
      </w:r>
      <w:r w:rsidR="001541AB" w:rsidRPr="0068550E">
        <w:rPr>
          <w:rFonts w:ascii="Times New Roman" w:hAnsi="Times New Roman" w:cs="Times New Roman"/>
          <w:sz w:val="24"/>
          <w:szCs w:val="24"/>
        </w:rPr>
        <w:t>o</w:t>
      </w:r>
      <w:r w:rsidR="001A400E" w:rsidRPr="0068550E">
        <w:rPr>
          <w:rFonts w:ascii="Times New Roman" w:hAnsi="Times New Roman" w:cs="Times New Roman"/>
          <w:sz w:val="24"/>
          <w:szCs w:val="24"/>
        </w:rPr>
        <w:t xml:space="preserve"> </w:t>
      </w:r>
      <w:proofErr w:type="spellStart"/>
      <w:r w:rsidR="001A400E" w:rsidRPr="0068550E">
        <w:rPr>
          <w:rFonts w:ascii="Times New Roman" w:hAnsi="Times New Roman" w:cs="Times New Roman"/>
          <w:sz w:val="24"/>
          <w:szCs w:val="24"/>
        </w:rPr>
        <w:t>de</w:t>
      </w:r>
      <w:r w:rsidR="001541AB" w:rsidRPr="0068550E">
        <w:rPr>
          <w:rFonts w:ascii="Times New Roman" w:hAnsi="Times New Roman" w:cs="Times New Roman"/>
          <w:sz w:val="24"/>
          <w:szCs w:val="24"/>
        </w:rPr>
        <w:t>l</w:t>
      </w:r>
      <w:r w:rsidR="001A400E" w:rsidRPr="0068550E">
        <w:rPr>
          <w:rFonts w:ascii="Times New Roman" w:hAnsi="Times New Roman" w:cs="Times New Roman"/>
          <w:sz w:val="24"/>
          <w:szCs w:val="24"/>
        </w:rPr>
        <w:t>la</w:t>
      </w:r>
      <w:proofErr w:type="spellEnd"/>
      <w:r w:rsidR="001A400E" w:rsidRPr="0068550E">
        <w:rPr>
          <w:rFonts w:ascii="Times New Roman" w:hAnsi="Times New Roman" w:cs="Times New Roman"/>
          <w:sz w:val="24"/>
          <w:szCs w:val="24"/>
        </w:rPr>
        <w:t xml:space="preserve"> </w:t>
      </w:r>
      <w:proofErr w:type="spellStart"/>
      <w:r w:rsidR="001A400E" w:rsidRPr="0068550E">
        <w:rPr>
          <w:rFonts w:ascii="Times New Roman" w:hAnsi="Times New Roman" w:cs="Times New Roman"/>
          <w:sz w:val="24"/>
          <w:szCs w:val="24"/>
        </w:rPr>
        <w:t>Mirandol</w:t>
      </w:r>
      <w:r w:rsidR="001541AB" w:rsidRPr="0068550E">
        <w:rPr>
          <w:rFonts w:ascii="Times New Roman" w:hAnsi="Times New Roman" w:cs="Times New Roman"/>
          <w:sz w:val="24"/>
          <w:szCs w:val="24"/>
        </w:rPr>
        <w:t>a</w:t>
      </w:r>
      <w:proofErr w:type="spellEnd"/>
      <w:r w:rsidR="001541AB" w:rsidRPr="0068550E">
        <w:rPr>
          <w:rFonts w:ascii="Times New Roman" w:hAnsi="Times New Roman" w:cs="Times New Roman"/>
          <w:sz w:val="24"/>
          <w:szCs w:val="24"/>
        </w:rPr>
        <w:t>, and</w:t>
      </w:r>
      <w:r w:rsidR="001A400E" w:rsidRPr="0068550E">
        <w:rPr>
          <w:rFonts w:ascii="Times New Roman" w:hAnsi="Times New Roman" w:cs="Times New Roman"/>
          <w:sz w:val="24"/>
          <w:szCs w:val="24"/>
        </w:rPr>
        <w:t xml:space="preserve"> Juda</w:t>
      </w:r>
      <w:r w:rsidR="001541AB" w:rsidRPr="0068550E">
        <w:rPr>
          <w:rFonts w:ascii="Times New Roman" w:hAnsi="Times New Roman" w:cs="Times New Roman"/>
          <w:sz w:val="24"/>
          <w:szCs w:val="24"/>
        </w:rPr>
        <w:t>h</w:t>
      </w:r>
      <w:r w:rsidR="001A400E" w:rsidRPr="0068550E">
        <w:rPr>
          <w:rFonts w:ascii="Times New Roman" w:hAnsi="Times New Roman" w:cs="Times New Roman"/>
          <w:sz w:val="24"/>
          <w:szCs w:val="24"/>
        </w:rPr>
        <w:t xml:space="preserve"> Abra</w:t>
      </w:r>
      <w:r w:rsidR="001541AB" w:rsidRPr="0068550E">
        <w:rPr>
          <w:rFonts w:ascii="Times New Roman" w:hAnsi="Times New Roman" w:cs="Times New Roman"/>
          <w:sz w:val="24"/>
          <w:szCs w:val="24"/>
        </w:rPr>
        <w:t>b</w:t>
      </w:r>
      <w:r w:rsidR="001A400E" w:rsidRPr="0068550E">
        <w:rPr>
          <w:rFonts w:ascii="Times New Roman" w:hAnsi="Times New Roman" w:cs="Times New Roman"/>
          <w:sz w:val="24"/>
          <w:szCs w:val="24"/>
        </w:rPr>
        <w:t>anel (Leo</w:t>
      </w:r>
      <w:r w:rsidR="001541AB" w:rsidRPr="0068550E">
        <w:rPr>
          <w:rFonts w:ascii="Times New Roman" w:hAnsi="Times New Roman" w:cs="Times New Roman"/>
          <w:sz w:val="24"/>
          <w:szCs w:val="24"/>
        </w:rPr>
        <w:t xml:space="preserve"> the</w:t>
      </w:r>
      <w:r w:rsidR="001A400E" w:rsidRPr="0068550E">
        <w:rPr>
          <w:rFonts w:ascii="Times New Roman" w:hAnsi="Times New Roman" w:cs="Times New Roman"/>
          <w:sz w:val="24"/>
          <w:szCs w:val="24"/>
        </w:rPr>
        <w:t xml:space="preserve"> H</w:t>
      </w:r>
      <w:r w:rsidR="001541AB" w:rsidRPr="0068550E">
        <w:rPr>
          <w:rFonts w:ascii="Times New Roman" w:hAnsi="Times New Roman" w:cs="Times New Roman"/>
          <w:sz w:val="24"/>
          <w:szCs w:val="24"/>
        </w:rPr>
        <w:t>e</w:t>
      </w:r>
      <w:r w:rsidR="001A400E" w:rsidRPr="0068550E">
        <w:rPr>
          <w:rFonts w:ascii="Times New Roman" w:hAnsi="Times New Roman" w:cs="Times New Roman"/>
          <w:sz w:val="24"/>
          <w:szCs w:val="24"/>
        </w:rPr>
        <w:t>bre</w:t>
      </w:r>
      <w:r w:rsidR="001541AB" w:rsidRPr="0068550E">
        <w:rPr>
          <w:rFonts w:ascii="Times New Roman" w:hAnsi="Times New Roman" w:cs="Times New Roman"/>
          <w:sz w:val="24"/>
          <w:szCs w:val="24"/>
        </w:rPr>
        <w:t>w</w:t>
      </w:r>
      <w:r w:rsidR="001A400E" w:rsidRPr="0068550E">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13165627"/>
      <w:docPartObj>
        <w:docPartGallery w:val="Page Numbers (Top of Page)"/>
        <w:docPartUnique/>
      </w:docPartObj>
    </w:sdtPr>
    <w:sdtEndPr>
      <w:rPr>
        <w:rStyle w:val="Numrodepage"/>
      </w:rPr>
    </w:sdtEndPr>
    <w:sdtContent>
      <w:p w14:paraId="38566E17" w14:textId="77B39155" w:rsidR="00803B6B" w:rsidRDefault="00803B6B" w:rsidP="003F136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1A96249" w14:textId="77777777" w:rsidR="00803B6B" w:rsidRDefault="00803B6B" w:rsidP="00803B6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0881"/>
      <w:docPartObj>
        <w:docPartGallery w:val="Page Numbers (Top of Page)"/>
        <w:docPartUnique/>
      </w:docPartObj>
    </w:sdtPr>
    <w:sdtEndPr>
      <w:rPr>
        <w:rStyle w:val="Numrodepage"/>
      </w:rPr>
    </w:sdtEndPr>
    <w:sdtContent>
      <w:p w14:paraId="65F9BB11" w14:textId="719A1246" w:rsidR="00803B6B" w:rsidRDefault="00803B6B" w:rsidP="003F136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18</w:t>
        </w:r>
        <w:r>
          <w:rPr>
            <w:rStyle w:val="Numrodepage"/>
          </w:rPr>
          <w:fldChar w:fldCharType="end"/>
        </w:r>
      </w:p>
    </w:sdtContent>
  </w:sdt>
  <w:p w14:paraId="67D5E3EB" w14:textId="2B3B7DE7" w:rsidR="00803B6B" w:rsidRPr="00803B6B" w:rsidRDefault="00803B6B" w:rsidP="00803B6B">
    <w:pPr>
      <w:pStyle w:val="En-tte"/>
      <w:ind w:right="360"/>
      <w:jc w:val="right"/>
      <w:rPr>
        <w:lang w:val="en-CA"/>
      </w:rPr>
    </w:pPr>
    <w:r>
      <w:rPr>
        <w:lang w:val="en-CA"/>
      </w:rPr>
      <w:t xml:space="preserve">Intro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3B"/>
    <w:rsid w:val="00016EB9"/>
    <w:rsid w:val="00021CF9"/>
    <w:rsid w:val="00026C1E"/>
    <w:rsid w:val="00035DF8"/>
    <w:rsid w:val="00045EF2"/>
    <w:rsid w:val="000824DA"/>
    <w:rsid w:val="0008551A"/>
    <w:rsid w:val="0009738D"/>
    <w:rsid w:val="000B2613"/>
    <w:rsid w:val="000C2DDF"/>
    <w:rsid w:val="000C498B"/>
    <w:rsid w:val="000C6B0B"/>
    <w:rsid w:val="000F694C"/>
    <w:rsid w:val="00134DDA"/>
    <w:rsid w:val="00152BF6"/>
    <w:rsid w:val="001541AB"/>
    <w:rsid w:val="001810F0"/>
    <w:rsid w:val="00181133"/>
    <w:rsid w:val="0018633B"/>
    <w:rsid w:val="00187DF7"/>
    <w:rsid w:val="001A28B4"/>
    <w:rsid w:val="001A400E"/>
    <w:rsid w:val="001C3BC5"/>
    <w:rsid w:val="001E7135"/>
    <w:rsid w:val="001F69FB"/>
    <w:rsid w:val="0020690A"/>
    <w:rsid w:val="00210111"/>
    <w:rsid w:val="00217F5F"/>
    <w:rsid w:val="0023488E"/>
    <w:rsid w:val="00244CCD"/>
    <w:rsid w:val="00247C9B"/>
    <w:rsid w:val="002727A0"/>
    <w:rsid w:val="00281A5B"/>
    <w:rsid w:val="002823C6"/>
    <w:rsid w:val="00285DE3"/>
    <w:rsid w:val="00286334"/>
    <w:rsid w:val="00286A33"/>
    <w:rsid w:val="00296EBD"/>
    <w:rsid w:val="00297112"/>
    <w:rsid w:val="002A795E"/>
    <w:rsid w:val="002D720E"/>
    <w:rsid w:val="002F3E38"/>
    <w:rsid w:val="002F6D4F"/>
    <w:rsid w:val="0030714E"/>
    <w:rsid w:val="00322A7D"/>
    <w:rsid w:val="00326A9E"/>
    <w:rsid w:val="00326FFB"/>
    <w:rsid w:val="003601FC"/>
    <w:rsid w:val="0037654B"/>
    <w:rsid w:val="00380D66"/>
    <w:rsid w:val="00385374"/>
    <w:rsid w:val="003A78F0"/>
    <w:rsid w:val="003B58E9"/>
    <w:rsid w:val="003D1CC0"/>
    <w:rsid w:val="003D781C"/>
    <w:rsid w:val="003E4ACC"/>
    <w:rsid w:val="003E5695"/>
    <w:rsid w:val="003F045A"/>
    <w:rsid w:val="003F4D58"/>
    <w:rsid w:val="00404D18"/>
    <w:rsid w:val="00407EFC"/>
    <w:rsid w:val="00410689"/>
    <w:rsid w:val="0042177C"/>
    <w:rsid w:val="0043633B"/>
    <w:rsid w:val="004415B5"/>
    <w:rsid w:val="00443A35"/>
    <w:rsid w:val="00452F3B"/>
    <w:rsid w:val="00454162"/>
    <w:rsid w:val="00481936"/>
    <w:rsid w:val="00484455"/>
    <w:rsid w:val="0048695D"/>
    <w:rsid w:val="00495A9D"/>
    <w:rsid w:val="004D77B3"/>
    <w:rsid w:val="0056109D"/>
    <w:rsid w:val="00570F2E"/>
    <w:rsid w:val="005755C4"/>
    <w:rsid w:val="00585294"/>
    <w:rsid w:val="00585786"/>
    <w:rsid w:val="00592316"/>
    <w:rsid w:val="00595B9E"/>
    <w:rsid w:val="00596953"/>
    <w:rsid w:val="005A7B25"/>
    <w:rsid w:val="005B3188"/>
    <w:rsid w:val="005B418E"/>
    <w:rsid w:val="005B4299"/>
    <w:rsid w:val="005C3845"/>
    <w:rsid w:val="005C39A6"/>
    <w:rsid w:val="00613DFE"/>
    <w:rsid w:val="00622027"/>
    <w:rsid w:val="006326DE"/>
    <w:rsid w:val="00640794"/>
    <w:rsid w:val="00646984"/>
    <w:rsid w:val="00663A82"/>
    <w:rsid w:val="00676A25"/>
    <w:rsid w:val="0068550E"/>
    <w:rsid w:val="006A2047"/>
    <w:rsid w:val="006A6FE4"/>
    <w:rsid w:val="006B6C63"/>
    <w:rsid w:val="006D1B6C"/>
    <w:rsid w:val="006E1228"/>
    <w:rsid w:val="006E1D5B"/>
    <w:rsid w:val="006E5E02"/>
    <w:rsid w:val="006E6087"/>
    <w:rsid w:val="006F45B9"/>
    <w:rsid w:val="0070153A"/>
    <w:rsid w:val="00722D58"/>
    <w:rsid w:val="00724481"/>
    <w:rsid w:val="00733010"/>
    <w:rsid w:val="00733B03"/>
    <w:rsid w:val="0073614C"/>
    <w:rsid w:val="007432CF"/>
    <w:rsid w:val="007468CF"/>
    <w:rsid w:val="007563CE"/>
    <w:rsid w:val="007832BF"/>
    <w:rsid w:val="007A13A5"/>
    <w:rsid w:val="007A216D"/>
    <w:rsid w:val="007A6DA7"/>
    <w:rsid w:val="007C0880"/>
    <w:rsid w:val="007C633A"/>
    <w:rsid w:val="007D5BD3"/>
    <w:rsid w:val="007D7F20"/>
    <w:rsid w:val="007E4DBF"/>
    <w:rsid w:val="007F454F"/>
    <w:rsid w:val="00803B6B"/>
    <w:rsid w:val="00804F70"/>
    <w:rsid w:val="00813749"/>
    <w:rsid w:val="008266E5"/>
    <w:rsid w:val="008279E9"/>
    <w:rsid w:val="00842884"/>
    <w:rsid w:val="00846A7E"/>
    <w:rsid w:val="00864545"/>
    <w:rsid w:val="008906D9"/>
    <w:rsid w:val="00891C10"/>
    <w:rsid w:val="008A3A68"/>
    <w:rsid w:val="008A64FA"/>
    <w:rsid w:val="008B6191"/>
    <w:rsid w:val="008E7407"/>
    <w:rsid w:val="00901A45"/>
    <w:rsid w:val="00902928"/>
    <w:rsid w:val="00913A7D"/>
    <w:rsid w:val="00914A42"/>
    <w:rsid w:val="0092015B"/>
    <w:rsid w:val="00921E90"/>
    <w:rsid w:val="00924EBE"/>
    <w:rsid w:val="00926A7C"/>
    <w:rsid w:val="0093029D"/>
    <w:rsid w:val="009516AD"/>
    <w:rsid w:val="00957066"/>
    <w:rsid w:val="00981A6C"/>
    <w:rsid w:val="00983613"/>
    <w:rsid w:val="009A08C5"/>
    <w:rsid w:val="009B203A"/>
    <w:rsid w:val="009B73A3"/>
    <w:rsid w:val="009C03B1"/>
    <w:rsid w:val="009C0D16"/>
    <w:rsid w:val="009C4CBE"/>
    <w:rsid w:val="009D24E2"/>
    <w:rsid w:val="009D3775"/>
    <w:rsid w:val="00A270DB"/>
    <w:rsid w:val="00A37FF7"/>
    <w:rsid w:val="00A71489"/>
    <w:rsid w:val="00A72B30"/>
    <w:rsid w:val="00A764EC"/>
    <w:rsid w:val="00A8386C"/>
    <w:rsid w:val="00AA0CBD"/>
    <w:rsid w:val="00AA3826"/>
    <w:rsid w:val="00AA6062"/>
    <w:rsid w:val="00AB4536"/>
    <w:rsid w:val="00AD20B2"/>
    <w:rsid w:val="00AE394D"/>
    <w:rsid w:val="00AE4FAB"/>
    <w:rsid w:val="00AF48E9"/>
    <w:rsid w:val="00B04437"/>
    <w:rsid w:val="00B067D5"/>
    <w:rsid w:val="00B07699"/>
    <w:rsid w:val="00B231DB"/>
    <w:rsid w:val="00B24E57"/>
    <w:rsid w:val="00B50D9A"/>
    <w:rsid w:val="00B81D3F"/>
    <w:rsid w:val="00BA5894"/>
    <w:rsid w:val="00BB399A"/>
    <w:rsid w:val="00BB5222"/>
    <w:rsid w:val="00BD1574"/>
    <w:rsid w:val="00BE7A76"/>
    <w:rsid w:val="00BF4AE6"/>
    <w:rsid w:val="00BF5FE2"/>
    <w:rsid w:val="00C13171"/>
    <w:rsid w:val="00C276C3"/>
    <w:rsid w:val="00C305BB"/>
    <w:rsid w:val="00C52391"/>
    <w:rsid w:val="00C769ED"/>
    <w:rsid w:val="00CA5CAF"/>
    <w:rsid w:val="00CC3BE0"/>
    <w:rsid w:val="00CC5FEA"/>
    <w:rsid w:val="00D0176F"/>
    <w:rsid w:val="00D025EE"/>
    <w:rsid w:val="00D3357F"/>
    <w:rsid w:val="00D43571"/>
    <w:rsid w:val="00D57E41"/>
    <w:rsid w:val="00D74453"/>
    <w:rsid w:val="00D81E16"/>
    <w:rsid w:val="00D827DB"/>
    <w:rsid w:val="00D90411"/>
    <w:rsid w:val="00DB0892"/>
    <w:rsid w:val="00DB331F"/>
    <w:rsid w:val="00DB4109"/>
    <w:rsid w:val="00DB7E7F"/>
    <w:rsid w:val="00DD2E9D"/>
    <w:rsid w:val="00DE0F7F"/>
    <w:rsid w:val="00DF6E55"/>
    <w:rsid w:val="00E00762"/>
    <w:rsid w:val="00E0412E"/>
    <w:rsid w:val="00E060FF"/>
    <w:rsid w:val="00E108BA"/>
    <w:rsid w:val="00E23168"/>
    <w:rsid w:val="00E30F18"/>
    <w:rsid w:val="00E33FCD"/>
    <w:rsid w:val="00E51E0E"/>
    <w:rsid w:val="00E5209D"/>
    <w:rsid w:val="00E60A8F"/>
    <w:rsid w:val="00E6289D"/>
    <w:rsid w:val="00E72F73"/>
    <w:rsid w:val="00E76C8B"/>
    <w:rsid w:val="00EA749C"/>
    <w:rsid w:val="00EB2CBD"/>
    <w:rsid w:val="00ED670E"/>
    <w:rsid w:val="00EF4149"/>
    <w:rsid w:val="00F060E2"/>
    <w:rsid w:val="00F23EC1"/>
    <w:rsid w:val="00F424AC"/>
    <w:rsid w:val="00F70455"/>
    <w:rsid w:val="00F74AA4"/>
    <w:rsid w:val="00F76508"/>
    <w:rsid w:val="00FA3818"/>
    <w:rsid w:val="00FA6B35"/>
    <w:rsid w:val="00FA7CE3"/>
    <w:rsid w:val="00FB7080"/>
    <w:rsid w:val="00FC09AF"/>
    <w:rsid w:val="00FC28EE"/>
    <w:rsid w:val="00FC2D0E"/>
    <w:rsid w:val="00FE2A60"/>
    <w:rsid w:val="00FF0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6620"/>
  <w14:defaultImageDpi w14:val="32767"/>
  <w15:chartTrackingRefBased/>
  <w15:docId w15:val="{D75C745F-1079-BC4F-B482-369A2119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5294"/>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B331F"/>
    <w:rPr>
      <w:sz w:val="16"/>
      <w:szCs w:val="16"/>
    </w:rPr>
  </w:style>
  <w:style w:type="paragraph" w:styleId="Commentaire">
    <w:name w:val="annotation text"/>
    <w:basedOn w:val="Normal"/>
    <w:link w:val="CommentaireCar"/>
    <w:uiPriority w:val="99"/>
    <w:semiHidden/>
    <w:unhideWhenUsed/>
    <w:rsid w:val="00DB331F"/>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DB331F"/>
    <w:rPr>
      <w:sz w:val="20"/>
      <w:szCs w:val="20"/>
    </w:rPr>
  </w:style>
  <w:style w:type="paragraph" w:styleId="Objetducommentaire">
    <w:name w:val="annotation subject"/>
    <w:basedOn w:val="Commentaire"/>
    <w:next w:val="Commentaire"/>
    <w:link w:val="ObjetducommentaireCar"/>
    <w:uiPriority w:val="99"/>
    <w:semiHidden/>
    <w:unhideWhenUsed/>
    <w:rsid w:val="00DB331F"/>
    <w:rPr>
      <w:b/>
      <w:bCs/>
    </w:rPr>
  </w:style>
  <w:style w:type="character" w:customStyle="1" w:styleId="ObjetducommentaireCar">
    <w:name w:val="Objet du commentaire Car"/>
    <w:basedOn w:val="CommentaireCar"/>
    <w:link w:val="Objetducommentaire"/>
    <w:uiPriority w:val="99"/>
    <w:semiHidden/>
    <w:rsid w:val="00DB331F"/>
    <w:rPr>
      <w:b/>
      <w:bCs/>
      <w:sz w:val="20"/>
      <w:szCs w:val="20"/>
    </w:rPr>
  </w:style>
  <w:style w:type="paragraph" w:styleId="Notedebasdepage">
    <w:name w:val="footnote text"/>
    <w:aliases w:val="Texte de note"/>
    <w:basedOn w:val="Normal"/>
    <w:link w:val="NotedebasdepageCar"/>
    <w:uiPriority w:val="99"/>
    <w:unhideWhenUsed/>
    <w:qFormat/>
    <w:rsid w:val="00846A7E"/>
    <w:rPr>
      <w:rFonts w:asciiTheme="minorHAnsi" w:eastAsiaTheme="minorHAnsi" w:hAnsiTheme="minorHAnsi" w:cstheme="minorBidi"/>
      <w:sz w:val="20"/>
      <w:szCs w:val="20"/>
    </w:rPr>
  </w:style>
  <w:style w:type="character" w:customStyle="1" w:styleId="NotedebasdepageCar">
    <w:name w:val="Note de bas de page Car"/>
    <w:aliases w:val="Texte de note Car"/>
    <w:basedOn w:val="Policepardfaut"/>
    <w:link w:val="Notedebasdepage"/>
    <w:uiPriority w:val="99"/>
    <w:rsid w:val="00846A7E"/>
    <w:rPr>
      <w:sz w:val="20"/>
      <w:szCs w:val="20"/>
    </w:rPr>
  </w:style>
  <w:style w:type="character" w:styleId="Appelnotedebasdep">
    <w:name w:val="footnote reference"/>
    <w:basedOn w:val="Policepardfaut"/>
    <w:uiPriority w:val="99"/>
    <w:semiHidden/>
    <w:unhideWhenUsed/>
    <w:rsid w:val="00846A7E"/>
    <w:rPr>
      <w:vertAlign w:val="superscript"/>
    </w:rPr>
  </w:style>
  <w:style w:type="paragraph" w:styleId="Notedefin">
    <w:name w:val="endnote text"/>
    <w:basedOn w:val="Normal"/>
    <w:link w:val="NotedefinCar"/>
    <w:uiPriority w:val="99"/>
    <w:semiHidden/>
    <w:unhideWhenUsed/>
    <w:rsid w:val="006A6FE4"/>
    <w:rPr>
      <w:sz w:val="20"/>
      <w:szCs w:val="20"/>
    </w:rPr>
  </w:style>
  <w:style w:type="character" w:customStyle="1" w:styleId="NotedefinCar">
    <w:name w:val="Note de fin Car"/>
    <w:basedOn w:val="Policepardfaut"/>
    <w:link w:val="Notedefin"/>
    <w:uiPriority w:val="99"/>
    <w:semiHidden/>
    <w:rsid w:val="006A6FE4"/>
    <w:rPr>
      <w:rFonts w:ascii="Times New Roman" w:eastAsia="Times New Roman" w:hAnsi="Times New Roman" w:cs="Times New Roman"/>
      <w:sz w:val="20"/>
      <w:szCs w:val="20"/>
    </w:rPr>
  </w:style>
  <w:style w:type="character" w:styleId="Appeldenotedefin">
    <w:name w:val="endnote reference"/>
    <w:basedOn w:val="Policepardfaut"/>
    <w:uiPriority w:val="99"/>
    <w:semiHidden/>
    <w:unhideWhenUsed/>
    <w:rsid w:val="006A6FE4"/>
    <w:rPr>
      <w:vertAlign w:val="superscript"/>
    </w:rPr>
  </w:style>
  <w:style w:type="paragraph" w:styleId="Paragraphedeliste">
    <w:name w:val="List Paragraph"/>
    <w:basedOn w:val="Normal"/>
    <w:uiPriority w:val="34"/>
    <w:qFormat/>
    <w:rsid w:val="00247C9B"/>
    <w:pPr>
      <w:ind w:left="720"/>
      <w:contextualSpacing/>
    </w:pPr>
    <w:rPr>
      <w:rFonts w:asciiTheme="minorHAnsi" w:eastAsiaTheme="minorHAnsi" w:hAnsiTheme="minorHAnsi" w:cstheme="minorBidi"/>
      <w:lang w:val="fr-FR"/>
    </w:rPr>
  </w:style>
  <w:style w:type="character" w:styleId="Accentuation">
    <w:name w:val="Emphasis"/>
    <w:basedOn w:val="Policepardfaut"/>
    <w:uiPriority w:val="20"/>
    <w:qFormat/>
    <w:rsid w:val="00247C9B"/>
    <w:rPr>
      <w:i/>
      <w:iCs/>
    </w:rPr>
  </w:style>
  <w:style w:type="paragraph" w:styleId="En-tte">
    <w:name w:val="header"/>
    <w:basedOn w:val="Normal"/>
    <w:link w:val="En-tteCar"/>
    <w:uiPriority w:val="99"/>
    <w:unhideWhenUsed/>
    <w:rsid w:val="00803B6B"/>
    <w:pPr>
      <w:tabs>
        <w:tab w:val="center" w:pos="4680"/>
        <w:tab w:val="right" w:pos="9360"/>
      </w:tabs>
    </w:pPr>
  </w:style>
  <w:style w:type="character" w:customStyle="1" w:styleId="En-tteCar">
    <w:name w:val="En-tête Car"/>
    <w:basedOn w:val="Policepardfaut"/>
    <w:link w:val="En-tte"/>
    <w:uiPriority w:val="99"/>
    <w:rsid w:val="00803B6B"/>
    <w:rPr>
      <w:rFonts w:ascii="Times New Roman" w:eastAsia="Times New Roman" w:hAnsi="Times New Roman" w:cs="Times New Roman"/>
    </w:rPr>
  </w:style>
  <w:style w:type="paragraph" w:styleId="Pieddepage">
    <w:name w:val="footer"/>
    <w:basedOn w:val="Normal"/>
    <w:link w:val="PieddepageCar"/>
    <w:uiPriority w:val="99"/>
    <w:unhideWhenUsed/>
    <w:rsid w:val="00803B6B"/>
    <w:pPr>
      <w:tabs>
        <w:tab w:val="center" w:pos="4680"/>
        <w:tab w:val="right" w:pos="9360"/>
      </w:tabs>
    </w:pPr>
  </w:style>
  <w:style w:type="character" w:customStyle="1" w:styleId="PieddepageCar">
    <w:name w:val="Pied de page Car"/>
    <w:basedOn w:val="Policepardfaut"/>
    <w:link w:val="Pieddepage"/>
    <w:uiPriority w:val="99"/>
    <w:rsid w:val="00803B6B"/>
    <w:rPr>
      <w:rFonts w:ascii="Times New Roman" w:eastAsia="Times New Roman" w:hAnsi="Times New Roman" w:cs="Times New Roman"/>
    </w:rPr>
  </w:style>
  <w:style w:type="character" w:styleId="Numrodepage">
    <w:name w:val="page number"/>
    <w:basedOn w:val="Policepardfaut"/>
    <w:uiPriority w:val="99"/>
    <w:semiHidden/>
    <w:unhideWhenUsed/>
    <w:rsid w:val="00803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34405">
      <w:bodyDiv w:val="1"/>
      <w:marLeft w:val="0"/>
      <w:marRight w:val="0"/>
      <w:marTop w:val="0"/>
      <w:marBottom w:val="0"/>
      <w:divBdr>
        <w:top w:val="none" w:sz="0" w:space="0" w:color="auto"/>
        <w:left w:val="none" w:sz="0" w:space="0" w:color="auto"/>
        <w:bottom w:val="none" w:sz="0" w:space="0" w:color="auto"/>
        <w:right w:val="none" w:sz="0" w:space="0" w:color="auto"/>
      </w:divBdr>
    </w:div>
    <w:div w:id="516164756">
      <w:bodyDiv w:val="1"/>
      <w:marLeft w:val="0"/>
      <w:marRight w:val="0"/>
      <w:marTop w:val="0"/>
      <w:marBottom w:val="0"/>
      <w:divBdr>
        <w:top w:val="none" w:sz="0" w:space="0" w:color="auto"/>
        <w:left w:val="none" w:sz="0" w:space="0" w:color="auto"/>
        <w:bottom w:val="none" w:sz="0" w:space="0" w:color="auto"/>
        <w:right w:val="none" w:sz="0" w:space="0" w:color="auto"/>
      </w:divBdr>
    </w:div>
    <w:div w:id="838472244">
      <w:bodyDiv w:val="1"/>
      <w:marLeft w:val="0"/>
      <w:marRight w:val="0"/>
      <w:marTop w:val="0"/>
      <w:marBottom w:val="0"/>
      <w:divBdr>
        <w:top w:val="none" w:sz="0" w:space="0" w:color="auto"/>
        <w:left w:val="none" w:sz="0" w:space="0" w:color="auto"/>
        <w:bottom w:val="none" w:sz="0" w:space="0" w:color="auto"/>
        <w:right w:val="none" w:sz="0" w:space="0" w:color="auto"/>
      </w:divBdr>
    </w:div>
    <w:div w:id="1061363727">
      <w:bodyDiv w:val="1"/>
      <w:marLeft w:val="0"/>
      <w:marRight w:val="0"/>
      <w:marTop w:val="0"/>
      <w:marBottom w:val="0"/>
      <w:divBdr>
        <w:top w:val="none" w:sz="0" w:space="0" w:color="auto"/>
        <w:left w:val="none" w:sz="0" w:space="0" w:color="auto"/>
        <w:bottom w:val="none" w:sz="0" w:space="0" w:color="auto"/>
        <w:right w:val="none" w:sz="0" w:space="0" w:color="auto"/>
      </w:divBdr>
    </w:div>
    <w:div w:id="1138378372">
      <w:bodyDiv w:val="1"/>
      <w:marLeft w:val="0"/>
      <w:marRight w:val="0"/>
      <w:marTop w:val="0"/>
      <w:marBottom w:val="0"/>
      <w:divBdr>
        <w:top w:val="none" w:sz="0" w:space="0" w:color="auto"/>
        <w:left w:val="none" w:sz="0" w:space="0" w:color="auto"/>
        <w:bottom w:val="none" w:sz="0" w:space="0" w:color="auto"/>
        <w:right w:val="none" w:sz="0" w:space="0" w:color="auto"/>
      </w:divBdr>
    </w:div>
    <w:div w:id="1142383536">
      <w:bodyDiv w:val="1"/>
      <w:marLeft w:val="0"/>
      <w:marRight w:val="0"/>
      <w:marTop w:val="0"/>
      <w:marBottom w:val="0"/>
      <w:divBdr>
        <w:top w:val="none" w:sz="0" w:space="0" w:color="auto"/>
        <w:left w:val="none" w:sz="0" w:space="0" w:color="auto"/>
        <w:bottom w:val="none" w:sz="0" w:space="0" w:color="auto"/>
        <w:right w:val="none" w:sz="0" w:space="0" w:color="auto"/>
      </w:divBdr>
    </w:div>
    <w:div w:id="1152940848">
      <w:bodyDiv w:val="1"/>
      <w:marLeft w:val="0"/>
      <w:marRight w:val="0"/>
      <w:marTop w:val="0"/>
      <w:marBottom w:val="0"/>
      <w:divBdr>
        <w:top w:val="none" w:sz="0" w:space="0" w:color="auto"/>
        <w:left w:val="none" w:sz="0" w:space="0" w:color="auto"/>
        <w:bottom w:val="none" w:sz="0" w:space="0" w:color="auto"/>
        <w:right w:val="none" w:sz="0" w:space="0" w:color="auto"/>
      </w:divBdr>
    </w:div>
    <w:div w:id="1493833963">
      <w:bodyDiv w:val="1"/>
      <w:marLeft w:val="0"/>
      <w:marRight w:val="0"/>
      <w:marTop w:val="0"/>
      <w:marBottom w:val="0"/>
      <w:divBdr>
        <w:top w:val="none" w:sz="0" w:space="0" w:color="auto"/>
        <w:left w:val="none" w:sz="0" w:space="0" w:color="auto"/>
        <w:bottom w:val="none" w:sz="0" w:space="0" w:color="auto"/>
        <w:right w:val="none" w:sz="0" w:space="0" w:color="auto"/>
      </w:divBdr>
    </w:div>
    <w:div w:id="1800414966">
      <w:bodyDiv w:val="1"/>
      <w:marLeft w:val="0"/>
      <w:marRight w:val="0"/>
      <w:marTop w:val="0"/>
      <w:marBottom w:val="0"/>
      <w:divBdr>
        <w:top w:val="none" w:sz="0" w:space="0" w:color="auto"/>
        <w:left w:val="none" w:sz="0" w:space="0" w:color="auto"/>
        <w:bottom w:val="none" w:sz="0" w:space="0" w:color="auto"/>
        <w:right w:val="none" w:sz="0" w:space="0" w:color="auto"/>
      </w:divBdr>
    </w:div>
    <w:div w:id="19169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03C92-12A0-524C-BAD5-3C82E96B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6141</Words>
  <Characters>32613</Characters>
  <Application>Microsoft Office Word</Application>
  <DocSecurity>0</DocSecurity>
  <Lines>509</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Marie Satya G</dc:creator>
  <cp:keywords/>
  <dc:description/>
  <cp:lastModifiedBy>Anonymous</cp:lastModifiedBy>
  <cp:revision>3</cp:revision>
  <dcterms:created xsi:type="dcterms:W3CDTF">2024-01-25T14:37:00Z</dcterms:created>
  <dcterms:modified xsi:type="dcterms:W3CDTF">2024-01-25T14:55:00Z</dcterms:modified>
</cp:coreProperties>
</file>