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BB10C" w14:textId="465CE5A3" w:rsidR="00ED045D" w:rsidRPr="009A6876" w:rsidRDefault="00ED045D" w:rsidP="00875EF5">
      <w:pPr>
        <w:pStyle w:val="Heading1"/>
      </w:pPr>
      <w:r w:rsidRPr="00BB4499">
        <w:t xml:space="preserve">Topic </w:t>
      </w:r>
      <w:r w:rsidR="00875EF5">
        <w:t>4</w:t>
      </w:r>
      <w:r w:rsidRPr="00BB4499">
        <w:t xml:space="preserve"> </w:t>
      </w:r>
      <w:r w:rsidR="0042509D">
        <w:t>Capital</w:t>
      </w:r>
    </w:p>
    <w:p w14:paraId="0293E843" w14:textId="77777777" w:rsidR="00ED045D" w:rsidRDefault="00ED045D" w:rsidP="00ED045D">
      <w:pPr>
        <w:rPr>
          <w:b/>
          <w:bCs/>
        </w:rPr>
      </w:pPr>
    </w:p>
    <w:p w14:paraId="7F421014" w14:textId="77777777" w:rsidR="00ED045D" w:rsidRDefault="00ED045D" w:rsidP="00ED045D">
      <w:pPr>
        <w:pStyle w:val="Heading2"/>
      </w:pPr>
      <w:r>
        <w:t>Learning objectives</w:t>
      </w:r>
    </w:p>
    <w:p w14:paraId="246FC2E2" w14:textId="77777777" w:rsidR="00ED045D" w:rsidRPr="0042509D" w:rsidRDefault="00ED045D" w:rsidP="00ED045D">
      <w:pPr>
        <w:rPr>
          <w:rFonts w:ascii="Calibri" w:hAnsi="Calibri"/>
        </w:rPr>
      </w:pPr>
    </w:p>
    <w:p w14:paraId="6E942CFE" w14:textId="77777777" w:rsidR="00ED045D" w:rsidRPr="0042509D" w:rsidRDefault="00ED045D" w:rsidP="00ED045D">
      <w:pPr>
        <w:rPr>
          <w:rFonts w:ascii="Calibri" w:hAnsi="Calibri"/>
        </w:rPr>
      </w:pPr>
      <w:r w:rsidRPr="0042509D">
        <w:rPr>
          <w:rFonts w:ascii="Calibri" w:hAnsi="Calibri"/>
        </w:rPr>
        <w:t>In this topic we shall cover:</w:t>
      </w:r>
    </w:p>
    <w:p w14:paraId="79A9B3B3" w14:textId="79402121" w:rsidR="00AE0F11" w:rsidRDefault="00AE0F11" w:rsidP="00ED045D">
      <w:pPr>
        <w:pStyle w:val="ListParagraph"/>
        <w:numPr>
          <w:ilvl w:val="0"/>
          <w:numId w:val="1"/>
        </w:numPr>
        <w:rPr>
          <w:rFonts w:ascii="Calibri" w:hAnsi="Calibri"/>
        </w:rPr>
      </w:pPr>
      <w:r>
        <w:rPr>
          <w:rFonts w:ascii="Calibri" w:hAnsi="Calibri"/>
        </w:rPr>
        <w:t xml:space="preserve">what capital is and why banks hold </w:t>
      </w:r>
      <w:proofErr w:type="gramStart"/>
      <w:r>
        <w:rPr>
          <w:rFonts w:ascii="Calibri" w:hAnsi="Calibri"/>
        </w:rPr>
        <w:t>capital;</w:t>
      </w:r>
      <w:proofErr w:type="gramEnd"/>
    </w:p>
    <w:p w14:paraId="18759C13" w14:textId="665583AF" w:rsidR="00521ABC" w:rsidRDefault="00E217CB" w:rsidP="00ED045D">
      <w:pPr>
        <w:pStyle w:val="ListParagraph"/>
        <w:numPr>
          <w:ilvl w:val="0"/>
          <w:numId w:val="1"/>
        </w:numPr>
        <w:rPr>
          <w:rFonts w:ascii="Calibri" w:hAnsi="Calibri"/>
        </w:rPr>
      </w:pPr>
      <w:r>
        <w:rPr>
          <w:rFonts w:ascii="Calibri" w:hAnsi="Calibri"/>
        </w:rPr>
        <w:t xml:space="preserve">why </w:t>
      </w:r>
      <w:r w:rsidR="00521ABC">
        <w:rPr>
          <w:rFonts w:ascii="Calibri" w:hAnsi="Calibri"/>
        </w:rPr>
        <w:t xml:space="preserve">we need </w:t>
      </w:r>
      <w:proofErr w:type="gramStart"/>
      <w:r w:rsidR="00521ABC">
        <w:rPr>
          <w:rFonts w:ascii="Calibri" w:hAnsi="Calibri"/>
        </w:rPr>
        <w:t>regulation</w:t>
      </w:r>
      <w:r>
        <w:rPr>
          <w:rFonts w:ascii="Calibri" w:hAnsi="Calibri"/>
        </w:rPr>
        <w:t>;</w:t>
      </w:r>
      <w:proofErr w:type="gramEnd"/>
    </w:p>
    <w:p w14:paraId="5E6684C4" w14:textId="45631005" w:rsidR="00F1299C" w:rsidRDefault="00E217CB" w:rsidP="00ED045D">
      <w:pPr>
        <w:pStyle w:val="ListParagraph"/>
        <w:numPr>
          <w:ilvl w:val="0"/>
          <w:numId w:val="1"/>
        </w:numPr>
        <w:rPr>
          <w:rFonts w:ascii="Calibri" w:hAnsi="Calibri"/>
        </w:rPr>
      </w:pPr>
      <w:r>
        <w:rPr>
          <w:rFonts w:ascii="Calibri" w:hAnsi="Calibri"/>
        </w:rPr>
        <w:t xml:space="preserve">the </w:t>
      </w:r>
      <w:r w:rsidR="00F1299C">
        <w:rPr>
          <w:rFonts w:ascii="Calibri" w:hAnsi="Calibri"/>
        </w:rPr>
        <w:t>Bank for International Settlements</w:t>
      </w:r>
      <w:r w:rsidR="00DA4DC8">
        <w:rPr>
          <w:rFonts w:ascii="Calibri" w:hAnsi="Calibri"/>
        </w:rPr>
        <w:t xml:space="preserve"> (BIS</w:t>
      </w:r>
      <w:proofErr w:type="gramStart"/>
      <w:r w:rsidR="00DA4DC8">
        <w:rPr>
          <w:rFonts w:ascii="Calibri" w:hAnsi="Calibri"/>
        </w:rPr>
        <w:t>)</w:t>
      </w:r>
      <w:r w:rsidR="008F7D46">
        <w:rPr>
          <w:rFonts w:ascii="Calibri" w:hAnsi="Calibri"/>
        </w:rPr>
        <w:t>;</w:t>
      </w:r>
      <w:proofErr w:type="gramEnd"/>
    </w:p>
    <w:p w14:paraId="1E004B9E" w14:textId="0391CA9E" w:rsidR="00F1299C" w:rsidRDefault="008F7D46" w:rsidP="00ED045D">
      <w:pPr>
        <w:pStyle w:val="ListParagraph"/>
        <w:numPr>
          <w:ilvl w:val="0"/>
          <w:numId w:val="1"/>
        </w:numPr>
        <w:rPr>
          <w:rFonts w:ascii="Calibri" w:hAnsi="Calibri"/>
        </w:rPr>
      </w:pPr>
      <w:r>
        <w:rPr>
          <w:rFonts w:ascii="Calibri" w:hAnsi="Calibri"/>
        </w:rPr>
        <w:t xml:space="preserve">the </w:t>
      </w:r>
      <w:r w:rsidR="00F1299C">
        <w:rPr>
          <w:rFonts w:ascii="Calibri" w:hAnsi="Calibri"/>
        </w:rPr>
        <w:t xml:space="preserve">Basel Committee </w:t>
      </w:r>
      <w:r>
        <w:rPr>
          <w:rFonts w:ascii="Calibri" w:hAnsi="Calibri"/>
        </w:rPr>
        <w:t xml:space="preserve">on </w:t>
      </w:r>
      <w:r w:rsidR="00F1299C">
        <w:rPr>
          <w:rFonts w:ascii="Calibri" w:hAnsi="Calibri"/>
        </w:rPr>
        <w:t>Banking Supervision</w:t>
      </w:r>
      <w:r w:rsidR="002E16A3">
        <w:rPr>
          <w:rFonts w:ascii="Calibri" w:hAnsi="Calibri"/>
        </w:rPr>
        <w:t xml:space="preserve"> </w:t>
      </w:r>
      <w:r w:rsidR="002E16A3">
        <w:rPr>
          <w:rFonts w:ascii="Calibri" w:hAnsi="Calibri"/>
          <w:color w:val="000000" w:themeColor="text1"/>
        </w:rPr>
        <w:t>(BCBS</w:t>
      </w:r>
      <w:proofErr w:type="gramStart"/>
      <w:r w:rsidR="002E16A3">
        <w:rPr>
          <w:rFonts w:ascii="Calibri" w:hAnsi="Calibri"/>
          <w:color w:val="000000" w:themeColor="text1"/>
        </w:rPr>
        <w:t>)</w:t>
      </w:r>
      <w:r>
        <w:rPr>
          <w:rFonts w:ascii="Calibri" w:hAnsi="Calibri"/>
        </w:rPr>
        <w:t>;</w:t>
      </w:r>
      <w:proofErr w:type="gramEnd"/>
    </w:p>
    <w:p w14:paraId="458F04C2" w14:textId="04195339" w:rsidR="00B4721E" w:rsidRPr="0042509D" w:rsidRDefault="00E3788A" w:rsidP="00ED045D">
      <w:pPr>
        <w:pStyle w:val="ListParagraph"/>
        <w:numPr>
          <w:ilvl w:val="0"/>
          <w:numId w:val="1"/>
        </w:numPr>
        <w:rPr>
          <w:rFonts w:ascii="Calibri" w:hAnsi="Calibri"/>
        </w:rPr>
      </w:pPr>
      <w:r>
        <w:rPr>
          <w:rFonts w:ascii="Calibri" w:hAnsi="Calibri"/>
        </w:rPr>
        <w:t>development of</w:t>
      </w:r>
      <w:r w:rsidR="008F7D46">
        <w:rPr>
          <w:rFonts w:ascii="Calibri" w:hAnsi="Calibri"/>
        </w:rPr>
        <w:t xml:space="preserve"> </w:t>
      </w:r>
      <w:r w:rsidR="003E6F1B">
        <w:rPr>
          <w:rFonts w:ascii="Calibri" w:hAnsi="Calibri"/>
        </w:rPr>
        <w:t xml:space="preserve">the Basel </w:t>
      </w:r>
      <w:proofErr w:type="gramStart"/>
      <w:r w:rsidR="003E6F1B">
        <w:rPr>
          <w:rFonts w:ascii="Calibri" w:hAnsi="Calibri"/>
        </w:rPr>
        <w:t>Accords</w:t>
      </w:r>
      <w:r w:rsidR="008F7D46">
        <w:rPr>
          <w:rFonts w:ascii="Calibri" w:hAnsi="Calibri"/>
        </w:rPr>
        <w:t>;</w:t>
      </w:r>
      <w:proofErr w:type="gramEnd"/>
    </w:p>
    <w:p w14:paraId="7207AA47" w14:textId="5A9A5E70" w:rsidR="00E3788A" w:rsidRDefault="00E3788A" w:rsidP="00ED045D">
      <w:pPr>
        <w:pStyle w:val="ListParagraph"/>
        <w:numPr>
          <w:ilvl w:val="0"/>
          <w:numId w:val="1"/>
        </w:numPr>
        <w:rPr>
          <w:rFonts w:ascii="Calibri" w:hAnsi="Calibri"/>
        </w:rPr>
      </w:pPr>
      <w:r>
        <w:rPr>
          <w:rFonts w:ascii="Calibri" w:hAnsi="Calibri"/>
        </w:rPr>
        <w:t xml:space="preserve">the purpose </w:t>
      </w:r>
      <w:r w:rsidR="003E6F1B">
        <w:rPr>
          <w:rFonts w:ascii="Calibri" w:hAnsi="Calibri"/>
        </w:rPr>
        <w:t>of</w:t>
      </w:r>
      <w:r>
        <w:rPr>
          <w:rFonts w:ascii="Calibri" w:hAnsi="Calibri"/>
        </w:rPr>
        <w:t>:</w:t>
      </w:r>
    </w:p>
    <w:p w14:paraId="1AB66351" w14:textId="2B26BB58" w:rsidR="00B4721E" w:rsidRDefault="00E3788A" w:rsidP="00A50141">
      <w:pPr>
        <w:pStyle w:val="ListParagraph"/>
        <w:numPr>
          <w:ilvl w:val="1"/>
          <w:numId w:val="34"/>
        </w:numPr>
        <w:ind w:left="1077" w:hanging="357"/>
        <w:rPr>
          <w:rFonts w:ascii="Calibri" w:hAnsi="Calibri"/>
        </w:rPr>
      </w:pPr>
      <w:r>
        <w:rPr>
          <w:rFonts w:ascii="Calibri" w:hAnsi="Calibri"/>
        </w:rPr>
        <w:t>risk-w</w:t>
      </w:r>
      <w:r w:rsidR="003E6F1B">
        <w:rPr>
          <w:rFonts w:ascii="Calibri" w:hAnsi="Calibri"/>
        </w:rPr>
        <w:t xml:space="preserve">eighted </w:t>
      </w:r>
      <w:proofErr w:type="gramStart"/>
      <w:r>
        <w:rPr>
          <w:rFonts w:ascii="Calibri" w:hAnsi="Calibri"/>
        </w:rPr>
        <w:t>assets;</w:t>
      </w:r>
      <w:proofErr w:type="gramEnd"/>
    </w:p>
    <w:p w14:paraId="7D6C5E7A" w14:textId="3FD96F85" w:rsidR="003E6F1B" w:rsidRDefault="005F5A1D" w:rsidP="00A50141">
      <w:pPr>
        <w:pStyle w:val="ListParagraph"/>
        <w:numPr>
          <w:ilvl w:val="1"/>
          <w:numId w:val="34"/>
        </w:numPr>
        <w:ind w:left="1077" w:hanging="357"/>
        <w:rPr>
          <w:rFonts w:ascii="Calibri" w:hAnsi="Calibri"/>
        </w:rPr>
      </w:pPr>
      <w:r>
        <w:rPr>
          <w:rFonts w:ascii="Calibri" w:hAnsi="Calibri"/>
        </w:rPr>
        <w:t xml:space="preserve">the liquidity coverage </w:t>
      </w:r>
      <w:proofErr w:type="gramStart"/>
      <w:r>
        <w:rPr>
          <w:rFonts w:ascii="Calibri" w:hAnsi="Calibri"/>
        </w:rPr>
        <w:t>ratio</w:t>
      </w:r>
      <w:r w:rsidR="00E3788A">
        <w:rPr>
          <w:rFonts w:ascii="Calibri" w:hAnsi="Calibri"/>
        </w:rPr>
        <w:t>;</w:t>
      </w:r>
      <w:proofErr w:type="gramEnd"/>
    </w:p>
    <w:p w14:paraId="63B8EC0B" w14:textId="139819A9" w:rsidR="003E6F1B" w:rsidRDefault="005F5A1D" w:rsidP="00A50141">
      <w:pPr>
        <w:pStyle w:val="ListParagraph"/>
        <w:numPr>
          <w:ilvl w:val="1"/>
          <w:numId w:val="34"/>
        </w:numPr>
        <w:ind w:left="1077" w:hanging="357"/>
        <w:rPr>
          <w:rFonts w:ascii="Calibri" w:hAnsi="Calibri"/>
        </w:rPr>
      </w:pPr>
      <w:r>
        <w:rPr>
          <w:rFonts w:ascii="Calibri" w:hAnsi="Calibri"/>
        </w:rPr>
        <w:t>the net stable funding ratio</w:t>
      </w:r>
      <w:r w:rsidR="00DA7313">
        <w:rPr>
          <w:rFonts w:ascii="Calibri" w:hAnsi="Calibri"/>
        </w:rPr>
        <w:t>.</w:t>
      </w:r>
    </w:p>
    <w:p w14:paraId="32027A31" w14:textId="77777777" w:rsidR="003E6F1B" w:rsidRPr="003E6F1B" w:rsidRDefault="003E6F1B" w:rsidP="003E6F1B">
      <w:pPr>
        <w:pStyle w:val="ListParagraph"/>
        <w:rPr>
          <w:rFonts w:ascii="Calibri" w:hAnsi="Calibri"/>
        </w:rPr>
      </w:pPr>
    </w:p>
    <w:p w14:paraId="4693CFC6" w14:textId="5E946EAB" w:rsidR="00AE4E9E" w:rsidRPr="009A6876" w:rsidRDefault="00AE4E9E" w:rsidP="00AE4E9E">
      <w:pPr>
        <w:pStyle w:val="Heading2"/>
      </w:pPr>
      <w:r>
        <w:t>4</w:t>
      </w:r>
      <w:r w:rsidRPr="00BB4499">
        <w:t>.</w:t>
      </w:r>
      <w:r>
        <w:t>1</w:t>
      </w:r>
      <w:r w:rsidRPr="00BB4499">
        <w:t xml:space="preserve"> </w:t>
      </w:r>
      <w:r w:rsidR="003149C9">
        <w:t>C</w:t>
      </w:r>
      <w:r w:rsidR="00E217CB">
        <w:t>apital</w:t>
      </w:r>
      <w:r w:rsidR="003149C9">
        <w:t xml:space="preserve"> and regulation</w:t>
      </w:r>
    </w:p>
    <w:p w14:paraId="211BF479" w14:textId="77777777" w:rsidR="00873144" w:rsidRDefault="00873144" w:rsidP="00873144">
      <w:pPr>
        <w:pStyle w:val="CommentText"/>
      </w:pPr>
    </w:p>
    <w:p w14:paraId="10C8AE0C" w14:textId="343AF820" w:rsidR="00925916" w:rsidRDefault="00C70120" w:rsidP="00AF2D86">
      <w:pPr>
        <w:pStyle w:val="CommentText"/>
      </w:pPr>
      <w:r>
        <w:t xml:space="preserve">Banks take risks and may incur losses. </w:t>
      </w:r>
      <w:r w:rsidR="005105FD">
        <w:t xml:space="preserve">Banks hold capital to ensure they can </w:t>
      </w:r>
      <w:r w:rsidR="008211B9">
        <w:t xml:space="preserve">protect depositors and </w:t>
      </w:r>
      <w:r w:rsidR="005105FD">
        <w:t xml:space="preserve">to </w:t>
      </w:r>
      <w:r w:rsidR="008211B9">
        <w:t>ensure the sta</w:t>
      </w:r>
      <w:r w:rsidR="005105FD">
        <w:t>bility of the financial system in good and bad times. In other words, c</w:t>
      </w:r>
      <w:r w:rsidR="00925916">
        <w:t xml:space="preserve">apital </w:t>
      </w:r>
      <w:r w:rsidR="00AF2D86">
        <w:t>is the combination of</w:t>
      </w:r>
      <w:r w:rsidR="00925916">
        <w:t xml:space="preserve"> </w:t>
      </w:r>
      <w:r w:rsidR="00F43091">
        <w:t>“</w:t>
      </w:r>
      <w:r w:rsidR="00925916" w:rsidRPr="00925916">
        <w:t>financial resources a bank has that act as a cushion or shock-absorber against unexpected losses</w:t>
      </w:r>
      <w:r w:rsidR="00F43091">
        <w:t xml:space="preserve">” (Bank of England, </w:t>
      </w:r>
      <w:r w:rsidR="00A73FC0">
        <w:t>2021</w:t>
      </w:r>
      <w:r w:rsidR="00250474">
        <w:t>),</w:t>
      </w:r>
      <w:r w:rsidR="00250474" w:rsidRPr="00925916">
        <w:t xml:space="preserve"> </w:t>
      </w:r>
      <w:r w:rsidR="00250474">
        <w:t>f</w:t>
      </w:r>
      <w:r w:rsidR="00250474" w:rsidRPr="00925916">
        <w:t xml:space="preserve">or </w:t>
      </w:r>
      <w:r w:rsidR="00925916" w:rsidRPr="00925916">
        <w:t>example</w:t>
      </w:r>
      <w:r w:rsidR="00250474">
        <w:t xml:space="preserve"> borrowers</w:t>
      </w:r>
      <w:r w:rsidR="00925916" w:rsidRPr="00925916">
        <w:t xml:space="preserve"> fail</w:t>
      </w:r>
      <w:r w:rsidR="00250474">
        <w:t>ing</w:t>
      </w:r>
      <w:r w:rsidR="00925916" w:rsidRPr="00925916">
        <w:t xml:space="preserve"> to repay loan</w:t>
      </w:r>
      <w:r w:rsidR="00250474">
        <w:t>s</w:t>
      </w:r>
      <w:r w:rsidR="00925916" w:rsidRPr="00925916">
        <w:t>.</w:t>
      </w:r>
    </w:p>
    <w:p w14:paraId="2BFE7BAB" w14:textId="6A1752B5" w:rsidR="00873144" w:rsidRDefault="00AF2D86" w:rsidP="00873144">
      <w:pPr>
        <w:pStyle w:val="CommentText"/>
      </w:pPr>
      <w:r>
        <w:t xml:space="preserve">The amount of capital </w:t>
      </w:r>
      <w:r w:rsidR="003D2BEA">
        <w:t>a bank requires</w:t>
      </w:r>
      <w:r>
        <w:t xml:space="preserve"> depends on the level of risk </w:t>
      </w:r>
      <w:r w:rsidR="00FC1050">
        <w:t xml:space="preserve">it </w:t>
      </w:r>
      <w:r w:rsidR="003D2BEA">
        <w:t>take</w:t>
      </w:r>
      <w:r w:rsidR="00FC1050">
        <w:t>s</w:t>
      </w:r>
      <w:r>
        <w:t xml:space="preserve">. The higher the risks, the higher </w:t>
      </w:r>
      <w:r w:rsidR="00F3513A">
        <w:t xml:space="preserve">the </w:t>
      </w:r>
      <w:r>
        <w:t xml:space="preserve">amount of capital required. </w:t>
      </w:r>
      <w:r w:rsidR="00FC1050">
        <w:t>T</w:t>
      </w:r>
      <w:r w:rsidR="00473F5C">
        <w:t xml:space="preserve">o ensure </w:t>
      </w:r>
      <w:r w:rsidR="008C1025">
        <w:t xml:space="preserve">the capital a bank holds remains sufficient, </w:t>
      </w:r>
      <w:r w:rsidR="00473F5C">
        <w:t xml:space="preserve">banks continuously assess their risks and potential losses. These assessments are reviewed and challenged by regulatory authorities. </w:t>
      </w:r>
      <w:r w:rsidR="0011640C">
        <w:t>Regulatory capital is the amount of capital that a regulatory authority requires a bank to hold based on its risk profile.</w:t>
      </w:r>
    </w:p>
    <w:p w14:paraId="22A7BFCB" w14:textId="219DCD17" w:rsidR="00521ABC" w:rsidRPr="003045D8" w:rsidRDefault="00521ABC" w:rsidP="00995C3A">
      <w:pPr>
        <w:pStyle w:val="Heading3"/>
      </w:pPr>
      <w:r>
        <w:t xml:space="preserve">Why </w:t>
      </w:r>
      <w:r w:rsidR="003149C9">
        <w:t>do we need regulation?</w:t>
      </w:r>
    </w:p>
    <w:p w14:paraId="36B3717A" w14:textId="21B5FC10" w:rsidR="007C7CAA" w:rsidRDefault="003045D8" w:rsidP="003149C9">
      <w:pPr>
        <w:rPr>
          <w:color w:val="000000" w:themeColor="text1"/>
        </w:rPr>
      </w:pPr>
      <w:r>
        <w:rPr>
          <w:color w:val="000000" w:themeColor="text1"/>
        </w:rPr>
        <w:t>F</w:t>
      </w:r>
      <w:r w:rsidR="00CB4F5D" w:rsidRPr="00003736">
        <w:rPr>
          <w:color w:val="000000" w:themeColor="text1"/>
        </w:rPr>
        <w:t xml:space="preserve">or any market to operate efficiently and effectively, </w:t>
      </w:r>
      <w:r w:rsidR="00521ABC" w:rsidRPr="00003736">
        <w:rPr>
          <w:color w:val="000000" w:themeColor="text1"/>
        </w:rPr>
        <w:t xml:space="preserve">some regulation is needed. </w:t>
      </w:r>
      <w:r w:rsidR="00CB4F5D" w:rsidRPr="00003736">
        <w:rPr>
          <w:color w:val="000000" w:themeColor="text1"/>
        </w:rPr>
        <w:t xml:space="preserve">The purpose of regulation is to </w:t>
      </w:r>
      <w:r w:rsidR="00521ABC" w:rsidRPr="00003736">
        <w:rPr>
          <w:color w:val="000000" w:themeColor="text1"/>
        </w:rPr>
        <w:t>provide a</w:t>
      </w:r>
      <w:r w:rsidR="007C7CAA">
        <w:rPr>
          <w:color w:val="000000" w:themeColor="text1"/>
        </w:rPr>
        <w:t>:</w:t>
      </w:r>
    </w:p>
    <w:p w14:paraId="4A380DA1" w14:textId="06ED9A64" w:rsidR="007C7CAA" w:rsidRDefault="00521ABC" w:rsidP="007C7CAA">
      <w:pPr>
        <w:pStyle w:val="ListParagraph"/>
        <w:numPr>
          <w:ilvl w:val="0"/>
          <w:numId w:val="24"/>
        </w:numPr>
        <w:rPr>
          <w:color w:val="000000" w:themeColor="text1"/>
        </w:rPr>
      </w:pPr>
      <w:r w:rsidRPr="00995C3A">
        <w:rPr>
          <w:b/>
          <w:bCs/>
          <w:color w:val="000000" w:themeColor="text1"/>
        </w:rPr>
        <w:t>level of trust</w:t>
      </w:r>
      <w:r w:rsidRPr="00995C3A">
        <w:rPr>
          <w:color w:val="000000" w:themeColor="text1"/>
        </w:rPr>
        <w:t xml:space="preserve"> to all stake</w:t>
      </w:r>
      <w:r w:rsidR="00DF470B" w:rsidRPr="00995C3A">
        <w:rPr>
          <w:color w:val="000000" w:themeColor="text1"/>
        </w:rPr>
        <w:t>holders</w:t>
      </w:r>
      <w:r w:rsidR="007C7CAA">
        <w:rPr>
          <w:color w:val="000000" w:themeColor="text1"/>
        </w:rPr>
        <w:t>;</w:t>
      </w:r>
      <w:r w:rsidR="00CB4F5D" w:rsidRPr="00995C3A">
        <w:rPr>
          <w:color w:val="000000" w:themeColor="text1"/>
        </w:rPr>
        <w:t xml:space="preserve"> </w:t>
      </w:r>
      <w:r w:rsidR="007C7CAA" w:rsidRPr="00995C3A">
        <w:rPr>
          <w:color w:val="000000" w:themeColor="text1"/>
        </w:rPr>
        <w:t>and</w:t>
      </w:r>
    </w:p>
    <w:p w14:paraId="24237F06" w14:textId="5206C6E9" w:rsidR="007C7CAA" w:rsidRDefault="00DF470B" w:rsidP="007C7CAA">
      <w:pPr>
        <w:pStyle w:val="ListParagraph"/>
        <w:numPr>
          <w:ilvl w:val="0"/>
          <w:numId w:val="24"/>
        </w:numPr>
        <w:rPr>
          <w:color w:val="000000" w:themeColor="text1"/>
        </w:rPr>
      </w:pPr>
      <w:r w:rsidRPr="00995C3A">
        <w:rPr>
          <w:b/>
          <w:bCs/>
          <w:color w:val="000000" w:themeColor="text1"/>
        </w:rPr>
        <w:t>level of stability</w:t>
      </w:r>
      <w:r w:rsidR="00B75BBB" w:rsidRPr="00995C3A">
        <w:rPr>
          <w:color w:val="000000" w:themeColor="text1"/>
        </w:rPr>
        <w:t xml:space="preserve"> </w:t>
      </w:r>
      <w:r w:rsidR="003045D8" w:rsidRPr="00995C3A">
        <w:rPr>
          <w:color w:val="000000" w:themeColor="text1"/>
        </w:rPr>
        <w:t>t</w:t>
      </w:r>
      <w:r w:rsidR="00B75BBB" w:rsidRPr="00995C3A">
        <w:rPr>
          <w:color w:val="000000" w:themeColor="text1"/>
        </w:rPr>
        <w:t>o the overall market</w:t>
      </w:r>
      <w:r w:rsidRPr="00995C3A">
        <w:rPr>
          <w:color w:val="000000" w:themeColor="text1"/>
        </w:rPr>
        <w:t>.</w:t>
      </w:r>
    </w:p>
    <w:p w14:paraId="3F8EDB6C" w14:textId="1A2FC503" w:rsidR="009B4FAF" w:rsidRPr="00995C3A" w:rsidRDefault="00DF470B" w:rsidP="00995C3A">
      <w:pPr>
        <w:rPr>
          <w:color w:val="000000" w:themeColor="text1"/>
        </w:rPr>
      </w:pPr>
      <w:r w:rsidRPr="00995C3A">
        <w:rPr>
          <w:color w:val="000000" w:themeColor="text1"/>
        </w:rPr>
        <w:t xml:space="preserve">In </w:t>
      </w:r>
      <w:r w:rsidR="00521ABC" w:rsidRPr="00995C3A">
        <w:rPr>
          <w:color w:val="000000" w:themeColor="text1"/>
        </w:rPr>
        <w:t>a financial market</w:t>
      </w:r>
      <w:r w:rsidR="00891AD3" w:rsidRPr="00995C3A">
        <w:rPr>
          <w:color w:val="000000" w:themeColor="text1"/>
        </w:rPr>
        <w:t xml:space="preserve">, </w:t>
      </w:r>
      <w:r w:rsidR="00F4437F" w:rsidRPr="00995C3A">
        <w:rPr>
          <w:color w:val="000000" w:themeColor="text1"/>
        </w:rPr>
        <w:t xml:space="preserve">regulation ensures that both suppliers of capital (depositors and investors) </w:t>
      </w:r>
      <w:r w:rsidR="00765EAE" w:rsidRPr="00995C3A">
        <w:rPr>
          <w:color w:val="000000" w:themeColor="text1"/>
        </w:rPr>
        <w:t xml:space="preserve">and users of capital (borrowers) </w:t>
      </w:r>
      <w:r w:rsidR="00521ABC" w:rsidRPr="00995C3A">
        <w:rPr>
          <w:color w:val="000000" w:themeColor="text1"/>
        </w:rPr>
        <w:t xml:space="preserve">know that the market is trustworthy and will act to channel funds efficiently from </w:t>
      </w:r>
      <w:r w:rsidR="00444EF7" w:rsidRPr="00995C3A">
        <w:rPr>
          <w:color w:val="000000" w:themeColor="text1"/>
        </w:rPr>
        <w:t>depositors to investors</w:t>
      </w:r>
      <w:r w:rsidR="00F52C5B">
        <w:rPr>
          <w:color w:val="000000" w:themeColor="text1"/>
        </w:rPr>
        <w:t>.</w:t>
      </w:r>
      <w:r w:rsidR="00444EF7" w:rsidRPr="00995C3A">
        <w:rPr>
          <w:color w:val="000000" w:themeColor="text1"/>
        </w:rPr>
        <w:t xml:space="preserve"> </w:t>
      </w:r>
      <w:r w:rsidR="00F52C5B">
        <w:rPr>
          <w:color w:val="000000" w:themeColor="text1"/>
        </w:rPr>
        <w:t>D</w:t>
      </w:r>
      <w:r w:rsidR="00444EF7" w:rsidRPr="00995C3A">
        <w:rPr>
          <w:color w:val="000000" w:themeColor="text1"/>
        </w:rPr>
        <w:t xml:space="preserve">epositors </w:t>
      </w:r>
      <w:r w:rsidR="00F52C5B">
        <w:rPr>
          <w:color w:val="000000" w:themeColor="text1"/>
        </w:rPr>
        <w:t xml:space="preserve">get </w:t>
      </w:r>
      <w:r w:rsidR="00444EF7" w:rsidRPr="00995C3A">
        <w:rPr>
          <w:color w:val="000000" w:themeColor="text1"/>
        </w:rPr>
        <w:t xml:space="preserve">a return for making funds available and taking a risk. </w:t>
      </w:r>
    </w:p>
    <w:p w14:paraId="2BBB3A9B" w14:textId="5846C4F4" w:rsidR="007163F4" w:rsidRPr="00995C3A" w:rsidRDefault="007163F4" w:rsidP="00995C3A">
      <w:pPr>
        <w:pBdr>
          <w:top w:val="single" w:sz="4" w:space="1" w:color="auto"/>
          <w:left w:val="single" w:sz="4" w:space="4" w:color="auto"/>
          <w:bottom w:val="single" w:sz="4" w:space="1" w:color="auto"/>
          <w:right w:val="single" w:sz="4" w:space="4" w:color="auto"/>
        </w:pBdr>
        <w:rPr>
          <w:b/>
          <w:bCs/>
        </w:rPr>
      </w:pPr>
      <w:r>
        <w:rPr>
          <w:b/>
          <w:bCs/>
        </w:rPr>
        <w:t>IN BRIEF: Challenge of regulation</w:t>
      </w:r>
    </w:p>
    <w:p w14:paraId="3154C910" w14:textId="03129900" w:rsidR="00CF7FBB" w:rsidRDefault="009E5077" w:rsidP="00995C3A">
      <w:pPr>
        <w:pBdr>
          <w:top w:val="single" w:sz="4" w:space="1" w:color="auto"/>
          <w:left w:val="single" w:sz="4" w:space="4" w:color="auto"/>
          <w:bottom w:val="single" w:sz="4" w:space="1" w:color="auto"/>
          <w:right w:val="single" w:sz="4" w:space="4" w:color="auto"/>
        </w:pBdr>
      </w:pPr>
      <w:r w:rsidRPr="00F84F43">
        <w:t>A well</w:t>
      </w:r>
      <w:r w:rsidR="007731A5">
        <w:t>-</w:t>
      </w:r>
      <w:r w:rsidR="00521ABC" w:rsidRPr="00521ABC">
        <w:t xml:space="preserve">regulated market </w:t>
      </w:r>
      <w:r w:rsidRPr="00F84F43">
        <w:t xml:space="preserve">is likely to result in greater competitiveness </w:t>
      </w:r>
      <w:r w:rsidR="009E4E90">
        <w:t>that</w:t>
      </w:r>
      <w:r w:rsidRPr="00F84F43">
        <w:t xml:space="preserve">, in turn, </w:t>
      </w:r>
      <w:r w:rsidR="00521ABC" w:rsidRPr="00521ABC">
        <w:t>lead</w:t>
      </w:r>
      <w:r w:rsidR="009E4E90">
        <w:t>s</w:t>
      </w:r>
      <w:r w:rsidR="00521ABC" w:rsidRPr="00521ABC">
        <w:t xml:space="preserve"> to lower prices and a higher quantity traded</w:t>
      </w:r>
      <w:r w:rsidR="00444EF7">
        <w:t xml:space="preserve">, </w:t>
      </w:r>
      <w:r w:rsidR="009E4E90">
        <w:t xml:space="preserve">thus </w:t>
      </w:r>
      <w:r w:rsidR="00444EF7">
        <w:t xml:space="preserve">resulting in economic growth. </w:t>
      </w:r>
      <w:r w:rsidR="00DD392A" w:rsidRPr="00F84F43">
        <w:t xml:space="preserve">The challenge is to find the appropriate level of regulation that is </w:t>
      </w:r>
      <w:r w:rsidR="00CF7FBB">
        <w:t>neither:</w:t>
      </w:r>
    </w:p>
    <w:p w14:paraId="140EC9DC" w14:textId="1CA3C495" w:rsidR="00CF7FBB" w:rsidRDefault="00DD392A" w:rsidP="00995C3A">
      <w:pPr>
        <w:pStyle w:val="ListParagraph"/>
        <w:numPr>
          <w:ilvl w:val="0"/>
          <w:numId w:val="25"/>
        </w:numPr>
        <w:pBdr>
          <w:top w:val="single" w:sz="4" w:space="1" w:color="auto"/>
          <w:left w:val="single" w:sz="4" w:space="4" w:color="auto"/>
          <w:bottom w:val="single" w:sz="4" w:space="1" w:color="auto"/>
          <w:right w:val="single" w:sz="4" w:space="4" w:color="auto"/>
        </w:pBdr>
        <w:ind w:left="426" w:hanging="426"/>
      </w:pPr>
      <w:r w:rsidRPr="00995C3A">
        <w:rPr>
          <w:b/>
          <w:bCs/>
        </w:rPr>
        <w:lastRenderedPageBreak/>
        <w:t xml:space="preserve">too </w:t>
      </w:r>
      <w:r w:rsidR="00F17F5A" w:rsidRPr="00995C3A">
        <w:rPr>
          <w:b/>
          <w:bCs/>
        </w:rPr>
        <w:t>stringent</w:t>
      </w:r>
      <w:r w:rsidR="00F17F5A" w:rsidRPr="00F84F43">
        <w:t xml:space="preserve"> so that it stops financial institutions from doing business</w:t>
      </w:r>
      <w:r w:rsidR="00CF7FBB">
        <w:t>; nor</w:t>
      </w:r>
    </w:p>
    <w:p w14:paraId="5643F56F" w14:textId="0ED171FE" w:rsidR="009E5077" w:rsidRDefault="00F17F5A" w:rsidP="00995C3A">
      <w:pPr>
        <w:pStyle w:val="ListParagraph"/>
        <w:numPr>
          <w:ilvl w:val="0"/>
          <w:numId w:val="25"/>
        </w:numPr>
        <w:pBdr>
          <w:top w:val="single" w:sz="4" w:space="1" w:color="auto"/>
          <w:left w:val="single" w:sz="4" w:space="4" w:color="auto"/>
          <w:bottom w:val="single" w:sz="4" w:space="1" w:color="auto"/>
          <w:right w:val="single" w:sz="4" w:space="4" w:color="auto"/>
        </w:pBdr>
        <w:ind w:left="426" w:hanging="426"/>
      </w:pPr>
      <w:r w:rsidRPr="00995C3A">
        <w:rPr>
          <w:b/>
          <w:bCs/>
        </w:rPr>
        <w:t>too</w:t>
      </w:r>
      <w:r w:rsidR="005C0738" w:rsidRPr="00995C3A">
        <w:rPr>
          <w:b/>
          <w:bCs/>
        </w:rPr>
        <w:t xml:space="preserve"> light</w:t>
      </w:r>
      <w:r w:rsidR="005C0738" w:rsidRPr="00F84F43">
        <w:t xml:space="preserve"> so that stability of the financial market is jeopardised. </w:t>
      </w:r>
    </w:p>
    <w:p w14:paraId="54617F92" w14:textId="77777777" w:rsidR="00FE0223" w:rsidRDefault="00FE0223" w:rsidP="00AE4E9E">
      <w:pPr>
        <w:pStyle w:val="Heading2"/>
      </w:pPr>
    </w:p>
    <w:p w14:paraId="52A2D47A" w14:textId="14E3233F" w:rsidR="00F84F43" w:rsidRDefault="00F84F43" w:rsidP="00471942">
      <w:pPr>
        <w:pStyle w:val="Heading3"/>
      </w:pPr>
      <w:r>
        <w:t>4</w:t>
      </w:r>
      <w:r w:rsidRPr="00BB4499">
        <w:t>.</w:t>
      </w:r>
      <w:r w:rsidR="00FE0223">
        <w:t>1</w:t>
      </w:r>
      <w:r>
        <w:t>.1</w:t>
      </w:r>
      <w:r w:rsidRPr="00BB4499">
        <w:t xml:space="preserve"> </w:t>
      </w:r>
      <w:r>
        <w:t xml:space="preserve">Role of </w:t>
      </w:r>
      <w:r w:rsidR="00FE0223">
        <w:t>regulators</w:t>
      </w:r>
    </w:p>
    <w:p w14:paraId="32880B7A" w14:textId="77777777" w:rsidR="00832C38" w:rsidRPr="00832C38" w:rsidRDefault="00832C38" w:rsidP="00995C3A"/>
    <w:p w14:paraId="32DB1C94" w14:textId="52F6C222" w:rsidR="001665B1" w:rsidRDefault="00A5708F" w:rsidP="00CF7FBB">
      <w:r>
        <w:t>O</w:t>
      </w:r>
      <w:r w:rsidR="001F71F2">
        <w:t xml:space="preserve">ne of the main roles of </w:t>
      </w:r>
      <w:r w:rsidR="00F84F43">
        <w:t xml:space="preserve">regulators </w:t>
      </w:r>
      <w:r w:rsidR="001F71F2">
        <w:t xml:space="preserve">is to </w:t>
      </w:r>
      <w:r w:rsidR="00F84F43">
        <w:t>maintain stability of financial markets</w:t>
      </w:r>
      <w:r w:rsidR="002D0548">
        <w:t xml:space="preserve"> by reducing the likelihood </w:t>
      </w:r>
      <w:r>
        <w:t xml:space="preserve">that </w:t>
      </w:r>
      <w:r w:rsidR="002D0548">
        <w:t>the banking system will fail</w:t>
      </w:r>
      <w:r w:rsidR="001F71F2">
        <w:t xml:space="preserve">. As such, </w:t>
      </w:r>
      <w:r w:rsidR="001665B1">
        <w:t>regulators:</w:t>
      </w:r>
    </w:p>
    <w:p w14:paraId="47DB2819" w14:textId="2D2C3B0E" w:rsidR="001665B1" w:rsidRDefault="001F71F2" w:rsidP="001665B1">
      <w:pPr>
        <w:pStyle w:val="ListParagraph"/>
        <w:numPr>
          <w:ilvl w:val="0"/>
          <w:numId w:val="26"/>
        </w:numPr>
      </w:pPr>
      <w:r w:rsidRPr="00995C3A">
        <w:rPr>
          <w:b/>
          <w:bCs/>
        </w:rPr>
        <w:t xml:space="preserve">facilitate </w:t>
      </w:r>
      <w:r w:rsidR="00B50CBB" w:rsidRPr="00995C3A">
        <w:rPr>
          <w:b/>
          <w:bCs/>
        </w:rPr>
        <w:t>creation</w:t>
      </w:r>
      <w:r w:rsidR="00B50CBB">
        <w:t xml:space="preserve"> of codes of conduct</w:t>
      </w:r>
      <w:r w:rsidR="00E43BF8">
        <w:t xml:space="preserve"> and </w:t>
      </w:r>
      <w:proofErr w:type="gramStart"/>
      <w:r w:rsidR="00E43BF8">
        <w:t>regulations</w:t>
      </w:r>
      <w:r w:rsidR="001665B1">
        <w:t>;</w:t>
      </w:r>
      <w:proofErr w:type="gramEnd"/>
    </w:p>
    <w:p w14:paraId="4C550DDF" w14:textId="480A4ABB" w:rsidR="001665B1" w:rsidRDefault="00521ABC" w:rsidP="001665B1">
      <w:pPr>
        <w:pStyle w:val="ListParagraph"/>
        <w:numPr>
          <w:ilvl w:val="0"/>
          <w:numId w:val="26"/>
        </w:numPr>
      </w:pPr>
      <w:r w:rsidRPr="00995C3A">
        <w:rPr>
          <w:b/>
          <w:bCs/>
        </w:rPr>
        <w:t>monitor implementation</w:t>
      </w:r>
      <w:r w:rsidRPr="00521ABC">
        <w:t xml:space="preserve"> </w:t>
      </w:r>
      <w:r w:rsidR="001665B1">
        <w:t xml:space="preserve">of codes and regulations; </w:t>
      </w:r>
      <w:r w:rsidRPr="00521ABC">
        <w:t>and</w:t>
      </w:r>
    </w:p>
    <w:p w14:paraId="3420DA67" w14:textId="4D6994EE" w:rsidR="001665B1" w:rsidRDefault="00521ABC" w:rsidP="001665B1">
      <w:pPr>
        <w:pStyle w:val="ListParagraph"/>
        <w:numPr>
          <w:ilvl w:val="0"/>
          <w:numId w:val="26"/>
        </w:numPr>
      </w:pPr>
      <w:r w:rsidRPr="00995C3A">
        <w:rPr>
          <w:b/>
          <w:bCs/>
        </w:rPr>
        <w:t>impose sanctions</w:t>
      </w:r>
      <w:r w:rsidRPr="00521ABC">
        <w:t xml:space="preserve"> on market participants </w:t>
      </w:r>
      <w:r w:rsidR="00EE1C0D">
        <w:t>that violate</w:t>
      </w:r>
      <w:r w:rsidR="00EE1C0D" w:rsidRPr="00521ABC">
        <w:t xml:space="preserve"> </w:t>
      </w:r>
      <w:r w:rsidRPr="00521ABC">
        <w:t xml:space="preserve">codes </w:t>
      </w:r>
      <w:r w:rsidR="00E43BF8">
        <w:t>or regulations</w:t>
      </w:r>
      <w:r w:rsidRPr="00521ABC">
        <w:t>.</w:t>
      </w:r>
    </w:p>
    <w:p w14:paraId="6CF17638" w14:textId="1EB1905B" w:rsidR="00341A3E" w:rsidRPr="00521ABC" w:rsidRDefault="00677855" w:rsidP="00995C3A">
      <w:r>
        <w:t>The main global standard</w:t>
      </w:r>
      <w:r w:rsidR="001665B1">
        <w:t>-</w:t>
      </w:r>
      <w:r>
        <w:t>setting body is the B</w:t>
      </w:r>
      <w:r w:rsidR="00DA4DC8">
        <w:t>IS</w:t>
      </w:r>
      <w:r>
        <w:t xml:space="preserve"> (see </w:t>
      </w:r>
      <w:r w:rsidR="001665B1">
        <w:t xml:space="preserve">section </w:t>
      </w:r>
      <w:r>
        <w:t>4.</w:t>
      </w:r>
      <w:r w:rsidR="00B36497">
        <w:t>2</w:t>
      </w:r>
      <w:r>
        <w:t>)</w:t>
      </w:r>
      <w:r w:rsidR="00DD598C">
        <w:t xml:space="preserve">. Each country typically has either a single regulator – </w:t>
      </w:r>
      <w:r w:rsidR="00FE0223">
        <w:t xml:space="preserve">its </w:t>
      </w:r>
      <w:r w:rsidR="00DD598C">
        <w:t xml:space="preserve">central bank </w:t>
      </w:r>
      <w:r w:rsidR="00FE0223">
        <w:t xml:space="preserve">– </w:t>
      </w:r>
      <w:r w:rsidR="00DD598C">
        <w:t>or one or more regulatory authorities</w:t>
      </w:r>
      <w:r w:rsidR="00DB7D3F">
        <w:t>,</w:t>
      </w:r>
      <w:r w:rsidR="00DD598C">
        <w:t xml:space="preserve"> among which </w:t>
      </w:r>
      <w:r w:rsidR="00DB7D3F">
        <w:t xml:space="preserve">may be </w:t>
      </w:r>
      <w:r w:rsidR="00DD598C">
        <w:t>a prudential regulator and a conduct regulator.</w:t>
      </w:r>
    </w:p>
    <w:p w14:paraId="1E134E81" w14:textId="4050BB91" w:rsidR="00C04376" w:rsidRPr="00D72EF6" w:rsidRDefault="00DB7D3F" w:rsidP="00995C3A">
      <w:r w:rsidRPr="00995C3A">
        <w:rPr>
          <w:b/>
          <w:bCs/>
        </w:rPr>
        <w:t xml:space="preserve">Table 4.1 </w:t>
      </w:r>
      <w:r w:rsidR="000347AD" w:rsidRPr="00995C3A">
        <w:rPr>
          <w:b/>
          <w:bCs/>
        </w:rPr>
        <w:t xml:space="preserve">Advantages </w:t>
      </w:r>
      <w:r w:rsidR="00C04376" w:rsidRPr="00995C3A">
        <w:rPr>
          <w:b/>
          <w:bCs/>
        </w:rPr>
        <w:t xml:space="preserve">and </w:t>
      </w:r>
      <w:r w:rsidR="00FE0223" w:rsidRPr="00995C3A">
        <w:rPr>
          <w:b/>
          <w:bCs/>
        </w:rPr>
        <w:t xml:space="preserve">disadvantages </w:t>
      </w:r>
      <w:r w:rsidR="00C04376" w:rsidRPr="00995C3A">
        <w:rPr>
          <w:b/>
          <w:bCs/>
        </w:rPr>
        <w:t xml:space="preserve">of </w:t>
      </w:r>
      <w:r w:rsidR="00626FA1" w:rsidRPr="00995C3A">
        <w:rPr>
          <w:b/>
          <w:bCs/>
        </w:rPr>
        <w:t xml:space="preserve">financial </w:t>
      </w:r>
      <w:r w:rsidR="00FE0223" w:rsidRPr="00995C3A">
        <w:rPr>
          <w:b/>
          <w:bCs/>
        </w:rPr>
        <w:t>regulation</w:t>
      </w:r>
    </w:p>
    <w:tbl>
      <w:tblPr>
        <w:tblStyle w:val="TableGrid"/>
        <w:tblW w:w="0" w:type="auto"/>
        <w:tblLook w:val="04A0" w:firstRow="1" w:lastRow="0" w:firstColumn="1" w:lastColumn="0" w:noHBand="0" w:noVBand="1"/>
      </w:tblPr>
      <w:tblGrid>
        <w:gridCol w:w="4505"/>
        <w:gridCol w:w="4505"/>
      </w:tblGrid>
      <w:tr w:rsidR="00626FA1" w14:paraId="61F72EDA" w14:textId="77777777" w:rsidTr="00626FA1">
        <w:tc>
          <w:tcPr>
            <w:tcW w:w="4505" w:type="dxa"/>
          </w:tcPr>
          <w:p w14:paraId="1405E1CE" w14:textId="5F31D858" w:rsidR="00626FA1" w:rsidRPr="00995C3A" w:rsidRDefault="00626FA1" w:rsidP="00FE0223">
            <w:pPr>
              <w:rPr>
                <w:b/>
                <w:bCs/>
              </w:rPr>
            </w:pPr>
            <w:r>
              <w:rPr>
                <w:b/>
                <w:bCs/>
              </w:rPr>
              <w:t>Advantages</w:t>
            </w:r>
          </w:p>
        </w:tc>
        <w:tc>
          <w:tcPr>
            <w:tcW w:w="4505" w:type="dxa"/>
          </w:tcPr>
          <w:p w14:paraId="40B45A40" w14:textId="659B7083" w:rsidR="00626FA1" w:rsidRPr="00995C3A" w:rsidRDefault="00626FA1" w:rsidP="00FE0223">
            <w:pPr>
              <w:rPr>
                <w:b/>
                <w:bCs/>
              </w:rPr>
            </w:pPr>
            <w:r>
              <w:rPr>
                <w:b/>
                <w:bCs/>
              </w:rPr>
              <w:t>Disadvantages</w:t>
            </w:r>
          </w:p>
        </w:tc>
      </w:tr>
      <w:tr w:rsidR="00626FA1" w14:paraId="592D12E2" w14:textId="77777777" w:rsidTr="00626FA1">
        <w:tc>
          <w:tcPr>
            <w:tcW w:w="4505" w:type="dxa"/>
          </w:tcPr>
          <w:p w14:paraId="0DEFEA95" w14:textId="56325C04" w:rsidR="00626FA1" w:rsidRPr="005E1C25" w:rsidRDefault="00626FA1" w:rsidP="00626FA1">
            <w:pPr>
              <w:rPr>
                <w:rFonts w:ascii="Helvetica" w:hAnsi="Helvetica"/>
                <w:color w:val="565A5C"/>
                <w:sz w:val="29"/>
                <w:szCs w:val="29"/>
              </w:rPr>
            </w:pPr>
            <w:r>
              <w:t>Maintain stability of financial markets</w:t>
            </w:r>
          </w:p>
          <w:p w14:paraId="48070183" w14:textId="6500D939" w:rsidR="00626FA1" w:rsidRPr="005E1C25" w:rsidRDefault="00626FA1" w:rsidP="00626FA1">
            <w:pPr>
              <w:rPr>
                <w:rFonts w:ascii="Helvetica" w:hAnsi="Helvetica"/>
                <w:color w:val="565A5C"/>
                <w:sz w:val="29"/>
                <w:szCs w:val="29"/>
              </w:rPr>
            </w:pPr>
            <w:r>
              <w:t xml:space="preserve">Enhance transparency </w:t>
            </w:r>
          </w:p>
          <w:p w14:paraId="4FD1DEF2" w14:textId="740BBC9D" w:rsidR="00626FA1" w:rsidRPr="00AB2A73" w:rsidRDefault="00626FA1" w:rsidP="00626FA1">
            <w:pPr>
              <w:rPr>
                <w:rFonts w:ascii="Helvetica" w:hAnsi="Helvetica"/>
                <w:color w:val="565A5C"/>
                <w:sz w:val="29"/>
                <w:szCs w:val="29"/>
              </w:rPr>
            </w:pPr>
            <w:r>
              <w:t>Protect against fraud</w:t>
            </w:r>
          </w:p>
          <w:p w14:paraId="62CD46B9" w14:textId="557BE926" w:rsidR="00626FA1" w:rsidRDefault="00626FA1" w:rsidP="00FE0223">
            <w:r>
              <w:t>Protect investors and consumers</w:t>
            </w:r>
          </w:p>
        </w:tc>
        <w:tc>
          <w:tcPr>
            <w:tcW w:w="4505" w:type="dxa"/>
          </w:tcPr>
          <w:p w14:paraId="0F45B514" w14:textId="20A0B7C2" w:rsidR="001C320B" w:rsidRDefault="001C320B" w:rsidP="001C320B">
            <w:r w:rsidRPr="00E22E08">
              <w:t>Barriers to entry</w:t>
            </w:r>
          </w:p>
          <w:p w14:paraId="0040776B" w14:textId="50B64573" w:rsidR="001C320B" w:rsidRPr="00E22E08" w:rsidRDefault="001C320B" w:rsidP="001C320B">
            <w:r>
              <w:t>Hampering market forces</w:t>
            </w:r>
          </w:p>
          <w:p w14:paraId="4431EB5C" w14:textId="556E81E4" w:rsidR="001C320B" w:rsidRPr="00E22E08" w:rsidRDefault="001C320B" w:rsidP="001C320B">
            <w:r>
              <w:t>C</w:t>
            </w:r>
            <w:r w:rsidRPr="00E22E08">
              <w:t>ost</w:t>
            </w:r>
            <w:r>
              <w:t>s for banks and regulators</w:t>
            </w:r>
          </w:p>
          <w:p w14:paraId="781F05C3" w14:textId="2D52F98C" w:rsidR="00626FA1" w:rsidRDefault="001C320B" w:rsidP="00FE0223">
            <w:r w:rsidRPr="00E22E08">
              <w:t>Moral hazard</w:t>
            </w:r>
          </w:p>
        </w:tc>
      </w:tr>
    </w:tbl>
    <w:p w14:paraId="1FC774B4" w14:textId="77777777" w:rsidR="00DB7D3F" w:rsidRDefault="00DB7D3F" w:rsidP="00995C3A"/>
    <w:p w14:paraId="0B833665" w14:textId="57DC51D9" w:rsidR="00E22E08" w:rsidRPr="00995C3A" w:rsidRDefault="00B82CFD" w:rsidP="00995C3A">
      <w:pPr>
        <w:pBdr>
          <w:top w:val="single" w:sz="4" w:space="1" w:color="auto"/>
          <w:left w:val="single" w:sz="4" w:space="4" w:color="auto"/>
          <w:bottom w:val="single" w:sz="4" w:space="1" w:color="auto"/>
          <w:right w:val="single" w:sz="4" w:space="4" w:color="auto"/>
        </w:pBdr>
        <w:rPr>
          <w:b/>
          <w:bCs/>
        </w:rPr>
      </w:pPr>
      <w:r w:rsidRPr="00995C3A">
        <w:rPr>
          <w:b/>
          <w:bCs/>
        </w:rPr>
        <w:t>M</w:t>
      </w:r>
      <w:r w:rsidR="00F702E5" w:rsidRPr="00995C3A">
        <w:rPr>
          <w:b/>
          <w:bCs/>
        </w:rPr>
        <w:t>oral hazard</w:t>
      </w:r>
    </w:p>
    <w:p w14:paraId="49F0F79C" w14:textId="25E97C6F" w:rsidR="00F702E5" w:rsidRPr="00F702E5" w:rsidRDefault="00F702E5" w:rsidP="00995C3A">
      <w:pPr>
        <w:pBdr>
          <w:top w:val="single" w:sz="4" w:space="1" w:color="auto"/>
          <w:left w:val="single" w:sz="4" w:space="4" w:color="auto"/>
          <w:bottom w:val="single" w:sz="4" w:space="1" w:color="auto"/>
          <w:right w:val="single" w:sz="4" w:space="4" w:color="auto"/>
        </w:pBdr>
      </w:pPr>
      <w:r>
        <w:t>L</w:t>
      </w:r>
      <w:r w:rsidRPr="00F702E5">
        <w:t xml:space="preserve">ack of </w:t>
      </w:r>
      <w:r w:rsidR="00BF56E6">
        <w:t>motivation</w:t>
      </w:r>
      <w:r w:rsidR="00BF56E6" w:rsidRPr="00F702E5">
        <w:t xml:space="preserve"> </w:t>
      </w:r>
      <w:r w:rsidRPr="00F702E5">
        <w:t>to try to avoid risk when protected from its consequences, for example by insurance</w:t>
      </w:r>
      <w:r w:rsidR="00B82CFD">
        <w:t>.</w:t>
      </w:r>
    </w:p>
    <w:p w14:paraId="74D668FD" w14:textId="77777777" w:rsidR="00097DF4" w:rsidRDefault="00097DF4" w:rsidP="00097DF4"/>
    <w:p w14:paraId="3C57F284" w14:textId="6B2C1E11" w:rsidR="00F702E5" w:rsidRDefault="00F702E5" w:rsidP="00097DF4">
      <w:r>
        <w:t>In financial services</w:t>
      </w:r>
      <w:r w:rsidR="004A0458">
        <w:t>,</w:t>
      </w:r>
      <w:r>
        <w:t xml:space="preserve"> </w:t>
      </w:r>
      <w:r w:rsidR="0009109A">
        <w:t xml:space="preserve">moral hazard </w:t>
      </w:r>
      <w:r w:rsidR="00097DF4">
        <w:t xml:space="preserve">can </w:t>
      </w:r>
      <w:r w:rsidR="0009109A">
        <w:t xml:space="preserve">occur </w:t>
      </w:r>
      <w:r w:rsidR="00CA4491">
        <w:t xml:space="preserve">due to </w:t>
      </w:r>
      <w:r w:rsidR="00F57245">
        <w:t>deposit protection</w:t>
      </w:r>
      <w:r w:rsidR="00CA4491">
        <w:t xml:space="preserve"> schemes</w:t>
      </w:r>
      <w:r w:rsidR="00542A80">
        <w:t xml:space="preserve"> </w:t>
      </w:r>
      <w:r w:rsidR="00097DF4">
        <w:t xml:space="preserve">that </w:t>
      </w:r>
      <w:r w:rsidR="00542A80">
        <w:t xml:space="preserve">guarantee depositors are </w:t>
      </w:r>
      <w:r w:rsidR="005662E2">
        <w:t xml:space="preserve">repaid up to a set limit </w:t>
      </w:r>
      <w:r w:rsidR="00097DF4">
        <w:t xml:space="preserve">if </w:t>
      </w:r>
      <w:r w:rsidR="005662E2">
        <w:t xml:space="preserve">the bank is unable to repay. </w:t>
      </w:r>
      <w:r w:rsidR="00097DF4">
        <w:t xml:space="preserve">As </w:t>
      </w:r>
      <w:r w:rsidR="005662E2">
        <w:t xml:space="preserve">this </w:t>
      </w:r>
      <w:r w:rsidR="00DD598C">
        <w:t>protectio</w:t>
      </w:r>
      <w:r w:rsidR="005662E2">
        <w:t xml:space="preserve">n is in place, </w:t>
      </w:r>
      <w:r w:rsidR="008B7D0A">
        <w:t xml:space="preserve">banks may take unnecessary risks. </w:t>
      </w:r>
    </w:p>
    <w:p w14:paraId="16A73095" w14:textId="77777777" w:rsidR="00097DF4" w:rsidRDefault="00097DF4" w:rsidP="00995C3A"/>
    <w:tbl>
      <w:tblPr>
        <w:tblStyle w:val="TableGrid"/>
        <w:tblW w:w="0" w:type="auto"/>
        <w:tblLook w:val="04A0" w:firstRow="1" w:lastRow="0" w:firstColumn="1" w:lastColumn="0" w:noHBand="0" w:noVBand="1"/>
      </w:tblPr>
      <w:tblGrid>
        <w:gridCol w:w="9010"/>
      </w:tblGrid>
      <w:tr w:rsidR="008B7D0A" w14:paraId="2998FC52" w14:textId="77777777" w:rsidTr="008B7D0A">
        <w:tc>
          <w:tcPr>
            <w:tcW w:w="9010" w:type="dxa"/>
          </w:tcPr>
          <w:p w14:paraId="4BD979B9" w14:textId="5CDB9217" w:rsidR="008B7D0A" w:rsidRPr="00995C3A" w:rsidRDefault="00097DF4" w:rsidP="00995C3A">
            <w:pPr>
              <w:rPr>
                <w:b/>
                <w:bCs/>
              </w:rPr>
            </w:pPr>
            <w:r w:rsidRPr="00995C3A">
              <w:rPr>
                <w:b/>
                <w:bCs/>
              </w:rPr>
              <w:t>FACTFIND</w:t>
            </w:r>
          </w:p>
          <w:p w14:paraId="454380EE" w14:textId="2518B20C" w:rsidR="00D8067F" w:rsidRDefault="00B81D7A" w:rsidP="00097DF4">
            <w:r>
              <w:t>Find out about</w:t>
            </w:r>
            <w:r w:rsidR="00D8067F">
              <w:t>:</w:t>
            </w:r>
          </w:p>
          <w:p w14:paraId="44C18CDB" w14:textId="44AEA55B" w:rsidR="001D6A6C" w:rsidRDefault="005F5A1D" w:rsidP="00097DF4">
            <w:hyperlink r:id="rId11" w:history="1">
              <w:r w:rsidR="001D6A6C">
                <w:rPr>
                  <w:rStyle w:val="Hyperlink"/>
                </w:rPr>
                <w:t>Singapore Deposit Insurance Corporation (SDIC</w:t>
              </w:r>
            </w:hyperlink>
            <w:r w:rsidR="001D6A6C">
              <w:rPr>
                <w:rStyle w:val="Hyperlink"/>
              </w:rPr>
              <w:t>)</w:t>
            </w:r>
          </w:p>
          <w:p w14:paraId="457E5200" w14:textId="1D1132DE" w:rsidR="00D8067F" w:rsidRDefault="005F5A1D" w:rsidP="00097DF4">
            <w:hyperlink r:id="rId12" w:history="1">
              <w:r w:rsidR="00D2283B">
                <w:rPr>
                  <w:rStyle w:val="Hyperlink"/>
                  <w:rFonts w:ascii="Calibri" w:hAnsi="Calibri"/>
                </w:rPr>
                <w:t>UK Financial Services Compensation Scheme (FSCS)</w:t>
              </w:r>
            </w:hyperlink>
          </w:p>
          <w:p w14:paraId="16CD5AE8" w14:textId="04ED5228" w:rsidR="00100333" w:rsidRDefault="005F5A1D" w:rsidP="00097DF4">
            <w:hyperlink r:id="rId13" w:history="1">
              <w:r w:rsidR="00D2283B">
                <w:rPr>
                  <w:rStyle w:val="Hyperlink"/>
                  <w:rFonts w:ascii="Calibri" w:hAnsi="Calibri"/>
                </w:rPr>
                <w:t>US Federal Deposit Insurance Corporation (FDIC)</w:t>
              </w:r>
            </w:hyperlink>
          </w:p>
          <w:p w14:paraId="36CB200A" w14:textId="589292A0" w:rsidR="008B7D0A" w:rsidRPr="008B7D0A" w:rsidRDefault="005F5A1D" w:rsidP="00995C3A">
            <w:hyperlink r:id="rId14" w:history="1">
              <w:r w:rsidR="00D2283B">
                <w:rPr>
                  <w:rStyle w:val="Hyperlink"/>
                  <w:rFonts w:ascii="Calibri" w:hAnsi="Calibri"/>
                </w:rPr>
                <w:t>EU deposit guarantee schemes</w:t>
              </w:r>
            </w:hyperlink>
          </w:p>
        </w:tc>
      </w:tr>
    </w:tbl>
    <w:p w14:paraId="1E2157E8" w14:textId="77777777" w:rsidR="00CD1C5D" w:rsidRDefault="00CD1C5D" w:rsidP="00CD1C5D">
      <w:pPr>
        <w:pStyle w:val="Heading2"/>
      </w:pPr>
    </w:p>
    <w:p w14:paraId="50671870" w14:textId="779BA0F6" w:rsidR="00CD1C5D" w:rsidRPr="009A6876" w:rsidRDefault="00CD1C5D" w:rsidP="00995C3A">
      <w:pPr>
        <w:pStyle w:val="Heading3"/>
      </w:pPr>
      <w:r>
        <w:t>4</w:t>
      </w:r>
      <w:r w:rsidRPr="00BB4499">
        <w:t>.</w:t>
      </w:r>
      <w:r w:rsidR="00832C38">
        <w:t>1.2</w:t>
      </w:r>
      <w:r w:rsidR="00832C38" w:rsidRPr="00BB4499">
        <w:t xml:space="preserve"> </w:t>
      </w:r>
      <w:r w:rsidR="00366989">
        <w:t xml:space="preserve">Types of </w:t>
      </w:r>
      <w:r w:rsidR="00832C38">
        <w:t>financial regulation</w:t>
      </w:r>
    </w:p>
    <w:p w14:paraId="315998E9" w14:textId="43AE860C" w:rsidR="00F702E5" w:rsidRDefault="000347AD" w:rsidP="00CA1C59">
      <w:pPr>
        <w:spacing w:before="300" w:after="300" w:line="420" w:lineRule="atLeast"/>
        <w:rPr>
          <w:rFonts w:ascii="Calibri" w:hAnsi="Calibri"/>
          <w:color w:val="000000" w:themeColor="text1"/>
        </w:rPr>
      </w:pPr>
      <w:r>
        <w:rPr>
          <w:rFonts w:ascii="Calibri" w:hAnsi="Calibri"/>
          <w:color w:val="000000" w:themeColor="text1"/>
        </w:rPr>
        <w:t>We can classify the types of f</w:t>
      </w:r>
      <w:r w:rsidR="00366989">
        <w:rPr>
          <w:rFonts w:ascii="Calibri" w:hAnsi="Calibri"/>
          <w:color w:val="000000" w:themeColor="text1"/>
        </w:rPr>
        <w:t>inancial regulation</w:t>
      </w:r>
      <w:r>
        <w:rPr>
          <w:rFonts w:ascii="Calibri" w:hAnsi="Calibri"/>
          <w:color w:val="000000" w:themeColor="text1"/>
        </w:rPr>
        <w:t xml:space="preserve"> as follows.</w:t>
      </w:r>
    </w:p>
    <w:p w14:paraId="2C121183" w14:textId="63D3FAB6" w:rsidR="000347AD" w:rsidRPr="00995C3A" w:rsidRDefault="000347AD" w:rsidP="00CA1C59">
      <w:pPr>
        <w:spacing w:before="300" w:after="300" w:line="420" w:lineRule="atLeast"/>
        <w:rPr>
          <w:rFonts w:ascii="Calibri" w:hAnsi="Calibri"/>
          <w:b/>
          <w:bCs/>
          <w:color w:val="000000" w:themeColor="text1"/>
        </w:rPr>
      </w:pPr>
      <w:r>
        <w:rPr>
          <w:rFonts w:ascii="Calibri" w:hAnsi="Calibri"/>
          <w:b/>
          <w:bCs/>
          <w:color w:val="000000" w:themeColor="text1"/>
        </w:rPr>
        <w:t>Table 4.2 Types of financial regulation</w:t>
      </w:r>
    </w:p>
    <w:tbl>
      <w:tblPr>
        <w:tblStyle w:val="TableGrid"/>
        <w:tblW w:w="0" w:type="auto"/>
        <w:tblInd w:w="-5" w:type="dxa"/>
        <w:tblLook w:val="04A0" w:firstRow="1" w:lastRow="0" w:firstColumn="1" w:lastColumn="0" w:noHBand="0" w:noVBand="1"/>
      </w:tblPr>
      <w:tblGrid>
        <w:gridCol w:w="2430"/>
        <w:gridCol w:w="6585"/>
      </w:tblGrid>
      <w:tr w:rsidR="00366989" w:rsidRPr="00366989" w14:paraId="03A0AB00" w14:textId="77777777" w:rsidTr="00366989">
        <w:tc>
          <w:tcPr>
            <w:tcW w:w="2430" w:type="dxa"/>
          </w:tcPr>
          <w:p w14:paraId="24F2B462" w14:textId="2C30867E" w:rsidR="00366989" w:rsidRPr="00995C3A" w:rsidRDefault="00366989" w:rsidP="00995C3A">
            <w:pPr>
              <w:rPr>
                <w:b/>
                <w:bCs/>
              </w:rPr>
            </w:pPr>
            <w:r w:rsidRPr="00995C3A">
              <w:rPr>
                <w:b/>
                <w:bCs/>
              </w:rPr>
              <w:t>Type</w:t>
            </w:r>
          </w:p>
        </w:tc>
        <w:tc>
          <w:tcPr>
            <w:tcW w:w="6585" w:type="dxa"/>
          </w:tcPr>
          <w:p w14:paraId="0DFED0E5" w14:textId="6D421157" w:rsidR="00366989" w:rsidRPr="00995C3A" w:rsidRDefault="00366989" w:rsidP="00995C3A">
            <w:pPr>
              <w:rPr>
                <w:b/>
                <w:bCs/>
              </w:rPr>
            </w:pPr>
            <w:r w:rsidRPr="00995C3A">
              <w:rPr>
                <w:b/>
                <w:bCs/>
              </w:rPr>
              <w:t>Description</w:t>
            </w:r>
          </w:p>
        </w:tc>
      </w:tr>
      <w:tr w:rsidR="00366989" w14:paraId="403C175D" w14:textId="77777777" w:rsidTr="00366989">
        <w:tc>
          <w:tcPr>
            <w:tcW w:w="2430" w:type="dxa"/>
          </w:tcPr>
          <w:p w14:paraId="45CCCF41" w14:textId="19594E6E" w:rsidR="00366989" w:rsidRDefault="00366989" w:rsidP="00995C3A">
            <w:r>
              <w:t xml:space="preserve">External </w:t>
            </w:r>
            <w:r w:rsidR="000347AD">
              <w:t>regulation</w:t>
            </w:r>
          </w:p>
        </w:tc>
        <w:tc>
          <w:tcPr>
            <w:tcW w:w="6585" w:type="dxa"/>
          </w:tcPr>
          <w:p w14:paraId="42CBCB4D" w14:textId="626889CC" w:rsidR="006171A4" w:rsidRDefault="00366989" w:rsidP="00995C3A">
            <w:r w:rsidRPr="00366989">
              <w:t>Regulation originating from public sector organisations representing the government</w:t>
            </w:r>
            <w:r w:rsidR="00DA4DC8">
              <w:t>,</w:t>
            </w:r>
            <w:r w:rsidRPr="00366989">
              <w:t xml:space="preserve"> such as the BIS</w:t>
            </w:r>
            <w:r w:rsidR="006171A4">
              <w:t xml:space="preserve">, and local central banks and regulators such as the European Central Bank, the Federal Reserve in the </w:t>
            </w:r>
            <w:proofErr w:type="gramStart"/>
            <w:r w:rsidR="006171A4">
              <w:t>US</w:t>
            </w:r>
            <w:proofErr w:type="gramEnd"/>
            <w:r w:rsidR="006171A4">
              <w:t xml:space="preserve"> and the PRA in the UK. </w:t>
            </w:r>
          </w:p>
          <w:p w14:paraId="7CB0F2D6" w14:textId="7C50E7B5" w:rsidR="00366989" w:rsidRDefault="006171A4" w:rsidP="00995C3A">
            <w:r>
              <w:t>The regulations</w:t>
            </w:r>
            <w:r w:rsidR="00366989" w:rsidRPr="00366989">
              <w:t xml:space="preserve"> cover any aspect of a financial institution</w:t>
            </w:r>
            <w:r w:rsidR="00534B53">
              <w:t xml:space="preserve">’s </w:t>
            </w:r>
            <w:r w:rsidR="00534B53" w:rsidRPr="00366989">
              <w:t>business operations</w:t>
            </w:r>
            <w:r w:rsidR="00366989" w:rsidRPr="00366989">
              <w:t>, ranging from liquidity and capital adequacy requirements to the qualifications to be held by staff in key roles.</w:t>
            </w:r>
            <w:r w:rsidR="000B3705">
              <w:t xml:space="preserve"> </w:t>
            </w:r>
            <w:r w:rsidR="00807054">
              <w:t>Key types of regulators are:</w:t>
            </w:r>
          </w:p>
          <w:p w14:paraId="703E2687" w14:textId="1A5B62C1" w:rsidR="00807054" w:rsidRPr="00995C3A" w:rsidRDefault="00E919EE" w:rsidP="00995C3A">
            <w:pPr>
              <w:pStyle w:val="ListParagraph"/>
              <w:numPr>
                <w:ilvl w:val="0"/>
                <w:numId w:val="27"/>
              </w:numPr>
              <w:rPr>
                <w:rFonts w:ascii="Calibri" w:hAnsi="Calibri"/>
                <w:color w:val="000000" w:themeColor="text1"/>
              </w:rPr>
            </w:pPr>
            <w:r>
              <w:rPr>
                <w:rFonts w:ascii="Calibri" w:hAnsi="Calibri"/>
                <w:color w:val="000000" w:themeColor="text1"/>
              </w:rPr>
              <w:t>p</w:t>
            </w:r>
            <w:r w:rsidRPr="00995C3A">
              <w:rPr>
                <w:rFonts w:ascii="Calibri" w:hAnsi="Calibri"/>
                <w:color w:val="000000" w:themeColor="text1"/>
              </w:rPr>
              <w:t xml:space="preserve">rudential </w:t>
            </w:r>
            <w:r w:rsidR="00807054" w:rsidRPr="00995C3A">
              <w:rPr>
                <w:rFonts w:ascii="Calibri" w:hAnsi="Calibri"/>
                <w:color w:val="000000" w:themeColor="text1"/>
              </w:rPr>
              <w:t>regulators</w:t>
            </w:r>
            <w:r>
              <w:rPr>
                <w:rFonts w:ascii="Calibri" w:hAnsi="Calibri"/>
                <w:color w:val="000000" w:themeColor="text1"/>
              </w:rPr>
              <w:t>; and</w:t>
            </w:r>
          </w:p>
          <w:p w14:paraId="5D37C98D" w14:textId="20F8D0DC" w:rsidR="00807054" w:rsidRPr="00995C3A" w:rsidRDefault="00E919EE" w:rsidP="00995C3A">
            <w:pPr>
              <w:pStyle w:val="ListParagraph"/>
              <w:numPr>
                <w:ilvl w:val="0"/>
                <w:numId w:val="27"/>
              </w:numPr>
              <w:rPr>
                <w:rFonts w:ascii="Calibri" w:hAnsi="Calibri"/>
                <w:color w:val="000000" w:themeColor="text1"/>
              </w:rPr>
            </w:pPr>
            <w:r>
              <w:rPr>
                <w:rFonts w:ascii="Calibri" w:hAnsi="Calibri"/>
                <w:color w:val="000000" w:themeColor="text1"/>
              </w:rPr>
              <w:t>c</w:t>
            </w:r>
            <w:r w:rsidRPr="00995C3A">
              <w:rPr>
                <w:rFonts w:ascii="Calibri" w:hAnsi="Calibri"/>
                <w:color w:val="000000" w:themeColor="text1"/>
              </w:rPr>
              <w:t xml:space="preserve">onduct </w:t>
            </w:r>
            <w:r>
              <w:rPr>
                <w:rFonts w:ascii="Calibri" w:hAnsi="Calibri"/>
                <w:color w:val="000000" w:themeColor="text1"/>
              </w:rPr>
              <w:t>a</w:t>
            </w:r>
            <w:r w:rsidRPr="00995C3A">
              <w:rPr>
                <w:rFonts w:ascii="Calibri" w:hAnsi="Calibri"/>
                <w:color w:val="000000" w:themeColor="text1"/>
              </w:rPr>
              <w:t>uthorities</w:t>
            </w:r>
            <w:r>
              <w:rPr>
                <w:rFonts w:ascii="Calibri" w:hAnsi="Calibri"/>
                <w:color w:val="000000" w:themeColor="text1"/>
              </w:rPr>
              <w:t>.</w:t>
            </w:r>
          </w:p>
        </w:tc>
      </w:tr>
      <w:tr w:rsidR="00366989" w14:paraId="464B2AF9" w14:textId="77777777" w:rsidTr="00366989">
        <w:tc>
          <w:tcPr>
            <w:tcW w:w="2430" w:type="dxa"/>
          </w:tcPr>
          <w:p w14:paraId="5C592F43" w14:textId="2636380A" w:rsidR="00366989" w:rsidRDefault="00534B53" w:rsidP="00995C3A">
            <w:r>
              <w:t>Self-r</w:t>
            </w:r>
            <w:r w:rsidR="00366989">
              <w:t>egulation</w:t>
            </w:r>
          </w:p>
        </w:tc>
        <w:tc>
          <w:tcPr>
            <w:tcW w:w="6585" w:type="dxa"/>
          </w:tcPr>
          <w:p w14:paraId="2B023CDF" w14:textId="7F2B3640" w:rsidR="00366989" w:rsidRPr="007C010F" w:rsidRDefault="00D43DE1" w:rsidP="00995C3A">
            <w:r w:rsidRPr="007C010F">
              <w:t xml:space="preserve">Regulation </w:t>
            </w:r>
            <w:r w:rsidR="00D368F0" w:rsidRPr="007C010F">
              <w:t xml:space="preserve">originating from </w:t>
            </w:r>
            <w:r w:rsidRPr="007C010F">
              <w:t xml:space="preserve">within the industry </w:t>
            </w:r>
            <w:r w:rsidR="00D368F0" w:rsidRPr="007C010F">
              <w:t>and voluntarily accepted</w:t>
            </w:r>
            <w:r w:rsidR="00534B53">
              <w:t>,</w:t>
            </w:r>
            <w:r w:rsidR="00D368F0" w:rsidRPr="007C010F">
              <w:t xml:space="preserve"> </w:t>
            </w:r>
            <w:r w:rsidR="00534B53">
              <w:t xml:space="preserve">to </w:t>
            </w:r>
            <w:r w:rsidR="00D368F0" w:rsidRPr="007C010F">
              <w:t>provid</w:t>
            </w:r>
            <w:r w:rsidR="00534B53">
              <w:t>e</w:t>
            </w:r>
            <w:r w:rsidR="00D368F0" w:rsidRPr="007C010F">
              <w:t xml:space="preserve"> market discipline and mak</w:t>
            </w:r>
            <w:r w:rsidR="00534B53">
              <w:t>e</w:t>
            </w:r>
            <w:r w:rsidR="00D368F0" w:rsidRPr="007C010F">
              <w:t xml:space="preserve"> business easier to transact. For example, it may relate to standardisation of documentation or agreements </w:t>
            </w:r>
            <w:r w:rsidR="00CA5E9B">
              <w:t xml:space="preserve">relating to </w:t>
            </w:r>
            <w:r w:rsidR="00D368F0" w:rsidRPr="007C010F">
              <w:t xml:space="preserve">the responsibilities of parties </w:t>
            </w:r>
            <w:r w:rsidR="00F4781A">
              <w:t xml:space="preserve">in </w:t>
            </w:r>
            <w:r w:rsidR="00D368F0" w:rsidRPr="007C010F">
              <w:t>transactions.</w:t>
            </w:r>
            <w:r w:rsidR="007C010F" w:rsidRPr="007C010F">
              <w:t xml:space="preserve"> Examples of </w:t>
            </w:r>
            <w:r w:rsidR="00F4781A">
              <w:t>s</w:t>
            </w:r>
            <w:r w:rsidR="00F4781A" w:rsidRPr="007C010F">
              <w:t>elf</w:t>
            </w:r>
            <w:r w:rsidR="00F4781A">
              <w:t>-r</w:t>
            </w:r>
            <w:r w:rsidR="007C010F" w:rsidRPr="007C010F">
              <w:t xml:space="preserve">egulation </w:t>
            </w:r>
            <w:r w:rsidR="00F4781A">
              <w:t>o</w:t>
            </w:r>
            <w:r w:rsidR="00F4781A" w:rsidRPr="007C010F">
              <w:t xml:space="preserve">rganisations </w:t>
            </w:r>
            <w:r w:rsidR="00F4781A">
              <w:t>include</w:t>
            </w:r>
            <w:r w:rsidR="007C010F" w:rsidRPr="007C010F">
              <w:t>:</w:t>
            </w:r>
          </w:p>
          <w:p w14:paraId="692546A7" w14:textId="484D3DAC" w:rsidR="007C010F" w:rsidRPr="007C010F" w:rsidRDefault="007C010F" w:rsidP="00995C3A">
            <w:pPr>
              <w:pStyle w:val="ListParagraph"/>
              <w:numPr>
                <w:ilvl w:val="0"/>
                <w:numId w:val="28"/>
              </w:numPr>
            </w:pPr>
            <w:r w:rsidRPr="00995C3A">
              <w:rPr>
                <w:b/>
                <w:bCs/>
              </w:rPr>
              <w:t>Financial Industry Regulatory Authority (FINRA)</w:t>
            </w:r>
            <w:r w:rsidR="00815E8A">
              <w:t>:</w:t>
            </w:r>
            <w:r>
              <w:t xml:space="preserve"> </w:t>
            </w:r>
            <w:r w:rsidRPr="007C010F">
              <w:t>writes and enforces the rules governing registered brokers and </w:t>
            </w:r>
            <w:hyperlink r:id="rId15" w:history="1">
              <w:r w:rsidRPr="007C010F">
                <w:t>broker-dealer</w:t>
              </w:r>
            </w:hyperlink>
            <w:r w:rsidRPr="007C010F">
              <w:t xml:space="preserve"> firms in the </w:t>
            </w:r>
            <w:proofErr w:type="gramStart"/>
            <w:r w:rsidRPr="007C010F">
              <w:t>U</w:t>
            </w:r>
            <w:r w:rsidR="00815E8A">
              <w:t>S;</w:t>
            </w:r>
            <w:proofErr w:type="gramEnd"/>
          </w:p>
          <w:p w14:paraId="6EF8B7CE" w14:textId="2E54333A" w:rsidR="007C010F" w:rsidRDefault="007C010F" w:rsidP="00995C3A">
            <w:pPr>
              <w:pStyle w:val="ListParagraph"/>
              <w:numPr>
                <w:ilvl w:val="0"/>
                <w:numId w:val="28"/>
              </w:numPr>
            </w:pPr>
            <w:r w:rsidRPr="00995C3A">
              <w:rPr>
                <w:b/>
                <w:bCs/>
              </w:rPr>
              <w:t>IOSCO</w:t>
            </w:r>
            <w:r w:rsidR="00E60C50">
              <w:t>:</w:t>
            </w:r>
            <w:r>
              <w:t xml:space="preserve"> </w:t>
            </w:r>
            <w:r w:rsidR="00E60C50">
              <w:t xml:space="preserve">see section </w:t>
            </w:r>
            <w:proofErr w:type="gramStart"/>
            <w:r w:rsidR="00C12B43">
              <w:t>1.4.2;</w:t>
            </w:r>
            <w:proofErr w:type="gramEnd"/>
          </w:p>
          <w:p w14:paraId="7BE7A43D" w14:textId="2C4EC2A4" w:rsidR="007C010F" w:rsidRDefault="007C010F" w:rsidP="00995C3A">
            <w:pPr>
              <w:pStyle w:val="ListParagraph"/>
              <w:numPr>
                <w:ilvl w:val="0"/>
                <w:numId w:val="28"/>
              </w:numPr>
            </w:pPr>
            <w:r w:rsidRPr="00995C3A">
              <w:rPr>
                <w:b/>
                <w:bCs/>
              </w:rPr>
              <w:t>IASB</w:t>
            </w:r>
            <w:r w:rsidR="00C12B43">
              <w:t xml:space="preserve">: see section </w:t>
            </w:r>
            <w:proofErr w:type="gramStart"/>
            <w:r w:rsidR="00C12B43">
              <w:t>1.4.2;</w:t>
            </w:r>
            <w:proofErr w:type="gramEnd"/>
          </w:p>
          <w:p w14:paraId="64770D6E" w14:textId="69221CF1" w:rsidR="007C010F" w:rsidRPr="007C010F" w:rsidRDefault="007C010F" w:rsidP="00995C3A">
            <w:pPr>
              <w:pStyle w:val="ListParagraph"/>
              <w:numPr>
                <w:ilvl w:val="0"/>
                <w:numId w:val="28"/>
              </w:numPr>
            </w:pPr>
            <w:r w:rsidRPr="00995C3A">
              <w:rPr>
                <w:b/>
                <w:bCs/>
              </w:rPr>
              <w:t>International Swaps and Derivatives Association (ISDA)</w:t>
            </w:r>
            <w:r w:rsidR="0070190C">
              <w:t xml:space="preserve">: </w:t>
            </w:r>
            <w:r w:rsidR="000B7A33">
              <w:t>standardised contracts for over</w:t>
            </w:r>
            <w:r w:rsidR="0070190C">
              <w:t>-</w:t>
            </w:r>
            <w:r w:rsidR="000B7A33">
              <w:t>the</w:t>
            </w:r>
            <w:r w:rsidR="0070190C">
              <w:t>-</w:t>
            </w:r>
            <w:r w:rsidR="000B7A33">
              <w:t>counter derivatives transactions</w:t>
            </w:r>
            <w:r w:rsidR="0070190C">
              <w:t>.</w:t>
            </w:r>
          </w:p>
        </w:tc>
      </w:tr>
    </w:tbl>
    <w:p w14:paraId="58186603" w14:textId="77777777" w:rsidR="00366989" w:rsidRDefault="00366989" w:rsidP="00F702E5">
      <w:pPr>
        <w:spacing w:before="300" w:after="300" w:line="420" w:lineRule="atLeast"/>
        <w:rPr>
          <w:rFonts w:ascii="Calibri" w:hAnsi="Calibri"/>
          <w:color w:val="000000" w:themeColor="text1"/>
        </w:rPr>
      </w:pPr>
    </w:p>
    <w:p w14:paraId="12BC9640" w14:textId="2C314638" w:rsidR="005A7D90" w:rsidRPr="009A6876" w:rsidRDefault="005A7D90" w:rsidP="00995C3A">
      <w:pPr>
        <w:pStyle w:val="Heading3"/>
      </w:pPr>
      <w:r>
        <w:t>4</w:t>
      </w:r>
      <w:r w:rsidRPr="00BB4499">
        <w:t>.</w:t>
      </w:r>
      <w:r w:rsidR="00844FDF">
        <w:t>1.3</w:t>
      </w:r>
      <w:r w:rsidRPr="00BB4499">
        <w:t xml:space="preserve"> </w:t>
      </w:r>
      <w:r>
        <w:t xml:space="preserve">Prudential </w:t>
      </w:r>
      <w:r w:rsidR="00844FDF">
        <w:t>regulation</w:t>
      </w:r>
    </w:p>
    <w:p w14:paraId="5F96734F" w14:textId="77777777" w:rsidR="00844FDF" w:rsidRDefault="00844FDF" w:rsidP="00844FDF"/>
    <w:p w14:paraId="1180D711" w14:textId="09576A7F" w:rsidR="00EA0B94" w:rsidRDefault="00CA1C59" w:rsidP="00844FDF">
      <w:r w:rsidRPr="005A7D90">
        <w:t>Prudential regulation focuses on ensuring the soundness of banks</w:t>
      </w:r>
      <w:r w:rsidR="00075008">
        <w:t>,</w:t>
      </w:r>
      <w:r w:rsidRPr="005A7D90">
        <w:t xml:space="preserve"> as opposed to regulating their business activities. This includes ensuring that a bank</w:t>
      </w:r>
      <w:r w:rsidR="00EA0B94">
        <w:t>, and the financial industry,</w:t>
      </w:r>
      <w:r w:rsidRPr="005A7D90">
        <w:t xml:space="preserve"> has sufficient financial strength to cope with any financial shocks that could occur. Therefore, prudential regulation </w:t>
      </w:r>
      <w:r w:rsidR="00300681">
        <w:t xml:space="preserve">involves </w:t>
      </w:r>
      <w:r w:rsidRPr="005A7D90">
        <w:t>aspects such as capital adequacy and liquidity. </w:t>
      </w:r>
      <w:r w:rsidR="00807054">
        <w:t xml:space="preserve">The main purpose of prudential </w:t>
      </w:r>
      <w:r w:rsidR="00807054">
        <w:lastRenderedPageBreak/>
        <w:t xml:space="preserve">regulation is to reduce the likelihood of an individual bank failing as well as the </w:t>
      </w:r>
      <w:r w:rsidR="00F13CE0">
        <w:t xml:space="preserve">failure </w:t>
      </w:r>
      <w:r w:rsidR="00807054">
        <w:t xml:space="preserve">of the </w:t>
      </w:r>
      <w:r w:rsidR="00300681">
        <w:t xml:space="preserve">whole </w:t>
      </w:r>
      <w:r w:rsidR="00807054">
        <w:t>financial market.</w:t>
      </w:r>
    </w:p>
    <w:p w14:paraId="63331F01" w14:textId="139D743E" w:rsidR="00CA1C59" w:rsidRPr="00995C3A" w:rsidRDefault="00EA0B94" w:rsidP="00844FDF">
      <w:pPr>
        <w:rPr>
          <w:b/>
          <w:bCs/>
        </w:rPr>
      </w:pPr>
      <w:r w:rsidRPr="00995C3A">
        <w:rPr>
          <w:b/>
          <w:bCs/>
        </w:rPr>
        <w:t>Figure 4.1 What do p</w:t>
      </w:r>
      <w:r w:rsidR="00B01A59" w:rsidRPr="00995C3A">
        <w:rPr>
          <w:b/>
          <w:bCs/>
        </w:rPr>
        <w:t>rudential regulations typically include</w:t>
      </w:r>
      <w:r w:rsidRPr="00995C3A">
        <w:rPr>
          <w:b/>
          <w:bCs/>
        </w:rPr>
        <w:t>?</w:t>
      </w:r>
    </w:p>
    <w:p w14:paraId="08369E64" w14:textId="3E0074C0" w:rsidR="00EA0B94" w:rsidRDefault="00EA0B94" w:rsidP="00995C3A">
      <w:r>
        <w:rPr>
          <w:noProof/>
          <w:lang w:eastAsia="en-GB"/>
        </w:rPr>
        <w:drawing>
          <wp:inline distT="0" distB="0" distL="0" distR="0" wp14:anchorId="328BB534" wp14:editId="3502E490">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F4E894F" w14:textId="77777777" w:rsidR="002D0548" w:rsidRDefault="002D0548" w:rsidP="00995C3A">
      <w:pPr>
        <w:rPr>
          <w:rFonts w:ascii="Calibri" w:hAnsi="Calibri"/>
          <w:color w:val="000000" w:themeColor="text1"/>
        </w:rPr>
      </w:pPr>
    </w:p>
    <w:p w14:paraId="2483EBBB" w14:textId="34F5F20A" w:rsidR="00F82EA1" w:rsidRPr="009A6876" w:rsidRDefault="00F82EA1" w:rsidP="00995C3A">
      <w:pPr>
        <w:pStyle w:val="Heading3"/>
      </w:pPr>
      <w:r>
        <w:t>4</w:t>
      </w:r>
      <w:r w:rsidRPr="00BB4499">
        <w:t>.</w:t>
      </w:r>
      <w:r w:rsidR="00EB0118">
        <w:t>1.4</w:t>
      </w:r>
      <w:r w:rsidRPr="00BB4499">
        <w:t xml:space="preserve"> </w:t>
      </w:r>
      <w:r>
        <w:t xml:space="preserve">Conduct of </w:t>
      </w:r>
      <w:r w:rsidR="00EB0118">
        <w:t>business</w:t>
      </w:r>
    </w:p>
    <w:p w14:paraId="0DFFDB75" w14:textId="77777777" w:rsidR="00EB0118" w:rsidRDefault="00EB0118" w:rsidP="00EB0118"/>
    <w:p w14:paraId="6B75F089" w14:textId="7B0BC7E0" w:rsidR="00CA1C59" w:rsidRPr="00F82EA1" w:rsidRDefault="00CA1C59" w:rsidP="00995C3A">
      <w:pPr>
        <w:rPr>
          <w:rFonts w:ascii="Helvetica" w:hAnsi="Helvetica"/>
          <w:color w:val="565A5C"/>
          <w:sz w:val="29"/>
          <w:szCs w:val="29"/>
        </w:rPr>
      </w:pPr>
      <w:r w:rsidRPr="00F82EA1">
        <w:t>Conduct of business regulation focuses on business functions, irrespective of the institutions involved. It aims to put in place rules and best practice on how to do business and treat customers. The key issues relate to consumers getting a fair deal and not being exploited or misled due to information asymmetry.</w:t>
      </w:r>
    </w:p>
    <w:tbl>
      <w:tblPr>
        <w:tblStyle w:val="TableGrid"/>
        <w:tblW w:w="0" w:type="auto"/>
        <w:tblLook w:val="04A0" w:firstRow="1" w:lastRow="0" w:firstColumn="1" w:lastColumn="0" w:noHBand="0" w:noVBand="1"/>
      </w:tblPr>
      <w:tblGrid>
        <w:gridCol w:w="9010"/>
      </w:tblGrid>
      <w:tr w:rsidR="00F82EA1" w14:paraId="7F35B684" w14:textId="77777777" w:rsidTr="00F82EA1">
        <w:tc>
          <w:tcPr>
            <w:tcW w:w="9010" w:type="dxa"/>
          </w:tcPr>
          <w:p w14:paraId="253B4975" w14:textId="5A534319" w:rsidR="00F82EA1" w:rsidRPr="00995C3A" w:rsidRDefault="003574E5" w:rsidP="00995C3A">
            <w:pPr>
              <w:rPr>
                <w:b/>
                <w:bCs/>
              </w:rPr>
            </w:pPr>
            <w:r w:rsidRPr="00995C3A">
              <w:rPr>
                <w:b/>
                <w:bCs/>
              </w:rPr>
              <w:t>FACTFIND</w:t>
            </w:r>
          </w:p>
          <w:p w14:paraId="588AA239" w14:textId="4741EB46" w:rsidR="00191261" w:rsidRDefault="00F82EA1" w:rsidP="00995C3A">
            <w:r>
              <w:t xml:space="preserve">Find out more about </w:t>
            </w:r>
            <w:r w:rsidR="00191261">
              <w:t>prudential and conduct regulators</w:t>
            </w:r>
            <w:r w:rsidR="003574E5">
              <w:t>, such as those in the UK.</w:t>
            </w:r>
          </w:p>
          <w:p w14:paraId="5FAB6CAA" w14:textId="5EC183F3" w:rsidR="00191261" w:rsidRDefault="005F5A1D" w:rsidP="00995C3A">
            <w:hyperlink r:id="rId21" w:history="1">
              <w:r w:rsidR="002A589C">
                <w:rPr>
                  <w:rStyle w:val="Hyperlink"/>
                  <w:rFonts w:ascii="Calibri" w:hAnsi="Calibri"/>
                </w:rPr>
                <w:t>Prudential Regulation Authority</w:t>
              </w:r>
            </w:hyperlink>
          </w:p>
          <w:p w14:paraId="3DA5BFBE" w14:textId="4D3CF97E" w:rsidR="00F82EA1" w:rsidRDefault="005F5A1D" w:rsidP="00995C3A">
            <w:hyperlink r:id="rId22" w:history="1">
              <w:r w:rsidR="002A589C">
                <w:rPr>
                  <w:rStyle w:val="Hyperlink"/>
                  <w:rFonts w:ascii="Calibri" w:hAnsi="Calibri"/>
                </w:rPr>
                <w:t>Financial Conduct Authority</w:t>
              </w:r>
            </w:hyperlink>
            <w:r w:rsidR="00191261">
              <w:t xml:space="preserve"> </w:t>
            </w:r>
            <w:r w:rsidR="00F82EA1">
              <w:t xml:space="preserve"> </w:t>
            </w:r>
          </w:p>
          <w:p w14:paraId="06261D11" w14:textId="43607B44" w:rsidR="00B01A59" w:rsidRPr="00F82EA1" w:rsidRDefault="00B01A59" w:rsidP="00995C3A">
            <w:r>
              <w:t>How do they compare with the regulators in your country?</w:t>
            </w:r>
          </w:p>
        </w:tc>
      </w:tr>
    </w:tbl>
    <w:p w14:paraId="69B03B8C" w14:textId="77777777" w:rsidR="00191261" w:rsidRDefault="00191261" w:rsidP="00CD1C5D">
      <w:pPr>
        <w:pStyle w:val="Heading2"/>
      </w:pPr>
    </w:p>
    <w:p w14:paraId="25FB974F" w14:textId="1F96CE89" w:rsidR="00ED045D" w:rsidRPr="009A6876" w:rsidRDefault="00875EF5" w:rsidP="00AE4E9E">
      <w:pPr>
        <w:pStyle w:val="Heading2"/>
      </w:pPr>
      <w:r>
        <w:t>4</w:t>
      </w:r>
      <w:r w:rsidR="00ED045D" w:rsidRPr="00BB4499">
        <w:t>.</w:t>
      </w:r>
      <w:r w:rsidR="00445784">
        <w:t>2</w:t>
      </w:r>
      <w:r w:rsidR="00445784" w:rsidRPr="00BB4499">
        <w:t xml:space="preserve"> </w:t>
      </w:r>
      <w:r w:rsidR="00827A56">
        <w:t>Bank for International Settlements</w:t>
      </w:r>
    </w:p>
    <w:p w14:paraId="3FE866C0" w14:textId="77777777" w:rsidR="00ED045D" w:rsidRDefault="00ED045D" w:rsidP="00ED045D"/>
    <w:p w14:paraId="4CA61A46" w14:textId="66EF57FD" w:rsidR="00827A56" w:rsidRDefault="003B54BA" w:rsidP="00AE4E9E">
      <w:pPr>
        <w:rPr>
          <w:rFonts w:ascii="Calibri" w:hAnsi="Calibri"/>
        </w:rPr>
      </w:pPr>
      <w:r>
        <w:rPr>
          <w:rFonts w:ascii="Calibri" w:hAnsi="Calibri"/>
        </w:rPr>
        <w:t xml:space="preserve">Based </w:t>
      </w:r>
      <w:r>
        <w:t>in Basel, Switzerland, t</w:t>
      </w:r>
      <w:r w:rsidR="00827A56">
        <w:rPr>
          <w:rFonts w:ascii="Calibri" w:hAnsi="Calibri"/>
        </w:rPr>
        <w:t xml:space="preserve">he BIS </w:t>
      </w:r>
      <w:r w:rsidR="0004149A">
        <w:rPr>
          <w:rFonts w:ascii="Calibri" w:hAnsi="Calibri"/>
        </w:rPr>
        <w:t xml:space="preserve">was created in 1930 by </w:t>
      </w:r>
      <w:r w:rsidR="00E6143A">
        <w:rPr>
          <w:rFonts w:ascii="Calibri" w:hAnsi="Calibri"/>
        </w:rPr>
        <w:t>an agreement between</w:t>
      </w:r>
      <w:r w:rsidR="000F7477">
        <w:rPr>
          <w:rFonts w:ascii="Calibri" w:hAnsi="Calibri"/>
        </w:rPr>
        <w:t>:</w:t>
      </w:r>
    </w:p>
    <w:p w14:paraId="519FD86D" w14:textId="33EA548F" w:rsidR="0004149A" w:rsidRDefault="0004149A" w:rsidP="0004149A">
      <w:pPr>
        <w:pStyle w:val="ListParagraph"/>
        <w:numPr>
          <w:ilvl w:val="0"/>
          <w:numId w:val="1"/>
        </w:numPr>
        <w:rPr>
          <w:rFonts w:ascii="Calibri" w:hAnsi="Calibri"/>
        </w:rPr>
      </w:pPr>
      <w:proofErr w:type="gramStart"/>
      <w:r>
        <w:rPr>
          <w:rFonts w:ascii="Calibri" w:hAnsi="Calibri"/>
        </w:rPr>
        <w:t>Belgium</w:t>
      </w:r>
      <w:r w:rsidR="00E6143A">
        <w:rPr>
          <w:rFonts w:ascii="Calibri" w:hAnsi="Calibri"/>
        </w:rPr>
        <w:t>;</w:t>
      </w:r>
      <w:proofErr w:type="gramEnd"/>
    </w:p>
    <w:p w14:paraId="13638D8F" w14:textId="3FBAB8E8" w:rsidR="0004149A" w:rsidRDefault="0004149A" w:rsidP="0004149A">
      <w:pPr>
        <w:pStyle w:val="ListParagraph"/>
        <w:numPr>
          <w:ilvl w:val="0"/>
          <w:numId w:val="1"/>
        </w:numPr>
        <w:rPr>
          <w:rFonts w:ascii="Calibri" w:hAnsi="Calibri"/>
        </w:rPr>
      </w:pPr>
      <w:proofErr w:type="gramStart"/>
      <w:r>
        <w:rPr>
          <w:rFonts w:ascii="Calibri" w:hAnsi="Calibri"/>
        </w:rPr>
        <w:t>France</w:t>
      </w:r>
      <w:r w:rsidR="00E6143A">
        <w:rPr>
          <w:rFonts w:ascii="Calibri" w:hAnsi="Calibri"/>
        </w:rPr>
        <w:t>;</w:t>
      </w:r>
      <w:proofErr w:type="gramEnd"/>
    </w:p>
    <w:p w14:paraId="75FBD31E" w14:textId="01DB847C" w:rsidR="0004149A" w:rsidRDefault="0004149A" w:rsidP="0004149A">
      <w:pPr>
        <w:pStyle w:val="ListParagraph"/>
        <w:numPr>
          <w:ilvl w:val="0"/>
          <w:numId w:val="1"/>
        </w:numPr>
        <w:rPr>
          <w:rFonts w:ascii="Calibri" w:hAnsi="Calibri"/>
        </w:rPr>
      </w:pPr>
      <w:proofErr w:type="gramStart"/>
      <w:r>
        <w:rPr>
          <w:rFonts w:ascii="Calibri" w:hAnsi="Calibri"/>
        </w:rPr>
        <w:t>Germany</w:t>
      </w:r>
      <w:r w:rsidR="00E6143A">
        <w:rPr>
          <w:rFonts w:ascii="Calibri" w:hAnsi="Calibri"/>
        </w:rPr>
        <w:t>;</w:t>
      </w:r>
      <w:proofErr w:type="gramEnd"/>
    </w:p>
    <w:p w14:paraId="7FC0737D" w14:textId="3AA58352" w:rsidR="0004149A" w:rsidRDefault="00E6143A" w:rsidP="0004149A">
      <w:pPr>
        <w:pStyle w:val="ListParagraph"/>
        <w:numPr>
          <w:ilvl w:val="0"/>
          <w:numId w:val="1"/>
        </w:numPr>
        <w:rPr>
          <w:rFonts w:ascii="Calibri" w:hAnsi="Calibri"/>
        </w:rPr>
      </w:pPr>
      <w:proofErr w:type="gramStart"/>
      <w:r>
        <w:rPr>
          <w:rFonts w:ascii="Calibri" w:hAnsi="Calibri"/>
        </w:rPr>
        <w:lastRenderedPageBreak/>
        <w:t>Italy;</w:t>
      </w:r>
      <w:proofErr w:type="gramEnd"/>
    </w:p>
    <w:p w14:paraId="59498B68" w14:textId="13B42CC6" w:rsidR="0004149A" w:rsidRDefault="0004149A" w:rsidP="00A7433E">
      <w:pPr>
        <w:pStyle w:val="ListParagraph"/>
        <w:numPr>
          <w:ilvl w:val="0"/>
          <w:numId w:val="1"/>
        </w:numPr>
        <w:rPr>
          <w:rFonts w:ascii="Calibri" w:hAnsi="Calibri"/>
        </w:rPr>
      </w:pPr>
      <w:proofErr w:type="gramStart"/>
      <w:r>
        <w:rPr>
          <w:rFonts w:ascii="Calibri" w:hAnsi="Calibri"/>
        </w:rPr>
        <w:t>Japan</w:t>
      </w:r>
      <w:r w:rsidR="00E6143A">
        <w:rPr>
          <w:rFonts w:ascii="Calibri" w:hAnsi="Calibri"/>
        </w:rPr>
        <w:t>;</w:t>
      </w:r>
      <w:proofErr w:type="gramEnd"/>
      <w:r w:rsidR="00E6143A">
        <w:rPr>
          <w:rFonts w:ascii="Calibri" w:hAnsi="Calibri"/>
        </w:rPr>
        <w:t xml:space="preserve"> </w:t>
      </w:r>
    </w:p>
    <w:p w14:paraId="4B3899F0" w14:textId="1921E14E" w:rsidR="0004149A" w:rsidRDefault="00A0247E" w:rsidP="0004149A">
      <w:pPr>
        <w:pStyle w:val="ListParagraph"/>
        <w:numPr>
          <w:ilvl w:val="0"/>
          <w:numId w:val="1"/>
        </w:numPr>
        <w:rPr>
          <w:rFonts w:ascii="Calibri" w:hAnsi="Calibri"/>
        </w:rPr>
      </w:pPr>
      <w:r>
        <w:rPr>
          <w:rFonts w:ascii="Calibri" w:hAnsi="Calibri"/>
        </w:rPr>
        <w:t xml:space="preserve">the </w:t>
      </w:r>
      <w:r w:rsidR="0004149A">
        <w:rPr>
          <w:rFonts w:ascii="Calibri" w:hAnsi="Calibri"/>
        </w:rPr>
        <w:t>UK</w:t>
      </w:r>
      <w:r w:rsidR="00A7433E">
        <w:rPr>
          <w:rFonts w:ascii="Calibri" w:hAnsi="Calibri"/>
        </w:rPr>
        <w:t>; and</w:t>
      </w:r>
    </w:p>
    <w:p w14:paraId="022663F4" w14:textId="3AA4A430" w:rsidR="00A7433E" w:rsidRDefault="00A7433E" w:rsidP="0004149A">
      <w:pPr>
        <w:pStyle w:val="ListParagraph"/>
        <w:numPr>
          <w:ilvl w:val="0"/>
          <w:numId w:val="1"/>
        </w:numPr>
        <w:rPr>
          <w:rFonts w:ascii="Calibri" w:hAnsi="Calibri"/>
        </w:rPr>
      </w:pPr>
      <w:r>
        <w:rPr>
          <w:rFonts w:ascii="Calibri" w:hAnsi="Calibri"/>
        </w:rPr>
        <w:t>Switzerland</w:t>
      </w:r>
      <w:r w:rsidR="00A0247E">
        <w:rPr>
          <w:rFonts w:ascii="Calibri" w:hAnsi="Calibri"/>
        </w:rPr>
        <w:t>.</w:t>
      </w:r>
    </w:p>
    <w:p w14:paraId="42EE970A" w14:textId="19B4019C" w:rsidR="008F0B12" w:rsidRDefault="00F570AF" w:rsidP="00995C3A">
      <w:r>
        <w:t xml:space="preserve">The </w:t>
      </w:r>
      <w:r w:rsidR="00E95676">
        <w:t xml:space="preserve">BIS </w:t>
      </w:r>
      <w:r w:rsidR="000B4C89" w:rsidRPr="00F4253D">
        <w:t>focus</w:t>
      </w:r>
      <w:r w:rsidR="00273072">
        <w:t>es</w:t>
      </w:r>
      <w:r w:rsidR="000B4C89" w:rsidRPr="00F4253D">
        <w:t xml:space="preserve"> on technical co</w:t>
      </w:r>
      <w:r w:rsidR="00CC67EC">
        <w:t>-</w:t>
      </w:r>
      <w:r w:rsidR="000B4C89" w:rsidRPr="00F4253D">
        <w:t>o</w:t>
      </w:r>
      <w:r w:rsidR="00DF3B50" w:rsidRPr="00F4253D">
        <w:t>peration between central banks and provide</w:t>
      </w:r>
      <w:r w:rsidR="00CC67EC">
        <w:t>s</w:t>
      </w:r>
      <w:r w:rsidR="00DF3B50" w:rsidRPr="00F4253D">
        <w:t xml:space="preserve"> a forum </w:t>
      </w:r>
      <w:r w:rsidR="00E95676">
        <w:t>for</w:t>
      </w:r>
      <w:r w:rsidR="00DF3B50" w:rsidRPr="00F4253D">
        <w:t xml:space="preserve"> central bank </w:t>
      </w:r>
      <w:r w:rsidR="00CC67EC">
        <w:t>g</w:t>
      </w:r>
      <w:r w:rsidR="00CC67EC" w:rsidRPr="00F4253D">
        <w:t xml:space="preserve">overnors </w:t>
      </w:r>
      <w:r w:rsidR="00DF3B50" w:rsidRPr="00F4253D">
        <w:t xml:space="preserve">and officials </w:t>
      </w:r>
      <w:r w:rsidR="00E95676">
        <w:t xml:space="preserve">to </w:t>
      </w:r>
      <w:r w:rsidR="00DF3B50" w:rsidRPr="00F4253D">
        <w:t>meet and exchange ideas regular</w:t>
      </w:r>
      <w:r w:rsidR="00CC67EC">
        <w:t>ly</w:t>
      </w:r>
      <w:r w:rsidR="00DF3B50" w:rsidRPr="00F4253D">
        <w:t xml:space="preserve">. </w:t>
      </w:r>
      <w:r w:rsidR="00CC67EC">
        <w:t>T</w:t>
      </w:r>
      <w:r w:rsidR="00067F8F">
        <w:t>he</w:t>
      </w:r>
      <w:r w:rsidR="00F4253D">
        <w:t xml:space="preserve"> BIS </w:t>
      </w:r>
      <w:r w:rsidR="00CC67EC">
        <w:t xml:space="preserve">does its </w:t>
      </w:r>
      <w:r w:rsidR="008F0B12">
        <w:t>own research in central banking and guidance and collect</w:t>
      </w:r>
      <w:r w:rsidR="00CC67EC">
        <w:t>s</w:t>
      </w:r>
      <w:r w:rsidR="008F0B12">
        <w:t xml:space="preserve"> statistics. </w:t>
      </w:r>
    </w:p>
    <w:p w14:paraId="74EDA664" w14:textId="6765B9FD" w:rsidR="00C976C0" w:rsidRDefault="001E5B72" w:rsidP="00A0247E">
      <w:r>
        <w:t>From 1947</w:t>
      </w:r>
      <w:r w:rsidR="000A03F3">
        <w:t>,</w:t>
      </w:r>
      <w:r>
        <w:t xml:space="preserve"> </w:t>
      </w:r>
      <w:r w:rsidR="00D26B00">
        <w:t>the BIS’</w:t>
      </w:r>
      <w:r w:rsidR="00CC67EC">
        <w:t>s</w:t>
      </w:r>
      <w:r w:rsidR="00D26B00">
        <w:t xml:space="preserve"> main focus was on </w:t>
      </w:r>
      <w:r w:rsidR="00BA49A5">
        <w:t xml:space="preserve">European </w:t>
      </w:r>
      <w:r w:rsidR="000A1A6B">
        <w:t xml:space="preserve">monetary </w:t>
      </w:r>
      <w:proofErr w:type="gramStart"/>
      <w:r w:rsidR="000A1A6B">
        <w:t>co</w:t>
      </w:r>
      <w:r w:rsidR="0069174D">
        <w:t>-</w:t>
      </w:r>
      <w:r w:rsidR="00BA49A5">
        <w:t>operation</w:t>
      </w:r>
      <w:proofErr w:type="gramEnd"/>
      <w:r w:rsidR="00BA49A5">
        <w:t xml:space="preserve"> and </w:t>
      </w:r>
      <w:r w:rsidR="000A1A6B">
        <w:t xml:space="preserve">it was </w:t>
      </w:r>
      <w:r w:rsidR="00BA49A5">
        <w:t>involved in initiatives such as the European Payment</w:t>
      </w:r>
      <w:r w:rsidR="000A1A6B">
        <w:t>s</w:t>
      </w:r>
      <w:r w:rsidR="00BA49A5">
        <w:t xml:space="preserve"> Union, the European Mo</w:t>
      </w:r>
      <w:r w:rsidR="009602B9">
        <w:t>net</w:t>
      </w:r>
      <w:r w:rsidR="00CF619D">
        <w:t xml:space="preserve">ary System and the </w:t>
      </w:r>
      <w:r w:rsidR="00DA6FFA" w:rsidRPr="00DA6FFA">
        <w:t>Committee of the Governors of the Central Banks of the Member States of the European Economic Communit</w:t>
      </w:r>
      <w:r w:rsidR="00DA6FFA">
        <w:t>y.</w:t>
      </w:r>
    </w:p>
    <w:p w14:paraId="6EA1058D" w14:textId="510A5DAA" w:rsidR="001E5B72" w:rsidRDefault="00DA6FFA" w:rsidP="00995C3A">
      <w:r>
        <w:t>Over time, t</w:t>
      </w:r>
      <w:r w:rsidR="001219BF">
        <w:t>he BIS’</w:t>
      </w:r>
      <w:r w:rsidR="00C976C0">
        <w:t>s</w:t>
      </w:r>
      <w:r w:rsidR="001219BF">
        <w:t xml:space="preserve"> role became increasingly global and from 1994 the membership of the BIS included all systemically important markets.</w:t>
      </w:r>
      <w:r w:rsidR="0066032B">
        <w:t xml:space="preserve"> </w:t>
      </w:r>
      <w:r w:rsidR="003B54BA">
        <w:t>T</w:t>
      </w:r>
      <w:r w:rsidR="00800FFA">
        <w:t xml:space="preserve">he BIS is </w:t>
      </w:r>
      <w:r w:rsidR="003B54BA">
        <w:t xml:space="preserve">now </w:t>
      </w:r>
      <w:r w:rsidR="00800FFA">
        <w:t xml:space="preserve">commonly </w:t>
      </w:r>
      <w:r w:rsidR="003B54BA">
        <w:t>known</w:t>
      </w:r>
      <w:r w:rsidR="00800FFA">
        <w:t xml:space="preserve"> as the central bank of central banks. </w:t>
      </w:r>
      <w:r w:rsidR="002C3095">
        <w:t xml:space="preserve">Although the standards developed by the BIS are aimed at adoption by members, they are typically implemented by members and non-members. </w:t>
      </w:r>
    </w:p>
    <w:p w14:paraId="2F4A2386" w14:textId="517AACAB" w:rsidR="00016788" w:rsidRDefault="00016788" w:rsidP="00995C3A"/>
    <w:p w14:paraId="2E2FC936" w14:textId="757069DC" w:rsidR="00800FFA" w:rsidRPr="009A6876" w:rsidRDefault="00800FFA" w:rsidP="00995C3A">
      <w:pPr>
        <w:pStyle w:val="Heading3"/>
      </w:pPr>
      <w:r>
        <w:t>4</w:t>
      </w:r>
      <w:r w:rsidRPr="00BB4499">
        <w:t>.</w:t>
      </w:r>
      <w:r w:rsidR="002E16A3">
        <w:t>2</w:t>
      </w:r>
      <w:r w:rsidR="00CD1C5D">
        <w:t>.1</w:t>
      </w:r>
      <w:r w:rsidRPr="00BB4499">
        <w:t xml:space="preserve"> </w:t>
      </w:r>
      <w:r>
        <w:t xml:space="preserve">Basel Committee </w:t>
      </w:r>
      <w:r w:rsidR="002E16A3">
        <w:t xml:space="preserve">on </w:t>
      </w:r>
      <w:r>
        <w:t>Banking Supervision</w:t>
      </w:r>
    </w:p>
    <w:p w14:paraId="1A73C142" w14:textId="77777777" w:rsidR="00065DE7" w:rsidRDefault="00065DE7" w:rsidP="00065DE7"/>
    <w:p w14:paraId="642EED12" w14:textId="4EE2103B" w:rsidR="004D2D44" w:rsidRDefault="00C6194D" w:rsidP="00995C3A">
      <w:r>
        <w:t xml:space="preserve">The BCBS </w:t>
      </w:r>
      <w:r w:rsidR="00A7433E">
        <w:t xml:space="preserve">is </w:t>
      </w:r>
      <w:r w:rsidR="00891A68">
        <w:t xml:space="preserve">the main global standard setter for prudential regulations. It is part of the BIS and has 45 members from 28 countries. </w:t>
      </w:r>
      <w:r w:rsidR="004D2D44">
        <w:t xml:space="preserve">BCBS members are central banks and bank supervisors. </w:t>
      </w:r>
    </w:p>
    <w:p w14:paraId="363DF2D9" w14:textId="1B3E827F" w:rsidR="00551C72" w:rsidRDefault="00DF40E5" w:rsidP="00995C3A">
      <w:r>
        <w:t>The BCBS</w:t>
      </w:r>
      <w:r w:rsidR="008E13D5">
        <w:t xml:space="preserve"> </w:t>
      </w:r>
      <w:r w:rsidR="0048339A">
        <w:t xml:space="preserve">produces policies aimed at improving stability of the financial system. </w:t>
      </w:r>
      <w:r w:rsidR="00551C72">
        <w:t>The policy decisions take the form of:</w:t>
      </w:r>
    </w:p>
    <w:p w14:paraId="142CF1A2" w14:textId="716A56A1" w:rsidR="00551C72" w:rsidRDefault="0034561B" w:rsidP="00551C72">
      <w:pPr>
        <w:pStyle w:val="NormalWeb"/>
        <w:numPr>
          <w:ilvl w:val="0"/>
          <w:numId w:val="1"/>
        </w:numPr>
        <w:spacing w:before="300" w:beforeAutospacing="0" w:after="300" w:afterAutospacing="0" w:line="420" w:lineRule="atLeast"/>
        <w:rPr>
          <w:rFonts w:ascii="Calibri" w:hAnsi="Calibri"/>
          <w:color w:val="000000" w:themeColor="text1"/>
        </w:rPr>
      </w:pPr>
      <w:r>
        <w:rPr>
          <w:rFonts w:ascii="Calibri" w:hAnsi="Calibri"/>
          <w:b/>
          <w:bCs/>
          <w:color w:val="000000" w:themeColor="text1"/>
        </w:rPr>
        <w:t>s</w:t>
      </w:r>
      <w:r w:rsidRPr="00551C72">
        <w:rPr>
          <w:rFonts w:ascii="Calibri" w:hAnsi="Calibri"/>
          <w:b/>
          <w:bCs/>
          <w:color w:val="000000" w:themeColor="text1"/>
        </w:rPr>
        <w:t>tandards</w:t>
      </w:r>
      <w:r w:rsidRPr="00995C3A">
        <w:rPr>
          <w:rFonts w:ascii="Calibri" w:hAnsi="Calibri"/>
          <w:color w:val="000000" w:themeColor="text1"/>
        </w:rPr>
        <w:t>:</w:t>
      </w:r>
      <w:r>
        <w:rPr>
          <w:rFonts w:ascii="Calibri" w:hAnsi="Calibri"/>
          <w:b/>
          <w:bCs/>
          <w:color w:val="000000" w:themeColor="text1"/>
        </w:rPr>
        <w:t xml:space="preserve"> </w:t>
      </w:r>
      <w:r w:rsidR="00551C72">
        <w:rPr>
          <w:rFonts w:ascii="Calibri" w:hAnsi="Calibri"/>
          <w:color w:val="000000" w:themeColor="text1"/>
        </w:rPr>
        <w:t xml:space="preserve">minimum requirements for member </w:t>
      </w:r>
      <w:proofErr w:type="gramStart"/>
      <w:r w:rsidR="00551C72">
        <w:rPr>
          <w:rFonts w:ascii="Calibri" w:hAnsi="Calibri"/>
          <w:color w:val="000000" w:themeColor="text1"/>
        </w:rPr>
        <w:t>jurisdictions</w:t>
      </w:r>
      <w:r>
        <w:rPr>
          <w:rFonts w:ascii="Calibri" w:hAnsi="Calibri"/>
          <w:color w:val="000000" w:themeColor="text1"/>
        </w:rPr>
        <w:t>;</w:t>
      </w:r>
      <w:proofErr w:type="gramEnd"/>
    </w:p>
    <w:p w14:paraId="1DA14B34" w14:textId="33DDD72C" w:rsidR="00551C72" w:rsidRDefault="0034561B" w:rsidP="00551C72">
      <w:pPr>
        <w:pStyle w:val="NormalWeb"/>
        <w:numPr>
          <w:ilvl w:val="0"/>
          <w:numId w:val="1"/>
        </w:numPr>
        <w:spacing w:before="300" w:beforeAutospacing="0" w:after="300" w:afterAutospacing="0" w:line="420" w:lineRule="atLeast"/>
        <w:rPr>
          <w:rFonts w:ascii="Calibri" w:hAnsi="Calibri"/>
          <w:color w:val="000000" w:themeColor="text1"/>
        </w:rPr>
      </w:pPr>
      <w:r>
        <w:rPr>
          <w:rFonts w:ascii="Calibri" w:hAnsi="Calibri"/>
          <w:b/>
          <w:bCs/>
          <w:color w:val="000000" w:themeColor="text1"/>
        </w:rPr>
        <w:t>g</w:t>
      </w:r>
      <w:r w:rsidRPr="00551C72">
        <w:rPr>
          <w:rFonts w:ascii="Calibri" w:hAnsi="Calibri"/>
          <w:b/>
          <w:bCs/>
          <w:color w:val="000000" w:themeColor="text1"/>
        </w:rPr>
        <w:t>uidelines</w:t>
      </w:r>
      <w:r w:rsidRPr="00995C3A">
        <w:rPr>
          <w:rFonts w:ascii="Calibri" w:hAnsi="Calibri"/>
          <w:color w:val="000000" w:themeColor="text1"/>
        </w:rPr>
        <w:t>:</w:t>
      </w:r>
      <w:r>
        <w:rPr>
          <w:rFonts w:ascii="Calibri" w:hAnsi="Calibri"/>
          <w:b/>
          <w:bCs/>
          <w:color w:val="000000" w:themeColor="text1"/>
        </w:rPr>
        <w:t xml:space="preserve"> </w:t>
      </w:r>
      <w:r w:rsidR="00CB2692">
        <w:rPr>
          <w:rFonts w:ascii="Calibri" w:hAnsi="Calibri"/>
          <w:color w:val="000000" w:themeColor="text1"/>
        </w:rPr>
        <w:t>elaborate guidance in areas important for prudential supervision</w:t>
      </w:r>
      <w:r>
        <w:rPr>
          <w:rFonts w:ascii="Calibri" w:hAnsi="Calibri"/>
          <w:color w:val="000000" w:themeColor="text1"/>
        </w:rPr>
        <w:t>; and</w:t>
      </w:r>
    </w:p>
    <w:p w14:paraId="4A184740" w14:textId="621D66CB" w:rsidR="00200D1E" w:rsidRPr="00A91C6E" w:rsidRDefault="0034561B" w:rsidP="00200D1E">
      <w:pPr>
        <w:pStyle w:val="NormalWeb"/>
        <w:numPr>
          <w:ilvl w:val="0"/>
          <w:numId w:val="1"/>
        </w:numPr>
        <w:spacing w:before="300" w:beforeAutospacing="0" w:after="300" w:afterAutospacing="0" w:line="420" w:lineRule="atLeast"/>
        <w:rPr>
          <w:rFonts w:eastAsia="Times New Roman"/>
        </w:rPr>
      </w:pPr>
      <w:r>
        <w:rPr>
          <w:rFonts w:ascii="Calibri" w:hAnsi="Calibri"/>
          <w:b/>
          <w:bCs/>
          <w:color w:val="000000" w:themeColor="text1"/>
        </w:rPr>
        <w:t>s</w:t>
      </w:r>
      <w:r w:rsidRPr="00551C72">
        <w:rPr>
          <w:rFonts w:ascii="Calibri" w:hAnsi="Calibri"/>
          <w:b/>
          <w:bCs/>
          <w:color w:val="000000" w:themeColor="text1"/>
        </w:rPr>
        <w:t xml:space="preserve">ound </w:t>
      </w:r>
      <w:r w:rsidR="00551C72" w:rsidRPr="00551C72">
        <w:rPr>
          <w:rFonts w:ascii="Calibri" w:hAnsi="Calibri"/>
          <w:b/>
          <w:bCs/>
          <w:color w:val="000000" w:themeColor="text1"/>
        </w:rPr>
        <w:t>practices</w:t>
      </w:r>
      <w:r w:rsidRPr="00995C3A">
        <w:rPr>
          <w:rFonts w:ascii="Calibri" w:hAnsi="Calibri"/>
          <w:color w:val="000000" w:themeColor="text1"/>
        </w:rPr>
        <w:t>:</w:t>
      </w:r>
      <w:r w:rsidR="00CB2692">
        <w:rPr>
          <w:rFonts w:ascii="Calibri" w:hAnsi="Calibri"/>
          <w:b/>
          <w:bCs/>
          <w:color w:val="000000" w:themeColor="text1"/>
        </w:rPr>
        <w:t xml:space="preserve"> </w:t>
      </w:r>
      <w:r w:rsidR="00A91C6E">
        <w:rPr>
          <w:rFonts w:ascii="Calibri" w:hAnsi="Calibri"/>
          <w:color w:val="000000" w:themeColor="text1"/>
        </w:rPr>
        <w:t xml:space="preserve">set of principles providing a framework to improve </w:t>
      </w:r>
      <w:r w:rsidR="00200D1E">
        <w:rPr>
          <w:rFonts w:ascii="Calibri" w:hAnsi="Calibri"/>
          <w:color w:val="000000" w:themeColor="text1"/>
        </w:rPr>
        <w:t xml:space="preserve">policies and practices. </w:t>
      </w:r>
    </w:p>
    <w:p w14:paraId="3C33A8DB" w14:textId="056C3170" w:rsidR="00845BB7" w:rsidRDefault="00062838" w:rsidP="00065DE7">
      <w:r>
        <w:t xml:space="preserve">The development of policies </w:t>
      </w:r>
      <w:r w:rsidR="00B956B7">
        <w:t xml:space="preserve">is not undertaken in isolation but is a </w:t>
      </w:r>
      <w:r w:rsidR="004F43E1">
        <w:t>collaboration between different regulators and central banks</w:t>
      </w:r>
      <w:r w:rsidR="00DC3DA0">
        <w:t>,</w:t>
      </w:r>
      <w:r w:rsidR="004F43E1">
        <w:t xml:space="preserve"> sub</w:t>
      </w:r>
      <w:r w:rsidR="00F75737">
        <w:t xml:space="preserve">ject to extensive consultation. </w:t>
      </w:r>
      <w:r w:rsidR="00DC3DA0">
        <w:t>T</w:t>
      </w:r>
      <w:r w:rsidR="00CE604A">
        <w:t>he BCBS expect</w:t>
      </w:r>
      <w:r w:rsidR="00DC3DA0">
        <w:t>s</w:t>
      </w:r>
      <w:r w:rsidR="00CE604A">
        <w:t xml:space="preserve"> </w:t>
      </w:r>
      <w:r w:rsidR="00DC3DA0">
        <w:t xml:space="preserve">member countries to </w:t>
      </w:r>
      <w:r w:rsidR="00CE604A">
        <w:t xml:space="preserve">implement </w:t>
      </w:r>
      <w:r w:rsidR="00DC3DA0">
        <w:t xml:space="preserve">finalised </w:t>
      </w:r>
      <w:r w:rsidR="00CE604A">
        <w:t xml:space="preserve">standards in a timely, </w:t>
      </w:r>
      <w:proofErr w:type="gramStart"/>
      <w:r w:rsidR="00CE604A">
        <w:t>consistent</w:t>
      </w:r>
      <w:proofErr w:type="gramEnd"/>
      <w:r w:rsidR="00CE604A">
        <w:t xml:space="preserve"> and effective manner. </w:t>
      </w:r>
      <w:r w:rsidR="0032729B">
        <w:t>However, t</w:t>
      </w:r>
      <w:r w:rsidR="00872486">
        <w:t xml:space="preserve">his cannot be legally enforced because </w:t>
      </w:r>
      <w:r w:rsidR="007D518C">
        <w:t>the BCBS does not have supranational authority</w:t>
      </w:r>
      <w:r w:rsidR="00872486">
        <w:t>.</w:t>
      </w:r>
      <w:r w:rsidR="004B4902">
        <w:t xml:space="preserve"> </w:t>
      </w:r>
      <w:r w:rsidR="000062EE">
        <w:t xml:space="preserve">Generally, the process </w:t>
      </w:r>
      <w:r w:rsidR="00845BB7">
        <w:t>to implement the policies in local regulations is as follows</w:t>
      </w:r>
      <w:r w:rsidR="001C0698">
        <w:t>.</w:t>
      </w:r>
    </w:p>
    <w:p w14:paraId="48B11760" w14:textId="604F93B6" w:rsidR="001C0698" w:rsidRPr="00D72EF6" w:rsidRDefault="001C0698" w:rsidP="00995C3A">
      <w:r>
        <w:rPr>
          <w:b/>
          <w:bCs/>
        </w:rPr>
        <w:lastRenderedPageBreak/>
        <w:t>Figure 4.2 General process of implementing BCBS policies in local regulation</w:t>
      </w:r>
      <w:r>
        <w:rPr>
          <w:noProof/>
          <w:lang w:eastAsia="en-GB"/>
        </w:rPr>
        <w:drawing>
          <wp:inline distT="0" distB="0" distL="0" distR="0" wp14:anchorId="3DA1A410" wp14:editId="5E35ED64">
            <wp:extent cx="5486400" cy="320040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1E4856AD" w14:textId="2784BED0" w:rsidR="00155B84" w:rsidRDefault="00155B84" w:rsidP="00995C3A">
      <w:pPr>
        <w:rPr>
          <w:rFonts w:ascii="Calibri" w:hAnsi="Calibri"/>
          <w:color w:val="000000" w:themeColor="text1"/>
        </w:rPr>
      </w:pPr>
    </w:p>
    <w:p w14:paraId="43EF7C14" w14:textId="7B7E0D39" w:rsidR="00CC36EB" w:rsidRPr="009A6876" w:rsidRDefault="00CC36EB" w:rsidP="00995C3A">
      <w:pPr>
        <w:pStyle w:val="Heading3"/>
      </w:pPr>
      <w:r>
        <w:t>4</w:t>
      </w:r>
      <w:r w:rsidRPr="00BB4499">
        <w:t>.</w:t>
      </w:r>
      <w:r w:rsidR="001F3DA9">
        <w:t>2</w:t>
      </w:r>
      <w:r w:rsidR="00CD1C5D">
        <w:t>.2</w:t>
      </w:r>
      <w:r w:rsidRPr="00BB4499">
        <w:t xml:space="preserve"> </w:t>
      </w:r>
      <w:r>
        <w:t>Basel</w:t>
      </w:r>
      <w:r w:rsidR="00F1299C">
        <w:t xml:space="preserve"> Capital</w:t>
      </w:r>
      <w:r>
        <w:t xml:space="preserve"> Accords</w:t>
      </w:r>
    </w:p>
    <w:p w14:paraId="625804D6" w14:textId="77777777" w:rsidR="00053344" w:rsidRDefault="00053344" w:rsidP="00053344"/>
    <w:p w14:paraId="5577DB70" w14:textId="5DC6E625" w:rsidR="00CA226B" w:rsidRDefault="004E5F2F" w:rsidP="00053344">
      <w:r>
        <w:t>The Basel Capital Accords</w:t>
      </w:r>
      <w:r w:rsidR="009367EA">
        <w:t>, or Basel Accords,</w:t>
      </w:r>
      <w:r>
        <w:t xml:space="preserve"> form o</w:t>
      </w:r>
      <w:r w:rsidR="00CA226B">
        <w:t xml:space="preserve">ne of the </w:t>
      </w:r>
      <w:r>
        <w:t xml:space="preserve">BCBS’s </w:t>
      </w:r>
      <w:r w:rsidR="00CA226B">
        <w:t>most important policies. The Latin America</w:t>
      </w:r>
      <w:r w:rsidR="00897F4F">
        <w:t>n</w:t>
      </w:r>
      <w:r w:rsidR="00CA226B">
        <w:t xml:space="preserve"> debt crisis of the early 1980s raised concerns that the capital international banks held was not sufficient to guarantee the stability of the financial system. </w:t>
      </w:r>
      <w:r w:rsidR="00322F59">
        <w:t>In response, the BCBS devised a capital</w:t>
      </w:r>
      <w:r>
        <w:t>-</w:t>
      </w:r>
      <w:r w:rsidR="00322F59">
        <w:t>measurement system, the Basel Accord, which was published in 1988.</w:t>
      </w:r>
      <w:r w:rsidR="00CA226B">
        <w:t xml:space="preserve"> </w:t>
      </w:r>
      <w:r w:rsidR="00D90059">
        <w:t xml:space="preserve">Although intended for implementation by </w:t>
      </w:r>
      <w:r w:rsidR="00A52279">
        <w:t>G10</w:t>
      </w:r>
      <w:r w:rsidR="00D90059">
        <w:t xml:space="preserve"> countries only, it was adopted by all countries with internationally active banks globally. </w:t>
      </w:r>
      <w:r w:rsidR="0046216B">
        <w:t>T</w:t>
      </w:r>
      <w:r w:rsidR="00EF0A99">
        <w:t xml:space="preserve">he Basel Accord and its subsequent </w:t>
      </w:r>
      <w:r w:rsidR="0046216B">
        <w:t>revisions can be summarised as follows</w:t>
      </w:r>
      <w:r w:rsidR="001B0C8A">
        <w:t>.</w:t>
      </w:r>
    </w:p>
    <w:p w14:paraId="36EC4B88" w14:textId="1B7BA702" w:rsidR="00993BBA" w:rsidRDefault="00993BBA" w:rsidP="00995C3A">
      <w:pPr>
        <w:pBdr>
          <w:top w:val="single" w:sz="4" w:space="1" w:color="auto"/>
          <w:left w:val="single" w:sz="4" w:space="4" w:color="auto"/>
          <w:bottom w:val="single" w:sz="4" w:space="1" w:color="auto"/>
          <w:right w:val="single" w:sz="4" w:space="4" w:color="auto"/>
        </w:pBdr>
        <w:rPr>
          <w:b/>
          <w:bCs/>
        </w:rPr>
      </w:pPr>
      <w:r>
        <w:rPr>
          <w:b/>
          <w:bCs/>
        </w:rPr>
        <w:t>KEY TERMS</w:t>
      </w:r>
    </w:p>
    <w:p w14:paraId="71C2C5F3" w14:textId="2909A5BE" w:rsidR="00993BBA" w:rsidRDefault="00993BBA" w:rsidP="00995C3A">
      <w:pPr>
        <w:pBdr>
          <w:top w:val="single" w:sz="4" w:space="1" w:color="auto"/>
          <w:left w:val="single" w:sz="4" w:space="4" w:color="auto"/>
          <w:bottom w:val="single" w:sz="4" w:space="1" w:color="auto"/>
          <w:right w:val="single" w:sz="4" w:space="4" w:color="auto"/>
        </w:pBdr>
        <w:rPr>
          <w:b/>
          <w:bCs/>
        </w:rPr>
      </w:pPr>
      <w:r>
        <w:rPr>
          <w:b/>
          <w:bCs/>
        </w:rPr>
        <w:t>Banking book</w:t>
      </w:r>
    </w:p>
    <w:p w14:paraId="0881E35B" w14:textId="49151DC9" w:rsidR="00993BBA" w:rsidRDefault="00993BBA" w:rsidP="00646811">
      <w:pPr>
        <w:pStyle w:val="CommentText"/>
        <w:pBdr>
          <w:top w:val="single" w:sz="4" w:space="1" w:color="auto"/>
          <w:left w:val="single" w:sz="4" w:space="4" w:color="auto"/>
          <w:bottom w:val="single" w:sz="4" w:space="1" w:color="auto"/>
          <w:right w:val="single" w:sz="4" w:space="4" w:color="auto"/>
        </w:pBdr>
      </w:pPr>
      <w:r>
        <w:t>A term for assets on a bank’s balance sheet that are expected to be held to maturity, usually consisting of customer loans to and deposits from retail and corporate customers.</w:t>
      </w:r>
    </w:p>
    <w:p w14:paraId="38E1673D" w14:textId="3472E5F2" w:rsidR="00B3519F" w:rsidRDefault="00B3519F" w:rsidP="00995C3A">
      <w:pPr>
        <w:pBdr>
          <w:top w:val="single" w:sz="4" w:space="1" w:color="auto"/>
          <w:left w:val="single" w:sz="4" w:space="4" w:color="auto"/>
          <w:bottom w:val="single" w:sz="4" w:space="1" w:color="auto"/>
          <w:right w:val="single" w:sz="4" w:space="4" w:color="auto"/>
        </w:pBdr>
        <w:rPr>
          <w:b/>
          <w:bCs/>
        </w:rPr>
      </w:pPr>
      <w:r>
        <w:rPr>
          <w:b/>
          <w:bCs/>
        </w:rPr>
        <w:t>Leverage</w:t>
      </w:r>
    </w:p>
    <w:p w14:paraId="3666AAB1" w14:textId="458DC8EC" w:rsidR="00B3519F" w:rsidRDefault="00B3519F" w:rsidP="00995C3A">
      <w:pPr>
        <w:pBdr>
          <w:top w:val="single" w:sz="4" w:space="1" w:color="auto"/>
          <w:left w:val="single" w:sz="4" w:space="4" w:color="auto"/>
          <w:bottom w:val="single" w:sz="4" w:space="1" w:color="auto"/>
          <w:right w:val="single" w:sz="4" w:space="4" w:color="auto"/>
        </w:pBdr>
      </w:pPr>
      <w:r>
        <w:t xml:space="preserve">The amount of debt </w:t>
      </w:r>
      <w:r w:rsidR="00AD5D34">
        <w:t>a firm uses to expand its asset base and generate greater returns on its risk capital.</w:t>
      </w:r>
    </w:p>
    <w:p w14:paraId="6B61D3E2" w14:textId="169FA77C" w:rsidR="001966BC" w:rsidRPr="00646811" w:rsidRDefault="001966BC" w:rsidP="00995C3A">
      <w:pPr>
        <w:pBdr>
          <w:top w:val="single" w:sz="4" w:space="1" w:color="auto"/>
          <w:left w:val="single" w:sz="4" w:space="4" w:color="auto"/>
          <w:bottom w:val="single" w:sz="4" w:space="1" w:color="auto"/>
          <w:right w:val="single" w:sz="4" w:space="4" w:color="auto"/>
        </w:pBdr>
        <w:rPr>
          <w:b/>
          <w:bCs/>
        </w:rPr>
      </w:pPr>
      <w:r w:rsidRPr="00646811">
        <w:rPr>
          <w:b/>
          <w:bCs/>
        </w:rPr>
        <w:t>Trading book</w:t>
      </w:r>
    </w:p>
    <w:p w14:paraId="05E90B21" w14:textId="05BD51EC" w:rsidR="001966BC" w:rsidRPr="00013E1D" w:rsidRDefault="00D16F61" w:rsidP="00995C3A">
      <w:pPr>
        <w:pBdr>
          <w:top w:val="single" w:sz="4" w:space="1" w:color="auto"/>
          <w:left w:val="single" w:sz="4" w:space="4" w:color="auto"/>
          <w:bottom w:val="single" w:sz="4" w:space="1" w:color="auto"/>
          <w:right w:val="single" w:sz="4" w:space="4" w:color="auto"/>
        </w:pBdr>
      </w:pPr>
      <w:r>
        <w:t>A financial institution’s</w:t>
      </w:r>
      <w:r w:rsidR="001966BC">
        <w:t xml:space="preserve"> assets intended for active trading.</w:t>
      </w:r>
    </w:p>
    <w:p w14:paraId="5D414BED" w14:textId="77777777" w:rsidR="00646811" w:rsidRDefault="00646811" w:rsidP="00995C3A">
      <w:pPr>
        <w:rPr>
          <w:b/>
          <w:bCs/>
        </w:rPr>
      </w:pPr>
    </w:p>
    <w:p w14:paraId="0AEE77F7" w14:textId="77777777" w:rsidR="00646811" w:rsidRDefault="00646811" w:rsidP="00995C3A">
      <w:pPr>
        <w:rPr>
          <w:b/>
          <w:bCs/>
        </w:rPr>
      </w:pPr>
    </w:p>
    <w:p w14:paraId="4CA6476C" w14:textId="77777777" w:rsidR="00646811" w:rsidRDefault="00646811" w:rsidP="00995C3A">
      <w:pPr>
        <w:rPr>
          <w:b/>
          <w:bCs/>
        </w:rPr>
      </w:pPr>
    </w:p>
    <w:p w14:paraId="703230D7" w14:textId="797D07EF" w:rsidR="001B0C8A" w:rsidRPr="00995C3A" w:rsidRDefault="001B0C8A" w:rsidP="00995C3A">
      <w:pPr>
        <w:rPr>
          <w:b/>
          <w:bCs/>
        </w:rPr>
      </w:pPr>
      <w:r>
        <w:rPr>
          <w:b/>
          <w:bCs/>
        </w:rPr>
        <w:lastRenderedPageBreak/>
        <w:t>Table 4.3 Basel Accords</w:t>
      </w:r>
    </w:p>
    <w:tbl>
      <w:tblPr>
        <w:tblStyle w:val="TableGrid"/>
        <w:tblW w:w="0" w:type="auto"/>
        <w:tblLook w:val="04A0" w:firstRow="1" w:lastRow="0" w:firstColumn="1" w:lastColumn="0" w:noHBand="0" w:noVBand="1"/>
      </w:tblPr>
      <w:tblGrid>
        <w:gridCol w:w="2335"/>
        <w:gridCol w:w="6675"/>
      </w:tblGrid>
      <w:tr w:rsidR="008D61C7" w:rsidRPr="008D61C7" w14:paraId="436BA5B6" w14:textId="77777777" w:rsidTr="0046216B">
        <w:tc>
          <w:tcPr>
            <w:tcW w:w="2335" w:type="dxa"/>
          </w:tcPr>
          <w:p w14:paraId="5FA817E1" w14:textId="32780DBB" w:rsidR="0046216B" w:rsidRPr="008D61C7" w:rsidRDefault="00C719F9" w:rsidP="0046216B">
            <w:pPr>
              <w:pStyle w:val="NormalWeb"/>
              <w:spacing w:before="300" w:beforeAutospacing="0" w:after="300" w:afterAutospacing="0" w:line="420" w:lineRule="atLeast"/>
              <w:rPr>
                <w:rFonts w:ascii="Calibri" w:hAnsi="Calibri"/>
                <w:b/>
                <w:bCs/>
                <w:color w:val="000000" w:themeColor="text1"/>
              </w:rPr>
            </w:pPr>
            <w:r w:rsidRPr="008D61C7">
              <w:rPr>
                <w:rFonts w:ascii="Calibri" w:hAnsi="Calibri"/>
                <w:b/>
                <w:bCs/>
                <w:color w:val="000000" w:themeColor="text1"/>
              </w:rPr>
              <w:t>Version</w:t>
            </w:r>
            <w:r w:rsidR="0022767F" w:rsidRPr="008D61C7">
              <w:rPr>
                <w:rFonts w:ascii="Calibri" w:hAnsi="Calibri"/>
                <w:b/>
                <w:bCs/>
                <w:color w:val="000000" w:themeColor="text1"/>
              </w:rPr>
              <w:t xml:space="preserve"> and </w:t>
            </w:r>
            <w:r w:rsidR="001B0C8A">
              <w:rPr>
                <w:rFonts w:ascii="Calibri" w:hAnsi="Calibri"/>
                <w:b/>
                <w:bCs/>
                <w:color w:val="000000" w:themeColor="text1"/>
              </w:rPr>
              <w:t>y</w:t>
            </w:r>
            <w:r w:rsidR="001B0C8A" w:rsidRPr="008D61C7">
              <w:rPr>
                <w:rFonts w:ascii="Calibri" w:hAnsi="Calibri"/>
                <w:b/>
                <w:bCs/>
                <w:color w:val="000000" w:themeColor="text1"/>
              </w:rPr>
              <w:t>ear</w:t>
            </w:r>
          </w:p>
        </w:tc>
        <w:tc>
          <w:tcPr>
            <w:tcW w:w="6675" w:type="dxa"/>
          </w:tcPr>
          <w:p w14:paraId="4EA8F92A" w14:textId="01E630BD" w:rsidR="0046216B" w:rsidRPr="008D61C7" w:rsidRDefault="00C719F9" w:rsidP="0046216B">
            <w:pPr>
              <w:pStyle w:val="NormalWeb"/>
              <w:spacing w:before="300" w:beforeAutospacing="0" w:after="300" w:afterAutospacing="0" w:line="420" w:lineRule="atLeast"/>
              <w:rPr>
                <w:rFonts w:ascii="Calibri" w:hAnsi="Calibri"/>
                <w:b/>
                <w:bCs/>
                <w:color w:val="000000" w:themeColor="text1"/>
              </w:rPr>
            </w:pPr>
            <w:r w:rsidRPr="008D61C7">
              <w:rPr>
                <w:rFonts w:ascii="Calibri" w:hAnsi="Calibri"/>
                <w:b/>
                <w:bCs/>
                <w:color w:val="000000" w:themeColor="text1"/>
              </w:rPr>
              <w:t>Description</w:t>
            </w:r>
          </w:p>
        </w:tc>
      </w:tr>
      <w:tr w:rsidR="008D61C7" w14:paraId="657A5584" w14:textId="77777777" w:rsidTr="0046216B">
        <w:tc>
          <w:tcPr>
            <w:tcW w:w="2335" w:type="dxa"/>
          </w:tcPr>
          <w:p w14:paraId="13C10EB6" w14:textId="42B3952D" w:rsidR="0046216B" w:rsidRDefault="00A350C4" w:rsidP="0046216B">
            <w:pPr>
              <w:pStyle w:val="NormalWeb"/>
              <w:spacing w:before="300" w:beforeAutospacing="0" w:after="300" w:afterAutospacing="0" w:line="420" w:lineRule="atLeast"/>
              <w:rPr>
                <w:rFonts w:ascii="Calibri" w:hAnsi="Calibri"/>
                <w:color w:val="000000" w:themeColor="text1"/>
              </w:rPr>
            </w:pPr>
            <w:r>
              <w:rPr>
                <w:rFonts w:ascii="Calibri" w:hAnsi="Calibri"/>
                <w:color w:val="000000" w:themeColor="text1"/>
              </w:rPr>
              <w:t>Basel Capital Accord</w:t>
            </w:r>
            <w:r w:rsidR="001B0C8A">
              <w:rPr>
                <w:rFonts w:ascii="Calibri" w:hAnsi="Calibri"/>
                <w:color w:val="000000" w:themeColor="text1"/>
              </w:rPr>
              <w:t>:</w:t>
            </w:r>
            <w:r w:rsidR="0022767F">
              <w:rPr>
                <w:rFonts w:ascii="Calibri" w:hAnsi="Calibri"/>
                <w:color w:val="000000" w:themeColor="text1"/>
              </w:rPr>
              <w:t xml:space="preserve"> 1988</w:t>
            </w:r>
          </w:p>
        </w:tc>
        <w:tc>
          <w:tcPr>
            <w:tcW w:w="6675" w:type="dxa"/>
          </w:tcPr>
          <w:p w14:paraId="705E1C8E" w14:textId="61B0F308" w:rsidR="0036514E" w:rsidRDefault="004B3DEA" w:rsidP="00CF3E31">
            <w:pPr>
              <w:pStyle w:val="NormalWeb"/>
              <w:spacing w:before="300" w:beforeAutospacing="0" w:after="300" w:afterAutospacing="0" w:line="420" w:lineRule="atLeast"/>
              <w:rPr>
                <w:rFonts w:ascii="Calibri" w:hAnsi="Calibri"/>
                <w:color w:val="000000" w:themeColor="text1"/>
              </w:rPr>
            </w:pPr>
            <w:r>
              <w:rPr>
                <w:rFonts w:ascii="Calibri" w:hAnsi="Calibri"/>
                <w:color w:val="000000" w:themeColor="text1"/>
              </w:rPr>
              <w:t xml:space="preserve">Focused on the capital adequacy of </w:t>
            </w:r>
            <w:r w:rsidR="001E1EE8">
              <w:rPr>
                <w:rFonts w:ascii="Calibri" w:hAnsi="Calibri"/>
                <w:color w:val="000000" w:themeColor="text1"/>
              </w:rPr>
              <w:t>financial institution</w:t>
            </w:r>
            <w:r>
              <w:rPr>
                <w:rFonts w:ascii="Calibri" w:hAnsi="Calibri"/>
                <w:color w:val="000000" w:themeColor="text1"/>
              </w:rPr>
              <w:t>s, it i</w:t>
            </w:r>
            <w:r w:rsidR="0022767F">
              <w:rPr>
                <w:rFonts w:ascii="Calibri" w:hAnsi="Calibri"/>
                <w:color w:val="000000" w:themeColor="text1"/>
              </w:rPr>
              <w:t>ntroduce</w:t>
            </w:r>
            <w:r>
              <w:rPr>
                <w:rFonts w:ascii="Calibri" w:hAnsi="Calibri"/>
                <w:color w:val="000000" w:themeColor="text1"/>
              </w:rPr>
              <w:t>d</w:t>
            </w:r>
            <w:r w:rsidR="0022767F">
              <w:rPr>
                <w:rFonts w:ascii="Calibri" w:hAnsi="Calibri"/>
                <w:color w:val="000000" w:themeColor="text1"/>
              </w:rPr>
              <w:t xml:space="preserve"> </w:t>
            </w:r>
            <w:r w:rsidR="001E1EE8">
              <w:rPr>
                <w:rFonts w:ascii="Calibri" w:hAnsi="Calibri"/>
                <w:color w:val="000000" w:themeColor="text1"/>
              </w:rPr>
              <w:t xml:space="preserve">a </w:t>
            </w:r>
            <w:r w:rsidR="0022767F">
              <w:rPr>
                <w:rFonts w:ascii="Calibri" w:hAnsi="Calibri"/>
                <w:color w:val="000000" w:themeColor="text1"/>
              </w:rPr>
              <w:t>minimum ratio of capital to risk-weighted assets (RWA) of 8%</w:t>
            </w:r>
            <w:r w:rsidR="00A52279">
              <w:rPr>
                <w:rFonts w:ascii="Calibri" w:hAnsi="Calibri"/>
                <w:color w:val="000000" w:themeColor="text1"/>
              </w:rPr>
              <w:t xml:space="preserve"> (</w:t>
            </w:r>
            <w:r w:rsidR="00511DF3">
              <w:rPr>
                <w:rFonts w:ascii="Calibri" w:hAnsi="Calibri"/>
                <w:color w:val="000000" w:themeColor="text1"/>
              </w:rPr>
              <w:t xml:space="preserve">discussed in </w:t>
            </w:r>
            <w:r w:rsidR="00A52279">
              <w:rPr>
                <w:rFonts w:ascii="Calibri" w:hAnsi="Calibri"/>
                <w:color w:val="000000" w:themeColor="text1"/>
              </w:rPr>
              <w:t xml:space="preserve">section </w:t>
            </w:r>
            <w:r w:rsidR="00CF3E31">
              <w:rPr>
                <w:rFonts w:ascii="Calibri" w:hAnsi="Calibri"/>
                <w:color w:val="000000" w:themeColor="text1"/>
              </w:rPr>
              <w:t>4.</w:t>
            </w:r>
            <w:r w:rsidR="00511DF3">
              <w:rPr>
                <w:rFonts w:ascii="Calibri" w:hAnsi="Calibri"/>
                <w:color w:val="000000" w:themeColor="text1"/>
              </w:rPr>
              <w:t>3</w:t>
            </w:r>
            <w:r w:rsidR="00A52279">
              <w:rPr>
                <w:rFonts w:ascii="Calibri" w:hAnsi="Calibri"/>
                <w:color w:val="000000" w:themeColor="text1"/>
              </w:rPr>
              <w:t>)</w:t>
            </w:r>
            <w:r w:rsidR="00041F0B">
              <w:rPr>
                <w:rFonts w:ascii="Calibri" w:hAnsi="Calibri"/>
                <w:color w:val="000000" w:themeColor="text1"/>
              </w:rPr>
              <w:t>.</w:t>
            </w:r>
            <w:r w:rsidR="0036514E">
              <w:rPr>
                <w:rFonts w:ascii="Calibri" w:hAnsi="Calibri"/>
                <w:color w:val="000000" w:themeColor="text1"/>
              </w:rPr>
              <w:t xml:space="preserve"> Initially only focusing on credit risk, it was amended in 1996 to incorporate a capital charge for market risk.</w:t>
            </w:r>
          </w:p>
        </w:tc>
      </w:tr>
      <w:tr w:rsidR="008D61C7" w14:paraId="1D5D2685" w14:textId="77777777" w:rsidTr="0046216B">
        <w:tc>
          <w:tcPr>
            <w:tcW w:w="2335" w:type="dxa"/>
          </w:tcPr>
          <w:p w14:paraId="212F9261" w14:textId="449D1A64" w:rsidR="0036514E" w:rsidRDefault="0036514E" w:rsidP="0046216B">
            <w:pPr>
              <w:pStyle w:val="NormalWeb"/>
              <w:spacing w:before="300" w:beforeAutospacing="0" w:after="300" w:afterAutospacing="0" w:line="420" w:lineRule="atLeast"/>
              <w:rPr>
                <w:rFonts w:ascii="Calibri" w:hAnsi="Calibri"/>
                <w:color w:val="000000" w:themeColor="text1"/>
              </w:rPr>
            </w:pPr>
            <w:r>
              <w:rPr>
                <w:rFonts w:ascii="Calibri" w:hAnsi="Calibri"/>
                <w:color w:val="000000" w:themeColor="text1"/>
              </w:rPr>
              <w:t>Basel II – the new capital framework</w:t>
            </w:r>
            <w:r w:rsidR="00891605">
              <w:rPr>
                <w:rFonts w:ascii="Calibri" w:hAnsi="Calibri"/>
                <w:color w:val="000000" w:themeColor="text1"/>
              </w:rPr>
              <w:t>:</w:t>
            </w:r>
            <w:r w:rsidR="00486546">
              <w:rPr>
                <w:rFonts w:ascii="Calibri" w:hAnsi="Calibri"/>
                <w:color w:val="000000" w:themeColor="text1"/>
              </w:rPr>
              <w:t xml:space="preserve"> </w:t>
            </w:r>
            <w:r>
              <w:rPr>
                <w:rFonts w:ascii="Calibri" w:hAnsi="Calibri"/>
                <w:color w:val="000000" w:themeColor="text1"/>
              </w:rPr>
              <w:t>2004</w:t>
            </w:r>
          </w:p>
        </w:tc>
        <w:tc>
          <w:tcPr>
            <w:tcW w:w="6675" w:type="dxa"/>
          </w:tcPr>
          <w:p w14:paraId="1A7E08CE" w14:textId="56C99FE9" w:rsidR="0046216B" w:rsidRDefault="0036514E" w:rsidP="0046216B">
            <w:pPr>
              <w:pStyle w:val="NormalWeb"/>
              <w:spacing w:before="300" w:beforeAutospacing="0" w:after="300" w:afterAutospacing="0" w:line="420" w:lineRule="atLeast"/>
              <w:rPr>
                <w:rFonts w:ascii="Calibri" w:hAnsi="Calibri"/>
                <w:color w:val="000000" w:themeColor="text1"/>
              </w:rPr>
            </w:pPr>
            <w:r>
              <w:rPr>
                <w:rFonts w:ascii="Calibri" w:hAnsi="Calibri"/>
                <w:color w:val="000000" w:themeColor="text1"/>
              </w:rPr>
              <w:t>Introduce</w:t>
            </w:r>
            <w:r w:rsidR="001E1EE8">
              <w:rPr>
                <w:rFonts w:ascii="Calibri" w:hAnsi="Calibri"/>
                <w:color w:val="000000" w:themeColor="text1"/>
              </w:rPr>
              <w:t>d</w:t>
            </w:r>
            <w:r>
              <w:rPr>
                <w:rFonts w:ascii="Calibri" w:hAnsi="Calibri"/>
                <w:color w:val="000000" w:themeColor="text1"/>
              </w:rPr>
              <w:t xml:space="preserve"> </w:t>
            </w:r>
            <w:r w:rsidR="00891605">
              <w:rPr>
                <w:rFonts w:ascii="Calibri" w:hAnsi="Calibri"/>
                <w:color w:val="000000" w:themeColor="text1"/>
              </w:rPr>
              <w:t xml:space="preserve">three </w:t>
            </w:r>
            <w:r>
              <w:rPr>
                <w:rFonts w:ascii="Calibri" w:hAnsi="Calibri"/>
                <w:color w:val="000000" w:themeColor="text1"/>
              </w:rPr>
              <w:t>pillars</w:t>
            </w:r>
            <w:r w:rsidR="00AE4FF3">
              <w:rPr>
                <w:rFonts w:ascii="Calibri" w:hAnsi="Calibri"/>
                <w:color w:val="000000" w:themeColor="text1"/>
              </w:rPr>
              <w:t xml:space="preserve"> with a focus on the banking book</w:t>
            </w:r>
            <w:r>
              <w:rPr>
                <w:rFonts w:ascii="Calibri" w:hAnsi="Calibri"/>
                <w:color w:val="000000" w:themeColor="text1"/>
              </w:rPr>
              <w:t>:</w:t>
            </w:r>
          </w:p>
          <w:p w14:paraId="5FC996B6" w14:textId="6D57577F" w:rsidR="0036514E" w:rsidRDefault="00681FDF" w:rsidP="0036514E">
            <w:pPr>
              <w:pStyle w:val="NormalWeb"/>
              <w:numPr>
                <w:ilvl w:val="0"/>
                <w:numId w:val="22"/>
              </w:numPr>
              <w:spacing w:before="300" w:beforeAutospacing="0" w:after="300" w:afterAutospacing="0" w:line="420" w:lineRule="atLeast"/>
              <w:rPr>
                <w:rFonts w:ascii="Calibri" w:hAnsi="Calibri"/>
                <w:color w:val="000000" w:themeColor="text1"/>
              </w:rPr>
            </w:pPr>
            <w:r>
              <w:rPr>
                <w:rFonts w:ascii="Calibri" w:hAnsi="Calibri"/>
                <w:color w:val="000000" w:themeColor="text1"/>
              </w:rPr>
              <w:t xml:space="preserve">minimum </w:t>
            </w:r>
            <w:r w:rsidR="0036514E">
              <w:rPr>
                <w:rFonts w:ascii="Calibri" w:hAnsi="Calibri"/>
                <w:color w:val="000000" w:themeColor="text1"/>
              </w:rPr>
              <w:t>capital requirement for credit, market and operational ri</w:t>
            </w:r>
            <w:r w:rsidR="00692B33">
              <w:rPr>
                <w:rFonts w:ascii="Calibri" w:hAnsi="Calibri"/>
                <w:color w:val="000000" w:themeColor="text1"/>
              </w:rPr>
              <w:t>sk</w:t>
            </w:r>
            <w:r>
              <w:rPr>
                <w:rFonts w:ascii="Calibri" w:hAnsi="Calibri"/>
                <w:color w:val="000000" w:themeColor="text1"/>
              </w:rPr>
              <w:t>,</w:t>
            </w:r>
            <w:r w:rsidR="00692B33">
              <w:rPr>
                <w:rFonts w:ascii="Calibri" w:hAnsi="Calibri"/>
                <w:color w:val="000000" w:themeColor="text1"/>
              </w:rPr>
              <w:t xml:space="preserve"> allowing </w:t>
            </w:r>
            <w:r w:rsidR="00B47912">
              <w:rPr>
                <w:rFonts w:ascii="Calibri" w:hAnsi="Calibri"/>
                <w:color w:val="000000" w:themeColor="text1"/>
              </w:rPr>
              <w:t xml:space="preserve">a range of approaches to calculate </w:t>
            </w:r>
            <w:r>
              <w:rPr>
                <w:rFonts w:ascii="Calibri" w:hAnsi="Calibri"/>
                <w:color w:val="000000" w:themeColor="text1"/>
              </w:rPr>
              <w:t>RWA</w:t>
            </w:r>
            <w:r w:rsidR="00B47912">
              <w:rPr>
                <w:rFonts w:ascii="Calibri" w:hAnsi="Calibri"/>
                <w:color w:val="000000" w:themeColor="text1"/>
              </w:rPr>
              <w:t xml:space="preserve"> depending on the sophistication of the bank’s risk management </w:t>
            </w:r>
            <w:proofErr w:type="gramStart"/>
            <w:r w:rsidR="00B47912">
              <w:rPr>
                <w:rFonts w:ascii="Calibri" w:hAnsi="Calibri"/>
                <w:color w:val="000000" w:themeColor="text1"/>
              </w:rPr>
              <w:t>practices;</w:t>
            </w:r>
            <w:proofErr w:type="gramEnd"/>
          </w:p>
          <w:p w14:paraId="0FC21170" w14:textId="4AC4891D" w:rsidR="0036514E" w:rsidRDefault="00681FDF" w:rsidP="0036514E">
            <w:pPr>
              <w:pStyle w:val="NormalWeb"/>
              <w:numPr>
                <w:ilvl w:val="0"/>
                <w:numId w:val="22"/>
              </w:numPr>
              <w:spacing w:before="300" w:beforeAutospacing="0" w:after="300" w:afterAutospacing="0" w:line="420" w:lineRule="atLeast"/>
              <w:rPr>
                <w:rFonts w:ascii="Calibri" w:hAnsi="Calibri"/>
                <w:color w:val="000000" w:themeColor="text1"/>
              </w:rPr>
            </w:pPr>
            <w:r>
              <w:rPr>
                <w:rFonts w:ascii="Calibri" w:hAnsi="Calibri"/>
                <w:color w:val="000000" w:themeColor="text1"/>
              </w:rPr>
              <w:t xml:space="preserve">supervisory </w:t>
            </w:r>
            <w:r w:rsidR="0036514E">
              <w:rPr>
                <w:rFonts w:ascii="Calibri" w:hAnsi="Calibri"/>
                <w:color w:val="000000" w:themeColor="text1"/>
              </w:rPr>
              <w:t xml:space="preserve">review </w:t>
            </w:r>
            <w:proofErr w:type="gramStart"/>
            <w:r w:rsidR="0036514E">
              <w:rPr>
                <w:rFonts w:ascii="Calibri" w:hAnsi="Calibri"/>
                <w:color w:val="000000" w:themeColor="text1"/>
              </w:rPr>
              <w:t>process</w:t>
            </w:r>
            <w:r>
              <w:rPr>
                <w:rFonts w:ascii="Calibri" w:hAnsi="Calibri"/>
                <w:color w:val="000000" w:themeColor="text1"/>
              </w:rPr>
              <w:t>;</w:t>
            </w:r>
            <w:proofErr w:type="gramEnd"/>
          </w:p>
          <w:p w14:paraId="5A114186" w14:textId="70CCFF9D" w:rsidR="0036514E" w:rsidRDefault="00681FDF" w:rsidP="0036514E">
            <w:pPr>
              <w:pStyle w:val="NormalWeb"/>
              <w:numPr>
                <w:ilvl w:val="0"/>
                <w:numId w:val="22"/>
              </w:numPr>
              <w:spacing w:before="300" w:beforeAutospacing="0" w:after="300" w:afterAutospacing="0" w:line="420" w:lineRule="atLeast"/>
              <w:rPr>
                <w:rFonts w:ascii="Calibri" w:hAnsi="Calibri"/>
                <w:color w:val="000000" w:themeColor="text1"/>
              </w:rPr>
            </w:pPr>
            <w:r>
              <w:rPr>
                <w:rFonts w:ascii="Calibri" w:hAnsi="Calibri"/>
                <w:color w:val="000000" w:themeColor="text1"/>
              </w:rPr>
              <w:t xml:space="preserve">disclosure </w:t>
            </w:r>
            <w:r w:rsidR="0036514E">
              <w:rPr>
                <w:rFonts w:ascii="Calibri" w:hAnsi="Calibri"/>
                <w:color w:val="000000" w:themeColor="text1"/>
              </w:rPr>
              <w:t>rules</w:t>
            </w:r>
            <w:r>
              <w:rPr>
                <w:rFonts w:ascii="Calibri" w:hAnsi="Calibri"/>
                <w:color w:val="000000" w:themeColor="text1"/>
              </w:rPr>
              <w:t>.</w:t>
            </w:r>
          </w:p>
          <w:p w14:paraId="390F5C85" w14:textId="1E4FA9FA" w:rsidR="00AE4FF3" w:rsidRPr="0036514E" w:rsidRDefault="00AE4FF3" w:rsidP="00AE4FF3">
            <w:pPr>
              <w:pStyle w:val="NormalWeb"/>
              <w:spacing w:before="300" w:beforeAutospacing="0" w:after="300" w:afterAutospacing="0" w:line="420" w:lineRule="atLeast"/>
              <w:rPr>
                <w:rFonts w:ascii="Calibri" w:hAnsi="Calibri"/>
                <w:color w:val="000000" w:themeColor="text1"/>
              </w:rPr>
            </w:pPr>
            <w:r>
              <w:rPr>
                <w:rFonts w:ascii="Calibri" w:hAnsi="Calibri"/>
                <w:color w:val="000000" w:themeColor="text1"/>
              </w:rPr>
              <w:t>Subsequent updates incorporated the trading book</w:t>
            </w:r>
            <w:r w:rsidR="001A2E0F">
              <w:rPr>
                <w:rFonts w:ascii="Calibri" w:hAnsi="Calibri"/>
                <w:color w:val="000000" w:themeColor="text1"/>
              </w:rPr>
              <w:t>.</w:t>
            </w:r>
          </w:p>
        </w:tc>
      </w:tr>
      <w:tr w:rsidR="008D61C7" w14:paraId="3E757B7A" w14:textId="77777777" w:rsidTr="0046216B">
        <w:tc>
          <w:tcPr>
            <w:tcW w:w="2335" w:type="dxa"/>
          </w:tcPr>
          <w:p w14:paraId="199B8BBE" w14:textId="03772153" w:rsidR="0046216B" w:rsidRDefault="00F53E98" w:rsidP="0046216B">
            <w:pPr>
              <w:pStyle w:val="NormalWeb"/>
              <w:spacing w:before="300" w:beforeAutospacing="0" w:after="300" w:afterAutospacing="0" w:line="420" w:lineRule="atLeast"/>
              <w:rPr>
                <w:rFonts w:ascii="Calibri" w:hAnsi="Calibri"/>
                <w:color w:val="000000" w:themeColor="text1"/>
              </w:rPr>
            </w:pPr>
            <w:r>
              <w:rPr>
                <w:rFonts w:ascii="Calibri" w:hAnsi="Calibri"/>
                <w:color w:val="000000" w:themeColor="text1"/>
              </w:rPr>
              <w:t>Basel III</w:t>
            </w:r>
            <w:r w:rsidR="001A2E0F">
              <w:rPr>
                <w:rFonts w:ascii="Calibri" w:hAnsi="Calibri"/>
                <w:color w:val="000000" w:themeColor="text1"/>
              </w:rPr>
              <w:t>:</w:t>
            </w:r>
            <w:r>
              <w:rPr>
                <w:rFonts w:ascii="Calibri" w:hAnsi="Calibri"/>
                <w:color w:val="000000" w:themeColor="text1"/>
              </w:rPr>
              <w:t xml:space="preserve"> 2017</w:t>
            </w:r>
          </w:p>
        </w:tc>
        <w:tc>
          <w:tcPr>
            <w:tcW w:w="6675" w:type="dxa"/>
          </w:tcPr>
          <w:p w14:paraId="698E8A90" w14:textId="7A5B86C7" w:rsidR="00F623B7" w:rsidRDefault="00BB2680" w:rsidP="00F623B7">
            <w:pPr>
              <w:pStyle w:val="NormalWeb"/>
              <w:spacing w:before="300" w:beforeAutospacing="0" w:after="300" w:afterAutospacing="0" w:line="420" w:lineRule="atLeast"/>
              <w:rPr>
                <w:rFonts w:ascii="Calibri" w:hAnsi="Calibri"/>
                <w:color w:val="000000" w:themeColor="text1"/>
              </w:rPr>
            </w:pPr>
            <w:r>
              <w:rPr>
                <w:rFonts w:ascii="Calibri" w:hAnsi="Calibri"/>
                <w:color w:val="000000" w:themeColor="text1"/>
              </w:rPr>
              <w:t>Following the 2007</w:t>
            </w:r>
            <w:r w:rsidR="001A2E0F">
              <w:rPr>
                <w:rFonts w:ascii="Calibri" w:hAnsi="Calibri"/>
                <w:color w:val="000000" w:themeColor="text1"/>
              </w:rPr>
              <w:t>–</w:t>
            </w:r>
            <w:r>
              <w:rPr>
                <w:rFonts w:ascii="Calibri" w:hAnsi="Calibri"/>
                <w:color w:val="000000" w:themeColor="text1"/>
              </w:rPr>
              <w:t>09 financial crisis</w:t>
            </w:r>
            <w:r w:rsidR="001A2E0F">
              <w:rPr>
                <w:rFonts w:ascii="Calibri" w:hAnsi="Calibri"/>
                <w:color w:val="000000" w:themeColor="text1"/>
              </w:rPr>
              <w:t>,</w:t>
            </w:r>
            <w:r>
              <w:rPr>
                <w:rFonts w:ascii="Calibri" w:hAnsi="Calibri"/>
                <w:color w:val="000000" w:themeColor="text1"/>
              </w:rPr>
              <w:t xml:space="preserve"> the framework </w:t>
            </w:r>
            <w:r w:rsidR="00EB262C">
              <w:rPr>
                <w:rFonts w:ascii="Calibri" w:hAnsi="Calibri"/>
                <w:color w:val="000000" w:themeColor="text1"/>
              </w:rPr>
              <w:t xml:space="preserve">was </w:t>
            </w:r>
            <w:r w:rsidR="00F623B7">
              <w:rPr>
                <w:rFonts w:ascii="Calibri" w:hAnsi="Calibri"/>
                <w:color w:val="000000" w:themeColor="text1"/>
              </w:rPr>
              <w:t>strengthened to:</w:t>
            </w:r>
          </w:p>
          <w:p w14:paraId="5EC9F564" w14:textId="77777777" w:rsidR="00F623B7" w:rsidRDefault="00F623B7" w:rsidP="00F623B7">
            <w:pPr>
              <w:pStyle w:val="NormalWeb"/>
              <w:numPr>
                <w:ilvl w:val="0"/>
                <w:numId w:val="15"/>
              </w:numPr>
              <w:spacing w:before="300" w:beforeAutospacing="0" w:after="300" w:afterAutospacing="0" w:line="420" w:lineRule="atLeast"/>
              <w:rPr>
                <w:rFonts w:ascii="Calibri" w:hAnsi="Calibri"/>
                <w:color w:val="000000" w:themeColor="text1"/>
              </w:rPr>
            </w:pPr>
            <w:r>
              <w:rPr>
                <w:rFonts w:ascii="Calibri" w:hAnsi="Calibri"/>
                <w:color w:val="000000" w:themeColor="text1"/>
              </w:rPr>
              <w:t xml:space="preserve">reduce </w:t>
            </w:r>
            <w:proofErr w:type="gramStart"/>
            <w:r>
              <w:rPr>
                <w:rFonts w:ascii="Calibri" w:hAnsi="Calibri"/>
                <w:color w:val="000000" w:themeColor="text1"/>
              </w:rPr>
              <w:t>leverage;</w:t>
            </w:r>
            <w:proofErr w:type="gramEnd"/>
          </w:p>
          <w:p w14:paraId="27B222FD" w14:textId="77777777" w:rsidR="0046216B" w:rsidRDefault="00F623B7" w:rsidP="00F623B7">
            <w:pPr>
              <w:pStyle w:val="NormalWeb"/>
              <w:numPr>
                <w:ilvl w:val="0"/>
                <w:numId w:val="15"/>
              </w:numPr>
              <w:spacing w:before="300" w:beforeAutospacing="0" w:after="300" w:afterAutospacing="0" w:line="420" w:lineRule="atLeast"/>
              <w:rPr>
                <w:rFonts w:ascii="Calibri" w:hAnsi="Calibri"/>
                <w:color w:val="000000" w:themeColor="text1"/>
              </w:rPr>
            </w:pPr>
            <w:r>
              <w:rPr>
                <w:rFonts w:ascii="Calibri" w:hAnsi="Calibri"/>
                <w:color w:val="000000" w:themeColor="text1"/>
              </w:rPr>
              <w:t xml:space="preserve">include liquidity </w:t>
            </w:r>
            <w:proofErr w:type="gramStart"/>
            <w:r>
              <w:rPr>
                <w:rFonts w:ascii="Calibri" w:hAnsi="Calibri"/>
                <w:color w:val="000000" w:themeColor="text1"/>
              </w:rPr>
              <w:t>buffers;</w:t>
            </w:r>
            <w:proofErr w:type="gramEnd"/>
          </w:p>
          <w:p w14:paraId="7F4CC02D" w14:textId="4FF14199" w:rsidR="00F623B7" w:rsidRDefault="00F623B7" w:rsidP="00F623B7">
            <w:pPr>
              <w:pStyle w:val="NormalWeb"/>
              <w:numPr>
                <w:ilvl w:val="0"/>
                <w:numId w:val="15"/>
              </w:numPr>
              <w:spacing w:before="300" w:beforeAutospacing="0" w:after="300" w:afterAutospacing="0" w:line="420" w:lineRule="atLeast"/>
              <w:rPr>
                <w:rFonts w:ascii="Calibri" w:hAnsi="Calibri"/>
                <w:color w:val="000000" w:themeColor="text1"/>
              </w:rPr>
            </w:pPr>
            <w:r>
              <w:rPr>
                <w:rFonts w:ascii="Calibri" w:hAnsi="Calibri"/>
                <w:color w:val="000000" w:themeColor="text1"/>
              </w:rPr>
              <w:t>strengthen governance.</w:t>
            </w:r>
          </w:p>
        </w:tc>
      </w:tr>
      <w:tr w:rsidR="001773F9" w14:paraId="578EC57B" w14:textId="77777777" w:rsidTr="0046216B">
        <w:tc>
          <w:tcPr>
            <w:tcW w:w="2335" w:type="dxa"/>
          </w:tcPr>
          <w:p w14:paraId="55D3E367" w14:textId="6FF838A9" w:rsidR="001773F9" w:rsidRDefault="001773F9" w:rsidP="0046216B">
            <w:pPr>
              <w:pStyle w:val="NormalWeb"/>
              <w:spacing w:before="300" w:beforeAutospacing="0" w:after="300" w:afterAutospacing="0" w:line="420" w:lineRule="atLeast"/>
              <w:rPr>
                <w:rFonts w:ascii="Calibri" w:hAnsi="Calibri"/>
                <w:color w:val="000000" w:themeColor="text1"/>
              </w:rPr>
            </w:pPr>
            <w:r>
              <w:rPr>
                <w:rFonts w:ascii="Calibri" w:hAnsi="Calibri"/>
                <w:color w:val="000000" w:themeColor="text1"/>
              </w:rPr>
              <w:lastRenderedPageBreak/>
              <w:t>Basel III additions</w:t>
            </w:r>
            <w:r w:rsidR="00B54387">
              <w:rPr>
                <w:rFonts w:ascii="Calibri" w:hAnsi="Calibri"/>
                <w:color w:val="000000" w:themeColor="text1"/>
              </w:rPr>
              <w:t>:</w:t>
            </w:r>
            <w:r>
              <w:rPr>
                <w:rFonts w:ascii="Calibri" w:hAnsi="Calibri"/>
                <w:color w:val="000000" w:themeColor="text1"/>
              </w:rPr>
              <w:t xml:space="preserve"> 2023 </w:t>
            </w:r>
          </w:p>
        </w:tc>
        <w:tc>
          <w:tcPr>
            <w:tcW w:w="6675" w:type="dxa"/>
          </w:tcPr>
          <w:p w14:paraId="7FCBEA18" w14:textId="70D655CC" w:rsidR="001773F9" w:rsidRDefault="001773F9" w:rsidP="00F623B7">
            <w:pPr>
              <w:pStyle w:val="NormalWeb"/>
              <w:spacing w:before="300" w:beforeAutospacing="0" w:after="300" w:afterAutospacing="0" w:line="420" w:lineRule="atLeast"/>
              <w:rPr>
                <w:rFonts w:ascii="Calibri" w:hAnsi="Calibri"/>
                <w:color w:val="000000" w:themeColor="text1"/>
              </w:rPr>
            </w:pPr>
            <w:r>
              <w:rPr>
                <w:rFonts w:ascii="Calibri" w:hAnsi="Calibri"/>
                <w:color w:val="000000" w:themeColor="text1"/>
              </w:rPr>
              <w:t xml:space="preserve">Sometimes referred to as Basel IV or </w:t>
            </w:r>
            <w:r w:rsidR="00B54387">
              <w:rPr>
                <w:rFonts w:ascii="Calibri" w:hAnsi="Calibri"/>
                <w:color w:val="000000" w:themeColor="text1"/>
              </w:rPr>
              <w:t xml:space="preserve">Basel </w:t>
            </w:r>
            <w:r>
              <w:rPr>
                <w:rFonts w:ascii="Calibri" w:hAnsi="Calibri"/>
                <w:color w:val="000000" w:themeColor="text1"/>
              </w:rPr>
              <w:t xml:space="preserve">3.1, </w:t>
            </w:r>
            <w:proofErr w:type="gramStart"/>
            <w:r>
              <w:rPr>
                <w:rFonts w:ascii="Calibri" w:hAnsi="Calibri"/>
                <w:color w:val="000000" w:themeColor="text1"/>
              </w:rPr>
              <w:t>a number of</w:t>
            </w:r>
            <w:proofErr w:type="gramEnd"/>
            <w:r>
              <w:rPr>
                <w:rFonts w:ascii="Calibri" w:hAnsi="Calibri"/>
                <w:color w:val="000000" w:themeColor="text1"/>
              </w:rPr>
              <w:t xml:space="preserve"> changes have been made for implementation in January 2023 including:</w:t>
            </w:r>
          </w:p>
          <w:p w14:paraId="2FB266E4" w14:textId="20A2A17C" w:rsidR="001773F9" w:rsidRDefault="00B54387" w:rsidP="001773F9">
            <w:pPr>
              <w:pStyle w:val="NormalWeb"/>
              <w:numPr>
                <w:ilvl w:val="0"/>
                <w:numId w:val="15"/>
              </w:numPr>
              <w:spacing w:before="300" w:beforeAutospacing="0" w:after="300" w:afterAutospacing="0" w:line="420" w:lineRule="atLeast"/>
              <w:rPr>
                <w:rFonts w:ascii="Calibri" w:hAnsi="Calibri"/>
                <w:color w:val="000000" w:themeColor="text1"/>
              </w:rPr>
            </w:pPr>
            <w:r>
              <w:rPr>
                <w:rFonts w:ascii="Calibri" w:hAnsi="Calibri"/>
                <w:color w:val="000000" w:themeColor="text1"/>
              </w:rPr>
              <w:t xml:space="preserve">output </w:t>
            </w:r>
            <w:r w:rsidR="001773F9">
              <w:rPr>
                <w:rFonts w:ascii="Calibri" w:hAnsi="Calibri"/>
                <w:color w:val="000000" w:themeColor="text1"/>
              </w:rPr>
              <w:t xml:space="preserve">floor restricting the benefits of the advanced approaches to measuring </w:t>
            </w:r>
            <w:proofErr w:type="gramStart"/>
            <w:r w:rsidR="001773F9">
              <w:rPr>
                <w:rFonts w:ascii="Calibri" w:hAnsi="Calibri"/>
                <w:color w:val="000000" w:themeColor="text1"/>
              </w:rPr>
              <w:t>RWA</w:t>
            </w:r>
            <w:r>
              <w:rPr>
                <w:rFonts w:ascii="Calibri" w:hAnsi="Calibri"/>
                <w:color w:val="000000" w:themeColor="text1"/>
              </w:rPr>
              <w:t>;</w:t>
            </w:r>
            <w:proofErr w:type="gramEnd"/>
          </w:p>
          <w:p w14:paraId="3CC7C9A0" w14:textId="1A19CFB7" w:rsidR="001773F9" w:rsidRDefault="00B54387" w:rsidP="001773F9">
            <w:pPr>
              <w:pStyle w:val="NormalWeb"/>
              <w:numPr>
                <w:ilvl w:val="0"/>
                <w:numId w:val="15"/>
              </w:numPr>
              <w:spacing w:before="300" w:beforeAutospacing="0" w:after="300" w:afterAutospacing="0" w:line="420" w:lineRule="atLeast"/>
              <w:rPr>
                <w:rFonts w:ascii="Calibri" w:hAnsi="Calibri"/>
                <w:color w:val="000000" w:themeColor="text1"/>
              </w:rPr>
            </w:pPr>
            <w:r>
              <w:rPr>
                <w:rFonts w:ascii="Calibri" w:hAnsi="Calibri"/>
                <w:color w:val="000000" w:themeColor="text1"/>
              </w:rPr>
              <w:t xml:space="preserve">removal </w:t>
            </w:r>
            <w:r w:rsidR="001773F9">
              <w:rPr>
                <w:rFonts w:ascii="Calibri" w:hAnsi="Calibri"/>
                <w:color w:val="000000" w:themeColor="text1"/>
              </w:rPr>
              <w:t>of more advanced approaches for certain exposure classes.</w:t>
            </w:r>
          </w:p>
        </w:tc>
      </w:tr>
    </w:tbl>
    <w:p w14:paraId="0D208109" w14:textId="77777777" w:rsidR="001773F9" w:rsidRDefault="001773F9" w:rsidP="001773F9">
      <w:pPr>
        <w:pStyle w:val="NormalWeb"/>
        <w:spacing w:before="300" w:beforeAutospacing="0" w:after="300" w:afterAutospacing="0" w:line="420" w:lineRule="atLeast"/>
        <w:rPr>
          <w:rFonts w:ascii="Calibri" w:hAnsi="Calibri"/>
          <w:color w:val="000000" w:themeColor="text1"/>
        </w:rPr>
      </w:pPr>
    </w:p>
    <w:tbl>
      <w:tblPr>
        <w:tblStyle w:val="TableGrid"/>
        <w:tblW w:w="0" w:type="auto"/>
        <w:tblLook w:val="04A0" w:firstRow="1" w:lastRow="0" w:firstColumn="1" w:lastColumn="0" w:noHBand="0" w:noVBand="1"/>
      </w:tblPr>
      <w:tblGrid>
        <w:gridCol w:w="9010"/>
      </w:tblGrid>
      <w:tr w:rsidR="001773F9" w14:paraId="76E58CB5" w14:textId="77777777" w:rsidTr="008D4B19">
        <w:tc>
          <w:tcPr>
            <w:tcW w:w="9010" w:type="dxa"/>
          </w:tcPr>
          <w:p w14:paraId="3302E7E0" w14:textId="50FB62DE" w:rsidR="001773F9" w:rsidRPr="00995C3A" w:rsidRDefault="00736914" w:rsidP="00995C3A">
            <w:pPr>
              <w:rPr>
                <w:b/>
                <w:bCs/>
              </w:rPr>
            </w:pPr>
            <w:r w:rsidRPr="00995C3A">
              <w:rPr>
                <w:b/>
                <w:bCs/>
              </w:rPr>
              <w:t>FACTFIND</w:t>
            </w:r>
          </w:p>
          <w:p w14:paraId="1186504A" w14:textId="3CE03C7A" w:rsidR="001773F9" w:rsidRDefault="001773F9" w:rsidP="00995C3A">
            <w:r>
              <w:t>Consider the UK PRA</w:t>
            </w:r>
            <w:r w:rsidR="00736914">
              <w:t xml:space="preserve">’s </w:t>
            </w:r>
            <w:hyperlink r:id="rId28" w:history="1">
              <w:r w:rsidRPr="000161A0">
                <w:rPr>
                  <w:rStyle w:val="Hyperlink"/>
                </w:rPr>
                <w:t>Supervisory Statement (SS) 11/13</w:t>
              </w:r>
            </w:hyperlink>
            <w:r>
              <w:t>, and find out the following</w:t>
            </w:r>
            <w:r w:rsidR="00EE331A">
              <w:t>.</w:t>
            </w:r>
          </w:p>
          <w:p w14:paraId="68C2DBE4" w14:textId="017CFAD4" w:rsidR="001773F9" w:rsidRDefault="001773F9" w:rsidP="008D4B19">
            <w:pPr>
              <w:pStyle w:val="NormalWeb"/>
              <w:numPr>
                <w:ilvl w:val="0"/>
                <w:numId w:val="16"/>
              </w:numPr>
              <w:spacing w:before="300" w:beforeAutospacing="0" w:after="300" w:afterAutospacing="0" w:line="420" w:lineRule="atLeast"/>
              <w:rPr>
                <w:rFonts w:ascii="Calibri" w:hAnsi="Calibri"/>
                <w:color w:val="000000" w:themeColor="text1"/>
              </w:rPr>
            </w:pPr>
            <w:r>
              <w:rPr>
                <w:rFonts w:ascii="Calibri" w:hAnsi="Calibri"/>
                <w:color w:val="000000" w:themeColor="text1"/>
              </w:rPr>
              <w:t>When was it first issued</w:t>
            </w:r>
            <w:r w:rsidR="00EE331A">
              <w:rPr>
                <w:rFonts w:ascii="Calibri" w:hAnsi="Calibri"/>
                <w:color w:val="000000" w:themeColor="text1"/>
              </w:rPr>
              <w:t>?</w:t>
            </w:r>
          </w:p>
          <w:p w14:paraId="167ABA72" w14:textId="32AF36B6" w:rsidR="001773F9" w:rsidRDefault="001773F9" w:rsidP="008D4B19">
            <w:pPr>
              <w:pStyle w:val="NormalWeb"/>
              <w:numPr>
                <w:ilvl w:val="0"/>
                <w:numId w:val="16"/>
              </w:numPr>
              <w:spacing w:before="300" w:beforeAutospacing="0" w:after="300" w:afterAutospacing="0" w:line="420" w:lineRule="atLeast"/>
              <w:rPr>
                <w:rFonts w:ascii="Calibri" w:hAnsi="Calibri"/>
                <w:color w:val="000000" w:themeColor="text1"/>
              </w:rPr>
            </w:pPr>
            <w:r>
              <w:rPr>
                <w:rFonts w:ascii="Calibri" w:hAnsi="Calibri"/>
                <w:color w:val="000000" w:themeColor="text1"/>
              </w:rPr>
              <w:t>What was the reason for its issuance</w:t>
            </w:r>
            <w:r w:rsidR="00EE331A">
              <w:rPr>
                <w:rFonts w:ascii="Calibri" w:hAnsi="Calibri"/>
                <w:color w:val="000000" w:themeColor="text1"/>
              </w:rPr>
              <w:t>?</w:t>
            </w:r>
          </w:p>
          <w:p w14:paraId="6A053B7D" w14:textId="77777777" w:rsidR="001773F9" w:rsidRDefault="001773F9" w:rsidP="008D4B19">
            <w:pPr>
              <w:pStyle w:val="NormalWeb"/>
              <w:numPr>
                <w:ilvl w:val="0"/>
                <w:numId w:val="16"/>
              </w:numPr>
              <w:spacing w:before="300" w:beforeAutospacing="0" w:after="300" w:afterAutospacing="0" w:line="420" w:lineRule="atLeast"/>
              <w:rPr>
                <w:rFonts w:ascii="Calibri" w:hAnsi="Calibri"/>
                <w:color w:val="000000" w:themeColor="text1"/>
              </w:rPr>
            </w:pPr>
            <w:r>
              <w:rPr>
                <w:rFonts w:ascii="Calibri" w:hAnsi="Calibri"/>
                <w:color w:val="000000" w:themeColor="text1"/>
              </w:rPr>
              <w:t>What was the reason for its most recent issue?</w:t>
            </w:r>
          </w:p>
          <w:p w14:paraId="7E6B5695" w14:textId="66E5DEB5" w:rsidR="001773F9" w:rsidRPr="00C72130" w:rsidRDefault="001773F9" w:rsidP="00277DEC">
            <w:pPr>
              <w:pStyle w:val="NormalWeb"/>
              <w:spacing w:before="300" w:beforeAutospacing="0" w:after="300" w:afterAutospacing="0" w:line="420" w:lineRule="atLeast"/>
              <w:ind w:left="360"/>
              <w:rPr>
                <w:rFonts w:ascii="Calibri" w:hAnsi="Calibri"/>
                <w:color w:val="000000" w:themeColor="text1"/>
              </w:rPr>
            </w:pPr>
            <w:r w:rsidRPr="00D72EF6">
              <w:rPr>
                <w:rFonts w:ascii="Calibri" w:hAnsi="Calibri"/>
                <w:color w:val="000000" w:themeColor="text1"/>
              </w:rPr>
              <w:t xml:space="preserve"> </w:t>
            </w:r>
          </w:p>
        </w:tc>
      </w:tr>
    </w:tbl>
    <w:p w14:paraId="02F85D50" w14:textId="41AC566C" w:rsidR="001773F9" w:rsidRDefault="001773F9" w:rsidP="0046216B">
      <w:pPr>
        <w:pStyle w:val="NormalWeb"/>
        <w:spacing w:before="300" w:beforeAutospacing="0" w:after="300" w:afterAutospacing="0" w:line="420" w:lineRule="atLeast"/>
        <w:rPr>
          <w:rFonts w:ascii="Calibri" w:hAnsi="Calibri"/>
          <w:color w:val="000000" w:themeColor="text1"/>
        </w:rPr>
      </w:pPr>
    </w:p>
    <w:p w14:paraId="0B7C3206" w14:textId="77777777" w:rsidR="00AE52F5" w:rsidRDefault="00AE52F5" w:rsidP="0046216B">
      <w:pPr>
        <w:pStyle w:val="NormalWeb"/>
        <w:spacing w:before="300" w:beforeAutospacing="0" w:after="300" w:afterAutospacing="0" w:line="420" w:lineRule="atLeast"/>
        <w:rPr>
          <w:rFonts w:ascii="Calibri" w:hAnsi="Calibri"/>
          <w:color w:val="000000" w:themeColor="text1"/>
        </w:rPr>
      </w:pPr>
    </w:p>
    <w:p w14:paraId="0D6A0912" w14:textId="77777777" w:rsidR="00277DEC" w:rsidRDefault="00277DEC">
      <w:pPr>
        <w:spacing w:after="0" w:line="240" w:lineRule="auto"/>
        <w:rPr>
          <w:rFonts w:asciiTheme="majorHAnsi" w:eastAsiaTheme="majorEastAsia" w:hAnsiTheme="majorHAnsi" w:cstheme="majorBidi"/>
          <w:b/>
          <w:bCs/>
          <w:color w:val="2E74B5" w:themeColor="accent1" w:themeShade="BF"/>
          <w:sz w:val="26"/>
          <w:szCs w:val="26"/>
        </w:rPr>
      </w:pPr>
      <w:bookmarkStart w:id="0" w:name="basel_ii"/>
      <w:bookmarkEnd w:id="0"/>
      <w:r>
        <w:br w:type="page"/>
      </w:r>
    </w:p>
    <w:p w14:paraId="6D2263B1" w14:textId="1B9DBD0B" w:rsidR="00F1299C" w:rsidRPr="009A6876" w:rsidRDefault="00F1299C" w:rsidP="00AE4E9E">
      <w:pPr>
        <w:pStyle w:val="Heading2"/>
      </w:pPr>
      <w:r>
        <w:lastRenderedPageBreak/>
        <w:t>4</w:t>
      </w:r>
      <w:r w:rsidRPr="00BB4499">
        <w:t>.</w:t>
      </w:r>
      <w:r w:rsidR="001C215E">
        <w:t>3</w:t>
      </w:r>
      <w:r w:rsidR="001C215E" w:rsidRPr="00BB4499">
        <w:t xml:space="preserve"> </w:t>
      </w:r>
      <w:r w:rsidR="00E26D8F">
        <w:t>Risk-w</w:t>
      </w:r>
      <w:r>
        <w:t xml:space="preserve">eighted </w:t>
      </w:r>
      <w:r w:rsidR="00E26D8F">
        <w:t>assets</w:t>
      </w:r>
    </w:p>
    <w:p w14:paraId="5DE9805F" w14:textId="77777777" w:rsidR="00BC4AB5" w:rsidRDefault="00BC4AB5" w:rsidP="00ED045D"/>
    <w:p w14:paraId="0F4780AB" w14:textId="5A0A555A" w:rsidR="001773F9" w:rsidRDefault="001773F9" w:rsidP="001773F9">
      <w:pPr>
        <w:rPr>
          <w:rFonts w:ascii="Calibri" w:hAnsi="Calibri"/>
        </w:rPr>
      </w:pPr>
      <w:r>
        <w:rPr>
          <w:rFonts w:ascii="Calibri" w:hAnsi="Calibri"/>
        </w:rPr>
        <w:t>RWA reflect the risk of each individual exposure</w:t>
      </w:r>
      <w:r w:rsidR="00DF7FF4">
        <w:rPr>
          <w:rFonts w:ascii="Calibri" w:hAnsi="Calibri"/>
        </w:rPr>
        <w:t>,</w:t>
      </w:r>
      <w:r>
        <w:rPr>
          <w:rFonts w:ascii="Calibri" w:hAnsi="Calibri"/>
        </w:rPr>
        <w:t xml:space="preserve"> to determine how much capital a financial institution needs to hold to be able to absorb any losses in the event the loan is not repaid. As we </w:t>
      </w:r>
      <w:r w:rsidR="00DF7FF4">
        <w:rPr>
          <w:rFonts w:ascii="Calibri" w:hAnsi="Calibri"/>
        </w:rPr>
        <w:t xml:space="preserve">have </w:t>
      </w:r>
      <w:r>
        <w:rPr>
          <w:rFonts w:ascii="Calibri" w:hAnsi="Calibri"/>
        </w:rPr>
        <w:t>learned, risk can be reduced by, for example, collateral and guarantees.</w:t>
      </w:r>
      <w:r w:rsidR="004B7137">
        <w:rPr>
          <w:rFonts w:ascii="Calibri" w:hAnsi="Calibri"/>
        </w:rPr>
        <w:t xml:space="preserve"> The higher the risk for the bank, the higher the percentage </w:t>
      </w:r>
      <w:r w:rsidR="00F67F67">
        <w:rPr>
          <w:rFonts w:ascii="Calibri" w:hAnsi="Calibri"/>
        </w:rPr>
        <w:t xml:space="preserve">of </w:t>
      </w:r>
      <w:r w:rsidR="004B7137">
        <w:rPr>
          <w:rFonts w:ascii="Calibri" w:hAnsi="Calibri"/>
        </w:rPr>
        <w:t xml:space="preserve">capital </w:t>
      </w:r>
      <w:r w:rsidR="00F67F67">
        <w:rPr>
          <w:rFonts w:ascii="Calibri" w:hAnsi="Calibri"/>
        </w:rPr>
        <w:t xml:space="preserve">the bank </w:t>
      </w:r>
      <w:r w:rsidR="004B7137">
        <w:rPr>
          <w:rFonts w:ascii="Calibri" w:hAnsi="Calibri"/>
        </w:rPr>
        <w:t>need</w:t>
      </w:r>
      <w:r w:rsidR="00F67F67">
        <w:rPr>
          <w:rFonts w:ascii="Calibri" w:hAnsi="Calibri"/>
        </w:rPr>
        <w:t>s</w:t>
      </w:r>
      <w:r w:rsidR="004B7137">
        <w:rPr>
          <w:rFonts w:ascii="Calibri" w:hAnsi="Calibri"/>
        </w:rPr>
        <w:t xml:space="preserve"> to hold. </w:t>
      </w:r>
    </w:p>
    <w:p w14:paraId="20F8A8BE" w14:textId="41830E5E" w:rsidR="004B7137" w:rsidRDefault="004B7137" w:rsidP="001773F9">
      <w:pPr>
        <w:rPr>
          <w:rFonts w:ascii="Calibri" w:hAnsi="Calibri"/>
        </w:rPr>
      </w:pPr>
      <w:r>
        <w:rPr>
          <w:rFonts w:ascii="Calibri" w:hAnsi="Calibri"/>
        </w:rPr>
        <w:t xml:space="preserve">There are </w:t>
      </w:r>
      <w:r w:rsidR="00F67F67">
        <w:rPr>
          <w:rFonts w:ascii="Calibri" w:hAnsi="Calibri"/>
        </w:rPr>
        <w:t>two</w:t>
      </w:r>
      <w:r>
        <w:rPr>
          <w:rFonts w:ascii="Calibri" w:hAnsi="Calibri"/>
        </w:rPr>
        <w:t xml:space="preserve"> approaches to determining RWA:</w:t>
      </w:r>
    </w:p>
    <w:p w14:paraId="11BCCB0A" w14:textId="420918BC" w:rsidR="004B7137" w:rsidRDefault="004B7137" w:rsidP="00646811">
      <w:pPr>
        <w:pStyle w:val="ListParagraph"/>
        <w:numPr>
          <w:ilvl w:val="0"/>
          <w:numId w:val="33"/>
        </w:numPr>
        <w:rPr>
          <w:rFonts w:ascii="Calibri" w:hAnsi="Calibri"/>
        </w:rPr>
      </w:pPr>
      <w:r w:rsidRPr="00646811">
        <w:rPr>
          <w:rFonts w:ascii="Calibri" w:hAnsi="Calibri"/>
          <w:b/>
          <w:bCs/>
        </w:rPr>
        <w:t>Standardised approach</w:t>
      </w:r>
      <w:r w:rsidR="00F67F67">
        <w:rPr>
          <w:rFonts w:ascii="Calibri" w:hAnsi="Calibri"/>
        </w:rPr>
        <w:t>:</w:t>
      </w:r>
      <w:r>
        <w:rPr>
          <w:rFonts w:ascii="Calibri" w:hAnsi="Calibri"/>
        </w:rPr>
        <w:t xml:space="preserve"> the regulator determines the percentage of RWA required for different types of exposures. For example, </w:t>
      </w:r>
      <w:r w:rsidR="00032109">
        <w:rPr>
          <w:rFonts w:ascii="Calibri" w:hAnsi="Calibri"/>
        </w:rPr>
        <w:t xml:space="preserve">current accounts without an overdraft </w:t>
      </w:r>
      <w:r w:rsidR="00595060">
        <w:t>have a risk weighting of 0%, whereas overdrafts have a risk weighting of 100% and AAA-rated corporates have a risk weighting of 30%.</w:t>
      </w:r>
      <w:r w:rsidR="00032109">
        <w:rPr>
          <w:rFonts w:ascii="Calibri" w:hAnsi="Calibri"/>
        </w:rPr>
        <w:t xml:space="preserve"> </w:t>
      </w:r>
    </w:p>
    <w:p w14:paraId="67F4618F" w14:textId="4A0ED5C8" w:rsidR="00032109" w:rsidRPr="00646811" w:rsidRDefault="00032109" w:rsidP="00646811">
      <w:pPr>
        <w:pStyle w:val="ListParagraph"/>
        <w:numPr>
          <w:ilvl w:val="0"/>
          <w:numId w:val="33"/>
        </w:numPr>
        <w:rPr>
          <w:rFonts w:ascii="Calibri" w:hAnsi="Calibri"/>
        </w:rPr>
      </w:pPr>
      <w:r w:rsidRPr="00646811">
        <w:rPr>
          <w:rFonts w:ascii="Calibri" w:hAnsi="Calibri"/>
          <w:b/>
          <w:bCs/>
        </w:rPr>
        <w:t>Modelled approach</w:t>
      </w:r>
      <w:r w:rsidR="00F67F67">
        <w:rPr>
          <w:rFonts w:ascii="Calibri" w:hAnsi="Calibri"/>
        </w:rPr>
        <w:t>:</w:t>
      </w:r>
      <w:r>
        <w:rPr>
          <w:rFonts w:ascii="Calibri" w:hAnsi="Calibri"/>
        </w:rPr>
        <w:t xml:space="preserve"> the bank develops statistical models to derive a detailed risk weight for each exposure depending on the characteristics of the client and the transaction.</w:t>
      </w:r>
    </w:p>
    <w:p w14:paraId="3D260E10" w14:textId="5100DADC" w:rsidR="00956A27" w:rsidRPr="00995C3A" w:rsidRDefault="001773F9" w:rsidP="00995C3A">
      <w:pPr>
        <w:pBdr>
          <w:top w:val="single" w:sz="4" w:space="1" w:color="auto"/>
          <w:left w:val="single" w:sz="4" w:space="4" w:color="auto"/>
          <w:bottom w:val="single" w:sz="4" w:space="1" w:color="auto"/>
          <w:right w:val="single" w:sz="4" w:space="4" w:color="auto"/>
        </w:pBdr>
        <w:rPr>
          <w:rFonts w:ascii="Calibri" w:hAnsi="Calibri"/>
          <w:b/>
          <w:bCs/>
        </w:rPr>
      </w:pPr>
      <w:r w:rsidRPr="00995C3A">
        <w:rPr>
          <w:rFonts w:ascii="Calibri" w:hAnsi="Calibri"/>
          <w:b/>
          <w:bCs/>
        </w:rPr>
        <w:t>RWA</w:t>
      </w:r>
    </w:p>
    <w:p w14:paraId="2888C8E2" w14:textId="1EACC265" w:rsidR="00956A27" w:rsidRDefault="001505DD" w:rsidP="00995C3A">
      <w:pPr>
        <w:pBdr>
          <w:top w:val="single" w:sz="4" w:space="1" w:color="auto"/>
          <w:left w:val="single" w:sz="4" w:space="4" w:color="auto"/>
          <w:bottom w:val="single" w:sz="4" w:space="1" w:color="auto"/>
          <w:right w:val="single" w:sz="4" w:space="4" w:color="auto"/>
        </w:pBdr>
        <w:rPr>
          <w:shd w:val="clear" w:color="auto" w:fill="FFFFFF"/>
        </w:rPr>
      </w:pPr>
      <w:r>
        <w:rPr>
          <w:shd w:val="clear" w:color="auto" w:fill="FFFFFF"/>
        </w:rPr>
        <w:t>C</w:t>
      </w:r>
      <w:r w:rsidR="00956A27">
        <w:rPr>
          <w:shd w:val="clear" w:color="auto" w:fill="FFFFFF"/>
        </w:rPr>
        <w:t>omputed by adjusting each asset class for risk to determine a bank</w:t>
      </w:r>
      <w:r w:rsidR="004851D8">
        <w:rPr>
          <w:shd w:val="clear" w:color="auto" w:fill="FFFFFF"/>
        </w:rPr>
        <w:t>’</w:t>
      </w:r>
      <w:r w:rsidR="00956A27">
        <w:rPr>
          <w:shd w:val="clear" w:color="auto" w:fill="FFFFFF"/>
        </w:rPr>
        <w:t>s real</w:t>
      </w:r>
      <w:r>
        <w:rPr>
          <w:shd w:val="clear" w:color="auto" w:fill="FFFFFF"/>
        </w:rPr>
        <w:t>-</w:t>
      </w:r>
      <w:r w:rsidR="00956A27">
        <w:rPr>
          <w:shd w:val="clear" w:color="auto" w:fill="FFFFFF"/>
        </w:rPr>
        <w:t>world exposure to potential losses. Regulators then use the risk</w:t>
      </w:r>
      <w:r w:rsidR="00713132">
        <w:rPr>
          <w:shd w:val="clear" w:color="auto" w:fill="FFFFFF"/>
        </w:rPr>
        <w:t>-</w:t>
      </w:r>
      <w:r w:rsidR="00956A27">
        <w:rPr>
          <w:shd w:val="clear" w:color="auto" w:fill="FFFFFF"/>
        </w:rPr>
        <w:t>weighted total to calculate how much loss-absorbing capital a bank needs to sustain it through difficult markets</w:t>
      </w:r>
      <w:r>
        <w:rPr>
          <w:shd w:val="clear" w:color="auto" w:fill="FFFFFF"/>
        </w:rPr>
        <w:t>.</w:t>
      </w:r>
    </w:p>
    <w:p w14:paraId="765E2E11" w14:textId="77777777" w:rsidR="002C5E28" w:rsidRDefault="002C5E28" w:rsidP="00CB1DB7">
      <w:pPr>
        <w:rPr>
          <w:rFonts w:ascii="Calibri" w:hAnsi="Calibri"/>
        </w:rPr>
      </w:pPr>
    </w:p>
    <w:p w14:paraId="5295D965" w14:textId="0AEB63A5" w:rsidR="00AD5242" w:rsidRDefault="00AD5242" w:rsidP="00AD5242">
      <w:pPr>
        <w:pBdr>
          <w:top w:val="single" w:sz="4" w:space="1" w:color="auto"/>
          <w:left w:val="single" w:sz="4" w:space="4" w:color="auto"/>
          <w:bottom w:val="single" w:sz="4" w:space="1" w:color="auto"/>
          <w:right w:val="single" w:sz="4" w:space="4" w:color="auto"/>
        </w:pBdr>
      </w:pPr>
      <w:r>
        <w:t>F</w:t>
      </w:r>
      <w:r w:rsidR="006207CB">
        <w:t>ACTFIND</w:t>
      </w:r>
    </w:p>
    <w:p w14:paraId="535FACE5" w14:textId="77777777" w:rsidR="00293BBB" w:rsidRDefault="00AD5242" w:rsidP="00AD5242">
      <w:pPr>
        <w:pBdr>
          <w:top w:val="single" w:sz="4" w:space="1" w:color="auto"/>
          <w:left w:val="single" w:sz="4" w:space="4" w:color="auto"/>
          <w:bottom w:val="single" w:sz="4" w:space="1" w:color="auto"/>
          <w:right w:val="single" w:sz="4" w:space="4" w:color="auto"/>
        </w:pBdr>
      </w:pPr>
      <w:r>
        <w:t>The BCBS provides guidance to the calculation of RWA.  The standardised approach assigns standardised risk weights to individual exposures in CRE20 to CRE22. CRE20 was published in 2019</w:t>
      </w:r>
      <w:r w:rsidR="007A1265">
        <w:t>, to be</w:t>
      </w:r>
      <w:r>
        <w:t xml:space="preserve"> superseded by CRE22 effective 1 January 2023.</w:t>
      </w:r>
      <w:r w:rsidR="00293BBB">
        <w:t xml:space="preserve"> </w:t>
      </w:r>
      <w:r>
        <w:t>Find out more</w:t>
      </w:r>
      <w:r w:rsidR="00293BBB">
        <w:t>:</w:t>
      </w:r>
    </w:p>
    <w:p w14:paraId="7E789E94" w14:textId="3DABE159" w:rsidR="00AD5242" w:rsidRDefault="005F5A1D" w:rsidP="00AD5242">
      <w:pPr>
        <w:pBdr>
          <w:top w:val="single" w:sz="4" w:space="1" w:color="auto"/>
          <w:left w:val="single" w:sz="4" w:space="4" w:color="auto"/>
          <w:bottom w:val="single" w:sz="4" w:space="1" w:color="auto"/>
          <w:right w:val="single" w:sz="4" w:space="4" w:color="auto"/>
        </w:pBdr>
      </w:pPr>
      <w:hyperlink r:id="rId29" w:history="1">
        <w:r w:rsidR="00293BBB" w:rsidRPr="00277DEC">
          <w:rPr>
            <w:rStyle w:val="Hyperlink"/>
          </w:rPr>
          <w:t>BIS: Calculation of RWA for credit risk</w:t>
        </w:r>
      </w:hyperlink>
      <w:r w:rsidR="00AD5242">
        <w:t xml:space="preserve"> </w:t>
      </w:r>
    </w:p>
    <w:p w14:paraId="1FEC32E0" w14:textId="0238C64F" w:rsidR="00AD5242" w:rsidRDefault="00AD5242" w:rsidP="00CB1DB7">
      <w:pPr>
        <w:rPr>
          <w:rFonts w:ascii="Calibri" w:hAnsi="Calibri"/>
        </w:rPr>
      </w:pPr>
    </w:p>
    <w:p w14:paraId="571C79D3" w14:textId="5FB2BD8B" w:rsidR="00D75D86" w:rsidRDefault="004F24C8" w:rsidP="00CB1DB7">
      <w:pPr>
        <w:rPr>
          <w:rFonts w:ascii="Calibri" w:hAnsi="Calibri"/>
          <w:b/>
          <w:bCs/>
        </w:rPr>
      </w:pPr>
      <w:r w:rsidRPr="00277DEC">
        <w:rPr>
          <w:rFonts w:ascii="Calibri" w:hAnsi="Calibri"/>
          <w:b/>
          <w:bCs/>
        </w:rPr>
        <w:t xml:space="preserve">Table </w:t>
      </w:r>
      <w:r>
        <w:rPr>
          <w:rFonts w:ascii="Calibri" w:hAnsi="Calibri"/>
          <w:b/>
          <w:bCs/>
        </w:rPr>
        <w:t>4.4 Example risk weights</w:t>
      </w:r>
    </w:p>
    <w:tbl>
      <w:tblPr>
        <w:tblW w:w="10414" w:type="dxa"/>
        <w:tblInd w:w="-725" w:type="dxa"/>
        <w:tblLook w:val="04A0" w:firstRow="1" w:lastRow="0" w:firstColumn="1" w:lastColumn="0" w:noHBand="0" w:noVBand="1"/>
      </w:tblPr>
      <w:tblGrid>
        <w:gridCol w:w="4665"/>
        <w:gridCol w:w="1561"/>
        <w:gridCol w:w="4188"/>
      </w:tblGrid>
      <w:tr w:rsidR="004F24C8" w:rsidRPr="00AD5EDD" w14:paraId="123D060B" w14:textId="77777777" w:rsidTr="00277DEC">
        <w:trPr>
          <w:trHeight w:val="305"/>
        </w:trPr>
        <w:tc>
          <w:tcPr>
            <w:tcW w:w="4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8B26E" w14:textId="77777777" w:rsidR="004F24C8" w:rsidRPr="00277DEC" w:rsidRDefault="004F24C8" w:rsidP="002B1627">
            <w:pPr>
              <w:spacing w:after="0" w:line="240" w:lineRule="auto"/>
              <w:rPr>
                <w:rFonts w:ascii="Calibri" w:eastAsia="Times New Roman" w:hAnsi="Calibri" w:cs="Calibri"/>
                <w:b/>
                <w:bCs/>
                <w:color w:val="000000"/>
                <w:lang w:val="en-US"/>
              </w:rPr>
            </w:pPr>
            <w:r w:rsidRPr="00277DEC">
              <w:rPr>
                <w:rFonts w:ascii="Calibri" w:eastAsia="Times New Roman" w:hAnsi="Calibri" w:cs="Calibri"/>
                <w:b/>
                <w:bCs/>
                <w:color w:val="000000"/>
                <w:lang w:val="en-US"/>
              </w:rPr>
              <w:t>Asset class</w:t>
            </w:r>
          </w:p>
        </w:tc>
        <w:tc>
          <w:tcPr>
            <w:tcW w:w="1561" w:type="dxa"/>
            <w:tcBorders>
              <w:top w:val="single" w:sz="4" w:space="0" w:color="auto"/>
              <w:left w:val="nil"/>
              <w:bottom w:val="single" w:sz="4" w:space="0" w:color="auto"/>
              <w:right w:val="single" w:sz="4" w:space="0" w:color="auto"/>
            </w:tcBorders>
            <w:shd w:val="clear" w:color="auto" w:fill="auto"/>
            <w:noWrap/>
            <w:vAlign w:val="bottom"/>
            <w:hideMark/>
          </w:tcPr>
          <w:p w14:paraId="4101EC78" w14:textId="1E14589E" w:rsidR="004F24C8" w:rsidRPr="00277DEC" w:rsidRDefault="004F24C8" w:rsidP="002B1627">
            <w:pPr>
              <w:spacing w:after="0" w:line="240" w:lineRule="auto"/>
              <w:rPr>
                <w:rFonts w:ascii="Calibri" w:eastAsia="Times New Roman" w:hAnsi="Calibri" w:cs="Calibri"/>
                <w:b/>
                <w:bCs/>
                <w:color w:val="000000"/>
                <w:lang w:val="en-US"/>
              </w:rPr>
            </w:pPr>
            <w:r w:rsidRPr="00277DEC">
              <w:rPr>
                <w:rFonts w:ascii="Calibri" w:eastAsia="Times New Roman" w:hAnsi="Calibri" w:cs="Calibri"/>
                <w:b/>
                <w:bCs/>
                <w:color w:val="000000"/>
                <w:lang w:val="en-US"/>
              </w:rPr>
              <w:t xml:space="preserve">Risk </w:t>
            </w:r>
            <w:r w:rsidR="00F423AD">
              <w:rPr>
                <w:rFonts w:ascii="Calibri" w:eastAsia="Times New Roman" w:hAnsi="Calibri" w:cs="Calibri"/>
                <w:b/>
                <w:bCs/>
                <w:color w:val="000000"/>
                <w:lang w:val="en-US"/>
              </w:rPr>
              <w:t>w</w:t>
            </w:r>
            <w:r w:rsidRPr="00277DEC">
              <w:rPr>
                <w:rFonts w:ascii="Calibri" w:eastAsia="Times New Roman" w:hAnsi="Calibri" w:cs="Calibri"/>
                <w:b/>
                <w:bCs/>
                <w:color w:val="000000"/>
                <w:lang w:val="en-US"/>
              </w:rPr>
              <w:t>eight</w:t>
            </w:r>
          </w:p>
        </w:tc>
        <w:tc>
          <w:tcPr>
            <w:tcW w:w="4188" w:type="dxa"/>
            <w:tcBorders>
              <w:top w:val="single" w:sz="4" w:space="0" w:color="auto"/>
              <w:left w:val="nil"/>
              <w:bottom w:val="single" w:sz="4" w:space="0" w:color="auto"/>
              <w:right w:val="single" w:sz="4" w:space="0" w:color="auto"/>
            </w:tcBorders>
            <w:shd w:val="clear" w:color="auto" w:fill="auto"/>
            <w:noWrap/>
            <w:vAlign w:val="bottom"/>
            <w:hideMark/>
          </w:tcPr>
          <w:p w14:paraId="01D98E84" w14:textId="77777777" w:rsidR="004F24C8" w:rsidRPr="00277DEC" w:rsidRDefault="004F24C8" w:rsidP="002B1627">
            <w:pPr>
              <w:spacing w:after="0" w:line="240" w:lineRule="auto"/>
              <w:rPr>
                <w:rFonts w:ascii="Calibri" w:eastAsia="Times New Roman" w:hAnsi="Calibri" w:cs="Calibri"/>
                <w:b/>
                <w:bCs/>
                <w:color w:val="000000"/>
                <w:lang w:val="en-US"/>
              </w:rPr>
            </w:pPr>
            <w:r w:rsidRPr="00277DEC">
              <w:rPr>
                <w:rFonts w:ascii="Calibri" w:eastAsia="Times New Roman" w:hAnsi="Calibri" w:cs="Calibri"/>
                <w:b/>
                <w:bCs/>
                <w:color w:val="000000"/>
                <w:lang w:val="en-US"/>
              </w:rPr>
              <w:t>Notes</w:t>
            </w:r>
          </w:p>
        </w:tc>
      </w:tr>
      <w:tr w:rsidR="004F24C8" w:rsidRPr="00AD5EDD" w14:paraId="19E3E7ED" w14:textId="77777777" w:rsidTr="00277DEC">
        <w:trPr>
          <w:trHeight w:val="649"/>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14:paraId="4A1D8E4B" w14:textId="77777777" w:rsidR="004F24C8" w:rsidRPr="00277DEC" w:rsidRDefault="004F24C8" w:rsidP="002B1627">
            <w:pPr>
              <w:spacing w:after="0" w:line="240" w:lineRule="auto"/>
              <w:rPr>
                <w:rFonts w:ascii="Calibri" w:eastAsia="Times New Roman" w:hAnsi="Calibri" w:cs="Calibri"/>
                <w:color w:val="000000"/>
                <w:lang w:val="en-US"/>
              </w:rPr>
            </w:pPr>
            <w:r w:rsidRPr="00277DEC">
              <w:rPr>
                <w:rFonts w:ascii="Calibri" w:eastAsia="Times New Roman" w:hAnsi="Calibri" w:cs="Calibri"/>
                <w:color w:val="000000"/>
                <w:lang w:val="en-US"/>
              </w:rPr>
              <w:t>Claims on sovereigns and their central banks</w:t>
            </w:r>
          </w:p>
        </w:tc>
        <w:tc>
          <w:tcPr>
            <w:tcW w:w="1561" w:type="dxa"/>
            <w:tcBorders>
              <w:top w:val="nil"/>
              <w:left w:val="nil"/>
              <w:bottom w:val="single" w:sz="4" w:space="0" w:color="auto"/>
              <w:right w:val="single" w:sz="4" w:space="0" w:color="auto"/>
            </w:tcBorders>
            <w:shd w:val="clear" w:color="auto" w:fill="auto"/>
            <w:noWrap/>
            <w:vAlign w:val="bottom"/>
            <w:hideMark/>
          </w:tcPr>
          <w:p w14:paraId="6AE8A9DC" w14:textId="2970D138" w:rsidR="004F24C8" w:rsidRPr="00277DEC" w:rsidRDefault="004F24C8" w:rsidP="00277DEC">
            <w:pPr>
              <w:spacing w:after="0" w:line="240" w:lineRule="auto"/>
              <w:jc w:val="right"/>
              <w:rPr>
                <w:rFonts w:ascii="Calibri" w:eastAsia="Times New Roman" w:hAnsi="Calibri" w:cs="Calibri"/>
                <w:color w:val="000000"/>
                <w:lang w:val="en-US"/>
              </w:rPr>
            </w:pPr>
            <w:r w:rsidRPr="00277DEC">
              <w:rPr>
                <w:rFonts w:ascii="Calibri" w:eastAsia="Times New Roman" w:hAnsi="Calibri" w:cs="Calibri"/>
                <w:color w:val="000000"/>
                <w:lang w:val="en-US"/>
              </w:rPr>
              <w:t>0</w:t>
            </w:r>
            <w:r w:rsidR="00F423AD">
              <w:rPr>
                <w:rFonts w:ascii="Calibri" w:eastAsia="Times New Roman" w:hAnsi="Calibri" w:cs="Calibri"/>
                <w:color w:val="000000"/>
                <w:lang w:val="en-US"/>
              </w:rPr>
              <w:t>–</w:t>
            </w:r>
            <w:r w:rsidRPr="00277DEC">
              <w:rPr>
                <w:rFonts w:ascii="Calibri" w:eastAsia="Times New Roman" w:hAnsi="Calibri" w:cs="Calibri"/>
                <w:color w:val="000000"/>
                <w:lang w:val="en-US"/>
              </w:rPr>
              <w:t>150%</w:t>
            </w:r>
          </w:p>
        </w:tc>
        <w:tc>
          <w:tcPr>
            <w:tcW w:w="4188" w:type="dxa"/>
            <w:tcBorders>
              <w:top w:val="nil"/>
              <w:left w:val="nil"/>
              <w:bottom w:val="single" w:sz="4" w:space="0" w:color="auto"/>
              <w:right w:val="single" w:sz="4" w:space="0" w:color="auto"/>
            </w:tcBorders>
            <w:shd w:val="clear" w:color="auto" w:fill="auto"/>
            <w:vAlign w:val="bottom"/>
            <w:hideMark/>
          </w:tcPr>
          <w:p w14:paraId="7AC95C39" w14:textId="68172470" w:rsidR="004F24C8" w:rsidRPr="00277DEC" w:rsidRDefault="004F24C8" w:rsidP="002B1627">
            <w:pPr>
              <w:spacing w:after="0" w:line="240" w:lineRule="auto"/>
              <w:rPr>
                <w:rFonts w:ascii="Calibri" w:eastAsia="Times New Roman" w:hAnsi="Calibri" w:cs="Calibri"/>
                <w:color w:val="000000"/>
                <w:lang w:val="en-US"/>
              </w:rPr>
            </w:pPr>
            <w:r w:rsidRPr="00277DEC">
              <w:rPr>
                <w:rFonts w:ascii="Calibri" w:eastAsia="Times New Roman" w:hAnsi="Calibri" w:cs="Calibri"/>
                <w:color w:val="000000"/>
                <w:lang w:val="en-US"/>
              </w:rPr>
              <w:t>AAA to unrated, with AAA rated as 0% and Below B- rated at 150%</w:t>
            </w:r>
          </w:p>
        </w:tc>
      </w:tr>
      <w:tr w:rsidR="004F24C8" w:rsidRPr="00AD5EDD" w14:paraId="7B0CB052" w14:textId="77777777" w:rsidTr="00277DEC">
        <w:trPr>
          <w:trHeight w:val="1947"/>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14:paraId="57453441" w14:textId="77777777" w:rsidR="004F24C8" w:rsidRPr="00277DEC" w:rsidRDefault="004F24C8" w:rsidP="002B1627">
            <w:pPr>
              <w:spacing w:after="0" w:line="240" w:lineRule="auto"/>
              <w:rPr>
                <w:rFonts w:ascii="Calibri" w:eastAsia="Times New Roman" w:hAnsi="Calibri" w:cs="Calibri"/>
                <w:color w:val="000000"/>
                <w:lang w:val="en-US"/>
              </w:rPr>
            </w:pPr>
            <w:r w:rsidRPr="00277DEC">
              <w:rPr>
                <w:rFonts w:ascii="Calibri" w:eastAsia="Times New Roman" w:hAnsi="Calibri" w:cs="Calibri"/>
                <w:color w:val="000000"/>
                <w:lang w:val="en-US"/>
              </w:rPr>
              <w:t xml:space="preserve">Claims on international </w:t>
            </w:r>
            <w:proofErr w:type="spellStart"/>
            <w:r w:rsidRPr="00277DEC">
              <w:rPr>
                <w:rFonts w:ascii="Calibri" w:eastAsia="Times New Roman" w:hAnsi="Calibri" w:cs="Calibri"/>
                <w:color w:val="000000"/>
                <w:lang w:val="en-US"/>
              </w:rPr>
              <w:t>organisations</w:t>
            </w:r>
            <w:proofErr w:type="spellEnd"/>
          </w:p>
        </w:tc>
        <w:tc>
          <w:tcPr>
            <w:tcW w:w="1561" w:type="dxa"/>
            <w:tcBorders>
              <w:top w:val="nil"/>
              <w:left w:val="nil"/>
              <w:bottom w:val="single" w:sz="4" w:space="0" w:color="auto"/>
              <w:right w:val="single" w:sz="4" w:space="0" w:color="auto"/>
            </w:tcBorders>
            <w:shd w:val="clear" w:color="auto" w:fill="auto"/>
            <w:noWrap/>
            <w:vAlign w:val="bottom"/>
            <w:hideMark/>
          </w:tcPr>
          <w:p w14:paraId="14F2948E" w14:textId="77777777" w:rsidR="004F24C8" w:rsidRPr="00277DEC" w:rsidRDefault="004F24C8">
            <w:pPr>
              <w:spacing w:after="0" w:line="240" w:lineRule="auto"/>
              <w:jc w:val="right"/>
              <w:rPr>
                <w:rFonts w:ascii="Calibri" w:eastAsia="Times New Roman" w:hAnsi="Calibri" w:cs="Calibri"/>
                <w:color w:val="000000"/>
                <w:lang w:val="en-US"/>
              </w:rPr>
            </w:pPr>
            <w:r w:rsidRPr="00277DEC">
              <w:rPr>
                <w:rFonts w:ascii="Calibri" w:eastAsia="Times New Roman" w:hAnsi="Calibri" w:cs="Calibri"/>
                <w:color w:val="000000"/>
                <w:lang w:val="en-US"/>
              </w:rPr>
              <w:t>0%</w:t>
            </w:r>
          </w:p>
        </w:tc>
        <w:tc>
          <w:tcPr>
            <w:tcW w:w="4188" w:type="dxa"/>
            <w:tcBorders>
              <w:top w:val="nil"/>
              <w:left w:val="nil"/>
              <w:bottom w:val="single" w:sz="4" w:space="0" w:color="auto"/>
              <w:right w:val="single" w:sz="4" w:space="0" w:color="auto"/>
            </w:tcBorders>
            <w:shd w:val="clear" w:color="auto" w:fill="auto"/>
            <w:vAlign w:val="bottom"/>
            <w:hideMark/>
          </w:tcPr>
          <w:p w14:paraId="3939D77D" w14:textId="0936ED9F" w:rsidR="004F24C8" w:rsidRPr="00277DEC" w:rsidRDefault="004F24C8" w:rsidP="002B1627">
            <w:pPr>
              <w:spacing w:after="0" w:line="240" w:lineRule="auto"/>
              <w:rPr>
                <w:rFonts w:ascii="Calibri" w:eastAsia="Times New Roman" w:hAnsi="Calibri" w:cs="Calibri"/>
                <w:color w:val="000000"/>
                <w:lang w:val="en-US"/>
              </w:rPr>
            </w:pPr>
            <w:r w:rsidRPr="00277DEC">
              <w:rPr>
                <w:rFonts w:ascii="Calibri" w:eastAsia="Times New Roman" w:hAnsi="Calibri" w:cs="Calibri"/>
                <w:color w:val="000000"/>
                <w:lang w:val="en-US"/>
              </w:rPr>
              <w:t xml:space="preserve">Includes the BIS, IMF, ECB, </w:t>
            </w:r>
            <w:proofErr w:type="gramStart"/>
            <w:r w:rsidRPr="00277DEC">
              <w:rPr>
                <w:rFonts w:ascii="Calibri" w:eastAsia="Times New Roman" w:hAnsi="Calibri" w:cs="Calibri"/>
                <w:color w:val="000000"/>
                <w:lang w:val="en-US"/>
              </w:rPr>
              <w:t>EU</w:t>
            </w:r>
            <w:proofErr w:type="gramEnd"/>
            <w:r w:rsidRPr="00277DEC">
              <w:rPr>
                <w:rFonts w:ascii="Calibri" w:eastAsia="Times New Roman" w:hAnsi="Calibri" w:cs="Calibri"/>
                <w:color w:val="000000"/>
                <w:lang w:val="en-US"/>
              </w:rPr>
              <w:t xml:space="preserve"> and eligible multilateral development banks, such as the World Bank Group, Inter-American Development Bank, Asian Development Bank, African Development Bank, and Islamic Development Bank</w:t>
            </w:r>
          </w:p>
        </w:tc>
      </w:tr>
      <w:tr w:rsidR="004F24C8" w:rsidRPr="00AD5EDD" w14:paraId="4D81345B" w14:textId="77777777" w:rsidTr="00277DEC">
        <w:trPr>
          <w:trHeight w:val="1623"/>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14:paraId="30D538CB" w14:textId="77777777" w:rsidR="004F24C8" w:rsidRPr="00277DEC" w:rsidRDefault="004F24C8" w:rsidP="002B1627">
            <w:pPr>
              <w:spacing w:after="0" w:line="240" w:lineRule="auto"/>
              <w:rPr>
                <w:rFonts w:ascii="Calibri" w:eastAsia="Times New Roman" w:hAnsi="Calibri" w:cs="Calibri"/>
                <w:color w:val="000000"/>
                <w:lang w:val="en-US"/>
              </w:rPr>
            </w:pPr>
            <w:r w:rsidRPr="00277DEC">
              <w:rPr>
                <w:rFonts w:ascii="Calibri" w:eastAsia="Times New Roman" w:hAnsi="Calibri" w:cs="Calibri"/>
                <w:color w:val="000000"/>
                <w:lang w:val="en-US"/>
              </w:rPr>
              <w:t>Claims on banks and securities firms</w:t>
            </w:r>
          </w:p>
        </w:tc>
        <w:tc>
          <w:tcPr>
            <w:tcW w:w="1561" w:type="dxa"/>
            <w:tcBorders>
              <w:top w:val="nil"/>
              <w:left w:val="nil"/>
              <w:bottom w:val="single" w:sz="4" w:space="0" w:color="auto"/>
              <w:right w:val="single" w:sz="4" w:space="0" w:color="auto"/>
            </w:tcBorders>
            <w:shd w:val="clear" w:color="auto" w:fill="auto"/>
            <w:noWrap/>
            <w:vAlign w:val="bottom"/>
            <w:hideMark/>
          </w:tcPr>
          <w:p w14:paraId="7EF09916" w14:textId="7E72C1DB" w:rsidR="004F24C8" w:rsidRPr="00277DEC" w:rsidRDefault="004F24C8" w:rsidP="00277DEC">
            <w:pPr>
              <w:spacing w:after="0" w:line="240" w:lineRule="auto"/>
              <w:jc w:val="right"/>
              <w:rPr>
                <w:rFonts w:ascii="Calibri" w:eastAsia="Times New Roman" w:hAnsi="Calibri" w:cs="Calibri"/>
                <w:color w:val="000000"/>
                <w:lang w:val="en-US"/>
              </w:rPr>
            </w:pPr>
            <w:r w:rsidRPr="00277DEC">
              <w:rPr>
                <w:rFonts w:ascii="Calibri" w:eastAsia="Times New Roman" w:hAnsi="Calibri" w:cs="Calibri"/>
                <w:color w:val="000000"/>
                <w:lang w:val="en-US"/>
              </w:rPr>
              <w:t>20%</w:t>
            </w:r>
            <w:r w:rsidR="00F423AD">
              <w:rPr>
                <w:rFonts w:ascii="Calibri" w:eastAsia="Times New Roman" w:hAnsi="Calibri" w:cs="Calibri"/>
                <w:color w:val="000000"/>
                <w:lang w:val="en-US"/>
              </w:rPr>
              <w:t>–</w:t>
            </w:r>
            <w:r w:rsidRPr="00277DEC">
              <w:rPr>
                <w:rFonts w:ascii="Calibri" w:eastAsia="Times New Roman" w:hAnsi="Calibri" w:cs="Calibri"/>
                <w:color w:val="000000"/>
                <w:lang w:val="en-US"/>
              </w:rPr>
              <w:t>150%</w:t>
            </w:r>
          </w:p>
        </w:tc>
        <w:tc>
          <w:tcPr>
            <w:tcW w:w="4188" w:type="dxa"/>
            <w:tcBorders>
              <w:top w:val="nil"/>
              <w:left w:val="nil"/>
              <w:bottom w:val="single" w:sz="4" w:space="0" w:color="auto"/>
              <w:right w:val="single" w:sz="4" w:space="0" w:color="auto"/>
            </w:tcBorders>
            <w:shd w:val="clear" w:color="auto" w:fill="auto"/>
            <w:vAlign w:val="bottom"/>
            <w:hideMark/>
          </w:tcPr>
          <w:p w14:paraId="6F2DDCEC" w14:textId="00FC5391" w:rsidR="004F24C8" w:rsidRPr="00277DEC" w:rsidRDefault="004F24C8" w:rsidP="002B1627">
            <w:pPr>
              <w:spacing w:after="0" w:line="240" w:lineRule="auto"/>
              <w:rPr>
                <w:rFonts w:ascii="Calibri" w:eastAsia="Times New Roman" w:hAnsi="Calibri" w:cs="Calibri"/>
                <w:color w:val="000000"/>
                <w:lang w:val="en-US"/>
              </w:rPr>
            </w:pPr>
            <w:r w:rsidRPr="00277DEC">
              <w:rPr>
                <w:rFonts w:ascii="Calibri" w:eastAsia="Times New Roman" w:hAnsi="Calibri" w:cs="Calibri"/>
                <w:color w:val="000000"/>
                <w:lang w:val="en-US"/>
              </w:rPr>
              <w:t xml:space="preserve">Two available options: Option 1 and Option 2. Risk weight changes for BBB+ to BBB- and </w:t>
            </w:r>
            <w:r w:rsidR="00F423AD">
              <w:rPr>
                <w:rFonts w:ascii="Calibri" w:eastAsia="Times New Roman" w:hAnsi="Calibri" w:cs="Calibri"/>
                <w:color w:val="000000"/>
                <w:lang w:val="en-US"/>
              </w:rPr>
              <w:t>u</w:t>
            </w:r>
            <w:r w:rsidRPr="00277DEC">
              <w:rPr>
                <w:rFonts w:ascii="Calibri" w:eastAsia="Times New Roman" w:hAnsi="Calibri" w:cs="Calibri"/>
                <w:color w:val="000000"/>
                <w:lang w:val="en-US"/>
              </w:rPr>
              <w:t>nrated banks in the two options. Some ratings change for short-term claims under Option 2. AAA to AA- rated as 20%</w:t>
            </w:r>
          </w:p>
        </w:tc>
      </w:tr>
      <w:tr w:rsidR="004F24C8" w:rsidRPr="00AD5EDD" w14:paraId="30010163" w14:textId="77777777" w:rsidTr="00277DEC">
        <w:trPr>
          <w:trHeight w:val="973"/>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14:paraId="70C2732D" w14:textId="77777777" w:rsidR="004F24C8" w:rsidRPr="00277DEC" w:rsidRDefault="004F24C8" w:rsidP="002B1627">
            <w:pPr>
              <w:spacing w:after="0" w:line="240" w:lineRule="auto"/>
              <w:rPr>
                <w:rFonts w:ascii="Calibri" w:eastAsia="Times New Roman" w:hAnsi="Calibri" w:cs="Calibri"/>
                <w:color w:val="000000"/>
                <w:lang w:val="en-US"/>
              </w:rPr>
            </w:pPr>
            <w:r w:rsidRPr="00277DEC">
              <w:rPr>
                <w:rFonts w:ascii="Calibri" w:eastAsia="Times New Roman" w:hAnsi="Calibri" w:cs="Calibri"/>
                <w:color w:val="000000"/>
                <w:lang w:val="en-US"/>
              </w:rPr>
              <w:lastRenderedPageBreak/>
              <w:t>Claims on corporates</w:t>
            </w:r>
          </w:p>
        </w:tc>
        <w:tc>
          <w:tcPr>
            <w:tcW w:w="1561" w:type="dxa"/>
            <w:tcBorders>
              <w:top w:val="nil"/>
              <w:left w:val="nil"/>
              <w:bottom w:val="single" w:sz="4" w:space="0" w:color="auto"/>
              <w:right w:val="single" w:sz="4" w:space="0" w:color="auto"/>
            </w:tcBorders>
            <w:shd w:val="clear" w:color="auto" w:fill="auto"/>
            <w:noWrap/>
            <w:vAlign w:val="bottom"/>
            <w:hideMark/>
          </w:tcPr>
          <w:p w14:paraId="6EC989AB" w14:textId="474BE1EF" w:rsidR="004F24C8" w:rsidRPr="00277DEC" w:rsidRDefault="004F24C8" w:rsidP="00277DEC">
            <w:pPr>
              <w:spacing w:after="0" w:line="240" w:lineRule="auto"/>
              <w:jc w:val="right"/>
              <w:rPr>
                <w:rFonts w:ascii="Calibri" w:eastAsia="Times New Roman" w:hAnsi="Calibri" w:cs="Calibri"/>
                <w:color w:val="000000"/>
                <w:lang w:val="en-US"/>
              </w:rPr>
            </w:pPr>
            <w:r w:rsidRPr="00277DEC">
              <w:rPr>
                <w:rFonts w:ascii="Calibri" w:eastAsia="Times New Roman" w:hAnsi="Calibri" w:cs="Calibri"/>
                <w:color w:val="000000"/>
                <w:lang w:val="en-US"/>
              </w:rPr>
              <w:t>20%</w:t>
            </w:r>
            <w:r w:rsidR="00F423AD">
              <w:rPr>
                <w:rFonts w:ascii="Calibri" w:eastAsia="Times New Roman" w:hAnsi="Calibri" w:cs="Calibri"/>
                <w:color w:val="000000"/>
                <w:lang w:val="en-US"/>
              </w:rPr>
              <w:t>–</w:t>
            </w:r>
            <w:r w:rsidRPr="00277DEC">
              <w:rPr>
                <w:rFonts w:ascii="Calibri" w:eastAsia="Times New Roman" w:hAnsi="Calibri" w:cs="Calibri"/>
                <w:color w:val="000000"/>
                <w:lang w:val="en-US"/>
              </w:rPr>
              <w:t>150%</w:t>
            </w:r>
          </w:p>
        </w:tc>
        <w:tc>
          <w:tcPr>
            <w:tcW w:w="4188" w:type="dxa"/>
            <w:tcBorders>
              <w:top w:val="nil"/>
              <w:left w:val="nil"/>
              <w:bottom w:val="single" w:sz="4" w:space="0" w:color="auto"/>
              <w:right w:val="single" w:sz="4" w:space="0" w:color="auto"/>
            </w:tcBorders>
            <w:shd w:val="clear" w:color="auto" w:fill="auto"/>
            <w:vAlign w:val="bottom"/>
            <w:hideMark/>
          </w:tcPr>
          <w:p w14:paraId="44B35CEE" w14:textId="1845A0E7" w:rsidR="004F24C8" w:rsidRPr="00277DEC" w:rsidRDefault="004F24C8" w:rsidP="002B1627">
            <w:pPr>
              <w:spacing w:after="0" w:line="240" w:lineRule="auto"/>
              <w:rPr>
                <w:rFonts w:ascii="Calibri" w:eastAsia="Times New Roman" w:hAnsi="Calibri" w:cs="Calibri"/>
                <w:color w:val="000000"/>
                <w:lang w:val="en-US"/>
              </w:rPr>
            </w:pPr>
            <w:r w:rsidRPr="00277DEC">
              <w:rPr>
                <w:rFonts w:ascii="Calibri" w:eastAsia="Times New Roman" w:hAnsi="Calibri" w:cs="Calibri"/>
                <w:color w:val="000000"/>
                <w:lang w:val="en-US"/>
              </w:rPr>
              <w:t>AAA to unrated, with AAA</w:t>
            </w:r>
            <w:r w:rsidR="00F423AD">
              <w:rPr>
                <w:rFonts w:ascii="Calibri" w:eastAsia="Times New Roman" w:hAnsi="Calibri" w:cs="Calibri"/>
                <w:color w:val="000000"/>
                <w:lang w:val="en-US"/>
              </w:rPr>
              <w:t>-</w:t>
            </w:r>
            <w:r w:rsidRPr="00277DEC">
              <w:rPr>
                <w:rFonts w:ascii="Calibri" w:eastAsia="Times New Roman" w:hAnsi="Calibri" w:cs="Calibri"/>
                <w:color w:val="000000"/>
                <w:lang w:val="en-US"/>
              </w:rPr>
              <w:t>rated as 20% and Below BB- rated at 150%. BBB+ to BB- rated as 100%</w:t>
            </w:r>
          </w:p>
        </w:tc>
      </w:tr>
      <w:tr w:rsidR="004F24C8" w:rsidRPr="00AD5EDD" w14:paraId="012748B2" w14:textId="77777777" w:rsidTr="00277DEC">
        <w:trPr>
          <w:trHeight w:val="1298"/>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14:paraId="319EEE29" w14:textId="77777777" w:rsidR="004F24C8" w:rsidRPr="00277DEC" w:rsidRDefault="004F24C8" w:rsidP="002B1627">
            <w:pPr>
              <w:spacing w:after="0" w:line="240" w:lineRule="auto"/>
              <w:rPr>
                <w:rFonts w:ascii="Calibri" w:eastAsia="Times New Roman" w:hAnsi="Calibri" w:cs="Calibri"/>
                <w:color w:val="000000"/>
                <w:lang w:val="en-US"/>
              </w:rPr>
            </w:pPr>
            <w:r w:rsidRPr="00277DEC">
              <w:rPr>
                <w:rFonts w:ascii="Calibri" w:eastAsia="Times New Roman" w:hAnsi="Calibri" w:cs="Calibri"/>
                <w:color w:val="000000"/>
                <w:lang w:val="en-US"/>
              </w:rPr>
              <w:t>Claims included in the regulatory retail portfolios</w:t>
            </w:r>
          </w:p>
        </w:tc>
        <w:tc>
          <w:tcPr>
            <w:tcW w:w="1561" w:type="dxa"/>
            <w:tcBorders>
              <w:top w:val="nil"/>
              <w:left w:val="nil"/>
              <w:bottom w:val="single" w:sz="4" w:space="0" w:color="auto"/>
              <w:right w:val="single" w:sz="4" w:space="0" w:color="auto"/>
            </w:tcBorders>
            <w:shd w:val="clear" w:color="auto" w:fill="auto"/>
            <w:noWrap/>
            <w:vAlign w:val="bottom"/>
            <w:hideMark/>
          </w:tcPr>
          <w:p w14:paraId="39236167" w14:textId="77777777" w:rsidR="004F24C8" w:rsidRPr="00277DEC" w:rsidRDefault="004F24C8" w:rsidP="002B1627">
            <w:pPr>
              <w:spacing w:after="0" w:line="240" w:lineRule="auto"/>
              <w:jc w:val="right"/>
              <w:rPr>
                <w:rFonts w:ascii="Calibri" w:eastAsia="Times New Roman" w:hAnsi="Calibri" w:cs="Calibri"/>
                <w:color w:val="000000"/>
                <w:lang w:val="en-US"/>
              </w:rPr>
            </w:pPr>
            <w:r w:rsidRPr="00277DEC">
              <w:rPr>
                <w:rFonts w:ascii="Calibri" w:eastAsia="Times New Roman" w:hAnsi="Calibri" w:cs="Calibri"/>
                <w:color w:val="000000"/>
                <w:lang w:val="en-US"/>
              </w:rPr>
              <w:t>75%</w:t>
            </w:r>
          </w:p>
        </w:tc>
        <w:tc>
          <w:tcPr>
            <w:tcW w:w="4188" w:type="dxa"/>
            <w:tcBorders>
              <w:top w:val="nil"/>
              <w:left w:val="nil"/>
              <w:bottom w:val="single" w:sz="4" w:space="0" w:color="auto"/>
              <w:right w:val="single" w:sz="4" w:space="0" w:color="auto"/>
            </w:tcBorders>
            <w:shd w:val="clear" w:color="auto" w:fill="auto"/>
            <w:vAlign w:val="bottom"/>
            <w:hideMark/>
          </w:tcPr>
          <w:p w14:paraId="1D5C8356" w14:textId="423A749E" w:rsidR="004F24C8" w:rsidRPr="00277DEC" w:rsidRDefault="004F24C8" w:rsidP="002B1627">
            <w:pPr>
              <w:spacing w:after="0" w:line="240" w:lineRule="auto"/>
              <w:rPr>
                <w:rFonts w:ascii="Calibri" w:eastAsia="Times New Roman" w:hAnsi="Calibri" w:cs="Calibri"/>
                <w:color w:val="000000"/>
                <w:lang w:val="en-US"/>
              </w:rPr>
            </w:pPr>
            <w:r w:rsidRPr="00277DEC">
              <w:rPr>
                <w:rFonts w:ascii="Calibri" w:eastAsia="Times New Roman" w:hAnsi="Calibri" w:cs="Calibri"/>
                <w:color w:val="000000"/>
                <w:lang w:val="en-US"/>
              </w:rPr>
              <w:t>Includes revolving credits and lines of credit (</w:t>
            </w:r>
            <w:proofErr w:type="spellStart"/>
            <w:proofErr w:type="gramStart"/>
            <w:r w:rsidRPr="00277DEC">
              <w:rPr>
                <w:rFonts w:ascii="Calibri" w:eastAsia="Times New Roman" w:hAnsi="Calibri" w:cs="Calibri"/>
                <w:color w:val="000000"/>
                <w:lang w:val="en-US"/>
              </w:rPr>
              <w:t>eg</w:t>
            </w:r>
            <w:proofErr w:type="spellEnd"/>
            <w:proofErr w:type="gramEnd"/>
            <w:r w:rsidRPr="00277DEC">
              <w:rPr>
                <w:rFonts w:ascii="Calibri" w:eastAsia="Times New Roman" w:hAnsi="Calibri" w:cs="Calibri"/>
                <w:color w:val="000000"/>
                <w:lang w:val="en-US"/>
              </w:rPr>
              <w:t xml:space="preserve"> credit cards and overdrafts), personal term loans (</w:t>
            </w:r>
            <w:proofErr w:type="spellStart"/>
            <w:r w:rsidRPr="00277DEC">
              <w:rPr>
                <w:rFonts w:ascii="Calibri" w:eastAsia="Times New Roman" w:hAnsi="Calibri" w:cs="Calibri"/>
                <w:color w:val="000000"/>
                <w:lang w:val="en-US"/>
              </w:rPr>
              <w:t>eg</w:t>
            </w:r>
            <w:proofErr w:type="spellEnd"/>
            <w:r w:rsidRPr="00277DEC">
              <w:rPr>
                <w:rFonts w:ascii="Calibri" w:eastAsia="Times New Roman" w:hAnsi="Calibri" w:cs="Calibri"/>
                <w:color w:val="000000"/>
                <w:lang w:val="en-US"/>
              </w:rPr>
              <w:t xml:space="preserve"> instalment loans, auto loans and educational loans)</w:t>
            </w:r>
          </w:p>
        </w:tc>
      </w:tr>
      <w:tr w:rsidR="004F24C8" w:rsidRPr="00AD5EDD" w14:paraId="7B9C530A" w14:textId="77777777" w:rsidTr="00277DEC">
        <w:trPr>
          <w:trHeight w:val="324"/>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14:paraId="5B1C8EF5" w14:textId="77777777" w:rsidR="004F24C8" w:rsidRPr="00277DEC" w:rsidRDefault="004F24C8" w:rsidP="002B1627">
            <w:pPr>
              <w:spacing w:after="0" w:line="240" w:lineRule="auto"/>
              <w:rPr>
                <w:rFonts w:ascii="Calibri" w:eastAsia="Times New Roman" w:hAnsi="Calibri" w:cs="Calibri"/>
                <w:color w:val="000000"/>
                <w:lang w:val="en-US"/>
              </w:rPr>
            </w:pPr>
            <w:r w:rsidRPr="00277DEC">
              <w:rPr>
                <w:rFonts w:ascii="Calibri" w:eastAsia="Times New Roman" w:hAnsi="Calibri" w:cs="Calibri"/>
                <w:color w:val="000000"/>
                <w:lang w:val="en-US"/>
              </w:rPr>
              <w:t>Claims secured by residential mortgages</w:t>
            </w:r>
          </w:p>
        </w:tc>
        <w:tc>
          <w:tcPr>
            <w:tcW w:w="1561" w:type="dxa"/>
            <w:tcBorders>
              <w:top w:val="nil"/>
              <w:left w:val="nil"/>
              <w:bottom w:val="single" w:sz="4" w:space="0" w:color="auto"/>
              <w:right w:val="single" w:sz="4" w:space="0" w:color="auto"/>
            </w:tcBorders>
            <w:shd w:val="clear" w:color="auto" w:fill="auto"/>
            <w:noWrap/>
            <w:vAlign w:val="bottom"/>
            <w:hideMark/>
          </w:tcPr>
          <w:p w14:paraId="71A532FB" w14:textId="77777777" w:rsidR="004F24C8" w:rsidRPr="00277DEC" w:rsidRDefault="004F24C8" w:rsidP="002B1627">
            <w:pPr>
              <w:spacing w:after="0" w:line="240" w:lineRule="auto"/>
              <w:jc w:val="right"/>
              <w:rPr>
                <w:rFonts w:ascii="Calibri" w:eastAsia="Times New Roman" w:hAnsi="Calibri" w:cs="Calibri"/>
                <w:color w:val="000000"/>
                <w:lang w:val="en-US"/>
              </w:rPr>
            </w:pPr>
            <w:r w:rsidRPr="00277DEC">
              <w:rPr>
                <w:rFonts w:ascii="Calibri" w:eastAsia="Times New Roman" w:hAnsi="Calibri" w:cs="Calibri"/>
                <w:color w:val="000000"/>
                <w:lang w:val="en-US"/>
              </w:rPr>
              <w:t>35%</w:t>
            </w:r>
          </w:p>
        </w:tc>
        <w:tc>
          <w:tcPr>
            <w:tcW w:w="4188" w:type="dxa"/>
            <w:tcBorders>
              <w:top w:val="nil"/>
              <w:left w:val="nil"/>
              <w:bottom w:val="single" w:sz="4" w:space="0" w:color="auto"/>
              <w:right w:val="single" w:sz="4" w:space="0" w:color="auto"/>
            </w:tcBorders>
            <w:shd w:val="clear" w:color="auto" w:fill="auto"/>
            <w:vAlign w:val="bottom"/>
            <w:hideMark/>
          </w:tcPr>
          <w:p w14:paraId="69A1B4A7" w14:textId="57989BCD" w:rsidR="004F24C8" w:rsidRPr="00277DEC" w:rsidRDefault="004F24C8" w:rsidP="002B1627">
            <w:pPr>
              <w:spacing w:after="0" w:line="240" w:lineRule="auto"/>
              <w:rPr>
                <w:rFonts w:ascii="Calibri" w:eastAsia="Times New Roman" w:hAnsi="Calibri" w:cs="Calibri"/>
                <w:color w:val="000000"/>
                <w:lang w:val="en-US"/>
              </w:rPr>
            </w:pPr>
            <w:r w:rsidRPr="00277DEC">
              <w:rPr>
                <w:rFonts w:ascii="Calibri" w:eastAsia="Times New Roman" w:hAnsi="Calibri" w:cs="Calibri"/>
                <w:color w:val="000000"/>
                <w:lang w:val="en-US"/>
              </w:rPr>
              <w:t>Includes mortgages</w:t>
            </w:r>
          </w:p>
        </w:tc>
      </w:tr>
      <w:tr w:rsidR="004F24C8" w:rsidRPr="00AD5EDD" w14:paraId="719BC090" w14:textId="77777777" w:rsidTr="00277DEC">
        <w:trPr>
          <w:trHeight w:val="324"/>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14:paraId="372AA7CF" w14:textId="77777777" w:rsidR="004F24C8" w:rsidRPr="00277DEC" w:rsidRDefault="004F24C8" w:rsidP="002B1627">
            <w:pPr>
              <w:spacing w:after="0" w:line="240" w:lineRule="auto"/>
              <w:rPr>
                <w:rFonts w:ascii="Calibri" w:eastAsia="Times New Roman" w:hAnsi="Calibri" w:cs="Calibri"/>
                <w:color w:val="000000"/>
                <w:lang w:val="en-US"/>
              </w:rPr>
            </w:pPr>
            <w:r w:rsidRPr="00277DEC">
              <w:rPr>
                <w:rFonts w:ascii="Calibri" w:eastAsia="Times New Roman" w:hAnsi="Calibri" w:cs="Calibri"/>
                <w:color w:val="000000"/>
                <w:lang w:val="en-US"/>
              </w:rPr>
              <w:t>Claims secured by commercial real estate</w:t>
            </w:r>
          </w:p>
        </w:tc>
        <w:tc>
          <w:tcPr>
            <w:tcW w:w="1561" w:type="dxa"/>
            <w:tcBorders>
              <w:top w:val="nil"/>
              <w:left w:val="nil"/>
              <w:bottom w:val="single" w:sz="4" w:space="0" w:color="auto"/>
              <w:right w:val="single" w:sz="4" w:space="0" w:color="auto"/>
            </w:tcBorders>
            <w:shd w:val="clear" w:color="auto" w:fill="auto"/>
            <w:noWrap/>
            <w:vAlign w:val="bottom"/>
            <w:hideMark/>
          </w:tcPr>
          <w:p w14:paraId="7A748FBB" w14:textId="77777777" w:rsidR="004F24C8" w:rsidRPr="00277DEC" w:rsidRDefault="004F24C8" w:rsidP="002B1627">
            <w:pPr>
              <w:spacing w:after="0" w:line="240" w:lineRule="auto"/>
              <w:jc w:val="right"/>
              <w:rPr>
                <w:rFonts w:ascii="Calibri" w:eastAsia="Times New Roman" w:hAnsi="Calibri" w:cs="Calibri"/>
                <w:color w:val="000000"/>
                <w:lang w:val="en-US"/>
              </w:rPr>
            </w:pPr>
            <w:r w:rsidRPr="00277DEC">
              <w:rPr>
                <w:rFonts w:ascii="Calibri" w:eastAsia="Times New Roman" w:hAnsi="Calibri" w:cs="Calibri"/>
                <w:color w:val="000000"/>
                <w:lang w:val="en-US"/>
              </w:rPr>
              <w:t>100%</w:t>
            </w:r>
          </w:p>
        </w:tc>
        <w:tc>
          <w:tcPr>
            <w:tcW w:w="4188" w:type="dxa"/>
            <w:tcBorders>
              <w:top w:val="nil"/>
              <w:left w:val="nil"/>
              <w:bottom w:val="single" w:sz="4" w:space="0" w:color="auto"/>
              <w:right w:val="single" w:sz="4" w:space="0" w:color="auto"/>
            </w:tcBorders>
            <w:shd w:val="clear" w:color="auto" w:fill="auto"/>
            <w:vAlign w:val="bottom"/>
            <w:hideMark/>
          </w:tcPr>
          <w:p w14:paraId="64BAE979" w14:textId="149DEF7A" w:rsidR="004F24C8" w:rsidRPr="00277DEC" w:rsidRDefault="004F24C8" w:rsidP="002B1627">
            <w:pPr>
              <w:spacing w:after="0" w:line="240" w:lineRule="auto"/>
              <w:rPr>
                <w:rFonts w:ascii="Calibri" w:eastAsia="Times New Roman" w:hAnsi="Calibri" w:cs="Calibri"/>
                <w:color w:val="000000"/>
                <w:lang w:val="en-US"/>
              </w:rPr>
            </w:pPr>
            <w:r w:rsidRPr="00277DEC">
              <w:rPr>
                <w:rFonts w:ascii="Calibri" w:eastAsia="Times New Roman" w:hAnsi="Calibri" w:cs="Calibri"/>
                <w:color w:val="000000"/>
                <w:lang w:val="en-US"/>
              </w:rPr>
              <w:t>Includes commercial property lending</w:t>
            </w:r>
          </w:p>
        </w:tc>
      </w:tr>
      <w:tr w:rsidR="004F24C8" w:rsidRPr="00AD5EDD" w14:paraId="74891159" w14:textId="77777777" w:rsidTr="00277DEC">
        <w:trPr>
          <w:trHeight w:val="324"/>
        </w:trPr>
        <w:tc>
          <w:tcPr>
            <w:tcW w:w="4665" w:type="dxa"/>
            <w:tcBorders>
              <w:top w:val="nil"/>
              <w:left w:val="single" w:sz="4" w:space="0" w:color="auto"/>
              <w:bottom w:val="single" w:sz="4" w:space="0" w:color="auto"/>
              <w:right w:val="single" w:sz="4" w:space="0" w:color="auto"/>
            </w:tcBorders>
            <w:shd w:val="clear" w:color="auto" w:fill="auto"/>
            <w:noWrap/>
            <w:vAlign w:val="bottom"/>
            <w:hideMark/>
          </w:tcPr>
          <w:p w14:paraId="7F374CF2" w14:textId="77777777" w:rsidR="004F24C8" w:rsidRPr="00277DEC" w:rsidRDefault="004F24C8" w:rsidP="002B1627">
            <w:pPr>
              <w:spacing w:after="0" w:line="240" w:lineRule="auto"/>
              <w:rPr>
                <w:rFonts w:ascii="Calibri" w:eastAsia="Times New Roman" w:hAnsi="Calibri" w:cs="Calibri"/>
                <w:color w:val="000000"/>
                <w:lang w:val="en-US"/>
              </w:rPr>
            </w:pPr>
            <w:r w:rsidRPr="00277DEC">
              <w:rPr>
                <w:rFonts w:ascii="Calibri" w:eastAsia="Times New Roman" w:hAnsi="Calibri" w:cs="Calibri"/>
                <w:color w:val="000000"/>
                <w:lang w:val="en-US"/>
              </w:rPr>
              <w:t>Claims on investments in equities</w:t>
            </w:r>
          </w:p>
        </w:tc>
        <w:tc>
          <w:tcPr>
            <w:tcW w:w="1561" w:type="dxa"/>
            <w:tcBorders>
              <w:top w:val="nil"/>
              <w:left w:val="nil"/>
              <w:bottom w:val="single" w:sz="4" w:space="0" w:color="auto"/>
              <w:right w:val="single" w:sz="4" w:space="0" w:color="auto"/>
            </w:tcBorders>
            <w:shd w:val="clear" w:color="auto" w:fill="auto"/>
            <w:noWrap/>
            <w:vAlign w:val="bottom"/>
            <w:hideMark/>
          </w:tcPr>
          <w:p w14:paraId="078FCAD7" w14:textId="77777777" w:rsidR="004F24C8" w:rsidRPr="00277DEC" w:rsidRDefault="004F24C8" w:rsidP="002B1627">
            <w:pPr>
              <w:spacing w:after="0" w:line="240" w:lineRule="auto"/>
              <w:jc w:val="right"/>
              <w:rPr>
                <w:rFonts w:ascii="Calibri" w:eastAsia="Times New Roman" w:hAnsi="Calibri" w:cs="Calibri"/>
                <w:color w:val="000000"/>
                <w:lang w:val="en-US"/>
              </w:rPr>
            </w:pPr>
            <w:r w:rsidRPr="00277DEC">
              <w:rPr>
                <w:rFonts w:ascii="Calibri" w:eastAsia="Times New Roman" w:hAnsi="Calibri" w:cs="Calibri"/>
                <w:color w:val="000000"/>
                <w:lang w:val="en-US"/>
              </w:rPr>
              <w:t>100%</w:t>
            </w:r>
          </w:p>
        </w:tc>
        <w:tc>
          <w:tcPr>
            <w:tcW w:w="4188" w:type="dxa"/>
            <w:tcBorders>
              <w:top w:val="nil"/>
              <w:left w:val="nil"/>
              <w:bottom w:val="single" w:sz="4" w:space="0" w:color="auto"/>
              <w:right w:val="single" w:sz="4" w:space="0" w:color="auto"/>
            </w:tcBorders>
            <w:shd w:val="clear" w:color="auto" w:fill="auto"/>
            <w:vAlign w:val="bottom"/>
            <w:hideMark/>
          </w:tcPr>
          <w:p w14:paraId="32655560" w14:textId="09F8D34C" w:rsidR="004F24C8" w:rsidRPr="00277DEC" w:rsidRDefault="004F24C8" w:rsidP="002B1627">
            <w:pPr>
              <w:spacing w:after="0" w:line="240" w:lineRule="auto"/>
              <w:rPr>
                <w:rFonts w:ascii="Calibri" w:eastAsia="Times New Roman" w:hAnsi="Calibri" w:cs="Calibri"/>
                <w:color w:val="000000"/>
                <w:lang w:val="en-US"/>
              </w:rPr>
            </w:pPr>
            <w:r w:rsidRPr="00277DEC">
              <w:rPr>
                <w:rFonts w:ascii="Calibri" w:eastAsia="Times New Roman" w:hAnsi="Calibri" w:cs="Calibri"/>
                <w:color w:val="000000"/>
                <w:lang w:val="en-US"/>
              </w:rPr>
              <w:t>Such as shares</w:t>
            </w:r>
          </w:p>
        </w:tc>
      </w:tr>
      <w:tr w:rsidR="004F24C8" w:rsidRPr="00AD5EDD" w14:paraId="5235CC1B" w14:textId="77777777" w:rsidTr="00277DEC">
        <w:trPr>
          <w:trHeight w:val="305"/>
        </w:trPr>
        <w:tc>
          <w:tcPr>
            <w:tcW w:w="4665" w:type="dxa"/>
            <w:tcBorders>
              <w:top w:val="nil"/>
              <w:left w:val="nil"/>
              <w:bottom w:val="nil"/>
              <w:right w:val="nil"/>
            </w:tcBorders>
            <w:shd w:val="clear" w:color="auto" w:fill="auto"/>
            <w:noWrap/>
            <w:vAlign w:val="bottom"/>
            <w:hideMark/>
          </w:tcPr>
          <w:p w14:paraId="496B7C7E" w14:textId="77777777" w:rsidR="004F24C8" w:rsidRPr="00AD5EDD" w:rsidRDefault="004F24C8" w:rsidP="002B1627">
            <w:pPr>
              <w:spacing w:after="0" w:line="240" w:lineRule="auto"/>
              <w:rPr>
                <w:rFonts w:ascii="Calibri" w:eastAsia="Times New Roman" w:hAnsi="Calibri" w:cs="Calibri"/>
                <w:color w:val="000000"/>
                <w:sz w:val="24"/>
                <w:szCs w:val="24"/>
                <w:lang w:val="en-US"/>
              </w:rPr>
            </w:pPr>
          </w:p>
        </w:tc>
        <w:tc>
          <w:tcPr>
            <w:tcW w:w="1561" w:type="dxa"/>
            <w:tcBorders>
              <w:top w:val="nil"/>
              <w:left w:val="nil"/>
              <w:bottom w:val="nil"/>
              <w:right w:val="nil"/>
            </w:tcBorders>
            <w:shd w:val="clear" w:color="auto" w:fill="auto"/>
            <w:noWrap/>
            <w:vAlign w:val="bottom"/>
            <w:hideMark/>
          </w:tcPr>
          <w:p w14:paraId="3B93BCAC" w14:textId="77777777" w:rsidR="004F24C8" w:rsidRPr="00AD5EDD" w:rsidRDefault="004F24C8" w:rsidP="002B1627">
            <w:pPr>
              <w:spacing w:after="0" w:line="240" w:lineRule="auto"/>
              <w:rPr>
                <w:rFonts w:ascii="Times New Roman" w:eastAsia="Times New Roman" w:hAnsi="Times New Roman" w:cs="Times New Roman"/>
                <w:sz w:val="20"/>
                <w:szCs w:val="20"/>
                <w:lang w:val="en-US"/>
              </w:rPr>
            </w:pPr>
          </w:p>
        </w:tc>
        <w:tc>
          <w:tcPr>
            <w:tcW w:w="4188" w:type="dxa"/>
            <w:tcBorders>
              <w:top w:val="nil"/>
              <w:left w:val="nil"/>
              <w:bottom w:val="nil"/>
              <w:right w:val="nil"/>
            </w:tcBorders>
            <w:shd w:val="clear" w:color="auto" w:fill="auto"/>
            <w:noWrap/>
            <w:vAlign w:val="bottom"/>
            <w:hideMark/>
          </w:tcPr>
          <w:p w14:paraId="2DB9F697" w14:textId="77777777" w:rsidR="004F24C8" w:rsidRPr="00AD5EDD" w:rsidRDefault="004F24C8" w:rsidP="002B1627">
            <w:pPr>
              <w:spacing w:after="0" w:line="240" w:lineRule="auto"/>
              <w:rPr>
                <w:rFonts w:ascii="Times New Roman" w:eastAsia="Times New Roman" w:hAnsi="Times New Roman" w:cs="Times New Roman"/>
                <w:sz w:val="20"/>
                <w:szCs w:val="20"/>
                <w:lang w:val="en-US"/>
              </w:rPr>
            </w:pPr>
          </w:p>
        </w:tc>
      </w:tr>
      <w:tr w:rsidR="004F24C8" w:rsidRPr="00AD5EDD" w14:paraId="6BAF9CFF" w14:textId="77777777" w:rsidTr="00277DEC">
        <w:trPr>
          <w:trHeight w:val="305"/>
        </w:trPr>
        <w:tc>
          <w:tcPr>
            <w:tcW w:w="10414" w:type="dxa"/>
            <w:gridSpan w:val="3"/>
            <w:tcBorders>
              <w:top w:val="nil"/>
              <w:left w:val="nil"/>
              <w:bottom w:val="nil"/>
              <w:right w:val="nil"/>
            </w:tcBorders>
            <w:shd w:val="clear" w:color="auto" w:fill="auto"/>
            <w:noWrap/>
            <w:vAlign w:val="bottom"/>
            <w:hideMark/>
          </w:tcPr>
          <w:p w14:paraId="74E40C0F" w14:textId="08D0820E" w:rsidR="004F24C8" w:rsidRPr="00AD5EDD" w:rsidRDefault="004F24C8" w:rsidP="002B1627">
            <w:pPr>
              <w:spacing w:after="0" w:line="240" w:lineRule="auto"/>
              <w:rPr>
                <w:rFonts w:ascii="Calibri" w:eastAsia="Times New Roman" w:hAnsi="Calibri" w:cs="Calibri"/>
                <w:color w:val="000000"/>
                <w:sz w:val="24"/>
                <w:szCs w:val="24"/>
                <w:lang w:val="en-US"/>
              </w:rPr>
            </w:pPr>
          </w:p>
        </w:tc>
      </w:tr>
    </w:tbl>
    <w:tbl>
      <w:tblPr>
        <w:tblStyle w:val="TableGrid"/>
        <w:tblW w:w="0" w:type="auto"/>
        <w:tblLook w:val="04A0" w:firstRow="1" w:lastRow="0" w:firstColumn="1" w:lastColumn="0" w:noHBand="0" w:noVBand="1"/>
      </w:tblPr>
      <w:tblGrid>
        <w:gridCol w:w="9010"/>
      </w:tblGrid>
      <w:tr w:rsidR="002C5E28" w14:paraId="1603F6B0" w14:textId="77777777" w:rsidTr="002C5E28">
        <w:tc>
          <w:tcPr>
            <w:tcW w:w="9010" w:type="dxa"/>
          </w:tcPr>
          <w:p w14:paraId="49AD58BB" w14:textId="0330EB93" w:rsidR="008E008C" w:rsidRDefault="008E008C" w:rsidP="00CB1DB7">
            <w:pPr>
              <w:rPr>
                <w:rFonts w:ascii="Calibri" w:hAnsi="Calibri"/>
              </w:rPr>
            </w:pPr>
            <w:r>
              <w:rPr>
                <w:rFonts w:ascii="Calibri" w:hAnsi="Calibri"/>
                <w:b/>
                <w:bCs/>
              </w:rPr>
              <w:t>Activity: risk weights</w:t>
            </w:r>
          </w:p>
          <w:p w14:paraId="218FEAC3" w14:textId="642E8E6E" w:rsidR="002C5E28" w:rsidRDefault="002C5E28" w:rsidP="00BD44B1">
            <w:pPr>
              <w:rPr>
                <w:rFonts w:ascii="Calibri" w:hAnsi="Calibri"/>
              </w:rPr>
            </w:pPr>
            <w:r>
              <w:rPr>
                <w:rFonts w:ascii="Calibri" w:hAnsi="Calibri"/>
              </w:rPr>
              <w:t xml:space="preserve">Thinking about the risk of </w:t>
            </w:r>
            <w:r w:rsidR="007D3B17">
              <w:rPr>
                <w:rFonts w:ascii="Calibri" w:hAnsi="Calibri"/>
              </w:rPr>
              <w:t xml:space="preserve">each of the below client types and loans, </w:t>
            </w:r>
            <w:r w:rsidR="00BD44B1">
              <w:rPr>
                <w:rFonts w:ascii="Calibri" w:hAnsi="Calibri"/>
              </w:rPr>
              <w:t>which risk weight would you assign – choose from 0%, 20%, 35%, 50%, or 100% (they can be used more than once)</w:t>
            </w:r>
            <w:r w:rsidR="00FE42C3">
              <w:rPr>
                <w:rFonts w:ascii="Calibri" w:hAnsi="Calibri"/>
              </w:rPr>
              <w:t>. Assume no collateral or other risk mitigation.</w:t>
            </w:r>
            <w:r w:rsidR="001666AF">
              <w:rPr>
                <w:rFonts w:ascii="Calibri" w:hAnsi="Calibri"/>
              </w:rPr>
              <w:t xml:space="preserve"> </w:t>
            </w:r>
            <w:r w:rsidR="009B7181">
              <w:rPr>
                <w:rFonts w:ascii="Calibri" w:hAnsi="Calibri"/>
              </w:rPr>
              <w:t xml:space="preserve">Then we will reveal the </w:t>
            </w:r>
            <w:r w:rsidR="00DE2798">
              <w:rPr>
                <w:rFonts w:ascii="Calibri" w:hAnsi="Calibri"/>
              </w:rPr>
              <w:t>standardised RWA for each</w:t>
            </w:r>
            <w:r w:rsidR="00E74735">
              <w:rPr>
                <w:rFonts w:ascii="Calibri" w:hAnsi="Calibri"/>
              </w:rPr>
              <w:t xml:space="preserve"> and the reason why</w:t>
            </w:r>
            <w:r w:rsidR="00DE2798">
              <w:rPr>
                <w:rFonts w:ascii="Calibri" w:hAnsi="Calibri"/>
              </w:rPr>
              <w:t>.</w:t>
            </w:r>
          </w:p>
          <w:tbl>
            <w:tblPr>
              <w:tblStyle w:val="TableGrid"/>
              <w:tblW w:w="0" w:type="auto"/>
              <w:tblLook w:val="04A0" w:firstRow="1" w:lastRow="0" w:firstColumn="1" w:lastColumn="0" w:noHBand="0" w:noVBand="1"/>
            </w:tblPr>
            <w:tblGrid>
              <w:gridCol w:w="4385"/>
              <w:gridCol w:w="1471"/>
            </w:tblGrid>
            <w:tr w:rsidR="00BD44B1" w14:paraId="329D4D81" w14:textId="77777777" w:rsidTr="00BD44B1">
              <w:tc>
                <w:tcPr>
                  <w:tcW w:w="4385" w:type="dxa"/>
                </w:tcPr>
                <w:p w14:paraId="3B1E9072" w14:textId="60DD4106" w:rsidR="00BD44B1" w:rsidRPr="00BB50F4" w:rsidRDefault="00BD44B1" w:rsidP="00CB1DB7">
                  <w:pPr>
                    <w:rPr>
                      <w:rFonts w:ascii="Calibri" w:hAnsi="Calibri"/>
                      <w:b/>
                      <w:bCs/>
                    </w:rPr>
                  </w:pPr>
                  <w:r w:rsidRPr="00BB50F4">
                    <w:rPr>
                      <w:rFonts w:ascii="Calibri" w:hAnsi="Calibri"/>
                      <w:b/>
                      <w:bCs/>
                    </w:rPr>
                    <w:t>Client/</w:t>
                  </w:r>
                  <w:r w:rsidR="004A603D">
                    <w:rPr>
                      <w:rFonts w:ascii="Calibri" w:hAnsi="Calibri"/>
                      <w:b/>
                      <w:bCs/>
                    </w:rPr>
                    <w:t>l</w:t>
                  </w:r>
                  <w:r w:rsidR="004A603D" w:rsidRPr="00BB50F4">
                    <w:rPr>
                      <w:rFonts w:ascii="Calibri" w:hAnsi="Calibri"/>
                      <w:b/>
                      <w:bCs/>
                    </w:rPr>
                    <w:t>oan</w:t>
                  </w:r>
                </w:p>
              </w:tc>
              <w:tc>
                <w:tcPr>
                  <w:tcW w:w="1471" w:type="dxa"/>
                </w:tcPr>
                <w:p w14:paraId="1E9840E7" w14:textId="23148050" w:rsidR="00BD44B1" w:rsidRPr="00BB50F4" w:rsidRDefault="00BD44B1" w:rsidP="00CB1DB7">
                  <w:pPr>
                    <w:rPr>
                      <w:rFonts w:ascii="Calibri" w:hAnsi="Calibri"/>
                      <w:b/>
                      <w:bCs/>
                    </w:rPr>
                  </w:pPr>
                  <w:r w:rsidRPr="00BB50F4">
                    <w:rPr>
                      <w:rFonts w:ascii="Calibri" w:hAnsi="Calibri"/>
                      <w:b/>
                      <w:bCs/>
                    </w:rPr>
                    <w:t xml:space="preserve">Risk </w:t>
                  </w:r>
                  <w:r w:rsidR="00E74735">
                    <w:rPr>
                      <w:rFonts w:ascii="Calibri" w:hAnsi="Calibri"/>
                      <w:b/>
                      <w:bCs/>
                    </w:rPr>
                    <w:t>w</w:t>
                  </w:r>
                  <w:r w:rsidR="00E74735" w:rsidRPr="00BB50F4">
                    <w:rPr>
                      <w:rFonts w:ascii="Calibri" w:hAnsi="Calibri"/>
                      <w:b/>
                      <w:bCs/>
                    </w:rPr>
                    <w:t>eight</w:t>
                  </w:r>
                  <w:r w:rsidR="00D454E1">
                    <w:rPr>
                      <w:rFonts w:ascii="Calibri" w:hAnsi="Calibri"/>
                      <w:b/>
                      <w:bCs/>
                    </w:rPr>
                    <w:t xml:space="preserve"> (%)</w:t>
                  </w:r>
                </w:p>
              </w:tc>
            </w:tr>
            <w:tr w:rsidR="00BD44B1" w14:paraId="18A388FE" w14:textId="77777777" w:rsidTr="00BD44B1">
              <w:tc>
                <w:tcPr>
                  <w:tcW w:w="4385" w:type="dxa"/>
                </w:tcPr>
                <w:p w14:paraId="57B32454" w14:textId="4CC6194D" w:rsidR="00BD44B1" w:rsidRDefault="00BD44B1" w:rsidP="00CB1DB7">
                  <w:pPr>
                    <w:rPr>
                      <w:rFonts w:ascii="Calibri" w:hAnsi="Calibri"/>
                    </w:rPr>
                  </w:pPr>
                  <w:r>
                    <w:rPr>
                      <w:rFonts w:ascii="Calibri" w:hAnsi="Calibri"/>
                    </w:rPr>
                    <w:t xml:space="preserve">US </w:t>
                  </w:r>
                  <w:r w:rsidR="004A603D">
                    <w:rPr>
                      <w:rFonts w:ascii="Calibri" w:hAnsi="Calibri"/>
                    </w:rPr>
                    <w:t>government bond</w:t>
                  </w:r>
                </w:p>
              </w:tc>
              <w:tc>
                <w:tcPr>
                  <w:tcW w:w="1471" w:type="dxa"/>
                </w:tcPr>
                <w:p w14:paraId="0E859BE3" w14:textId="77777777" w:rsidR="00BD44B1" w:rsidRDefault="00BD44B1" w:rsidP="00CB1DB7">
                  <w:pPr>
                    <w:rPr>
                      <w:rFonts w:ascii="Calibri" w:hAnsi="Calibri"/>
                    </w:rPr>
                  </w:pPr>
                </w:p>
              </w:tc>
            </w:tr>
            <w:tr w:rsidR="00BD44B1" w14:paraId="512195A2" w14:textId="77777777" w:rsidTr="00BD44B1">
              <w:tc>
                <w:tcPr>
                  <w:tcW w:w="4385" w:type="dxa"/>
                </w:tcPr>
                <w:p w14:paraId="54CB490C" w14:textId="66C58433" w:rsidR="00BD44B1" w:rsidRDefault="00BD44B1" w:rsidP="00CB1DB7">
                  <w:pPr>
                    <w:rPr>
                      <w:rFonts w:ascii="Calibri" w:hAnsi="Calibri"/>
                    </w:rPr>
                  </w:pPr>
                  <w:r>
                    <w:rPr>
                      <w:rFonts w:ascii="Calibri" w:hAnsi="Calibri"/>
                    </w:rPr>
                    <w:t xml:space="preserve">Residential </w:t>
                  </w:r>
                  <w:r w:rsidR="004A603D">
                    <w:rPr>
                      <w:rFonts w:ascii="Calibri" w:hAnsi="Calibri"/>
                    </w:rPr>
                    <w:t>mortgage</w:t>
                  </w:r>
                </w:p>
              </w:tc>
              <w:tc>
                <w:tcPr>
                  <w:tcW w:w="1471" w:type="dxa"/>
                </w:tcPr>
                <w:p w14:paraId="15BE23DC" w14:textId="77777777" w:rsidR="00BD44B1" w:rsidRDefault="00BD44B1" w:rsidP="00CB1DB7">
                  <w:pPr>
                    <w:rPr>
                      <w:rFonts w:ascii="Calibri" w:hAnsi="Calibri"/>
                    </w:rPr>
                  </w:pPr>
                </w:p>
              </w:tc>
            </w:tr>
            <w:tr w:rsidR="00BD44B1" w14:paraId="460C2117" w14:textId="77777777" w:rsidTr="00BD44B1">
              <w:tc>
                <w:tcPr>
                  <w:tcW w:w="4385" w:type="dxa"/>
                </w:tcPr>
                <w:p w14:paraId="107637BA" w14:textId="426D8194" w:rsidR="00BD44B1" w:rsidRDefault="00863F3D" w:rsidP="00CB1DB7">
                  <w:pPr>
                    <w:rPr>
                      <w:rFonts w:ascii="Calibri" w:hAnsi="Calibri"/>
                    </w:rPr>
                  </w:pPr>
                  <w:r>
                    <w:rPr>
                      <w:rFonts w:ascii="Calibri" w:hAnsi="Calibri"/>
                    </w:rPr>
                    <w:t>Investment in s</w:t>
                  </w:r>
                  <w:r w:rsidR="00BD44B1">
                    <w:rPr>
                      <w:rFonts w:ascii="Calibri" w:hAnsi="Calibri"/>
                    </w:rPr>
                    <w:t>hares</w:t>
                  </w:r>
                </w:p>
              </w:tc>
              <w:tc>
                <w:tcPr>
                  <w:tcW w:w="1471" w:type="dxa"/>
                </w:tcPr>
                <w:p w14:paraId="2244A62D" w14:textId="77777777" w:rsidR="00BD44B1" w:rsidRDefault="00BD44B1" w:rsidP="00CB1DB7">
                  <w:pPr>
                    <w:rPr>
                      <w:rFonts w:ascii="Calibri" w:hAnsi="Calibri"/>
                    </w:rPr>
                  </w:pPr>
                </w:p>
              </w:tc>
            </w:tr>
            <w:tr w:rsidR="00BD44B1" w14:paraId="64445927" w14:textId="77777777" w:rsidTr="00BD44B1">
              <w:tc>
                <w:tcPr>
                  <w:tcW w:w="4385" w:type="dxa"/>
                </w:tcPr>
                <w:p w14:paraId="5A5E4320" w14:textId="7E10D790" w:rsidR="00BD44B1" w:rsidRDefault="00BD44B1" w:rsidP="00CB1DB7">
                  <w:pPr>
                    <w:rPr>
                      <w:rFonts w:ascii="Calibri" w:hAnsi="Calibri"/>
                    </w:rPr>
                  </w:pPr>
                  <w:r>
                    <w:rPr>
                      <w:rFonts w:ascii="Calibri" w:hAnsi="Calibri"/>
                    </w:rPr>
                    <w:t>BBB</w:t>
                  </w:r>
                  <w:r w:rsidR="004A603D">
                    <w:rPr>
                      <w:rFonts w:ascii="Calibri" w:hAnsi="Calibri"/>
                    </w:rPr>
                    <w:t>-r</w:t>
                  </w:r>
                  <w:r>
                    <w:rPr>
                      <w:rFonts w:ascii="Calibri" w:hAnsi="Calibri"/>
                    </w:rPr>
                    <w:t>ated corporate loan</w:t>
                  </w:r>
                </w:p>
              </w:tc>
              <w:tc>
                <w:tcPr>
                  <w:tcW w:w="1471" w:type="dxa"/>
                </w:tcPr>
                <w:p w14:paraId="6D41FF4F" w14:textId="77777777" w:rsidR="00BD44B1" w:rsidRDefault="00BD44B1" w:rsidP="00CB1DB7">
                  <w:pPr>
                    <w:rPr>
                      <w:rFonts w:ascii="Calibri" w:hAnsi="Calibri"/>
                    </w:rPr>
                  </w:pPr>
                </w:p>
              </w:tc>
            </w:tr>
            <w:tr w:rsidR="00BD44B1" w14:paraId="374CE5BD" w14:textId="77777777" w:rsidTr="00BD44B1">
              <w:tc>
                <w:tcPr>
                  <w:tcW w:w="4385" w:type="dxa"/>
                </w:tcPr>
                <w:p w14:paraId="2D1D09A2" w14:textId="0B672224" w:rsidR="00BD44B1" w:rsidRDefault="00BD44B1" w:rsidP="00CB1DB7">
                  <w:pPr>
                    <w:rPr>
                      <w:rFonts w:ascii="Calibri" w:hAnsi="Calibri"/>
                    </w:rPr>
                  </w:pPr>
                  <w:r>
                    <w:rPr>
                      <w:rFonts w:ascii="Calibri" w:hAnsi="Calibri"/>
                    </w:rPr>
                    <w:t>Loan to I</w:t>
                  </w:r>
                  <w:r w:rsidR="004A603D">
                    <w:rPr>
                      <w:rFonts w:ascii="Calibri" w:hAnsi="Calibri"/>
                    </w:rPr>
                    <w:t xml:space="preserve">nternational </w:t>
                  </w:r>
                  <w:r>
                    <w:rPr>
                      <w:rFonts w:ascii="Calibri" w:hAnsi="Calibri"/>
                    </w:rPr>
                    <w:t>M</w:t>
                  </w:r>
                  <w:r w:rsidR="004A603D">
                    <w:rPr>
                      <w:rFonts w:ascii="Calibri" w:hAnsi="Calibri"/>
                    </w:rPr>
                    <w:t xml:space="preserve">onetary </w:t>
                  </w:r>
                  <w:r>
                    <w:rPr>
                      <w:rFonts w:ascii="Calibri" w:hAnsi="Calibri"/>
                    </w:rPr>
                    <w:t>F</w:t>
                  </w:r>
                  <w:r w:rsidR="004A603D">
                    <w:rPr>
                      <w:rFonts w:ascii="Calibri" w:hAnsi="Calibri"/>
                    </w:rPr>
                    <w:t>und</w:t>
                  </w:r>
                  <w:r w:rsidR="004778F2">
                    <w:rPr>
                      <w:rFonts w:ascii="Calibri" w:hAnsi="Calibri"/>
                    </w:rPr>
                    <w:t xml:space="preserve"> (IMF)</w:t>
                  </w:r>
                </w:p>
              </w:tc>
              <w:tc>
                <w:tcPr>
                  <w:tcW w:w="1471" w:type="dxa"/>
                </w:tcPr>
                <w:p w14:paraId="4E0744DF" w14:textId="77777777" w:rsidR="00BD44B1" w:rsidRDefault="00BD44B1" w:rsidP="00CB1DB7">
                  <w:pPr>
                    <w:rPr>
                      <w:rFonts w:ascii="Calibri" w:hAnsi="Calibri"/>
                    </w:rPr>
                  </w:pPr>
                </w:p>
              </w:tc>
            </w:tr>
            <w:tr w:rsidR="00BD44B1" w14:paraId="39F7E476" w14:textId="77777777" w:rsidTr="00BD44B1">
              <w:tc>
                <w:tcPr>
                  <w:tcW w:w="4385" w:type="dxa"/>
                </w:tcPr>
                <w:p w14:paraId="69D8E8CA" w14:textId="142FD30B" w:rsidR="00BD44B1" w:rsidRDefault="00A93EFE" w:rsidP="00CB1DB7">
                  <w:pPr>
                    <w:rPr>
                      <w:rFonts w:ascii="Calibri" w:hAnsi="Calibri"/>
                    </w:rPr>
                  </w:pPr>
                  <w:r>
                    <w:rPr>
                      <w:rFonts w:ascii="Calibri" w:hAnsi="Calibri"/>
                    </w:rPr>
                    <w:t>Lo</w:t>
                  </w:r>
                  <w:r w:rsidR="00CA222B">
                    <w:rPr>
                      <w:rFonts w:ascii="Calibri" w:hAnsi="Calibri"/>
                    </w:rPr>
                    <w:t>a</w:t>
                  </w:r>
                  <w:r>
                    <w:rPr>
                      <w:rFonts w:ascii="Calibri" w:hAnsi="Calibri"/>
                    </w:rPr>
                    <w:t>n to A</w:t>
                  </w:r>
                  <w:r w:rsidR="00320EFA">
                    <w:rPr>
                      <w:rFonts w:ascii="Calibri" w:hAnsi="Calibri"/>
                    </w:rPr>
                    <w:t>A</w:t>
                  </w:r>
                  <w:r w:rsidR="00E74735">
                    <w:rPr>
                      <w:rFonts w:ascii="Calibri" w:hAnsi="Calibri"/>
                    </w:rPr>
                    <w:t>-</w:t>
                  </w:r>
                  <w:r>
                    <w:rPr>
                      <w:rFonts w:ascii="Calibri" w:hAnsi="Calibri"/>
                    </w:rPr>
                    <w:t>rated financial institution</w:t>
                  </w:r>
                </w:p>
              </w:tc>
              <w:tc>
                <w:tcPr>
                  <w:tcW w:w="1471" w:type="dxa"/>
                </w:tcPr>
                <w:p w14:paraId="41677B74" w14:textId="77777777" w:rsidR="00BD44B1" w:rsidRDefault="00BD44B1" w:rsidP="00CB1DB7">
                  <w:pPr>
                    <w:rPr>
                      <w:rFonts w:ascii="Calibri" w:hAnsi="Calibri"/>
                    </w:rPr>
                  </w:pPr>
                </w:p>
              </w:tc>
            </w:tr>
          </w:tbl>
          <w:p w14:paraId="75C42683" w14:textId="01066DFF" w:rsidR="00AE52F5" w:rsidRDefault="00AE52F5" w:rsidP="00CB1DB7">
            <w:pPr>
              <w:rPr>
                <w:rFonts w:ascii="Calibri" w:hAnsi="Calibri"/>
              </w:rPr>
            </w:pPr>
          </w:p>
          <w:p w14:paraId="4210B531" w14:textId="717B4841" w:rsidR="007D3B17" w:rsidRPr="002C5E28" w:rsidRDefault="007D3B17" w:rsidP="00CB1DB7">
            <w:pPr>
              <w:rPr>
                <w:rFonts w:ascii="Calibri" w:hAnsi="Calibri"/>
              </w:rPr>
            </w:pPr>
          </w:p>
        </w:tc>
      </w:tr>
    </w:tbl>
    <w:p w14:paraId="1FBFE683" w14:textId="77777777" w:rsidR="004B7137" w:rsidRDefault="004B7137" w:rsidP="00CB1DB7">
      <w:pPr>
        <w:rPr>
          <w:rFonts w:ascii="Calibri" w:hAnsi="Calibri"/>
        </w:rPr>
      </w:pPr>
    </w:p>
    <w:p w14:paraId="67BC89A3" w14:textId="31CD21F3" w:rsidR="00612BA0" w:rsidRDefault="00612BA0" w:rsidP="00612BA0">
      <w:pPr>
        <w:pStyle w:val="Heading3"/>
      </w:pPr>
      <w:r>
        <w:t>4.3.1 Regulatory capital formula</w:t>
      </w:r>
    </w:p>
    <w:p w14:paraId="259C4038" w14:textId="77777777" w:rsidR="00612BA0" w:rsidRPr="00612BA0" w:rsidRDefault="00612BA0" w:rsidP="00612BA0"/>
    <w:p w14:paraId="761F1568" w14:textId="0A262067" w:rsidR="00BB50F4" w:rsidRDefault="007A56DF" w:rsidP="007A56DF">
      <w:pPr>
        <w:rPr>
          <w:rFonts w:ascii="Calibri" w:hAnsi="Calibri"/>
        </w:rPr>
      </w:pPr>
      <w:r>
        <w:rPr>
          <w:rFonts w:ascii="Calibri" w:hAnsi="Calibri"/>
        </w:rPr>
        <w:t>The amount of regulatory capital a bank need</w:t>
      </w:r>
      <w:r w:rsidR="00631B6A">
        <w:rPr>
          <w:rFonts w:ascii="Calibri" w:hAnsi="Calibri"/>
        </w:rPr>
        <w:t>s</w:t>
      </w:r>
      <w:r>
        <w:rPr>
          <w:rFonts w:ascii="Calibri" w:hAnsi="Calibri"/>
        </w:rPr>
        <w:t xml:space="preserve"> to hold is then calculated using the formula:</w:t>
      </w:r>
    </w:p>
    <w:p w14:paraId="24B2602E" w14:textId="2B1E4E11" w:rsidR="00D81808" w:rsidRPr="00D72EF6" w:rsidRDefault="00D81808" w:rsidP="00995C3A">
      <w:pPr>
        <w:jc w:val="center"/>
        <w:rPr>
          <w:rFonts w:eastAsia="Times New Roman"/>
        </w:rPr>
      </w:pPr>
      <w:r w:rsidRPr="00995C3A">
        <w:rPr>
          <w:rStyle w:val="Emphasis"/>
          <w:rFonts w:ascii="Helvetica" w:eastAsia="Times New Roman" w:hAnsi="Helvetica"/>
          <w:b/>
          <w:bCs/>
          <w:i w:val="0"/>
          <w:iCs w:val="0"/>
          <w:color w:val="111111"/>
          <w:sz w:val="26"/>
          <w:szCs w:val="26"/>
        </w:rPr>
        <w:t>Capital-</w:t>
      </w:r>
      <w:r w:rsidR="00631B6A" w:rsidRPr="00995C3A">
        <w:rPr>
          <w:rStyle w:val="Emphasis"/>
          <w:rFonts w:ascii="Helvetica" w:eastAsia="Times New Roman" w:hAnsi="Helvetica"/>
          <w:b/>
          <w:bCs/>
          <w:i w:val="0"/>
          <w:iCs w:val="0"/>
          <w:color w:val="111111"/>
          <w:sz w:val="26"/>
          <w:szCs w:val="26"/>
        </w:rPr>
        <w:t>to</w:t>
      </w:r>
      <w:r w:rsidRPr="00995C3A">
        <w:rPr>
          <w:rStyle w:val="Emphasis"/>
          <w:rFonts w:ascii="Helvetica" w:eastAsia="Times New Roman" w:hAnsi="Helvetica"/>
          <w:b/>
          <w:bCs/>
          <w:i w:val="0"/>
          <w:iCs w:val="0"/>
          <w:color w:val="111111"/>
          <w:sz w:val="26"/>
          <w:szCs w:val="26"/>
        </w:rPr>
        <w:t>-RWA = Capital / R</w:t>
      </w:r>
      <w:r w:rsidR="00631B6A" w:rsidRPr="00995C3A">
        <w:rPr>
          <w:rStyle w:val="Emphasis"/>
          <w:rFonts w:ascii="Helvetica" w:eastAsia="Times New Roman" w:hAnsi="Helvetica"/>
          <w:b/>
          <w:bCs/>
          <w:i w:val="0"/>
          <w:iCs w:val="0"/>
          <w:color w:val="111111"/>
          <w:sz w:val="26"/>
          <w:szCs w:val="26"/>
        </w:rPr>
        <w:t>WA</w:t>
      </w:r>
    </w:p>
    <w:p w14:paraId="279EF832" w14:textId="43333770" w:rsidR="00CB1DB7" w:rsidRDefault="00C7625E" w:rsidP="007A56DF">
      <w:pPr>
        <w:rPr>
          <w:rFonts w:ascii="Calibri" w:hAnsi="Calibri"/>
        </w:rPr>
      </w:pPr>
      <w:r>
        <w:rPr>
          <w:rFonts w:ascii="Calibri" w:hAnsi="Calibri"/>
        </w:rPr>
        <w:t xml:space="preserve">where </w:t>
      </w:r>
      <w:r w:rsidR="007A56DF">
        <w:rPr>
          <w:rFonts w:ascii="Calibri" w:hAnsi="Calibri"/>
        </w:rPr>
        <w:t>capital-to-RWA is set by the regulator and is generally 8%, although it can be higher</w:t>
      </w:r>
      <w:r>
        <w:rPr>
          <w:rFonts w:ascii="Calibri" w:hAnsi="Calibri"/>
        </w:rPr>
        <w:t>.</w:t>
      </w:r>
    </w:p>
    <w:p w14:paraId="71A324E8" w14:textId="77777777" w:rsidR="00277DEC" w:rsidRDefault="00277DEC">
      <w:pPr>
        <w:spacing w:after="0" w:line="240" w:lineRule="auto"/>
        <w:rPr>
          <w:rFonts w:ascii="Calibri" w:hAnsi="Calibri"/>
          <w:b/>
          <w:bCs/>
        </w:rPr>
      </w:pPr>
      <w:r>
        <w:rPr>
          <w:rFonts w:ascii="Calibri" w:hAnsi="Calibri"/>
          <w:b/>
          <w:bCs/>
        </w:rPr>
        <w:br w:type="page"/>
      </w:r>
    </w:p>
    <w:p w14:paraId="30B1EE95" w14:textId="39364288" w:rsidR="00A67FB3" w:rsidRDefault="00A67FB3" w:rsidP="00995C3A">
      <w:pPr>
        <w:pBdr>
          <w:top w:val="single" w:sz="4" w:space="1" w:color="auto"/>
          <w:left w:val="single" w:sz="4" w:space="4" w:color="auto"/>
          <w:bottom w:val="single" w:sz="4" w:space="1" w:color="auto"/>
          <w:right w:val="single" w:sz="4" w:space="4" w:color="auto"/>
        </w:pBdr>
        <w:rPr>
          <w:rFonts w:ascii="Calibri" w:hAnsi="Calibri"/>
          <w:b/>
          <w:bCs/>
        </w:rPr>
      </w:pPr>
      <w:r>
        <w:rPr>
          <w:rFonts w:ascii="Calibri" w:hAnsi="Calibri"/>
          <w:b/>
          <w:bCs/>
        </w:rPr>
        <w:lastRenderedPageBreak/>
        <w:t>Example: regulatory capital calculation</w:t>
      </w:r>
    </w:p>
    <w:p w14:paraId="41D968B4" w14:textId="36709161" w:rsidR="00A67FB3" w:rsidRDefault="00187D7B" w:rsidP="00995C3A">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 xml:space="preserve">Assuming capital-to-RWA is 8% and a bank’s RWA is </w:t>
      </w:r>
      <w:r w:rsidR="0087674A">
        <w:rPr>
          <w:rFonts w:ascii="Calibri" w:hAnsi="Calibri"/>
        </w:rPr>
        <w:t>US$4,500,000:</w:t>
      </w:r>
    </w:p>
    <w:p w14:paraId="17860238" w14:textId="011D941E" w:rsidR="0087674A" w:rsidRDefault="0087674A" w:rsidP="00995C3A">
      <w:pPr>
        <w:pBdr>
          <w:top w:val="single" w:sz="4" w:space="1" w:color="auto"/>
          <w:left w:val="single" w:sz="4" w:space="4" w:color="auto"/>
          <w:bottom w:val="single" w:sz="4" w:space="1" w:color="auto"/>
          <w:right w:val="single" w:sz="4" w:space="4" w:color="auto"/>
        </w:pBdr>
        <w:jc w:val="center"/>
        <w:rPr>
          <w:rFonts w:ascii="Calibri" w:hAnsi="Calibri"/>
        </w:rPr>
      </w:pPr>
      <w:r>
        <w:rPr>
          <w:rFonts w:ascii="Calibri" w:hAnsi="Calibri"/>
        </w:rPr>
        <w:t xml:space="preserve">8% = </w:t>
      </w:r>
      <w:r w:rsidR="003109D2" w:rsidRPr="00995C3A">
        <w:rPr>
          <w:rFonts w:ascii="Calibri" w:hAnsi="Calibri"/>
        </w:rPr>
        <w:t>C</w:t>
      </w:r>
      <w:r w:rsidR="003109D2" w:rsidRPr="00013E1D">
        <w:rPr>
          <w:rFonts w:ascii="Calibri" w:hAnsi="Calibri"/>
        </w:rPr>
        <w:t>apital</w:t>
      </w:r>
      <w:r w:rsidR="003109D2">
        <w:rPr>
          <w:rFonts w:ascii="Calibri" w:hAnsi="Calibri"/>
        </w:rPr>
        <w:t xml:space="preserve"> / US$4,500,000</w:t>
      </w:r>
    </w:p>
    <w:p w14:paraId="724FEF09" w14:textId="7CC461D3" w:rsidR="003109D2" w:rsidRPr="00013E1D" w:rsidRDefault="003109D2" w:rsidP="00995C3A">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 xml:space="preserve">So regulatory capital </w:t>
      </w:r>
      <w:r w:rsidR="00E658B2">
        <w:rPr>
          <w:rFonts w:ascii="Calibri" w:hAnsi="Calibri"/>
        </w:rPr>
        <w:t xml:space="preserve">= 0.08 </w:t>
      </w:r>
      <w:r w:rsidR="00E658B2">
        <w:rPr>
          <w:rFonts w:ascii="Calibri" w:hAnsi="Calibri" w:cs="Calibri"/>
        </w:rPr>
        <w:t>×</w:t>
      </w:r>
      <w:r w:rsidR="00E658B2">
        <w:rPr>
          <w:rFonts w:ascii="Calibri" w:hAnsi="Calibri"/>
        </w:rPr>
        <w:t xml:space="preserve"> 4,500,000 = </w:t>
      </w:r>
      <w:r w:rsidR="00E658B2" w:rsidRPr="00995C3A">
        <w:rPr>
          <w:rFonts w:ascii="Calibri" w:hAnsi="Calibri"/>
          <w:b/>
          <w:bCs/>
        </w:rPr>
        <w:t>US$</w:t>
      </w:r>
      <w:r w:rsidR="00FB1CA7" w:rsidRPr="00995C3A">
        <w:rPr>
          <w:rFonts w:ascii="Calibri" w:hAnsi="Calibri"/>
          <w:b/>
          <w:bCs/>
        </w:rPr>
        <w:t>360,000</w:t>
      </w:r>
      <w:r w:rsidR="00FB1CA7">
        <w:rPr>
          <w:rFonts w:ascii="Calibri" w:hAnsi="Calibri"/>
        </w:rPr>
        <w:t>.</w:t>
      </w:r>
    </w:p>
    <w:p w14:paraId="7B7FF6A2" w14:textId="77777777" w:rsidR="00AE52F5" w:rsidRDefault="00AE52F5" w:rsidP="00CB1DB7">
      <w:pPr>
        <w:rPr>
          <w:rFonts w:ascii="Calibri" w:hAnsi="Calibri"/>
        </w:rPr>
      </w:pPr>
    </w:p>
    <w:tbl>
      <w:tblPr>
        <w:tblStyle w:val="TableGrid"/>
        <w:tblW w:w="0" w:type="auto"/>
        <w:tblLook w:val="04A0" w:firstRow="1" w:lastRow="0" w:firstColumn="1" w:lastColumn="0" w:noHBand="0" w:noVBand="1"/>
      </w:tblPr>
      <w:tblGrid>
        <w:gridCol w:w="9010"/>
      </w:tblGrid>
      <w:tr w:rsidR="007A56DF" w14:paraId="47AB2B82" w14:textId="77777777" w:rsidTr="008D4B19">
        <w:tc>
          <w:tcPr>
            <w:tcW w:w="9010" w:type="dxa"/>
          </w:tcPr>
          <w:p w14:paraId="22B2B533" w14:textId="1EE2A65F" w:rsidR="007A56DF" w:rsidRDefault="00020C16" w:rsidP="008D4B19">
            <w:pPr>
              <w:rPr>
                <w:rFonts w:ascii="Calibri" w:hAnsi="Calibri"/>
              </w:rPr>
            </w:pPr>
            <w:r>
              <w:rPr>
                <w:rFonts w:ascii="Calibri" w:hAnsi="Calibri"/>
                <w:b/>
                <w:bCs/>
              </w:rPr>
              <w:t>Activity: regulatory capital</w:t>
            </w:r>
          </w:p>
          <w:p w14:paraId="51D1B0B2" w14:textId="537E4EC6" w:rsidR="007A56DF" w:rsidRDefault="00020C16" w:rsidP="008D4B19">
            <w:pPr>
              <w:rPr>
                <w:rFonts w:ascii="Calibri" w:hAnsi="Calibri"/>
              </w:rPr>
            </w:pPr>
            <w:r>
              <w:rPr>
                <w:rFonts w:ascii="Calibri" w:hAnsi="Calibri"/>
              </w:rPr>
              <w:t xml:space="preserve">Using </w:t>
            </w:r>
            <w:r w:rsidR="007A56DF">
              <w:rPr>
                <w:rFonts w:ascii="Calibri" w:hAnsi="Calibri"/>
              </w:rPr>
              <w:t>the exposures and risk weights</w:t>
            </w:r>
            <w:r>
              <w:rPr>
                <w:rFonts w:ascii="Calibri" w:hAnsi="Calibri"/>
              </w:rPr>
              <w:t xml:space="preserve"> below</w:t>
            </w:r>
            <w:r w:rsidR="007A56DF">
              <w:rPr>
                <w:rFonts w:ascii="Calibri" w:hAnsi="Calibri"/>
              </w:rPr>
              <w:t>, calculate the regulatory capital required if the capital-to-RWA is 8%</w:t>
            </w:r>
            <w:r>
              <w:rPr>
                <w:rFonts w:ascii="Calibri" w:hAnsi="Calibri"/>
              </w:rPr>
              <w:t>.</w:t>
            </w:r>
          </w:p>
          <w:p w14:paraId="34BEEFD8" w14:textId="77777777" w:rsidR="007A56DF" w:rsidRDefault="007A56DF" w:rsidP="008D4B19">
            <w:pPr>
              <w:rPr>
                <w:rFonts w:ascii="Calibri" w:hAnsi="Calibri"/>
              </w:rPr>
            </w:pPr>
          </w:p>
          <w:tbl>
            <w:tblPr>
              <w:tblStyle w:val="TableGrid"/>
              <w:tblW w:w="0" w:type="auto"/>
              <w:tblLook w:val="04A0" w:firstRow="1" w:lastRow="0" w:firstColumn="1" w:lastColumn="0" w:noHBand="0" w:noVBand="1"/>
            </w:tblPr>
            <w:tblGrid>
              <w:gridCol w:w="3563"/>
              <w:gridCol w:w="1701"/>
              <w:gridCol w:w="1701"/>
              <w:gridCol w:w="1701"/>
            </w:tblGrid>
            <w:tr w:rsidR="00262FC1" w:rsidRPr="007A56DF" w14:paraId="4764D7DE" w14:textId="19FC04C5" w:rsidTr="00EC7A8F">
              <w:tc>
                <w:tcPr>
                  <w:tcW w:w="3563" w:type="dxa"/>
                </w:tcPr>
                <w:p w14:paraId="1C0403D1" w14:textId="2FA0ED74" w:rsidR="00262FC1" w:rsidRPr="007A56DF" w:rsidRDefault="00BE3714" w:rsidP="008D4B19">
                  <w:pPr>
                    <w:rPr>
                      <w:rFonts w:ascii="Calibri" w:hAnsi="Calibri"/>
                      <w:b/>
                      <w:bCs/>
                    </w:rPr>
                  </w:pPr>
                  <w:r>
                    <w:rPr>
                      <w:rFonts w:ascii="Calibri" w:hAnsi="Calibri"/>
                      <w:b/>
                      <w:bCs/>
                    </w:rPr>
                    <w:t>Client/loan</w:t>
                  </w:r>
                </w:p>
              </w:tc>
              <w:tc>
                <w:tcPr>
                  <w:tcW w:w="1701" w:type="dxa"/>
                </w:tcPr>
                <w:p w14:paraId="6113344D" w14:textId="4BC247B8" w:rsidR="00262FC1" w:rsidRPr="007A56DF" w:rsidRDefault="00262FC1" w:rsidP="008D4B19">
                  <w:pPr>
                    <w:rPr>
                      <w:rFonts w:ascii="Calibri" w:hAnsi="Calibri"/>
                      <w:b/>
                      <w:bCs/>
                    </w:rPr>
                  </w:pPr>
                  <w:r w:rsidRPr="007A56DF">
                    <w:rPr>
                      <w:rFonts w:ascii="Calibri" w:hAnsi="Calibri"/>
                      <w:b/>
                      <w:bCs/>
                    </w:rPr>
                    <w:t xml:space="preserve">Risk </w:t>
                  </w:r>
                  <w:r>
                    <w:rPr>
                      <w:rFonts w:ascii="Calibri" w:hAnsi="Calibri"/>
                      <w:b/>
                      <w:bCs/>
                    </w:rPr>
                    <w:t>w</w:t>
                  </w:r>
                  <w:r w:rsidRPr="007A56DF">
                    <w:rPr>
                      <w:rFonts w:ascii="Calibri" w:hAnsi="Calibri"/>
                      <w:b/>
                      <w:bCs/>
                    </w:rPr>
                    <w:t>eight</w:t>
                  </w:r>
                </w:p>
              </w:tc>
              <w:tc>
                <w:tcPr>
                  <w:tcW w:w="1701" w:type="dxa"/>
                </w:tcPr>
                <w:p w14:paraId="786FC09B" w14:textId="2C685B9A" w:rsidR="00262FC1" w:rsidRPr="007A56DF" w:rsidRDefault="00262FC1" w:rsidP="008D4B19">
                  <w:pPr>
                    <w:rPr>
                      <w:rFonts w:ascii="Calibri" w:hAnsi="Calibri"/>
                      <w:b/>
                      <w:bCs/>
                    </w:rPr>
                  </w:pPr>
                  <w:r w:rsidRPr="007A56DF">
                    <w:rPr>
                      <w:rFonts w:ascii="Calibri" w:hAnsi="Calibri"/>
                      <w:b/>
                      <w:bCs/>
                    </w:rPr>
                    <w:t>Amount</w:t>
                  </w:r>
                  <w:r>
                    <w:rPr>
                      <w:rFonts w:ascii="Calibri" w:hAnsi="Calibri"/>
                      <w:b/>
                      <w:bCs/>
                    </w:rPr>
                    <w:t xml:space="preserve"> (US$)</w:t>
                  </w:r>
                </w:p>
              </w:tc>
              <w:tc>
                <w:tcPr>
                  <w:tcW w:w="1701" w:type="dxa"/>
                </w:tcPr>
                <w:p w14:paraId="744FC0F8" w14:textId="384A33BA" w:rsidR="00262FC1" w:rsidRPr="007A56DF" w:rsidRDefault="00262FC1" w:rsidP="008D4B19">
                  <w:pPr>
                    <w:rPr>
                      <w:rFonts w:ascii="Calibri" w:hAnsi="Calibri"/>
                      <w:b/>
                      <w:bCs/>
                    </w:rPr>
                  </w:pPr>
                  <w:r>
                    <w:rPr>
                      <w:rFonts w:ascii="Calibri" w:hAnsi="Calibri"/>
                      <w:b/>
                      <w:bCs/>
                    </w:rPr>
                    <w:t>RWA (US$)</w:t>
                  </w:r>
                </w:p>
              </w:tc>
            </w:tr>
            <w:tr w:rsidR="00262FC1" w:rsidRPr="007A56DF" w14:paraId="62230694" w14:textId="00D8DC13" w:rsidTr="00EC7A8F">
              <w:tc>
                <w:tcPr>
                  <w:tcW w:w="3563" w:type="dxa"/>
                </w:tcPr>
                <w:p w14:paraId="02BA324C" w14:textId="59BC5E4D" w:rsidR="00262FC1" w:rsidRPr="007A56DF" w:rsidRDefault="00262FC1" w:rsidP="008D4B19">
                  <w:pPr>
                    <w:rPr>
                      <w:rFonts w:ascii="Calibri" w:hAnsi="Calibri"/>
                    </w:rPr>
                  </w:pPr>
                  <w:r w:rsidRPr="007A56DF">
                    <w:rPr>
                      <w:rFonts w:ascii="Calibri" w:hAnsi="Calibri"/>
                    </w:rPr>
                    <w:t xml:space="preserve">US </w:t>
                  </w:r>
                  <w:r>
                    <w:rPr>
                      <w:rFonts w:ascii="Calibri" w:hAnsi="Calibri"/>
                    </w:rPr>
                    <w:t>g</w:t>
                  </w:r>
                  <w:r w:rsidRPr="007A56DF">
                    <w:rPr>
                      <w:rFonts w:ascii="Calibri" w:hAnsi="Calibri"/>
                    </w:rPr>
                    <w:t xml:space="preserve">overnment </w:t>
                  </w:r>
                  <w:r>
                    <w:rPr>
                      <w:rFonts w:ascii="Calibri" w:hAnsi="Calibri"/>
                    </w:rPr>
                    <w:t>b</w:t>
                  </w:r>
                  <w:r w:rsidRPr="007A56DF">
                    <w:rPr>
                      <w:rFonts w:ascii="Calibri" w:hAnsi="Calibri"/>
                    </w:rPr>
                    <w:t>ond</w:t>
                  </w:r>
                </w:p>
              </w:tc>
              <w:tc>
                <w:tcPr>
                  <w:tcW w:w="1701" w:type="dxa"/>
                </w:tcPr>
                <w:p w14:paraId="3C284E7F" w14:textId="77777777" w:rsidR="00262FC1" w:rsidRPr="007A56DF" w:rsidRDefault="00262FC1" w:rsidP="008D4B19">
                  <w:pPr>
                    <w:rPr>
                      <w:rFonts w:ascii="Calibri" w:hAnsi="Calibri"/>
                    </w:rPr>
                  </w:pPr>
                  <w:r w:rsidRPr="007A56DF">
                    <w:rPr>
                      <w:rFonts w:ascii="Calibri" w:hAnsi="Calibri"/>
                    </w:rPr>
                    <w:t>0%</w:t>
                  </w:r>
                </w:p>
              </w:tc>
              <w:tc>
                <w:tcPr>
                  <w:tcW w:w="1701" w:type="dxa"/>
                </w:tcPr>
                <w:p w14:paraId="28776482" w14:textId="2592B2F0" w:rsidR="00262FC1" w:rsidRPr="007A56DF" w:rsidRDefault="00262FC1" w:rsidP="008D4B19">
                  <w:pPr>
                    <w:rPr>
                      <w:rFonts w:ascii="Calibri" w:hAnsi="Calibri"/>
                    </w:rPr>
                  </w:pPr>
                  <w:r w:rsidRPr="007A56DF">
                    <w:rPr>
                      <w:rFonts w:ascii="Calibri" w:hAnsi="Calibri"/>
                    </w:rPr>
                    <w:t>US$10m</w:t>
                  </w:r>
                </w:p>
              </w:tc>
              <w:tc>
                <w:tcPr>
                  <w:tcW w:w="1701" w:type="dxa"/>
                </w:tcPr>
                <w:p w14:paraId="1A7F6F77" w14:textId="77777777" w:rsidR="00262FC1" w:rsidRPr="007A56DF" w:rsidRDefault="00262FC1" w:rsidP="008D4B19">
                  <w:pPr>
                    <w:rPr>
                      <w:rFonts w:ascii="Calibri" w:hAnsi="Calibri"/>
                    </w:rPr>
                  </w:pPr>
                </w:p>
              </w:tc>
            </w:tr>
            <w:tr w:rsidR="00262FC1" w:rsidRPr="007A56DF" w14:paraId="1EC7F545" w14:textId="2DE95184" w:rsidTr="00EC7A8F">
              <w:tc>
                <w:tcPr>
                  <w:tcW w:w="3563" w:type="dxa"/>
                </w:tcPr>
                <w:p w14:paraId="74C03DB2" w14:textId="07E7696C" w:rsidR="00262FC1" w:rsidRPr="007A56DF" w:rsidRDefault="00262FC1" w:rsidP="008D4B19">
                  <w:pPr>
                    <w:rPr>
                      <w:rFonts w:ascii="Calibri" w:hAnsi="Calibri"/>
                    </w:rPr>
                  </w:pPr>
                  <w:r w:rsidRPr="007A56DF">
                    <w:rPr>
                      <w:rFonts w:ascii="Calibri" w:hAnsi="Calibri"/>
                    </w:rPr>
                    <w:t xml:space="preserve">Residential </w:t>
                  </w:r>
                  <w:r>
                    <w:rPr>
                      <w:rFonts w:ascii="Calibri" w:hAnsi="Calibri"/>
                    </w:rPr>
                    <w:t>m</w:t>
                  </w:r>
                  <w:r w:rsidRPr="007A56DF">
                    <w:rPr>
                      <w:rFonts w:ascii="Calibri" w:hAnsi="Calibri"/>
                    </w:rPr>
                    <w:t>ortgage</w:t>
                  </w:r>
                </w:p>
              </w:tc>
              <w:tc>
                <w:tcPr>
                  <w:tcW w:w="1701" w:type="dxa"/>
                </w:tcPr>
                <w:p w14:paraId="0E0BBF04" w14:textId="77777777" w:rsidR="00262FC1" w:rsidRPr="007A56DF" w:rsidRDefault="00262FC1" w:rsidP="008D4B19">
                  <w:pPr>
                    <w:rPr>
                      <w:rFonts w:ascii="Calibri" w:hAnsi="Calibri"/>
                    </w:rPr>
                  </w:pPr>
                  <w:r w:rsidRPr="007A56DF">
                    <w:rPr>
                      <w:rFonts w:ascii="Calibri" w:hAnsi="Calibri"/>
                    </w:rPr>
                    <w:t>35%</w:t>
                  </w:r>
                </w:p>
              </w:tc>
              <w:tc>
                <w:tcPr>
                  <w:tcW w:w="1701" w:type="dxa"/>
                </w:tcPr>
                <w:p w14:paraId="46B35D3B" w14:textId="68B0980D" w:rsidR="00262FC1" w:rsidRPr="007A56DF" w:rsidRDefault="00262FC1" w:rsidP="008D4B19">
                  <w:pPr>
                    <w:rPr>
                      <w:rFonts w:ascii="Calibri" w:hAnsi="Calibri"/>
                    </w:rPr>
                  </w:pPr>
                  <w:r w:rsidRPr="007A56DF">
                    <w:rPr>
                      <w:rFonts w:ascii="Calibri" w:hAnsi="Calibri"/>
                    </w:rPr>
                    <w:t>US$750,000</w:t>
                  </w:r>
                </w:p>
              </w:tc>
              <w:tc>
                <w:tcPr>
                  <w:tcW w:w="1701" w:type="dxa"/>
                </w:tcPr>
                <w:p w14:paraId="6AE8FE31" w14:textId="77777777" w:rsidR="00262FC1" w:rsidRPr="007A56DF" w:rsidRDefault="00262FC1" w:rsidP="008D4B19">
                  <w:pPr>
                    <w:rPr>
                      <w:rFonts w:ascii="Calibri" w:hAnsi="Calibri"/>
                    </w:rPr>
                  </w:pPr>
                </w:p>
              </w:tc>
            </w:tr>
            <w:tr w:rsidR="00262FC1" w:rsidRPr="007A56DF" w14:paraId="20C741DA" w14:textId="1B170876" w:rsidTr="00EC7A8F">
              <w:tc>
                <w:tcPr>
                  <w:tcW w:w="3563" w:type="dxa"/>
                </w:tcPr>
                <w:p w14:paraId="78191F05" w14:textId="77777777" w:rsidR="00262FC1" w:rsidRPr="007A56DF" w:rsidRDefault="00262FC1" w:rsidP="008D4B19">
                  <w:pPr>
                    <w:rPr>
                      <w:rFonts w:ascii="Calibri" w:hAnsi="Calibri"/>
                    </w:rPr>
                  </w:pPr>
                  <w:r w:rsidRPr="007A56DF">
                    <w:rPr>
                      <w:rFonts w:ascii="Calibri" w:hAnsi="Calibri"/>
                    </w:rPr>
                    <w:t>Investment in shares</w:t>
                  </w:r>
                </w:p>
              </w:tc>
              <w:tc>
                <w:tcPr>
                  <w:tcW w:w="1701" w:type="dxa"/>
                </w:tcPr>
                <w:p w14:paraId="76C8038A" w14:textId="77777777" w:rsidR="00262FC1" w:rsidRPr="007A56DF" w:rsidRDefault="00262FC1" w:rsidP="008D4B19">
                  <w:pPr>
                    <w:rPr>
                      <w:rFonts w:ascii="Calibri" w:hAnsi="Calibri"/>
                    </w:rPr>
                  </w:pPr>
                  <w:r w:rsidRPr="007A56DF">
                    <w:rPr>
                      <w:rFonts w:ascii="Calibri" w:hAnsi="Calibri"/>
                    </w:rPr>
                    <w:t>100%</w:t>
                  </w:r>
                </w:p>
              </w:tc>
              <w:tc>
                <w:tcPr>
                  <w:tcW w:w="1701" w:type="dxa"/>
                </w:tcPr>
                <w:p w14:paraId="7B2BE791" w14:textId="09877B17" w:rsidR="00262FC1" w:rsidRPr="007A56DF" w:rsidRDefault="00262FC1" w:rsidP="008D4B19">
                  <w:pPr>
                    <w:rPr>
                      <w:rFonts w:ascii="Calibri" w:hAnsi="Calibri"/>
                    </w:rPr>
                  </w:pPr>
                  <w:r w:rsidRPr="007A56DF">
                    <w:rPr>
                      <w:rFonts w:ascii="Calibri" w:hAnsi="Calibri"/>
                    </w:rPr>
                    <w:t>US$2m</w:t>
                  </w:r>
                </w:p>
              </w:tc>
              <w:tc>
                <w:tcPr>
                  <w:tcW w:w="1701" w:type="dxa"/>
                </w:tcPr>
                <w:p w14:paraId="5DAC5608" w14:textId="77777777" w:rsidR="00262FC1" w:rsidRPr="007A56DF" w:rsidRDefault="00262FC1" w:rsidP="008D4B19">
                  <w:pPr>
                    <w:rPr>
                      <w:rFonts w:ascii="Calibri" w:hAnsi="Calibri"/>
                    </w:rPr>
                  </w:pPr>
                </w:p>
              </w:tc>
            </w:tr>
            <w:tr w:rsidR="00262FC1" w:rsidRPr="007A56DF" w14:paraId="4DB35233" w14:textId="2DA84EF4" w:rsidTr="00EC7A8F">
              <w:trPr>
                <w:trHeight w:val="323"/>
              </w:trPr>
              <w:tc>
                <w:tcPr>
                  <w:tcW w:w="3563" w:type="dxa"/>
                </w:tcPr>
                <w:p w14:paraId="173617D9" w14:textId="2D89DCB3" w:rsidR="00262FC1" w:rsidRPr="007A56DF" w:rsidRDefault="00262FC1" w:rsidP="008D4B19">
                  <w:pPr>
                    <w:rPr>
                      <w:rFonts w:ascii="Calibri" w:hAnsi="Calibri"/>
                    </w:rPr>
                  </w:pPr>
                  <w:r w:rsidRPr="007A56DF">
                    <w:rPr>
                      <w:rFonts w:ascii="Calibri" w:hAnsi="Calibri"/>
                    </w:rPr>
                    <w:t>BBB</w:t>
                  </w:r>
                  <w:r>
                    <w:rPr>
                      <w:rFonts w:ascii="Calibri" w:hAnsi="Calibri"/>
                    </w:rPr>
                    <w:t>-r</w:t>
                  </w:r>
                  <w:r w:rsidRPr="007A56DF">
                    <w:rPr>
                      <w:rFonts w:ascii="Calibri" w:hAnsi="Calibri"/>
                    </w:rPr>
                    <w:t>ated corporate loan</w:t>
                  </w:r>
                </w:p>
              </w:tc>
              <w:tc>
                <w:tcPr>
                  <w:tcW w:w="1701" w:type="dxa"/>
                </w:tcPr>
                <w:p w14:paraId="113D9688" w14:textId="77777777" w:rsidR="00262FC1" w:rsidRPr="007A56DF" w:rsidRDefault="00262FC1" w:rsidP="008D4B19">
                  <w:pPr>
                    <w:rPr>
                      <w:rFonts w:ascii="Calibri" w:hAnsi="Calibri"/>
                    </w:rPr>
                  </w:pPr>
                  <w:r w:rsidRPr="007A56DF">
                    <w:rPr>
                      <w:rFonts w:ascii="Calibri" w:hAnsi="Calibri"/>
                    </w:rPr>
                    <w:t>100%</w:t>
                  </w:r>
                </w:p>
              </w:tc>
              <w:tc>
                <w:tcPr>
                  <w:tcW w:w="1701" w:type="dxa"/>
                </w:tcPr>
                <w:p w14:paraId="12BCA4E8" w14:textId="1CE49379" w:rsidR="00262FC1" w:rsidRPr="007A56DF" w:rsidRDefault="00262FC1" w:rsidP="008D4B19">
                  <w:pPr>
                    <w:rPr>
                      <w:rFonts w:ascii="Calibri" w:hAnsi="Calibri"/>
                    </w:rPr>
                  </w:pPr>
                  <w:r w:rsidRPr="007A56DF">
                    <w:rPr>
                      <w:rFonts w:ascii="Calibri" w:hAnsi="Calibri"/>
                    </w:rPr>
                    <w:t>US$250,000</w:t>
                  </w:r>
                </w:p>
              </w:tc>
              <w:tc>
                <w:tcPr>
                  <w:tcW w:w="1701" w:type="dxa"/>
                </w:tcPr>
                <w:p w14:paraId="2CE9A61B" w14:textId="77777777" w:rsidR="00262FC1" w:rsidRPr="007A56DF" w:rsidRDefault="00262FC1" w:rsidP="008D4B19">
                  <w:pPr>
                    <w:rPr>
                      <w:rFonts w:ascii="Calibri" w:hAnsi="Calibri"/>
                    </w:rPr>
                  </w:pPr>
                </w:p>
              </w:tc>
            </w:tr>
            <w:tr w:rsidR="00262FC1" w:rsidRPr="007A56DF" w14:paraId="4981BDE8" w14:textId="3590CEA1" w:rsidTr="00EC7A8F">
              <w:tc>
                <w:tcPr>
                  <w:tcW w:w="3563" w:type="dxa"/>
                </w:tcPr>
                <w:p w14:paraId="73654CDD" w14:textId="77777777" w:rsidR="00262FC1" w:rsidRPr="007A56DF" w:rsidRDefault="00262FC1" w:rsidP="008D4B19">
                  <w:pPr>
                    <w:rPr>
                      <w:rFonts w:ascii="Calibri" w:hAnsi="Calibri"/>
                    </w:rPr>
                  </w:pPr>
                  <w:r w:rsidRPr="007A56DF">
                    <w:rPr>
                      <w:rFonts w:ascii="Calibri" w:hAnsi="Calibri"/>
                    </w:rPr>
                    <w:t>Loan to IMF</w:t>
                  </w:r>
                </w:p>
              </w:tc>
              <w:tc>
                <w:tcPr>
                  <w:tcW w:w="1701" w:type="dxa"/>
                </w:tcPr>
                <w:p w14:paraId="10429F11" w14:textId="77777777" w:rsidR="00262FC1" w:rsidRPr="007A56DF" w:rsidRDefault="00262FC1" w:rsidP="008D4B19">
                  <w:pPr>
                    <w:rPr>
                      <w:rFonts w:ascii="Calibri" w:hAnsi="Calibri"/>
                    </w:rPr>
                  </w:pPr>
                  <w:r w:rsidRPr="007A56DF">
                    <w:rPr>
                      <w:rFonts w:ascii="Calibri" w:hAnsi="Calibri"/>
                    </w:rPr>
                    <w:t>0%</w:t>
                  </w:r>
                </w:p>
              </w:tc>
              <w:tc>
                <w:tcPr>
                  <w:tcW w:w="1701" w:type="dxa"/>
                </w:tcPr>
                <w:p w14:paraId="6095E860" w14:textId="77951955" w:rsidR="00262FC1" w:rsidRPr="007A56DF" w:rsidRDefault="00262FC1" w:rsidP="008D4B19">
                  <w:pPr>
                    <w:rPr>
                      <w:rFonts w:ascii="Calibri" w:hAnsi="Calibri"/>
                    </w:rPr>
                  </w:pPr>
                  <w:r w:rsidRPr="007A56DF">
                    <w:rPr>
                      <w:rFonts w:ascii="Calibri" w:hAnsi="Calibri"/>
                    </w:rPr>
                    <w:t>US$1m</w:t>
                  </w:r>
                </w:p>
              </w:tc>
              <w:tc>
                <w:tcPr>
                  <w:tcW w:w="1701" w:type="dxa"/>
                </w:tcPr>
                <w:p w14:paraId="0F53CE3C" w14:textId="77777777" w:rsidR="00262FC1" w:rsidRPr="007A56DF" w:rsidRDefault="00262FC1" w:rsidP="008D4B19">
                  <w:pPr>
                    <w:rPr>
                      <w:rFonts w:ascii="Calibri" w:hAnsi="Calibri"/>
                    </w:rPr>
                  </w:pPr>
                </w:p>
              </w:tc>
            </w:tr>
            <w:tr w:rsidR="00262FC1" w:rsidRPr="007A56DF" w14:paraId="498958D4" w14:textId="66752790" w:rsidTr="00EC7A8F">
              <w:tc>
                <w:tcPr>
                  <w:tcW w:w="3563" w:type="dxa"/>
                </w:tcPr>
                <w:p w14:paraId="115F47B9" w14:textId="16FB16DB" w:rsidR="00262FC1" w:rsidRPr="007A56DF" w:rsidRDefault="00262FC1" w:rsidP="008D4B19">
                  <w:pPr>
                    <w:rPr>
                      <w:rFonts w:ascii="Calibri" w:hAnsi="Calibri"/>
                    </w:rPr>
                  </w:pPr>
                  <w:r w:rsidRPr="007A56DF">
                    <w:rPr>
                      <w:rFonts w:ascii="Calibri" w:hAnsi="Calibri"/>
                    </w:rPr>
                    <w:t>Loan to A</w:t>
                  </w:r>
                  <w:r w:rsidR="006D1A7C">
                    <w:rPr>
                      <w:rFonts w:ascii="Calibri" w:hAnsi="Calibri"/>
                    </w:rPr>
                    <w:t>A</w:t>
                  </w:r>
                  <w:r>
                    <w:rPr>
                      <w:rFonts w:ascii="Calibri" w:hAnsi="Calibri"/>
                    </w:rPr>
                    <w:t>-</w:t>
                  </w:r>
                  <w:r w:rsidRPr="007A56DF">
                    <w:rPr>
                      <w:rFonts w:ascii="Calibri" w:hAnsi="Calibri"/>
                    </w:rPr>
                    <w:t>rated financial institution</w:t>
                  </w:r>
                </w:p>
              </w:tc>
              <w:tc>
                <w:tcPr>
                  <w:tcW w:w="1701" w:type="dxa"/>
                </w:tcPr>
                <w:p w14:paraId="0F4F40E7" w14:textId="2C22814B" w:rsidR="00262FC1" w:rsidRPr="007A56DF" w:rsidRDefault="006D1A7C" w:rsidP="008D4B19">
                  <w:pPr>
                    <w:rPr>
                      <w:rFonts w:ascii="Calibri" w:hAnsi="Calibri"/>
                    </w:rPr>
                  </w:pPr>
                  <w:r>
                    <w:rPr>
                      <w:rFonts w:ascii="Calibri" w:hAnsi="Calibri"/>
                    </w:rPr>
                    <w:t>2</w:t>
                  </w:r>
                  <w:r w:rsidRPr="007A56DF">
                    <w:rPr>
                      <w:rFonts w:ascii="Calibri" w:hAnsi="Calibri"/>
                    </w:rPr>
                    <w:t>0</w:t>
                  </w:r>
                  <w:r w:rsidR="00262FC1" w:rsidRPr="007A56DF">
                    <w:rPr>
                      <w:rFonts w:ascii="Calibri" w:hAnsi="Calibri"/>
                    </w:rPr>
                    <w:t>%</w:t>
                  </w:r>
                </w:p>
              </w:tc>
              <w:tc>
                <w:tcPr>
                  <w:tcW w:w="1701" w:type="dxa"/>
                </w:tcPr>
                <w:p w14:paraId="1D42E05D" w14:textId="6561B156" w:rsidR="00262FC1" w:rsidRPr="007A56DF" w:rsidRDefault="00262FC1" w:rsidP="008D4B19">
                  <w:pPr>
                    <w:rPr>
                      <w:rFonts w:ascii="Calibri" w:hAnsi="Calibri"/>
                    </w:rPr>
                  </w:pPr>
                  <w:r w:rsidRPr="007A56DF">
                    <w:rPr>
                      <w:rFonts w:ascii="Calibri" w:hAnsi="Calibri"/>
                    </w:rPr>
                    <w:t>US$850,000</w:t>
                  </w:r>
                </w:p>
              </w:tc>
              <w:tc>
                <w:tcPr>
                  <w:tcW w:w="1701" w:type="dxa"/>
                </w:tcPr>
                <w:p w14:paraId="377BA0F2" w14:textId="77777777" w:rsidR="00262FC1" w:rsidRPr="007A56DF" w:rsidRDefault="00262FC1" w:rsidP="008D4B19">
                  <w:pPr>
                    <w:rPr>
                      <w:rFonts w:ascii="Calibri" w:hAnsi="Calibri"/>
                    </w:rPr>
                  </w:pPr>
                </w:p>
              </w:tc>
            </w:tr>
            <w:tr w:rsidR="0030039E" w:rsidRPr="007A56DF" w14:paraId="38258843" w14:textId="77777777" w:rsidTr="00EC7A8F">
              <w:tc>
                <w:tcPr>
                  <w:tcW w:w="3563" w:type="dxa"/>
                </w:tcPr>
                <w:p w14:paraId="67D04765" w14:textId="5B320240" w:rsidR="0030039E" w:rsidRPr="00995C3A" w:rsidRDefault="0030039E" w:rsidP="008D4B19">
                  <w:pPr>
                    <w:rPr>
                      <w:rFonts w:ascii="Calibri" w:hAnsi="Calibri"/>
                      <w:b/>
                      <w:bCs/>
                    </w:rPr>
                  </w:pPr>
                  <w:r w:rsidRPr="00995C3A">
                    <w:rPr>
                      <w:rFonts w:ascii="Calibri" w:hAnsi="Calibri"/>
                      <w:b/>
                      <w:bCs/>
                    </w:rPr>
                    <w:t>Total</w:t>
                  </w:r>
                </w:p>
              </w:tc>
              <w:tc>
                <w:tcPr>
                  <w:tcW w:w="1701" w:type="dxa"/>
                </w:tcPr>
                <w:p w14:paraId="3C4FED98" w14:textId="77777777" w:rsidR="0030039E" w:rsidRPr="007A56DF" w:rsidRDefault="0030039E" w:rsidP="008D4B19">
                  <w:pPr>
                    <w:rPr>
                      <w:rFonts w:ascii="Calibri" w:hAnsi="Calibri"/>
                    </w:rPr>
                  </w:pPr>
                </w:p>
              </w:tc>
              <w:tc>
                <w:tcPr>
                  <w:tcW w:w="1701" w:type="dxa"/>
                </w:tcPr>
                <w:p w14:paraId="615ABC61" w14:textId="77777777" w:rsidR="0030039E" w:rsidRPr="007A56DF" w:rsidRDefault="0030039E" w:rsidP="008D4B19">
                  <w:pPr>
                    <w:rPr>
                      <w:rFonts w:ascii="Calibri" w:hAnsi="Calibri"/>
                    </w:rPr>
                  </w:pPr>
                </w:p>
              </w:tc>
              <w:tc>
                <w:tcPr>
                  <w:tcW w:w="1701" w:type="dxa"/>
                </w:tcPr>
                <w:p w14:paraId="70F9BF1C" w14:textId="77777777" w:rsidR="0030039E" w:rsidRPr="007A56DF" w:rsidRDefault="0030039E" w:rsidP="008D4B19">
                  <w:pPr>
                    <w:rPr>
                      <w:rFonts w:ascii="Calibri" w:hAnsi="Calibri"/>
                    </w:rPr>
                  </w:pPr>
                </w:p>
              </w:tc>
            </w:tr>
          </w:tbl>
          <w:p w14:paraId="352192F6" w14:textId="77777777" w:rsidR="007A56DF" w:rsidRDefault="007A56DF" w:rsidP="008D4B19">
            <w:pPr>
              <w:rPr>
                <w:rFonts w:ascii="Calibri" w:hAnsi="Calibri"/>
              </w:rPr>
            </w:pPr>
          </w:p>
          <w:p w14:paraId="640FA7F4" w14:textId="3E8AA03E" w:rsidR="007A56DF" w:rsidRPr="002C5E28" w:rsidRDefault="007A56DF" w:rsidP="00995C3A">
            <w:pPr>
              <w:jc w:val="center"/>
              <w:rPr>
                <w:rFonts w:ascii="Calibri" w:hAnsi="Calibri"/>
              </w:rPr>
            </w:pPr>
          </w:p>
        </w:tc>
      </w:tr>
    </w:tbl>
    <w:p w14:paraId="13B54444" w14:textId="77777777" w:rsidR="007A56DF" w:rsidRPr="005F3F3F" w:rsidRDefault="007A56DF" w:rsidP="00CB1DB7">
      <w:pPr>
        <w:rPr>
          <w:rFonts w:ascii="Calibri" w:hAnsi="Calibri"/>
        </w:rPr>
      </w:pPr>
    </w:p>
    <w:p w14:paraId="18A46CDC" w14:textId="7ACFE9DF" w:rsidR="00CB1DB7" w:rsidRDefault="00CB1DB7" w:rsidP="00CB1DB7">
      <w:pPr>
        <w:rPr>
          <w:rFonts w:ascii="Calibri" w:hAnsi="Calibri"/>
        </w:rPr>
      </w:pPr>
    </w:p>
    <w:p w14:paraId="154BFF22" w14:textId="1F877D37" w:rsidR="00AE52F5" w:rsidRDefault="00AE52F5" w:rsidP="00CB1DB7">
      <w:pPr>
        <w:rPr>
          <w:rFonts w:ascii="Calibri" w:hAnsi="Calibri"/>
        </w:rPr>
      </w:pPr>
    </w:p>
    <w:p w14:paraId="2BDB73DC" w14:textId="77777777" w:rsidR="00AE52F5" w:rsidRDefault="00AE52F5" w:rsidP="00CB1DB7">
      <w:pPr>
        <w:rPr>
          <w:rFonts w:ascii="Calibri" w:hAnsi="Calibri"/>
        </w:rPr>
      </w:pPr>
    </w:p>
    <w:p w14:paraId="0B75F7FE" w14:textId="77777777" w:rsidR="00277DEC" w:rsidRDefault="00277DEC">
      <w:pPr>
        <w:spacing w:after="0" w:line="240" w:lineRule="auto"/>
        <w:rPr>
          <w:rFonts w:asciiTheme="majorHAnsi" w:eastAsiaTheme="majorEastAsia" w:hAnsiTheme="majorHAnsi" w:cstheme="majorBidi"/>
          <w:b/>
          <w:bCs/>
          <w:color w:val="2E74B5" w:themeColor="accent1" w:themeShade="BF"/>
          <w:sz w:val="26"/>
          <w:szCs w:val="26"/>
        </w:rPr>
      </w:pPr>
      <w:r>
        <w:br w:type="page"/>
      </w:r>
    </w:p>
    <w:p w14:paraId="0A965C4E" w14:textId="6732305B" w:rsidR="005F3F3F" w:rsidRDefault="005F3F3F" w:rsidP="00AE4E9E">
      <w:pPr>
        <w:pStyle w:val="Heading2"/>
      </w:pPr>
      <w:r>
        <w:lastRenderedPageBreak/>
        <w:t>4</w:t>
      </w:r>
      <w:r w:rsidRPr="00BB4499">
        <w:t>.</w:t>
      </w:r>
      <w:r w:rsidR="001C215E">
        <w:t>4</w:t>
      </w:r>
      <w:r w:rsidR="001C215E" w:rsidRPr="00BB4499">
        <w:t xml:space="preserve"> </w:t>
      </w:r>
      <w:r w:rsidR="000222EC">
        <w:t xml:space="preserve">Liquidity </w:t>
      </w:r>
      <w:r w:rsidR="001C215E">
        <w:t>ratios</w:t>
      </w:r>
    </w:p>
    <w:p w14:paraId="2D2F8FF1" w14:textId="77777777" w:rsidR="000F6AD8" w:rsidRDefault="000F6AD8" w:rsidP="000F6AD8"/>
    <w:p w14:paraId="1F9A0522" w14:textId="72ED978E" w:rsidR="003E41A7" w:rsidRDefault="00883F3D" w:rsidP="007A3063">
      <w:pPr>
        <w:rPr>
          <w:rFonts w:ascii="Calibri" w:hAnsi="Calibri"/>
        </w:rPr>
      </w:pPr>
      <w:r>
        <w:rPr>
          <w:rFonts w:ascii="Calibri" w:hAnsi="Calibri"/>
        </w:rPr>
        <w:t>The failure of banks during the 2007</w:t>
      </w:r>
      <w:r w:rsidR="009D573A">
        <w:rPr>
          <w:rFonts w:ascii="Calibri" w:hAnsi="Calibri"/>
        </w:rPr>
        <w:t>–09</w:t>
      </w:r>
      <w:r>
        <w:rPr>
          <w:rFonts w:ascii="Calibri" w:hAnsi="Calibri"/>
        </w:rPr>
        <w:t xml:space="preserve"> financial crisis showed that many banks were unable to adequately manage and control liquidity risk. </w:t>
      </w:r>
      <w:r w:rsidR="007A3063">
        <w:rPr>
          <w:rFonts w:ascii="Calibri" w:hAnsi="Calibri"/>
        </w:rPr>
        <w:t xml:space="preserve">Liquidity ratios are an important financial metric used to determine </w:t>
      </w:r>
      <w:r w:rsidR="003E41A7">
        <w:rPr>
          <w:rFonts w:ascii="Calibri" w:hAnsi="Calibri"/>
        </w:rPr>
        <w:t xml:space="preserve">a bank’s </w:t>
      </w:r>
      <w:r w:rsidR="007A3063">
        <w:rPr>
          <w:rFonts w:ascii="Calibri" w:hAnsi="Calibri"/>
        </w:rPr>
        <w:t xml:space="preserve">ability to cover current obligations without the need to raise more capital. </w:t>
      </w:r>
      <w:r w:rsidR="003E41A7">
        <w:rPr>
          <w:rFonts w:ascii="Calibri" w:hAnsi="Calibri"/>
        </w:rPr>
        <w:t>T</w:t>
      </w:r>
      <w:r w:rsidR="002851DD">
        <w:rPr>
          <w:rFonts w:ascii="Calibri" w:hAnsi="Calibri"/>
        </w:rPr>
        <w:t xml:space="preserve">o address liquidity risk, the BCBS introduced </w:t>
      </w:r>
      <w:r w:rsidR="003E41A7">
        <w:rPr>
          <w:rFonts w:ascii="Calibri" w:hAnsi="Calibri"/>
        </w:rPr>
        <w:t xml:space="preserve">two </w:t>
      </w:r>
      <w:r w:rsidR="002851DD">
        <w:rPr>
          <w:rFonts w:ascii="Calibri" w:hAnsi="Calibri"/>
        </w:rPr>
        <w:t>measures:</w:t>
      </w:r>
    </w:p>
    <w:p w14:paraId="78873EB8" w14:textId="1FDC0678" w:rsidR="003E41A7" w:rsidRDefault="002851DD" w:rsidP="003E41A7">
      <w:pPr>
        <w:pStyle w:val="ListParagraph"/>
        <w:numPr>
          <w:ilvl w:val="0"/>
          <w:numId w:val="29"/>
        </w:numPr>
        <w:rPr>
          <w:rFonts w:ascii="Calibri" w:hAnsi="Calibri"/>
        </w:rPr>
      </w:pPr>
      <w:r w:rsidRPr="00995C3A">
        <w:rPr>
          <w:rFonts w:ascii="Calibri" w:hAnsi="Calibri"/>
        </w:rPr>
        <w:t>liquidity coverage ratio (LCR)</w:t>
      </w:r>
      <w:r w:rsidR="003E41A7">
        <w:rPr>
          <w:rFonts w:ascii="Calibri" w:hAnsi="Calibri"/>
        </w:rPr>
        <w:t>;</w:t>
      </w:r>
      <w:r w:rsidRPr="00995C3A">
        <w:rPr>
          <w:rFonts w:ascii="Calibri" w:hAnsi="Calibri"/>
        </w:rPr>
        <w:t xml:space="preserve"> and</w:t>
      </w:r>
    </w:p>
    <w:p w14:paraId="5E83510E" w14:textId="1D1A4A69" w:rsidR="000F6AD8" w:rsidRPr="00995C3A" w:rsidRDefault="003E41A7" w:rsidP="00995C3A">
      <w:pPr>
        <w:pStyle w:val="ListParagraph"/>
        <w:numPr>
          <w:ilvl w:val="0"/>
          <w:numId w:val="29"/>
        </w:numPr>
        <w:rPr>
          <w:rFonts w:ascii="Calibri" w:hAnsi="Calibri"/>
        </w:rPr>
      </w:pPr>
      <w:r>
        <w:rPr>
          <w:rFonts w:ascii="Calibri" w:hAnsi="Calibri"/>
        </w:rPr>
        <w:t>n</w:t>
      </w:r>
      <w:r w:rsidR="002851DD" w:rsidRPr="00995C3A">
        <w:rPr>
          <w:rFonts w:ascii="Calibri" w:hAnsi="Calibri"/>
        </w:rPr>
        <w:t xml:space="preserve">et </w:t>
      </w:r>
      <w:r>
        <w:rPr>
          <w:rFonts w:ascii="Calibri" w:hAnsi="Calibri"/>
        </w:rPr>
        <w:t>s</w:t>
      </w:r>
      <w:r w:rsidRPr="00995C3A">
        <w:rPr>
          <w:rFonts w:ascii="Calibri" w:hAnsi="Calibri"/>
        </w:rPr>
        <w:t xml:space="preserve">table </w:t>
      </w:r>
      <w:r>
        <w:rPr>
          <w:rFonts w:ascii="Calibri" w:hAnsi="Calibri"/>
        </w:rPr>
        <w:t>f</w:t>
      </w:r>
      <w:r w:rsidRPr="00995C3A">
        <w:rPr>
          <w:rFonts w:ascii="Calibri" w:hAnsi="Calibri"/>
        </w:rPr>
        <w:t xml:space="preserve">unding </w:t>
      </w:r>
      <w:r>
        <w:rPr>
          <w:rFonts w:ascii="Calibri" w:hAnsi="Calibri"/>
        </w:rPr>
        <w:t>r</w:t>
      </w:r>
      <w:r w:rsidRPr="00995C3A">
        <w:rPr>
          <w:rFonts w:ascii="Calibri" w:hAnsi="Calibri"/>
        </w:rPr>
        <w:t xml:space="preserve">atio </w:t>
      </w:r>
      <w:r w:rsidR="002851DD" w:rsidRPr="00995C3A">
        <w:rPr>
          <w:rFonts w:ascii="Calibri" w:hAnsi="Calibri"/>
        </w:rPr>
        <w:t xml:space="preserve">(NSFR). </w:t>
      </w:r>
    </w:p>
    <w:p w14:paraId="024AC081" w14:textId="56321378" w:rsidR="002851DD" w:rsidRDefault="00D72EF6" w:rsidP="00995C3A">
      <w:pPr>
        <w:pBdr>
          <w:top w:val="single" w:sz="4" w:space="1" w:color="auto"/>
          <w:left w:val="single" w:sz="4" w:space="4" w:color="auto"/>
          <w:bottom w:val="single" w:sz="4" w:space="1" w:color="auto"/>
          <w:right w:val="single" w:sz="4" w:space="4" w:color="auto"/>
        </w:pBdr>
        <w:rPr>
          <w:rFonts w:ascii="Calibri" w:hAnsi="Calibri"/>
          <w:b/>
          <w:bCs/>
        </w:rPr>
      </w:pPr>
      <w:r>
        <w:rPr>
          <w:rFonts w:ascii="Calibri" w:hAnsi="Calibri"/>
          <w:b/>
          <w:bCs/>
        </w:rPr>
        <w:t>Liquidity risk</w:t>
      </w:r>
    </w:p>
    <w:p w14:paraId="5A21BE88" w14:textId="713B7790" w:rsidR="00D72EF6" w:rsidRPr="00D72EF6" w:rsidRDefault="00D72EF6" w:rsidP="00995C3A">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 xml:space="preserve">The </w:t>
      </w:r>
      <w:r>
        <w:rPr>
          <w:rFonts w:ascii="Calibri" w:hAnsi="Calibri"/>
          <w:color w:val="000000" w:themeColor="text1"/>
        </w:rPr>
        <w:t>ability of a bank to fund increases in assets and meet obligations as they fall due without incurring unacceptable losses.</w:t>
      </w:r>
    </w:p>
    <w:p w14:paraId="420C73B6" w14:textId="1B964A2E" w:rsidR="007A3063" w:rsidRDefault="007A3063" w:rsidP="002851DD">
      <w:pPr>
        <w:rPr>
          <w:rFonts w:ascii="Calibri" w:hAnsi="Calibri"/>
        </w:rPr>
      </w:pPr>
      <w:r>
        <w:rPr>
          <w:rFonts w:ascii="Calibri" w:hAnsi="Calibri"/>
        </w:rPr>
        <w:t>Liquidity ratios are typically short</w:t>
      </w:r>
      <w:r w:rsidR="003E41A7">
        <w:rPr>
          <w:rFonts w:ascii="Calibri" w:hAnsi="Calibri"/>
        </w:rPr>
        <w:t>-</w:t>
      </w:r>
      <w:r>
        <w:rPr>
          <w:rFonts w:ascii="Calibri" w:hAnsi="Calibri"/>
        </w:rPr>
        <w:t>term measures</w:t>
      </w:r>
      <w:r w:rsidR="003E41A7">
        <w:rPr>
          <w:rFonts w:ascii="Calibri" w:hAnsi="Calibri"/>
        </w:rPr>
        <w:t>,</w:t>
      </w:r>
      <w:r>
        <w:rPr>
          <w:rFonts w:ascii="Calibri" w:hAnsi="Calibri"/>
        </w:rPr>
        <w:t xml:space="preserve"> whereas solvency ratios such as the interest coverage ratio are considered </w:t>
      </w:r>
      <w:r w:rsidR="00D70B36">
        <w:rPr>
          <w:rFonts w:ascii="Calibri" w:hAnsi="Calibri"/>
        </w:rPr>
        <w:t>longer</w:t>
      </w:r>
      <w:r w:rsidR="003E41A7">
        <w:rPr>
          <w:rFonts w:ascii="Calibri" w:hAnsi="Calibri"/>
        </w:rPr>
        <w:t>-</w:t>
      </w:r>
      <w:r w:rsidR="00D70B36">
        <w:rPr>
          <w:rFonts w:ascii="Calibri" w:hAnsi="Calibri"/>
        </w:rPr>
        <w:t>term measure</w:t>
      </w:r>
      <w:r w:rsidR="003E41A7">
        <w:rPr>
          <w:rFonts w:ascii="Calibri" w:hAnsi="Calibri"/>
        </w:rPr>
        <w:t>s</w:t>
      </w:r>
      <w:r w:rsidR="00D70B36">
        <w:rPr>
          <w:rFonts w:ascii="Calibri" w:hAnsi="Calibri"/>
        </w:rPr>
        <w:t xml:space="preserve"> to assess ability to pay.</w:t>
      </w:r>
    </w:p>
    <w:p w14:paraId="56FDB525" w14:textId="77777777" w:rsidR="007A3063" w:rsidRDefault="007A3063" w:rsidP="007A3063">
      <w:pPr>
        <w:pStyle w:val="CommentText"/>
      </w:pPr>
    </w:p>
    <w:p w14:paraId="78AC254E" w14:textId="2E42ACA0" w:rsidR="002851DD" w:rsidRPr="009A6876" w:rsidRDefault="002851DD" w:rsidP="00995C3A">
      <w:pPr>
        <w:pStyle w:val="Heading3"/>
      </w:pPr>
      <w:r>
        <w:t>4</w:t>
      </w:r>
      <w:r w:rsidRPr="00BB4499">
        <w:t>.</w:t>
      </w:r>
      <w:r w:rsidR="003E41A7">
        <w:t>4</w:t>
      </w:r>
      <w:r>
        <w:t>.1</w:t>
      </w:r>
      <w:r w:rsidRPr="00BB4499">
        <w:t xml:space="preserve"> </w:t>
      </w:r>
      <w:r>
        <w:t xml:space="preserve">Liquidity </w:t>
      </w:r>
      <w:r w:rsidR="003E41A7">
        <w:t>coverage r</w:t>
      </w:r>
      <w:r>
        <w:t>atio</w:t>
      </w:r>
    </w:p>
    <w:p w14:paraId="7F200D61" w14:textId="77777777" w:rsidR="002851DD" w:rsidRDefault="002851DD" w:rsidP="002851DD">
      <w:pPr>
        <w:rPr>
          <w:rFonts w:ascii="Calibri" w:hAnsi="Calibri"/>
        </w:rPr>
      </w:pPr>
    </w:p>
    <w:p w14:paraId="4D190025" w14:textId="4F47192F" w:rsidR="000222EC" w:rsidRPr="000222EC" w:rsidRDefault="002851DD" w:rsidP="00C53763">
      <w:pPr>
        <w:rPr>
          <w:rFonts w:ascii="Calibri" w:hAnsi="Calibri"/>
        </w:rPr>
      </w:pPr>
      <w:r>
        <w:rPr>
          <w:rFonts w:ascii="Calibri" w:hAnsi="Calibri"/>
        </w:rPr>
        <w:t xml:space="preserve">The </w:t>
      </w:r>
      <w:r w:rsidR="000F3D5A">
        <w:rPr>
          <w:rFonts w:ascii="Calibri" w:hAnsi="Calibri"/>
        </w:rPr>
        <w:t xml:space="preserve">purpose of the </w:t>
      </w:r>
      <w:r>
        <w:rPr>
          <w:rFonts w:ascii="Calibri" w:hAnsi="Calibri"/>
        </w:rPr>
        <w:t xml:space="preserve">LCR </w:t>
      </w:r>
      <w:r w:rsidR="000F3D5A">
        <w:rPr>
          <w:rFonts w:ascii="Calibri" w:hAnsi="Calibri"/>
        </w:rPr>
        <w:t xml:space="preserve">is to enhance the </w:t>
      </w:r>
      <w:r w:rsidR="006C7280">
        <w:rPr>
          <w:rFonts w:ascii="Calibri" w:hAnsi="Calibri"/>
        </w:rPr>
        <w:t>short-</w:t>
      </w:r>
      <w:r w:rsidR="000F3D5A">
        <w:rPr>
          <w:rFonts w:ascii="Calibri" w:hAnsi="Calibri"/>
        </w:rPr>
        <w:t xml:space="preserve">term resilience of a bank’s liquidity profile. </w:t>
      </w:r>
      <w:r w:rsidR="00136A2D">
        <w:rPr>
          <w:rFonts w:ascii="Calibri" w:hAnsi="Calibri"/>
        </w:rPr>
        <w:t xml:space="preserve">The aim is to ensure the bank has an adequate level of </w:t>
      </w:r>
      <w:r w:rsidR="00EA3E5C">
        <w:rPr>
          <w:rFonts w:ascii="Calibri" w:hAnsi="Calibri"/>
        </w:rPr>
        <w:t>high</w:t>
      </w:r>
      <w:r w:rsidR="0021600B">
        <w:rPr>
          <w:rFonts w:ascii="Calibri" w:hAnsi="Calibri"/>
        </w:rPr>
        <w:t>-</w:t>
      </w:r>
      <w:r w:rsidR="00EA3E5C">
        <w:rPr>
          <w:rFonts w:ascii="Calibri" w:hAnsi="Calibri"/>
        </w:rPr>
        <w:t xml:space="preserve">quality liquid assets </w:t>
      </w:r>
      <w:r w:rsidR="0021600B">
        <w:rPr>
          <w:rFonts w:ascii="Calibri" w:hAnsi="Calibri"/>
        </w:rPr>
        <w:t xml:space="preserve">(HQLA) </w:t>
      </w:r>
      <w:r w:rsidR="00EA3E5C">
        <w:rPr>
          <w:rFonts w:ascii="Calibri" w:hAnsi="Calibri"/>
        </w:rPr>
        <w:t xml:space="preserve">that can easily be converted into cash so that the bank can meet </w:t>
      </w:r>
      <w:r w:rsidR="0021600B">
        <w:rPr>
          <w:rFonts w:ascii="Calibri" w:hAnsi="Calibri"/>
        </w:rPr>
        <w:t xml:space="preserve">its </w:t>
      </w:r>
      <w:r w:rsidR="00EA3E5C">
        <w:rPr>
          <w:rFonts w:ascii="Calibri" w:hAnsi="Calibri"/>
        </w:rPr>
        <w:t>liquidity needs for 30 calendar days</w:t>
      </w:r>
      <w:r w:rsidR="00C53763">
        <w:rPr>
          <w:rFonts w:ascii="Calibri" w:hAnsi="Calibri"/>
        </w:rPr>
        <w:t xml:space="preserve"> to absorb economic and financial shocks. </w:t>
      </w:r>
      <w:r w:rsidR="001D583A">
        <w:rPr>
          <w:rFonts w:ascii="Calibri" w:hAnsi="Calibri"/>
        </w:rPr>
        <w:t>The period of 30 days is deemed the minimum period needed for corrective action to be taken by the bank’s management or their supervisors</w:t>
      </w:r>
      <w:r w:rsidR="00ED7351">
        <w:rPr>
          <w:rFonts w:ascii="Calibri" w:hAnsi="Calibri"/>
        </w:rPr>
        <w:t>.</w:t>
      </w:r>
    </w:p>
    <w:p w14:paraId="36D44BA6" w14:textId="77777777" w:rsidR="006C7280" w:rsidRDefault="00142CDE" w:rsidP="005F3F3F">
      <w:pPr>
        <w:rPr>
          <w:rFonts w:ascii="Calibri" w:hAnsi="Calibri"/>
        </w:rPr>
      </w:pPr>
      <w:r>
        <w:rPr>
          <w:rFonts w:ascii="Calibri" w:hAnsi="Calibri"/>
        </w:rPr>
        <w:t>The LCR is calculated as</w:t>
      </w:r>
      <w:r w:rsidR="006C7280">
        <w:rPr>
          <w:rFonts w:ascii="Calibri" w:hAnsi="Calibri"/>
        </w:rPr>
        <w:t>:</w:t>
      </w:r>
    </w:p>
    <w:p w14:paraId="584CBE1E" w14:textId="23848D30" w:rsidR="00142CDE" w:rsidRPr="00995C3A" w:rsidRDefault="00142CDE" w:rsidP="00995C3A">
      <w:pPr>
        <w:jc w:val="center"/>
        <w:rPr>
          <w:rFonts w:ascii="Helvetica" w:hAnsi="Helvetica" w:cs="Helvetica"/>
          <w:b/>
          <w:bCs/>
          <w:sz w:val="26"/>
          <w:szCs w:val="26"/>
        </w:rPr>
      </w:pPr>
      <w:r w:rsidRPr="00995C3A">
        <w:rPr>
          <w:rFonts w:ascii="Helvetica" w:hAnsi="Helvetica" w:cs="Helvetica"/>
          <w:b/>
          <w:bCs/>
          <w:sz w:val="26"/>
          <w:szCs w:val="26"/>
        </w:rPr>
        <w:t>HQLA</w:t>
      </w:r>
      <w:r w:rsidR="00ED7351">
        <w:rPr>
          <w:rFonts w:ascii="Helvetica" w:hAnsi="Helvetica" w:cs="Helvetica"/>
          <w:b/>
          <w:bCs/>
          <w:sz w:val="26"/>
          <w:szCs w:val="26"/>
        </w:rPr>
        <w:t xml:space="preserve"> </w:t>
      </w:r>
      <w:r w:rsidRPr="00995C3A">
        <w:rPr>
          <w:rFonts w:ascii="Helvetica" w:hAnsi="Helvetica" w:cs="Helvetica"/>
          <w:b/>
          <w:bCs/>
          <w:sz w:val="26"/>
          <w:szCs w:val="26"/>
        </w:rPr>
        <w:t>/</w:t>
      </w:r>
      <w:r w:rsidR="00ED7351">
        <w:rPr>
          <w:rFonts w:ascii="Helvetica" w:hAnsi="Helvetica" w:cs="Helvetica"/>
          <w:b/>
          <w:bCs/>
          <w:sz w:val="26"/>
          <w:szCs w:val="26"/>
        </w:rPr>
        <w:t xml:space="preserve"> </w:t>
      </w:r>
      <w:r w:rsidRPr="00995C3A">
        <w:rPr>
          <w:rFonts w:ascii="Helvetica" w:hAnsi="Helvetica" w:cs="Helvetica"/>
          <w:b/>
          <w:bCs/>
          <w:sz w:val="26"/>
          <w:szCs w:val="26"/>
        </w:rPr>
        <w:t>Total net cash flow</w:t>
      </w:r>
    </w:p>
    <w:p w14:paraId="5B2AA785" w14:textId="7977B476" w:rsidR="00142CDE" w:rsidRDefault="00142CDE" w:rsidP="005F3F3F">
      <w:pPr>
        <w:rPr>
          <w:rFonts w:ascii="Calibri" w:hAnsi="Calibri"/>
        </w:rPr>
      </w:pPr>
      <w:r>
        <w:rPr>
          <w:rFonts w:ascii="Calibri" w:hAnsi="Calibri"/>
        </w:rPr>
        <w:t xml:space="preserve">Although </w:t>
      </w:r>
      <w:r w:rsidR="00ED7351">
        <w:rPr>
          <w:rFonts w:ascii="Calibri" w:hAnsi="Calibri"/>
        </w:rPr>
        <w:t xml:space="preserve">the LCR is </w:t>
      </w:r>
      <w:r>
        <w:rPr>
          <w:rFonts w:ascii="Calibri" w:hAnsi="Calibri"/>
        </w:rPr>
        <w:t xml:space="preserve">intended to be applied to internationally active banks, most countries require the LCR for all banks. </w:t>
      </w:r>
    </w:p>
    <w:tbl>
      <w:tblPr>
        <w:tblStyle w:val="TableGrid"/>
        <w:tblW w:w="0" w:type="auto"/>
        <w:tblLook w:val="04A0" w:firstRow="1" w:lastRow="0" w:firstColumn="1" w:lastColumn="0" w:noHBand="0" w:noVBand="1"/>
      </w:tblPr>
      <w:tblGrid>
        <w:gridCol w:w="9010"/>
      </w:tblGrid>
      <w:tr w:rsidR="001D583A" w14:paraId="4A69E36B" w14:textId="77777777" w:rsidTr="001D583A">
        <w:tc>
          <w:tcPr>
            <w:tcW w:w="9010" w:type="dxa"/>
          </w:tcPr>
          <w:p w14:paraId="3833C707" w14:textId="30203BB5" w:rsidR="001D583A" w:rsidRDefault="003C0AB1" w:rsidP="005F3F3F">
            <w:pPr>
              <w:rPr>
                <w:rFonts w:ascii="Calibri" w:hAnsi="Calibri"/>
              </w:rPr>
            </w:pPr>
            <w:r>
              <w:rPr>
                <w:rFonts w:ascii="Calibri" w:hAnsi="Calibri"/>
                <w:b/>
                <w:bCs/>
              </w:rPr>
              <w:t>FACTFIND</w:t>
            </w:r>
          </w:p>
          <w:p w14:paraId="50B0A75D" w14:textId="2E01F998" w:rsidR="001D583A" w:rsidRDefault="001D583A" w:rsidP="001D583A">
            <w:pPr>
              <w:pStyle w:val="CommentText"/>
            </w:pPr>
            <w:r>
              <w:t>What is the LCR of banks in your country</w:t>
            </w:r>
            <w:r w:rsidR="003C0AB1">
              <w:t xml:space="preserve">? </w:t>
            </w:r>
            <w:r>
              <w:t>Here is a</w:t>
            </w:r>
            <w:r w:rsidR="003C0AB1">
              <w:t>n example</w:t>
            </w:r>
            <w:r>
              <w:t xml:space="preserve"> list for banks in Europe</w:t>
            </w:r>
            <w:r w:rsidR="003C0AB1">
              <w:t>.</w:t>
            </w:r>
          </w:p>
          <w:p w14:paraId="7DEB640B" w14:textId="3D1D3E7D" w:rsidR="001D583A" w:rsidRPr="001D583A" w:rsidRDefault="003C0AB1" w:rsidP="001D583A">
            <w:pPr>
              <w:rPr>
                <w:rFonts w:ascii="Calibri" w:hAnsi="Calibri"/>
              </w:rPr>
            </w:pPr>
            <w:r>
              <w:t xml:space="preserve">Statista: </w:t>
            </w:r>
            <w:hyperlink r:id="rId30" w:history="1">
              <w:r w:rsidR="008B052F">
                <w:rPr>
                  <w:rStyle w:val="Hyperlink"/>
                </w:rPr>
                <w:t>LCR of banks in Europe</w:t>
              </w:r>
            </w:hyperlink>
          </w:p>
        </w:tc>
      </w:tr>
    </w:tbl>
    <w:p w14:paraId="0A20A83D" w14:textId="77777777" w:rsidR="005F3F3F" w:rsidRDefault="005F3F3F" w:rsidP="005F3F3F">
      <w:pPr>
        <w:rPr>
          <w:rFonts w:ascii="Calibri" w:hAnsi="Calibri"/>
        </w:rPr>
      </w:pPr>
    </w:p>
    <w:p w14:paraId="1562BC25" w14:textId="27FB00CA" w:rsidR="005F3F3F" w:rsidRPr="009A6876" w:rsidRDefault="005F3F3F" w:rsidP="00995C3A">
      <w:pPr>
        <w:pStyle w:val="Heading3"/>
      </w:pPr>
      <w:r>
        <w:t>4</w:t>
      </w:r>
      <w:r w:rsidRPr="00BB4499">
        <w:t>.</w:t>
      </w:r>
      <w:r w:rsidR="008B052F">
        <w:t>4</w:t>
      </w:r>
      <w:r w:rsidR="002851DD">
        <w:t>.2</w:t>
      </w:r>
      <w:r w:rsidRPr="00BB4499">
        <w:t xml:space="preserve"> </w:t>
      </w:r>
      <w:r w:rsidR="000222EC">
        <w:t xml:space="preserve">Net </w:t>
      </w:r>
      <w:r w:rsidR="008B052F">
        <w:t>stable funding ratio</w:t>
      </w:r>
    </w:p>
    <w:p w14:paraId="21E2D06D" w14:textId="77777777" w:rsidR="005F3F3F" w:rsidRDefault="005F3F3F" w:rsidP="005F3F3F">
      <w:pPr>
        <w:rPr>
          <w:rFonts w:ascii="Calibri" w:hAnsi="Calibri"/>
        </w:rPr>
      </w:pPr>
    </w:p>
    <w:p w14:paraId="42E06448" w14:textId="6D9D3717" w:rsidR="000222EC" w:rsidRDefault="001D65FD" w:rsidP="001D583A">
      <w:pPr>
        <w:rPr>
          <w:rFonts w:ascii="Calibri" w:hAnsi="Calibri"/>
        </w:rPr>
      </w:pPr>
      <w:r>
        <w:rPr>
          <w:rFonts w:ascii="Calibri" w:hAnsi="Calibri"/>
        </w:rPr>
        <w:t xml:space="preserve">The NSFR </w:t>
      </w:r>
      <w:r w:rsidR="001D0C4D">
        <w:rPr>
          <w:rFonts w:ascii="Calibri" w:hAnsi="Calibri"/>
        </w:rPr>
        <w:t xml:space="preserve">complements the LCR and </w:t>
      </w:r>
      <w:r w:rsidR="000222EC" w:rsidRPr="000222EC">
        <w:rPr>
          <w:rFonts w:ascii="Calibri" w:hAnsi="Calibri"/>
        </w:rPr>
        <w:t>aims to promote resilience over a longer time horizon</w:t>
      </w:r>
      <w:r w:rsidR="00611D0E">
        <w:rPr>
          <w:rFonts w:ascii="Calibri" w:hAnsi="Calibri"/>
        </w:rPr>
        <w:t xml:space="preserve">. This is achieved by providing incentives </w:t>
      </w:r>
      <w:r w:rsidR="001D0C4D">
        <w:rPr>
          <w:rFonts w:ascii="Calibri" w:hAnsi="Calibri"/>
        </w:rPr>
        <w:t xml:space="preserve">for </w:t>
      </w:r>
      <w:r w:rsidR="000222EC" w:rsidRPr="000222EC">
        <w:rPr>
          <w:rFonts w:ascii="Calibri" w:hAnsi="Calibri"/>
        </w:rPr>
        <w:t>banks to fund their activities with more stable sources of funding on an ongoing basis</w:t>
      </w:r>
      <w:r w:rsidR="00C069BF">
        <w:rPr>
          <w:rFonts w:ascii="Calibri" w:hAnsi="Calibri"/>
        </w:rPr>
        <w:t xml:space="preserve"> –</w:t>
      </w:r>
      <w:r w:rsidR="00C069BF" w:rsidRPr="000222EC">
        <w:rPr>
          <w:rFonts w:ascii="Calibri" w:hAnsi="Calibri"/>
        </w:rPr>
        <w:t xml:space="preserve"> </w:t>
      </w:r>
      <w:r w:rsidR="00C069BF">
        <w:rPr>
          <w:rFonts w:ascii="Calibri" w:hAnsi="Calibri"/>
        </w:rPr>
        <w:t xml:space="preserve">in </w:t>
      </w:r>
      <w:r w:rsidR="00F04681">
        <w:rPr>
          <w:rFonts w:ascii="Calibri" w:hAnsi="Calibri"/>
        </w:rPr>
        <w:t>other words</w:t>
      </w:r>
      <w:r w:rsidR="00605106">
        <w:rPr>
          <w:rFonts w:ascii="Calibri" w:hAnsi="Calibri"/>
        </w:rPr>
        <w:t xml:space="preserve"> to find</w:t>
      </w:r>
      <w:r w:rsidR="00F04681">
        <w:rPr>
          <w:rFonts w:ascii="Calibri" w:hAnsi="Calibri"/>
        </w:rPr>
        <w:t xml:space="preserve"> a </w:t>
      </w:r>
      <w:r w:rsidR="00DC1521">
        <w:rPr>
          <w:rFonts w:ascii="Calibri" w:hAnsi="Calibri"/>
        </w:rPr>
        <w:t>sustainable balance between lon</w:t>
      </w:r>
      <w:r w:rsidR="00C53763">
        <w:rPr>
          <w:rFonts w:ascii="Calibri" w:hAnsi="Calibri"/>
        </w:rPr>
        <w:t>g</w:t>
      </w:r>
      <w:r w:rsidR="00C069BF">
        <w:rPr>
          <w:rFonts w:ascii="Calibri" w:hAnsi="Calibri"/>
        </w:rPr>
        <w:t>-</w:t>
      </w:r>
      <w:r w:rsidR="00C53763">
        <w:rPr>
          <w:rFonts w:ascii="Calibri" w:hAnsi="Calibri"/>
        </w:rPr>
        <w:t xml:space="preserve"> and short</w:t>
      </w:r>
      <w:r w:rsidR="00C069BF">
        <w:rPr>
          <w:rFonts w:ascii="Calibri" w:hAnsi="Calibri"/>
        </w:rPr>
        <w:t>-</w:t>
      </w:r>
      <w:r w:rsidR="00C53763">
        <w:rPr>
          <w:rFonts w:ascii="Calibri" w:hAnsi="Calibri"/>
        </w:rPr>
        <w:t>term capital and li</w:t>
      </w:r>
      <w:r w:rsidR="00DC1521">
        <w:rPr>
          <w:rFonts w:ascii="Calibri" w:hAnsi="Calibri"/>
        </w:rPr>
        <w:t>a</w:t>
      </w:r>
      <w:r w:rsidR="00C53763">
        <w:rPr>
          <w:rFonts w:ascii="Calibri" w:hAnsi="Calibri"/>
        </w:rPr>
        <w:t>b</w:t>
      </w:r>
      <w:r w:rsidR="00DC1521">
        <w:rPr>
          <w:rFonts w:ascii="Calibri" w:hAnsi="Calibri"/>
        </w:rPr>
        <w:t>ilities.</w:t>
      </w:r>
      <w:r w:rsidR="001D583A">
        <w:rPr>
          <w:rFonts w:ascii="Calibri" w:hAnsi="Calibri"/>
        </w:rPr>
        <w:t xml:space="preserve"> The NSFR is intended to apply to internationally active banks, although in some jurisdictions it is required for other banks as well. </w:t>
      </w:r>
    </w:p>
    <w:p w14:paraId="04602CAD" w14:textId="77777777" w:rsidR="00AE52F5" w:rsidRDefault="00AE52F5" w:rsidP="00611D0E">
      <w:pPr>
        <w:rPr>
          <w:rFonts w:ascii="Calibri" w:hAnsi="Calibri"/>
        </w:rPr>
      </w:pPr>
    </w:p>
    <w:p w14:paraId="2A56ADF0" w14:textId="1CF88056" w:rsidR="001D583A" w:rsidRDefault="001D583A" w:rsidP="00611D0E">
      <w:pPr>
        <w:rPr>
          <w:rFonts w:ascii="Calibri" w:hAnsi="Calibri"/>
        </w:rPr>
      </w:pPr>
      <w:r>
        <w:rPr>
          <w:rFonts w:ascii="Calibri" w:hAnsi="Calibri"/>
        </w:rPr>
        <w:lastRenderedPageBreak/>
        <w:t xml:space="preserve">The NSFR is calculated </w:t>
      </w:r>
      <w:r w:rsidR="00605106">
        <w:rPr>
          <w:rFonts w:ascii="Calibri" w:hAnsi="Calibri"/>
        </w:rPr>
        <w:t>as</w:t>
      </w:r>
      <w:r>
        <w:rPr>
          <w:rFonts w:ascii="Calibri" w:hAnsi="Calibri"/>
        </w:rPr>
        <w:t>:</w:t>
      </w:r>
    </w:p>
    <w:p w14:paraId="56ECFEFC" w14:textId="073C91B5" w:rsidR="001D583A" w:rsidRPr="00995C3A" w:rsidRDefault="001D583A" w:rsidP="00995C3A">
      <w:pPr>
        <w:pStyle w:val="CommentText"/>
        <w:jc w:val="center"/>
        <w:rPr>
          <w:rFonts w:ascii="Helvetica" w:hAnsi="Helvetica" w:cs="Helvetica"/>
          <w:b/>
          <w:bCs/>
          <w:sz w:val="26"/>
          <w:szCs w:val="26"/>
        </w:rPr>
      </w:pPr>
      <w:r w:rsidRPr="00995C3A">
        <w:rPr>
          <w:rFonts w:ascii="Helvetica" w:hAnsi="Helvetica" w:cs="Helvetica"/>
          <w:b/>
          <w:bCs/>
          <w:sz w:val="26"/>
          <w:szCs w:val="26"/>
        </w:rPr>
        <w:t xml:space="preserve">Total </w:t>
      </w:r>
      <w:r w:rsidR="00605106" w:rsidRPr="00995C3A">
        <w:rPr>
          <w:rFonts w:ascii="Helvetica" w:hAnsi="Helvetica" w:cs="Helvetica"/>
          <w:b/>
          <w:bCs/>
          <w:sz w:val="26"/>
          <w:szCs w:val="26"/>
        </w:rPr>
        <w:t xml:space="preserve">available stable funding </w:t>
      </w:r>
      <w:r w:rsidRPr="00995C3A">
        <w:rPr>
          <w:rFonts w:ascii="Helvetica" w:hAnsi="Helvetica" w:cs="Helvetica"/>
          <w:b/>
          <w:bCs/>
          <w:sz w:val="26"/>
          <w:szCs w:val="26"/>
        </w:rPr>
        <w:t>(ASF)</w:t>
      </w:r>
      <w:r w:rsidR="00605106" w:rsidRPr="00995C3A">
        <w:rPr>
          <w:rFonts w:ascii="Helvetica" w:hAnsi="Helvetica" w:cs="Helvetica"/>
          <w:b/>
          <w:bCs/>
          <w:sz w:val="26"/>
          <w:szCs w:val="26"/>
        </w:rPr>
        <w:t xml:space="preserve"> </w:t>
      </w:r>
      <w:r w:rsidRPr="00995C3A">
        <w:rPr>
          <w:rFonts w:ascii="Helvetica" w:hAnsi="Helvetica" w:cs="Helvetica"/>
          <w:b/>
          <w:bCs/>
          <w:sz w:val="26"/>
          <w:szCs w:val="26"/>
        </w:rPr>
        <w:t>/</w:t>
      </w:r>
      <w:r w:rsidR="00605106" w:rsidRPr="00995C3A">
        <w:rPr>
          <w:rFonts w:ascii="Helvetica" w:hAnsi="Helvetica" w:cs="Helvetica"/>
          <w:b/>
          <w:bCs/>
          <w:sz w:val="26"/>
          <w:szCs w:val="26"/>
        </w:rPr>
        <w:t xml:space="preserve"> </w:t>
      </w:r>
      <w:r w:rsidRPr="00995C3A">
        <w:rPr>
          <w:rFonts w:ascii="Helvetica" w:hAnsi="Helvetica" w:cs="Helvetica"/>
          <w:b/>
          <w:bCs/>
          <w:sz w:val="26"/>
          <w:szCs w:val="26"/>
        </w:rPr>
        <w:t xml:space="preserve">Total </w:t>
      </w:r>
      <w:r w:rsidR="00605106" w:rsidRPr="00995C3A">
        <w:rPr>
          <w:rFonts w:ascii="Helvetica" w:hAnsi="Helvetica" w:cs="Helvetica"/>
          <w:b/>
          <w:bCs/>
          <w:sz w:val="26"/>
          <w:szCs w:val="26"/>
        </w:rPr>
        <w:t xml:space="preserve">required stable funding </w:t>
      </w:r>
      <w:r w:rsidRPr="00995C3A">
        <w:rPr>
          <w:rFonts w:ascii="Helvetica" w:hAnsi="Helvetica" w:cs="Helvetica"/>
          <w:b/>
          <w:bCs/>
          <w:sz w:val="26"/>
          <w:szCs w:val="26"/>
        </w:rPr>
        <w:t xml:space="preserve">(RSF) equal </w:t>
      </w:r>
      <w:r w:rsidR="00605106" w:rsidRPr="00995C3A">
        <w:rPr>
          <w:rFonts w:ascii="Helvetica" w:hAnsi="Helvetica" w:cs="Helvetica"/>
          <w:b/>
          <w:bCs/>
          <w:sz w:val="26"/>
          <w:szCs w:val="26"/>
        </w:rPr>
        <w:t xml:space="preserve">to </w:t>
      </w:r>
      <w:r w:rsidRPr="00995C3A">
        <w:rPr>
          <w:rFonts w:ascii="Helvetica" w:hAnsi="Helvetica" w:cs="Helvetica"/>
          <w:b/>
          <w:bCs/>
          <w:sz w:val="26"/>
          <w:szCs w:val="26"/>
        </w:rPr>
        <w:t>or greater than 100%</w:t>
      </w:r>
    </w:p>
    <w:p w14:paraId="2781D779" w14:textId="63212BF2" w:rsidR="00605106" w:rsidRDefault="00605106" w:rsidP="001D583A">
      <w:pPr>
        <w:rPr>
          <w:rFonts w:ascii="Calibri" w:hAnsi="Calibri"/>
        </w:rPr>
      </w:pPr>
      <w:r>
        <w:rPr>
          <w:rFonts w:ascii="Calibri" w:hAnsi="Calibri"/>
        </w:rPr>
        <w:t>w</w:t>
      </w:r>
      <w:r w:rsidRPr="007C2A9D">
        <w:rPr>
          <w:rFonts w:ascii="Calibri" w:hAnsi="Calibri"/>
        </w:rPr>
        <w:t>here</w:t>
      </w:r>
      <w:r>
        <w:rPr>
          <w:rFonts w:ascii="Calibri" w:hAnsi="Calibri"/>
        </w:rPr>
        <w:t>:</w:t>
      </w:r>
    </w:p>
    <w:p w14:paraId="775820AD" w14:textId="0A9FD196" w:rsidR="00605106" w:rsidRPr="00995C3A" w:rsidRDefault="001D583A" w:rsidP="00605106">
      <w:pPr>
        <w:pStyle w:val="ListParagraph"/>
        <w:numPr>
          <w:ilvl w:val="0"/>
          <w:numId w:val="30"/>
        </w:numPr>
        <w:rPr>
          <w:rFonts w:ascii="Calibri" w:eastAsia="Times New Roman" w:hAnsi="Calibri"/>
        </w:rPr>
      </w:pPr>
      <w:r w:rsidRPr="00995C3A">
        <w:rPr>
          <w:rFonts w:ascii="Calibri" w:hAnsi="Calibri"/>
          <w:b/>
          <w:bCs/>
        </w:rPr>
        <w:t>ASF</w:t>
      </w:r>
      <w:r w:rsidRPr="00995C3A">
        <w:rPr>
          <w:rFonts w:ascii="Calibri" w:hAnsi="Calibri"/>
        </w:rPr>
        <w:t xml:space="preserve"> is the </w:t>
      </w:r>
      <w:r w:rsidRPr="00995C3A">
        <w:rPr>
          <w:rFonts w:ascii="Calibri" w:eastAsia="Times New Roman" w:hAnsi="Calibri" w:cs="Arial"/>
          <w:color w:val="372F32"/>
          <w:shd w:val="clear" w:color="auto" w:fill="FFFFFF"/>
        </w:rPr>
        <w:t xml:space="preserve">portion of </w:t>
      </w:r>
      <w:r w:rsidR="00605106">
        <w:rPr>
          <w:rFonts w:ascii="Calibri" w:eastAsia="Times New Roman" w:hAnsi="Calibri" w:cs="Arial"/>
          <w:color w:val="372F32"/>
          <w:shd w:val="clear" w:color="auto" w:fill="FFFFFF"/>
        </w:rPr>
        <w:t xml:space="preserve">a bank’s </w:t>
      </w:r>
      <w:r w:rsidRPr="00995C3A">
        <w:rPr>
          <w:rFonts w:ascii="Calibri" w:eastAsia="Times New Roman" w:hAnsi="Calibri" w:cs="Arial"/>
          <w:color w:val="372F32"/>
          <w:shd w:val="clear" w:color="auto" w:fill="FFFFFF"/>
        </w:rPr>
        <w:t>capital and liabilities that will remain with the institution for more than one year; and</w:t>
      </w:r>
    </w:p>
    <w:p w14:paraId="2ED8B72C" w14:textId="75103B03" w:rsidR="001D583A" w:rsidRPr="00995C3A" w:rsidRDefault="001D583A" w:rsidP="00995C3A">
      <w:pPr>
        <w:pStyle w:val="ListParagraph"/>
        <w:numPr>
          <w:ilvl w:val="0"/>
          <w:numId w:val="30"/>
        </w:numPr>
        <w:rPr>
          <w:rFonts w:ascii="Calibri" w:eastAsia="Times New Roman" w:hAnsi="Calibri"/>
        </w:rPr>
      </w:pPr>
      <w:r w:rsidRPr="00995C3A">
        <w:rPr>
          <w:rFonts w:ascii="Calibri" w:eastAsia="Times New Roman" w:hAnsi="Calibri" w:cs="Arial"/>
          <w:b/>
          <w:bCs/>
          <w:color w:val="372F32"/>
          <w:shd w:val="clear" w:color="auto" w:fill="FFFFFF"/>
        </w:rPr>
        <w:t>RSF</w:t>
      </w:r>
      <w:r w:rsidRPr="00995C3A">
        <w:rPr>
          <w:rFonts w:ascii="Calibri" w:eastAsia="Times New Roman" w:hAnsi="Calibri" w:cs="Arial"/>
          <w:color w:val="372F32"/>
          <w:shd w:val="clear" w:color="auto" w:fill="FFFFFF"/>
        </w:rPr>
        <w:t xml:space="preserve"> is the amount of stable funding that an institution is required to hold given the liquidity characteristics and residual maturities of its assets and the contingent liquidity risk arising from its off-balance</w:t>
      </w:r>
      <w:r w:rsidR="000E0CFD">
        <w:rPr>
          <w:rFonts w:ascii="Calibri" w:eastAsia="Times New Roman" w:hAnsi="Calibri" w:cs="Arial"/>
          <w:color w:val="372F32"/>
          <w:shd w:val="clear" w:color="auto" w:fill="FFFFFF"/>
        </w:rPr>
        <w:t>-</w:t>
      </w:r>
      <w:r w:rsidRPr="00995C3A">
        <w:rPr>
          <w:rFonts w:ascii="Calibri" w:eastAsia="Times New Roman" w:hAnsi="Calibri" w:cs="Arial"/>
          <w:color w:val="372F32"/>
          <w:shd w:val="clear" w:color="auto" w:fill="FFFFFF"/>
        </w:rPr>
        <w:t>sheet exposures.</w:t>
      </w:r>
      <w:r w:rsidRPr="00013E1D">
        <w:rPr>
          <w:rStyle w:val="apple-converted-space"/>
          <w:rFonts w:ascii="Calibri" w:eastAsia="Times New Roman" w:hAnsi="Calibri" w:cs="Arial"/>
          <w:color w:val="372F32"/>
          <w:shd w:val="clear" w:color="auto" w:fill="FFFFFF"/>
        </w:rPr>
        <w:t> </w:t>
      </w:r>
    </w:p>
    <w:tbl>
      <w:tblPr>
        <w:tblStyle w:val="TableGrid"/>
        <w:tblW w:w="0" w:type="auto"/>
        <w:tblLook w:val="04A0" w:firstRow="1" w:lastRow="0" w:firstColumn="1" w:lastColumn="0" w:noHBand="0" w:noVBand="1"/>
      </w:tblPr>
      <w:tblGrid>
        <w:gridCol w:w="9010"/>
      </w:tblGrid>
      <w:tr w:rsidR="007C2A9D" w:rsidRPr="007C2A9D" w14:paraId="27933AAD" w14:textId="77777777" w:rsidTr="007C2A9D">
        <w:tc>
          <w:tcPr>
            <w:tcW w:w="9010" w:type="dxa"/>
          </w:tcPr>
          <w:p w14:paraId="1796A2F3" w14:textId="64026C35" w:rsidR="007C2A9D" w:rsidRPr="007C2A9D" w:rsidRDefault="000E0CFD" w:rsidP="000222EC">
            <w:pPr>
              <w:rPr>
                <w:rFonts w:ascii="Calibri" w:hAnsi="Calibri"/>
              </w:rPr>
            </w:pPr>
            <w:r>
              <w:rPr>
                <w:rFonts w:ascii="Calibri" w:hAnsi="Calibri"/>
                <w:b/>
                <w:bCs/>
              </w:rPr>
              <w:t>Reflect</w:t>
            </w:r>
          </w:p>
          <w:p w14:paraId="4A07C812" w14:textId="01555DAA" w:rsidR="007C2A9D" w:rsidRPr="007C2A9D" w:rsidRDefault="007C2A9D" w:rsidP="000222EC">
            <w:pPr>
              <w:rPr>
                <w:rFonts w:ascii="Calibri" w:hAnsi="Calibri"/>
              </w:rPr>
            </w:pPr>
            <w:r w:rsidRPr="007C2A9D">
              <w:rPr>
                <w:rFonts w:ascii="Calibri" w:hAnsi="Calibri"/>
              </w:rPr>
              <w:t>What capital is required</w:t>
            </w:r>
            <w:r>
              <w:rPr>
                <w:rFonts w:ascii="Calibri" w:hAnsi="Calibri"/>
              </w:rPr>
              <w:t xml:space="preserve"> for banks</w:t>
            </w:r>
            <w:r w:rsidRPr="007C2A9D">
              <w:rPr>
                <w:rFonts w:ascii="Calibri" w:hAnsi="Calibri"/>
              </w:rPr>
              <w:t xml:space="preserve"> in your country</w:t>
            </w:r>
            <w:r>
              <w:rPr>
                <w:rFonts w:ascii="Calibri" w:hAnsi="Calibri"/>
              </w:rPr>
              <w:t>?</w:t>
            </w:r>
          </w:p>
        </w:tc>
      </w:tr>
    </w:tbl>
    <w:p w14:paraId="608AE04A" w14:textId="789E9C9F" w:rsidR="00691976" w:rsidRDefault="00691976" w:rsidP="000222EC">
      <w:pPr>
        <w:rPr>
          <w:rFonts w:ascii="Calibri" w:hAnsi="Calibri"/>
        </w:rPr>
      </w:pPr>
    </w:p>
    <w:p w14:paraId="5C1178E2" w14:textId="77777777" w:rsidR="00691976" w:rsidRDefault="00691976">
      <w:pPr>
        <w:spacing w:after="0" w:line="240" w:lineRule="auto"/>
        <w:rPr>
          <w:rFonts w:ascii="Calibri" w:hAnsi="Calibri"/>
        </w:rPr>
      </w:pPr>
      <w:r>
        <w:rPr>
          <w:rFonts w:ascii="Calibri" w:hAnsi="Calibri"/>
        </w:rPr>
        <w:br w:type="page"/>
      </w:r>
    </w:p>
    <w:p w14:paraId="7B2FF596" w14:textId="77777777" w:rsidR="001206C9" w:rsidRDefault="001206C9" w:rsidP="001206C9">
      <w:pPr>
        <w:pStyle w:val="Heading2"/>
      </w:pPr>
      <w:r>
        <w:lastRenderedPageBreak/>
        <w:t>Test your knowledge</w:t>
      </w:r>
    </w:p>
    <w:p w14:paraId="79ED85F5" w14:textId="77777777" w:rsidR="001206C9" w:rsidRDefault="001206C9" w:rsidP="001206C9"/>
    <w:p w14:paraId="1DA7B776" w14:textId="6C261F38" w:rsidR="000E0CFD" w:rsidRDefault="00491A85" w:rsidP="001206C9">
      <w:pPr>
        <w:pStyle w:val="ListParagraph"/>
        <w:numPr>
          <w:ilvl w:val="0"/>
          <w:numId w:val="31"/>
        </w:numPr>
      </w:pPr>
      <w:r>
        <w:t xml:space="preserve">In </w:t>
      </w:r>
      <w:r w:rsidR="00310610">
        <w:t>financial regulation, the main global standard-setting body is the:</w:t>
      </w:r>
    </w:p>
    <w:p w14:paraId="3049D4E1" w14:textId="78341111" w:rsidR="00310610" w:rsidRPr="003E62A6" w:rsidRDefault="00310610" w:rsidP="00310610">
      <w:pPr>
        <w:pStyle w:val="ListParagraph"/>
        <w:numPr>
          <w:ilvl w:val="1"/>
          <w:numId w:val="31"/>
        </w:numPr>
      </w:pPr>
      <w:r w:rsidRPr="003E62A6">
        <w:t>BCBS.</w:t>
      </w:r>
    </w:p>
    <w:p w14:paraId="007FA00E" w14:textId="185D9A12" w:rsidR="00310610" w:rsidRPr="003E62A6" w:rsidRDefault="00310610" w:rsidP="00310610">
      <w:pPr>
        <w:pStyle w:val="ListParagraph"/>
        <w:numPr>
          <w:ilvl w:val="1"/>
          <w:numId w:val="31"/>
        </w:numPr>
      </w:pPr>
      <w:r w:rsidRPr="003E62A6">
        <w:t>BIS.</w:t>
      </w:r>
    </w:p>
    <w:p w14:paraId="59EC7071" w14:textId="1F465EFA" w:rsidR="00310610" w:rsidRPr="003E62A6" w:rsidRDefault="002F317C" w:rsidP="00995C3A">
      <w:pPr>
        <w:pStyle w:val="ListParagraph"/>
        <w:numPr>
          <w:ilvl w:val="1"/>
          <w:numId w:val="31"/>
        </w:numPr>
      </w:pPr>
      <w:r w:rsidRPr="003E62A6">
        <w:t>IMF.</w:t>
      </w:r>
    </w:p>
    <w:p w14:paraId="1A077460" w14:textId="77777777" w:rsidR="00310610" w:rsidRPr="003E62A6" w:rsidRDefault="00310610" w:rsidP="00995C3A">
      <w:pPr>
        <w:pStyle w:val="ListParagraph"/>
      </w:pPr>
    </w:p>
    <w:p w14:paraId="1A8BD5C8" w14:textId="0F3C65EE" w:rsidR="00310610" w:rsidRPr="00277DEC" w:rsidRDefault="00C15CFC" w:rsidP="001206C9">
      <w:pPr>
        <w:pStyle w:val="ListParagraph"/>
        <w:numPr>
          <w:ilvl w:val="0"/>
          <w:numId w:val="31"/>
        </w:numPr>
      </w:pPr>
      <w:r w:rsidRPr="003E62A6">
        <w:t>Which type of regulation focuses on ensuring the soundness of banks, as opposed to regulating their</w:t>
      </w:r>
      <w:r w:rsidRPr="00277DEC">
        <w:t xml:space="preserve"> business activities?</w:t>
      </w:r>
    </w:p>
    <w:p w14:paraId="69F99703" w14:textId="1E461DD5" w:rsidR="00C15CFC" w:rsidRPr="00277DEC" w:rsidRDefault="00C15CFC" w:rsidP="00C15CFC">
      <w:pPr>
        <w:pStyle w:val="ListParagraph"/>
        <w:numPr>
          <w:ilvl w:val="1"/>
          <w:numId w:val="31"/>
        </w:numPr>
      </w:pPr>
      <w:r w:rsidRPr="00277DEC">
        <w:t>Prudential regulation.</w:t>
      </w:r>
    </w:p>
    <w:p w14:paraId="02F34049" w14:textId="560E5201" w:rsidR="00C15CFC" w:rsidRPr="00277DEC" w:rsidRDefault="00C15CFC" w:rsidP="00C15CFC">
      <w:pPr>
        <w:pStyle w:val="ListParagraph"/>
        <w:numPr>
          <w:ilvl w:val="1"/>
          <w:numId w:val="31"/>
        </w:numPr>
      </w:pPr>
      <w:r w:rsidRPr="00277DEC">
        <w:t>Conduct regulation.</w:t>
      </w:r>
    </w:p>
    <w:p w14:paraId="7E6CC9C0" w14:textId="7A2E4FFA" w:rsidR="00C15CFC" w:rsidRPr="00277DEC" w:rsidRDefault="00C15CFC" w:rsidP="00995C3A">
      <w:pPr>
        <w:pStyle w:val="ListParagraph"/>
        <w:numPr>
          <w:ilvl w:val="1"/>
          <w:numId w:val="31"/>
        </w:numPr>
      </w:pPr>
      <w:r w:rsidRPr="00277DEC">
        <w:t>Self-regulation.</w:t>
      </w:r>
    </w:p>
    <w:p w14:paraId="1B1F1B3A" w14:textId="5225D4AB" w:rsidR="00C15CFC" w:rsidRPr="00277DEC" w:rsidRDefault="00C15CFC" w:rsidP="00995C3A">
      <w:pPr>
        <w:pStyle w:val="ListParagraph"/>
      </w:pPr>
    </w:p>
    <w:p w14:paraId="0851CA3A" w14:textId="0968B93C" w:rsidR="00C15CFC" w:rsidRPr="00277DEC" w:rsidRDefault="003F6596" w:rsidP="001206C9">
      <w:pPr>
        <w:pStyle w:val="ListParagraph"/>
        <w:numPr>
          <w:ilvl w:val="0"/>
          <w:numId w:val="31"/>
        </w:numPr>
      </w:pPr>
      <w:r w:rsidRPr="00277DEC">
        <w:t xml:space="preserve">Which of the Basel Accords </w:t>
      </w:r>
      <w:r w:rsidRPr="00277DEC">
        <w:rPr>
          <w:rFonts w:ascii="Calibri" w:hAnsi="Calibri"/>
          <w:color w:val="000000" w:themeColor="text1"/>
        </w:rPr>
        <w:t>introduced three pillars with a focus on the banking book?</w:t>
      </w:r>
    </w:p>
    <w:p w14:paraId="67D3857C" w14:textId="4E573048" w:rsidR="003F6596" w:rsidRPr="00277DEC" w:rsidRDefault="003F6596" w:rsidP="003F6596">
      <w:pPr>
        <w:pStyle w:val="ListParagraph"/>
        <w:numPr>
          <w:ilvl w:val="1"/>
          <w:numId w:val="31"/>
        </w:numPr>
      </w:pPr>
      <w:r w:rsidRPr="00277DEC">
        <w:t>Basel Accord.</w:t>
      </w:r>
    </w:p>
    <w:p w14:paraId="4F33C04D" w14:textId="310E1F42" w:rsidR="003F6596" w:rsidRPr="00277DEC" w:rsidRDefault="003F6596" w:rsidP="003F6596">
      <w:pPr>
        <w:pStyle w:val="ListParagraph"/>
        <w:numPr>
          <w:ilvl w:val="1"/>
          <w:numId w:val="31"/>
        </w:numPr>
      </w:pPr>
      <w:r w:rsidRPr="00277DEC">
        <w:t>Basel II.</w:t>
      </w:r>
    </w:p>
    <w:p w14:paraId="05D1FF19" w14:textId="2C55DE91" w:rsidR="003F6596" w:rsidRPr="00277DEC" w:rsidRDefault="003F6596" w:rsidP="003F6596">
      <w:pPr>
        <w:pStyle w:val="ListParagraph"/>
        <w:numPr>
          <w:ilvl w:val="1"/>
          <w:numId w:val="31"/>
        </w:numPr>
      </w:pPr>
      <w:r w:rsidRPr="00277DEC">
        <w:t>Basel III.</w:t>
      </w:r>
    </w:p>
    <w:p w14:paraId="754822D6" w14:textId="77777777" w:rsidR="003E775B" w:rsidRPr="00277DEC" w:rsidRDefault="003E775B" w:rsidP="00995C3A">
      <w:pPr>
        <w:pStyle w:val="ListParagraph"/>
        <w:ind w:left="1440"/>
      </w:pPr>
    </w:p>
    <w:p w14:paraId="74BCA17E" w14:textId="77777777" w:rsidR="00016FCB" w:rsidRPr="00277DEC" w:rsidRDefault="00016FCB" w:rsidP="001206C9">
      <w:pPr>
        <w:pStyle w:val="ListParagraph"/>
        <w:numPr>
          <w:ilvl w:val="0"/>
          <w:numId w:val="31"/>
        </w:numPr>
      </w:pPr>
      <w:r w:rsidRPr="00277DEC">
        <w:rPr>
          <w:rFonts w:ascii="Calibri" w:hAnsi="Calibri"/>
        </w:rPr>
        <w:t>Capital-to-RWA is set by the regulator and is generally:</w:t>
      </w:r>
    </w:p>
    <w:p w14:paraId="3E5A94AF" w14:textId="28BC913F" w:rsidR="00016FCB" w:rsidRPr="00277DEC" w:rsidRDefault="008B4B1B" w:rsidP="00016FCB">
      <w:pPr>
        <w:pStyle w:val="ListParagraph"/>
        <w:numPr>
          <w:ilvl w:val="1"/>
          <w:numId w:val="31"/>
        </w:numPr>
      </w:pPr>
      <w:r w:rsidRPr="00277DEC">
        <w:t>6%.</w:t>
      </w:r>
    </w:p>
    <w:p w14:paraId="651CD555" w14:textId="36843D2E" w:rsidR="008B4B1B" w:rsidRPr="00277DEC" w:rsidRDefault="008B4B1B" w:rsidP="00016FCB">
      <w:pPr>
        <w:pStyle w:val="ListParagraph"/>
        <w:numPr>
          <w:ilvl w:val="1"/>
          <w:numId w:val="31"/>
        </w:numPr>
      </w:pPr>
      <w:r w:rsidRPr="00277DEC">
        <w:t>7%.</w:t>
      </w:r>
    </w:p>
    <w:p w14:paraId="0A2BEE26" w14:textId="53DC998D" w:rsidR="008B4B1B" w:rsidRPr="00277DEC" w:rsidRDefault="008B4B1B" w:rsidP="00016FCB">
      <w:pPr>
        <w:pStyle w:val="ListParagraph"/>
        <w:numPr>
          <w:ilvl w:val="1"/>
          <w:numId w:val="31"/>
        </w:numPr>
      </w:pPr>
      <w:r w:rsidRPr="00277DEC">
        <w:rPr>
          <w:rFonts w:ascii="Calibri" w:hAnsi="Calibri"/>
        </w:rPr>
        <w:t>8%.</w:t>
      </w:r>
    </w:p>
    <w:p w14:paraId="50FB9947" w14:textId="77777777" w:rsidR="008B4B1B" w:rsidRPr="00277DEC" w:rsidRDefault="008B4B1B" w:rsidP="00995C3A">
      <w:pPr>
        <w:pStyle w:val="ListParagraph"/>
        <w:ind w:left="1440"/>
      </w:pPr>
    </w:p>
    <w:p w14:paraId="1196F69C" w14:textId="0B403378" w:rsidR="003F6596" w:rsidRPr="00277DEC" w:rsidRDefault="00A8258E" w:rsidP="001206C9">
      <w:pPr>
        <w:pStyle w:val="ListParagraph"/>
        <w:numPr>
          <w:ilvl w:val="0"/>
          <w:numId w:val="31"/>
        </w:numPr>
      </w:pPr>
      <w:r w:rsidRPr="00277DEC">
        <w:rPr>
          <w:rFonts w:ascii="Calibri" w:hAnsi="Calibri"/>
        </w:rPr>
        <w:t>Which liquidity ratio aims to enhance the short-term resilience of a bank’s liquidity profile?</w:t>
      </w:r>
    </w:p>
    <w:p w14:paraId="39034235" w14:textId="60B0A1D8" w:rsidR="00A8258E" w:rsidRPr="00277DEC" w:rsidRDefault="007367F1" w:rsidP="00A8258E">
      <w:pPr>
        <w:pStyle w:val="ListParagraph"/>
        <w:numPr>
          <w:ilvl w:val="1"/>
          <w:numId w:val="31"/>
        </w:numPr>
      </w:pPr>
      <w:r w:rsidRPr="00277DEC">
        <w:t>LCR.</w:t>
      </w:r>
    </w:p>
    <w:p w14:paraId="733DC843" w14:textId="7494F939" w:rsidR="007367F1" w:rsidRPr="00277DEC" w:rsidRDefault="007367F1" w:rsidP="00A8258E">
      <w:pPr>
        <w:pStyle w:val="ListParagraph"/>
        <w:numPr>
          <w:ilvl w:val="1"/>
          <w:numId w:val="31"/>
        </w:numPr>
      </w:pPr>
      <w:r w:rsidRPr="00277DEC">
        <w:t>NS</w:t>
      </w:r>
      <w:r w:rsidR="00F91392" w:rsidRPr="00277DEC">
        <w:t>F</w:t>
      </w:r>
      <w:r w:rsidRPr="00277DEC">
        <w:t>R</w:t>
      </w:r>
      <w:r w:rsidR="00F91392" w:rsidRPr="00277DEC">
        <w:t>.</w:t>
      </w:r>
    </w:p>
    <w:p w14:paraId="1229F7F8" w14:textId="2BD6FEDF" w:rsidR="00F91392" w:rsidRPr="00277DEC" w:rsidRDefault="00F91392" w:rsidP="00995C3A">
      <w:pPr>
        <w:pStyle w:val="ListParagraph"/>
        <w:numPr>
          <w:ilvl w:val="1"/>
          <w:numId w:val="31"/>
        </w:numPr>
      </w:pPr>
      <w:r w:rsidRPr="00277DEC">
        <w:t>HQLA.</w:t>
      </w:r>
    </w:p>
    <w:p w14:paraId="2C104F2E" w14:textId="77777777" w:rsidR="001206C9" w:rsidRDefault="001206C9" w:rsidP="00995C3A"/>
    <w:p w14:paraId="42C76E07" w14:textId="6C0E13A0" w:rsidR="00A73FC0" w:rsidRDefault="00A73FC0" w:rsidP="00A73FC0">
      <w:pPr>
        <w:pStyle w:val="Heading2"/>
      </w:pPr>
      <w:r>
        <w:t>Reference</w:t>
      </w:r>
      <w:r w:rsidR="002156BA">
        <w:t>s</w:t>
      </w:r>
    </w:p>
    <w:p w14:paraId="6B6BEF6A" w14:textId="75FF5835" w:rsidR="00A73FC0" w:rsidRDefault="00A73FC0" w:rsidP="00A73FC0"/>
    <w:p w14:paraId="5FE7E8DB" w14:textId="7313E3DF" w:rsidR="00A73FC0" w:rsidRDefault="00A73FC0" w:rsidP="00A73FC0">
      <w:pPr>
        <w:rPr>
          <w:rStyle w:val="Hyperlink"/>
        </w:rPr>
      </w:pPr>
      <w:r>
        <w:t xml:space="preserve">Bank of England (2021) </w:t>
      </w:r>
      <w:r w:rsidR="00BC0B80">
        <w:rPr>
          <w:i/>
          <w:iCs/>
        </w:rPr>
        <w:t xml:space="preserve">What is capital? </w:t>
      </w:r>
      <w:r w:rsidR="00BC0B80">
        <w:t xml:space="preserve">[online]. Available at: </w:t>
      </w:r>
      <w:hyperlink r:id="rId31" w:history="1">
        <w:r w:rsidR="00BC0B80" w:rsidRPr="00BC0B80">
          <w:rPr>
            <w:rStyle w:val="Hyperlink"/>
          </w:rPr>
          <w:t>https://www.bankofengland.co.uk/knowledgebank/what-is-capital</w:t>
        </w:r>
      </w:hyperlink>
    </w:p>
    <w:p w14:paraId="5D19E0DD" w14:textId="507FF847" w:rsidR="002156BA" w:rsidRPr="00A73FC0" w:rsidRDefault="002156BA" w:rsidP="00A73FC0">
      <w:r>
        <w:rPr>
          <w:rStyle w:val="Hyperlink"/>
        </w:rPr>
        <w:t>BIS (</w:t>
      </w:r>
      <w:r w:rsidR="00A714D9">
        <w:rPr>
          <w:rStyle w:val="Hyperlink"/>
        </w:rPr>
        <w:t>2019</w:t>
      </w:r>
      <w:r>
        <w:rPr>
          <w:rStyle w:val="Hyperlink"/>
        </w:rPr>
        <w:t xml:space="preserve">) </w:t>
      </w:r>
      <w:r w:rsidR="00291278">
        <w:rPr>
          <w:rStyle w:val="Hyperlink"/>
          <w:i/>
          <w:iCs/>
        </w:rPr>
        <w:t xml:space="preserve">Calculation of RWA for credit risk </w:t>
      </w:r>
      <w:r w:rsidR="00DC62EE">
        <w:rPr>
          <w:rStyle w:val="Hyperlink"/>
          <w:i/>
          <w:iCs/>
        </w:rPr>
        <w:t xml:space="preserve">– </w:t>
      </w:r>
      <w:r w:rsidR="00291278">
        <w:rPr>
          <w:rStyle w:val="Hyperlink"/>
          <w:i/>
          <w:iCs/>
        </w:rPr>
        <w:t>CR</w:t>
      </w:r>
      <w:r w:rsidR="00DC62EE">
        <w:rPr>
          <w:rStyle w:val="Hyperlink"/>
          <w:i/>
          <w:iCs/>
        </w:rPr>
        <w:t xml:space="preserve">E20: Standardised approach: individual exposures </w:t>
      </w:r>
      <w:r w:rsidR="00DC62EE">
        <w:rPr>
          <w:rStyle w:val="Hyperlink"/>
        </w:rPr>
        <w:t xml:space="preserve">[online]. Available at: </w:t>
      </w:r>
      <w:hyperlink r:id="rId32" w:history="1">
        <w:r w:rsidR="00DC62EE" w:rsidRPr="00DC62EE">
          <w:rPr>
            <w:rStyle w:val="Hyperlink"/>
          </w:rPr>
          <w:t>https://www.bis.org/basel_framework/chapter/CRE/20.htm?tldate=20191231</w:t>
        </w:r>
      </w:hyperlink>
      <w:r>
        <w:rPr>
          <w:rStyle w:val="Hyperlink"/>
        </w:rPr>
        <w:t xml:space="preserve"> </w:t>
      </w:r>
    </w:p>
    <w:sectPr w:rsidR="002156BA" w:rsidRPr="00A73FC0" w:rsidSect="00924801">
      <w:footerReference w:type="default" r:id="rId3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422B1" w14:textId="77777777" w:rsidR="002B1627" w:rsidRDefault="002B1627" w:rsidP="00BC0B80">
      <w:pPr>
        <w:spacing w:after="0" w:line="240" w:lineRule="auto"/>
      </w:pPr>
      <w:r>
        <w:separator/>
      </w:r>
    </w:p>
  </w:endnote>
  <w:endnote w:type="continuationSeparator" w:id="0">
    <w:p w14:paraId="12754D4C" w14:textId="77777777" w:rsidR="002B1627" w:rsidRDefault="002B1627" w:rsidP="00BC0B80">
      <w:pPr>
        <w:spacing w:after="0" w:line="240" w:lineRule="auto"/>
      </w:pPr>
      <w:r>
        <w:continuationSeparator/>
      </w:r>
    </w:p>
  </w:endnote>
  <w:endnote w:type="continuationNotice" w:id="1">
    <w:p w14:paraId="10BA09D8" w14:textId="77777777" w:rsidR="002B1627" w:rsidRDefault="002B16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1804" w14:textId="4EA336BE" w:rsidR="00BC0B80" w:rsidRDefault="00250474" w:rsidP="00995C3A">
    <w:pPr>
      <w:pStyle w:val="Footer"/>
      <w:jc w:val="right"/>
    </w:pPr>
    <w:r w:rsidRPr="00763639">
      <w:rPr>
        <w:rFonts w:cstheme="minorHAnsi"/>
        <w:sz w:val="20"/>
        <w:szCs w:val="20"/>
      </w:rPr>
      <w:t>© The London Institute of Banking &amp; Finance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34E1C" w14:textId="77777777" w:rsidR="002B1627" w:rsidRDefault="002B1627" w:rsidP="00BC0B80">
      <w:pPr>
        <w:spacing w:after="0" w:line="240" w:lineRule="auto"/>
      </w:pPr>
      <w:r>
        <w:separator/>
      </w:r>
    </w:p>
  </w:footnote>
  <w:footnote w:type="continuationSeparator" w:id="0">
    <w:p w14:paraId="2FC74E8F" w14:textId="77777777" w:rsidR="002B1627" w:rsidRDefault="002B1627" w:rsidP="00BC0B80">
      <w:pPr>
        <w:spacing w:after="0" w:line="240" w:lineRule="auto"/>
      </w:pPr>
      <w:r>
        <w:continuationSeparator/>
      </w:r>
    </w:p>
  </w:footnote>
  <w:footnote w:type="continuationNotice" w:id="1">
    <w:p w14:paraId="63053C0D" w14:textId="77777777" w:rsidR="002B1627" w:rsidRDefault="002B16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075D1"/>
    <w:multiLevelType w:val="hybridMultilevel"/>
    <w:tmpl w:val="5A4A2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574C0"/>
    <w:multiLevelType w:val="multilevel"/>
    <w:tmpl w:val="F732BC6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6A75FAC"/>
    <w:multiLevelType w:val="multilevel"/>
    <w:tmpl w:val="34D6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00494A"/>
    <w:multiLevelType w:val="hybridMultilevel"/>
    <w:tmpl w:val="E6784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F680D"/>
    <w:multiLevelType w:val="hybridMultilevel"/>
    <w:tmpl w:val="1B96B1FA"/>
    <w:lvl w:ilvl="0" w:tplc="7518818C">
      <w:numFmt w:val="bullet"/>
      <w:lvlText w:val=""/>
      <w:lvlJc w:val="left"/>
      <w:pPr>
        <w:ind w:left="827" w:hanging="360"/>
      </w:pPr>
      <w:rPr>
        <w:rFonts w:ascii="Symbol" w:eastAsia="Symbol" w:hAnsi="Symbol" w:cs="Symbol" w:hint="default"/>
        <w:b w:val="0"/>
        <w:bCs w:val="0"/>
        <w:i w:val="0"/>
        <w:iCs w:val="0"/>
        <w:w w:val="100"/>
        <w:sz w:val="22"/>
        <w:szCs w:val="22"/>
        <w:lang w:val="en-GB" w:eastAsia="en-US" w:bidi="ar-SA"/>
      </w:rPr>
    </w:lvl>
    <w:lvl w:ilvl="1" w:tplc="4D68FC86">
      <w:numFmt w:val="bullet"/>
      <w:lvlText w:val="•"/>
      <w:lvlJc w:val="left"/>
      <w:pPr>
        <w:ind w:left="1247" w:hanging="360"/>
      </w:pPr>
      <w:rPr>
        <w:rFonts w:hint="default"/>
        <w:lang w:val="en-GB" w:eastAsia="en-US" w:bidi="ar-SA"/>
      </w:rPr>
    </w:lvl>
    <w:lvl w:ilvl="2" w:tplc="578606A0">
      <w:numFmt w:val="bullet"/>
      <w:lvlText w:val="•"/>
      <w:lvlJc w:val="left"/>
      <w:pPr>
        <w:ind w:left="1674" w:hanging="360"/>
      </w:pPr>
      <w:rPr>
        <w:rFonts w:hint="default"/>
        <w:lang w:val="en-GB" w:eastAsia="en-US" w:bidi="ar-SA"/>
      </w:rPr>
    </w:lvl>
    <w:lvl w:ilvl="3" w:tplc="63C4AB4A">
      <w:numFmt w:val="bullet"/>
      <w:lvlText w:val="•"/>
      <w:lvlJc w:val="left"/>
      <w:pPr>
        <w:ind w:left="2101" w:hanging="360"/>
      </w:pPr>
      <w:rPr>
        <w:rFonts w:hint="default"/>
        <w:lang w:val="en-GB" w:eastAsia="en-US" w:bidi="ar-SA"/>
      </w:rPr>
    </w:lvl>
    <w:lvl w:ilvl="4" w:tplc="AA224A8A">
      <w:numFmt w:val="bullet"/>
      <w:lvlText w:val="•"/>
      <w:lvlJc w:val="left"/>
      <w:pPr>
        <w:ind w:left="2528" w:hanging="360"/>
      </w:pPr>
      <w:rPr>
        <w:rFonts w:hint="default"/>
        <w:lang w:val="en-GB" w:eastAsia="en-US" w:bidi="ar-SA"/>
      </w:rPr>
    </w:lvl>
    <w:lvl w:ilvl="5" w:tplc="13FACAAC">
      <w:numFmt w:val="bullet"/>
      <w:lvlText w:val="•"/>
      <w:lvlJc w:val="left"/>
      <w:pPr>
        <w:ind w:left="2955" w:hanging="360"/>
      </w:pPr>
      <w:rPr>
        <w:rFonts w:hint="default"/>
        <w:lang w:val="en-GB" w:eastAsia="en-US" w:bidi="ar-SA"/>
      </w:rPr>
    </w:lvl>
    <w:lvl w:ilvl="6" w:tplc="E4F88F74">
      <w:numFmt w:val="bullet"/>
      <w:lvlText w:val="•"/>
      <w:lvlJc w:val="left"/>
      <w:pPr>
        <w:ind w:left="3382" w:hanging="360"/>
      </w:pPr>
      <w:rPr>
        <w:rFonts w:hint="default"/>
        <w:lang w:val="en-GB" w:eastAsia="en-US" w:bidi="ar-SA"/>
      </w:rPr>
    </w:lvl>
    <w:lvl w:ilvl="7" w:tplc="E86876F2">
      <w:numFmt w:val="bullet"/>
      <w:lvlText w:val="•"/>
      <w:lvlJc w:val="left"/>
      <w:pPr>
        <w:ind w:left="3809" w:hanging="360"/>
      </w:pPr>
      <w:rPr>
        <w:rFonts w:hint="default"/>
        <w:lang w:val="en-GB" w:eastAsia="en-US" w:bidi="ar-SA"/>
      </w:rPr>
    </w:lvl>
    <w:lvl w:ilvl="8" w:tplc="9C4EE568">
      <w:numFmt w:val="bullet"/>
      <w:lvlText w:val="•"/>
      <w:lvlJc w:val="left"/>
      <w:pPr>
        <w:ind w:left="4236" w:hanging="360"/>
      </w:pPr>
      <w:rPr>
        <w:rFonts w:hint="default"/>
        <w:lang w:val="en-GB" w:eastAsia="en-US" w:bidi="ar-SA"/>
      </w:rPr>
    </w:lvl>
  </w:abstractNum>
  <w:abstractNum w:abstractNumId="6" w15:restartNumberingAfterBreak="0">
    <w:nsid w:val="0C20593E"/>
    <w:multiLevelType w:val="hybridMultilevel"/>
    <w:tmpl w:val="63985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E677A6"/>
    <w:multiLevelType w:val="hybridMultilevel"/>
    <w:tmpl w:val="FB96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FF19B9"/>
    <w:multiLevelType w:val="hybridMultilevel"/>
    <w:tmpl w:val="CFC2BE9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B44F67"/>
    <w:multiLevelType w:val="hybridMultilevel"/>
    <w:tmpl w:val="CB0407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1963F0"/>
    <w:multiLevelType w:val="hybridMultilevel"/>
    <w:tmpl w:val="6DEE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1F469C"/>
    <w:multiLevelType w:val="multilevel"/>
    <w:tmpl w:val="FE34DE9C"/>
    <w:lvl w:ilvl="0">
      <w:start w:val="2"/>
      <w:numFmt w:val="decimal"/>
      <w:lvlText w:val="%1"/>
      <w:lvlJc w:val="left"/>
      <w:pPr>
        <w:ind w:left="400" w:hanging="4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BC74DC0"/>
    <w:multiLevelType w:val="hybridMultilevel"/>
    <w:tmpl w:val="DFC4EEAA"/>
    <w:lvl w:ilvl="0" w:tplc="B6543D4C">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7067F6"/>
    <w:multiLevelType w:val="multilevel"/>
    <w:tmpl w:val="4D2AA5B8"/>
    <w:lvl w:ilvl="0">
      <w:start w:val="3"/>
      <w:numFmt w:val="decimal"/>
      <w:lvlText w:val="%1"/>
      <w:lvlJc w:val="left"/>
      <w:pPr>
        <w:ind w:left="400" w:hanging="4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49C28D7"/>
    <w:multiLevelType w:val="multilevel"/>
    <w:tmpl w:val="E2B6E9C4"/>
    <w:lvl w:ilvl="0">
      <w:start w:val="2"/>
      <w:numFmt w:val="decimal"/>
      <w:lvlText w:val="%1"/>
      <w:lvlJc w:val="left"/>
      <w:pPr>
        <w:ind w:left="400" w:hanging="400"/>
      </w:pPr>
      <w:rPr>
        <w:rFonts w:hint="default"/>
      </w:rPr>
    </w:lvl>
    <w:lvl w:ilvl="1">
      <w:start w:val="4"/>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DC35ED"/>
    <w:multiLevelType w:val="hybridMultilevel"/>
    <w:tmpl w:val="FCF28C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082A26"/>
    <w:multiLevelType w:val="hybridMultilevel"/>
    <w:tmpl w:val="7328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335655"/>
    <w:multiLevelType w:val="hybridMultilevel"/>
    <w:tmpl w:val="76807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AE7C51"/>
    <w:multiLevelType w:val="multilevel"/>
    <w:tmpl w:val="F8AA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537A7B"/>
    <w:multiLevelType w:val="hybridMultilevel"/>
    <w:tmpl w:val="BC9E82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8C2B7B"/>
    <w:multiLevelType w:val="multilevel"/>
    <w:tmpl w:val="A358E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B76EE2"/>
    <w:multiLevelType w:val="multilevel"/>
    <w:tmpl w:val="68EA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875314"/>
    <w:multiLevelType w:val="multilevel"/>
    <w:tmpl w:val="BF5A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304B2A"/>
    <w:multiLevelType w:val="hybridMultilevel"/>
    <w:tmpl w:val="90406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072A84"/>
    <w:multiLevelType w:val="multilevel"/>
    <w:tmpl w:val="8ECA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9C5997"/>
    <w:multiLevelType w:val="multilevel"/>
    <w:tmpl w:val="89FA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8708EE"/>
    <w:multiLevelType w:val="hybridMultilevel"/>
    <w:tmpl w:val="7B0A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C25906"/>
    <w:multiLevelType w:val="hybridMultilevel"/>
    <w:tmpl w:val="26FA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3F4EAC"/>
    <w:multiLevelType w:val="hybridMultilevel"/>
    <w:tmpl w:val="D952D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2476BA"/>
    <w:multiLevelType w:val="hybridMultilevel"/>
    <w:tmpl w:val="037A9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C67D4E"/>
    <w:multiLevelType w:val="hybridMultilevel"/>
    <w:tmpl w:val="FACC10A2"/>
    <w:lvl w:ilvl="0" w:tplc="08090001">
      <w:start w:val="1"/>
      <w:numFmt w:val="bullet"/>
      <w:lvlText w:val=""/>
      <w:lvlJc w:val="left"/>
      <w:pPr>
        <w:ind w:left="720" w:hanging="360"/>
      </w:pPr>
      <w:rPr>
        <w:rFonts w:ascii="Symbol" w:hAnsi="Symbol" w:hint="default"/>
      </w:rPr>
    </w:lvl>
    <w:lvl w:ilvl="1" w:tplc="D5468346">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321929"/>
    <w:multiLevelType w:val="hybridMultilevel"/>
    <w:tmpl w:val="C8CA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5063C8"/>
    <w:multiLevelType w:val="hybridMultilevel"/>
    <w:tmpl w:val="80221198"/>
    <w:lvl w:ilvl="0" w:tplc="512C6DB8">
      <w:numFmt w:val="bullet"/>
      <w:lvlText w:val=""/>
      <w:lvlJc w:val="left"/>
      <w:pPr>
        <w:ind w:left="827" w:hanging="360"/>
      </w:pPr>
      <w:rPr>
        <w:rFonts w:ascii="Symbol" w:eastAsia="Symbol" w:hAnsi="Symbol" w:cs="Symbol" w:hint="default"/>
        <w:b w:val="0"/>
        <w:bCs w:val="0"/>
        <w:i w:val="0"/>
        <w:iCs w:val="0"/>
        <w:w w:val="100"/>
        <w:sz w:val="22"/>
        <w:szCs w:val="22"/>
        <w:lang w:val="en-GB" w:eastAsia="en-US" w:bidi="ar-SA"/>
      </w:rPr>
    </w:lvl>
    <w:lvl w:ilvl="1" w:tplc="C9704F48">
      <w:numFmt w:val="bullet"/>
      <w:lvlText w:val="•"/>
      <w:lvlJc w:val="left"/>
      <w:pPr>
        <w:ind w:left="1247" w:hanging="360"/>
      </w:pPr>
      <w:rPr>
        <w:rFonts w:hint="default"/>
        <w:lang w:val="en-GB" w:eastAsia="en-US" w:bidi="ar-SA"/>
      </w:rPr>
    </w:lvl>
    <w:lvl w:ilvl="2" w:tplc="E578EDF8">
      <w:numFmt w:val="bullet"/>
      <w:lvlText w:val="•"/>
      <w:lvlJc w:val="left"/>
      <w:pPr>
        <w:ind w:left="1674" w:hanging="360"/>
      </w:pPr>
      <w:rPr>
        <w:rFonts w:hint="default"/>
        <w:lang w:val="en-GB" w:eastAsia="en-US" w:bidi="ar-SA"/>
      </w:rPr>
    </w:lvl>
    <w:lvl w:ilvl="3" w:tplc="D9B0DE00">
      <w:numFmt w:val="bullet"/>
      <w:lvlText w:val="•"/>
      <w:lvlJc w:val="left"/>
      <w:pPr>
        <w:ind w:left="2101" w:hanging="360"/>
      </w:pPr>
      <w:rPr>
        <w:rFonts w:hint="default"/>
        <w:lang w:val="en-GB" w:eastAsia="en-US" w:bidi="ar-SA"/>
      </w:rPr>
    </w:lvl>
    <w:lvl w:ilvl="4" w:tplc="63088AB6">
      <w:numFmt w:val="bullet"/>
      <w:lvlText w:val="•"/>
      <w:lvlJc w:val="left"/>
      <w:pPr>
        <w:ind w:left="2528" w:hanging="360"/>
      </w:pPr>
      <w:rPr>
        <w:rFonts w:hint="default"/>
        <w:lang w:val="en-GB" w:eastAsia="en-US" w:bidi="ar-SA"/>
      </w:rPr>
    </w:lvl>
    <w:lvl w:ilvl="5" w:tplc="105289DC">
      <w:numFmt w:val="bullet"/>
      <w:lvlText w:val="•"/>
      <w:lvlJc w:val="left"/>
      <w:pPr>
        <w:ind w:left="2955" w:hanging="360"/>
      </w:pPr>
      <w:rPr>
        <w:rFonts w:hint="default"/>
        <w:lang w:val="en-GB" w:eastAsia="en-US" w:bidi="ar-SA"/>
      </w:rPr>
    </w:lvl>
    <w:lvl w:ilvl="6" w:tplc="2E4227EC">
      <w:numFmt w:val="bullet"/>
      <w:lvlText w:val="•"/>
      <w:lvlJc w:val="left"/>
      <w:pPr>
        <w:ind w:left="3382" w:hanging="360"/>
      </w:pPr>
      <w:rPr>
        <w:rFonts w:hint="default"/>
        <w:lang w:val="en-GB" w:eastAsia="en-US" w:bidi="ar-SA"/>
      </w:rPr>
    </w:lvl>
    <w:lvl w:ilvl="7" w:tplc="E65CE464">
      <w:numFmt w:val="bullet"/>
      <w:lvlText w:val="•"/>
      <w:lvlJc w:val="left"/>
      <w:pPr>
        <w:ind w:left="3809" w:hanging="360"/>
      </w:pPr>
      <w:rPr>
        <w:rFonts w:hint="default"/>
        <w:lang w:val="en-GB" w:eastAsia="en-US" w:bidi="ar-SA"/>
      </w:rPr>
    </w:lvl>
    <w:lvl w:ilvl="8" w:tplc="511AC918">
      <w:numFmt w:val="bullet"/>
      <w:lvlText w:val="•"/>
      <w:lvlJc w:val="left"/>
      <w:pPr>
        <w:ind w:left="4236" w:hanging="360"/>
      </w:pPr>
      <w:rPr>
        <w:rFonts w:hint="default"/>
        <w:lang w:val="en-GB" w:eastAsia="en-US" w:bidi="ar-SA"/>
      </w:rPr>
    </w:lvl>
  </w:abstractNum>
  <w:abstractNum w:abstractNumId="33" w15:restartNumberingAfterBreak="0">
    <w:nsid w:val="7FCD1F8C"/>
    <w:multiLevelType w:val="multilevel"/>
    <w:tmpl w:val="E6C8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8"/>
  </w:num>
  <w:num w:numId="3">
    <w:abstractNumId w:val="22"/>
  </w:num>
  <w:num w:numId="4">
    <w:abstractNumId w:val="5"/>
  </w:num>
  <w:num w:numId="5">
    <w:abstractNumId w:val="0"/>
  </w:num>
  <w:num w:numId="6">
    <w:abstractNumId w:val="21"/>
  </w:num>
  <w:num w:numId="7">
    <w:abstractNumId w:val="28"/>
  </w:num>
  <w:num w:numId="8">
    <w:abstractNumId w:val="2"/>
  </w:num>
  <w:num w:numId="9">
    <w:abstractNumId w:val="33"/>
  </w:num>
  <w:num w:numId="10">
    <w:abstractNumId w:val="14"/>
  </w:num>
  <w:num w:numId="11">
    <w:abstractNumId w:val="11"/>
  </w:num>
  <w:num w:numId="12">
    <w:abstractNumId w:val="13"/>
  </w:num>
  <w:num w:numId="13">
    <w:abstractNumId w:val="32"/>
  </w:num>
  <w:num w:numId="14">
    <w:abstractNumId w:val="9"/>
  </w:num>
  <w:num w:numId="15">
    <w:abstractNumId w:val="29"/>
  </w:num>
  <w:num w:numId="16">
    <w:abstractNumId w:val="6"/>
  </w:num>
  <w:num w:numId="17">
    <w:abstractNumId w:val="12"/>
  </w:num>
  <w:num w:numId="18">
    <w:abstractNumId w:val="25"/>
  </w:num>
  <w:num w:numId="19">
    <w:abstractNumId w:val="20"/>
  </w:num>
  <w:num w:numId="20">
    <w:abstractNumId w:val="3"/>
  </w:num>
  <w:num w:numId="21">
    <w:abstractNumId w:val="24"/>
  </w:num>
  <w:num w:numId="22">
    <w:abstractNumId w:val="19"/>
  </w:num>
  <w:num w:numId="23">
    <w:abstractNumId w:val="16"/>
  </w:num>
  <w:num w:numId="24">
    <w:abstractNumId w:val="4"/>
  </w:num>
  <w:num w:numId="25">
    <w:abstractNumId w:val="10"/>
  </w:num>
  <w:num w:numId="26">
    <w:abstractNumId w:val="7"/>
  </w:num>
  <w:num w:numId="27">
    <w:abstractNumId w:val="26"/>
  </w:num>
  <w:num w:numId="28">
    <w:abstractNumId w:val="23"/>
  </w:num>
  <w:num w:numId="29">
    <w:abstractNumId w:val="27"/>
  </w:num>
  <w:num w:numId="30">
    <w:abstractNumId w:val="17"/>
  </w:num>
  <w:num w:numId="31">
    <w:abstractNumId w:val="8"/>
  </w:num>
  <w:num w:numId="32">
    <w:abstractNumId w:val="31"/>
  </w:num>
  <w:num w:numId="33">
    <w:abstractNumId w:val="15"/>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WxMDA0NrA0N7A0MrFU0lEKTi0uzszPAykwqgUAMyoOlSwAAAA="/>
  </w:docVars>
  <w:rsids>
    <w:rsidRoot w:val="00ED045D"/>
    <w:rsid w:val="00000F32"/>
    <w:rsid w:val="000036EA"/>
    <w:rsid w:val="00003736"/>
    <w:rsid w:val="0000482B"/>
    <w:rsid w:val="000062EE"/>
    <w:rsid w:val="000108A4"/>
    <w:rsid w:val="00013E1D"/>
    <w:rsid w:val="00015642"/>
    <w:rsid w:val="000161A0"/>
    <w:rsid w:val="000161B7"/>
    <w:rsid w:val="00016788"/>
    <w:rsid w:val="00016FCB"/>
    <w:rsid w:val="00017405"/>
    <w:rsid w:val="000204AB"/>
    <w:rsid w:val="00020C16"/>
    <w:rsid w:val="000222EC"/>
    <w:rsid w:val="0003099E"/>
    <w:rsid w:val="00032109"/>
    <w:rsid w:val="000334C5"/>
    <w:rsid w:val="000347AD"/>
    <w:rsid w:val="00035DC2"/>
    <w:rsid w:val="000360DA"/>
    <w:rsid w:val="0004101C"/>
    <w:rsid w:val="0004149A"/>
    <w:rsid w:val="00041F0B"/>
    <w:rsid w:val="00043E83"/>
    <w:rsid w:val="00053344"/>
    <w:rsid w:val="00062838"/>
    <w:rsid w:val="0006387B"/>
    <w:rsid w:val="00065DE7"/>
    <w:rsid w:val="000670EA"/>
    <w:rsid w:val="00067F8F"/>
    <w:rsid w:val="00075008"/>
    <w:rsid w:val="00083C2A"/>
    <w:rsid w:val="00085ED3"/>
    <w:rsid w:val="000874B4"/>
    <w:rsid w:val="00087F53"/>
    <w:rsid w:val="000907C7"/>
    <w:rsid w:val="0009109A"/>
    <w:rsid w:val="00092FBC"/>
    <w:rsid w:val="00096CCA"/>
    <w:rsid w:val="00097DF4"/>
    <w:rsid w:val="000A03F3"/>
    <w:rsid w:val="000A1A6B"/>
    <w:rsid w:val="000A53A6"/>
    <w:rsid w:val="000A6598"/>
    <w:rsid w:val="000B33B4"/>
    <w:rsid w:val="000B3705"/>
    <w:rsid w:val="000B4C89"/>
    <w:rsid w:val="000B4EA2"/>
    <w:rsid w:val="000B7A33"/>
    <w:rsid w:val="000C39EB"/>
    <w:rsid w:val="000C4208"/>
    <w:rsid w:val="000C7695"/>
    <w:rsid w:val="000D116C"/>
    <w:rsid w:val="000D2575"/>
    <w:rsid w:val="000D581D"/>
    <w:rsid w:val="000D697B"/>
    <w:rsid w:val="000D6DB2"/>
    <w:rsid w:val="000D7A4C"/>
    <w:rsid w:val="000E0CFD"/>
    <w:rsid w:val="000E243F"/>
    <w:rsid w:val="000E5AE3"/>
    <w:rsid w:val="000F3D5A"/>
    <w:rsid w:val="000F6AD8"/>
    <w:rsid w:val="000F7477"/>
    <w:rsid w:val="000F7F4F"/>
    <w:rsid w:val="00100333"/>
    <w:rsid w:val="00104C8C"/>
    <w:rsid w:val="00107BA0"/>
    <w:rsid w:val="0011640C"/>
    <w:rsid w:val="00117ABF"/>
    <w:rsid w:val="0012034F"/>
    <w:rsid w:val="001206C9"/>
    <w:rsid w:val="001219BF"/>
    <w:rsid w:val="00124665"/>
    <w:rsid w:val="00124B15"/>
    <w:rsid w:val="001259AC"/>
    <w:rsid w:val="001338B0"/>
    <w:rsid w:val="00136A2D"/>
    <w:rsid w:val="0013784E"/>
    <w:rsid w:val="0014090D"/>
    <w:rsid w:val="00141DDE"/>
    <w:rsid w:val="001426D9"/>
    <w:rsid w:val="00142CDE"/>
    <w:rsid w:val="00142E00"/>
    <w:rsid w:val="0014654C"/>
    <w:rsid w:val="001505DD"/>
    <w:rsid w:val="00155B84"/>
    <w:rsid w:val="001613F7"/>
    <w:rsid w:val="0016221E"/>
    <w:rsid w:val="0016452D"/>
    <w:rsid w:val="001665B1"/>
    <w:rsid w:val="001666AF"/>
    <w:rsid w:val="001773F9"/>
    <w:rsid w:val="00177723"/>
    <w:rsid w:val="00182825"/>
    <w:rsid w:val="00187D7B"/>
    <w:rsid w:val="00191261"/>
    <w:rsid w:val="00191E44"/>
    <w:rsid w:val="00192566"/>
    <w:rsid w:val="001926C2"/>
    <w:rsid w:val="001952B4"/>
    <w:rsid w:val="001966BC"/>
    <w:rsid w:val="00196D07"/>
    <w:rsid w:val="001A1D2A"/>
    <w:rsid w:val="001A2E0F"/>
    <w:rsid w:val="001B0C8A"/>
    <w:rsid w:val="001B2D40"/>
    <w:rsid w:val="001B6517"/>
    <w:rsid w:val="001C0698"/>
    <w:rsid w:val="001C215E"/>
    <w:rsid w:val="001C31E9"/>
    <w:rsid w:val="001C320B"/>
    <w:rsid w:val="001C4C33"/>
    <w:rsid w:val="001C509D"/>
    <w:rsid w:val="001C5AAF"/>
    <w:rsid w:val="001C7313"/>
    <w:rsid w:val="001D0C4D"/>
    <w:rsid w:val="001D1E9A"/>
    <w:rsid w:val="001D4F50"/>
    <w:rsid w:val="001D583A"/>
    <w:rsid w:val="001D65FD"/>
    <w:rsid w:val="001D6A6C"/>
    <w:rsid w:val="001E1EE8"/>
    <w:rsid w:val="001E5B72"/>
    <w:rsid w:val="001E7056"/>
    <w:rsid w:val="001F3C31"/>
    <w:rsid w:val="001F3DA9"/>
    <w:rsid w:val="001F7077"/>
    <w:rsid w:val="001F71F2"/>
    <w:rsid w:val="0020014D"/>
    <w:rsid w:val="00200D1E"/>
    <w:rsid w:val="00215063"/>
    <w:rsid w:val="00215448"/>
    <w:rsid w:val="002156BA"/>
    <w:rsid w:val="0021600B"/>
    <w:rsid w:val="00221C3A"/>
    <w:rsid w:val="00225809"/>
    <w:rsid w:val="0022767F"/>
    <w:rsid w:val="002320A0"/>
    <w:rsid w:val="002352F4"/>
    <w:rsid w:val="00237281"/>
    <w:rsid w:val="002412E5"/>
    <w:rsid w:val="002432F5"/>
    <w:rsid w:val="002454CF"/>
    <w:rsid w:val="00250474"/>
    <w:rsid w:val="00262FC1"/>
    <w:rsid w:val="0027100D"/>
    <w:rsid w:val="00272C47"/>
    <w:rsid w:val="00273072"/>
    <w:rsid w:val="00276272"/>
    <w:rsid w:val="00277DEC"/>
    <w:rsid w:val="002805BF"/>
    <w:rsid w:val="00283288"/>
    <w:rsid w:val="002851DD"/>
    <w:rsid w:val="00291278"/>
    <w:rsid w:val="0029160D"/>
    <w:rsid w:val="00293BBB"/>
    <w:rsid w:val="002979D8"/>
    <w:rsid w:val="002A040F"/>
    <w:rsid w:val="002A589C"/>
    <w:rsid w:val="002A701A"/>
    <w:rsid w:val="002B07F4"/>
    <w:rsid w:val="002B1627"/>
    <w:rsid w:val="002B70B8"/>
    <w:rsid w:val="002C0FA9"/>
    <w:rsid w:val="002C3095"/>
    <w:rsid w:val="002C4317"/>
    <w:rsid w:val="002C5E28"/>
    <w:rsid w:val="002D0548"/>
    <w:rsid w:val="002D0732"/>
    <w:rsid w:val="002D1D75"/>
    <w:rsid w:val="002E0C41"/>
    <w:rsid w:val="002E16A3"/>
    <w:rsid w:val="002E3782"/>
    <w:rsid w:val="002E4C63"/>
    <w:rsid w:val="002F06EF"/>
    <w:rsid w:val="002F1C09"/>
    <w:rsid w:val="002F2FCE"/>
    <w:rsid w:val="002F317C"/>
    <w:rsid w:val="002F4083"/>
    <w:rsid w:val="002F5885"/>
    <w:rsid w:val="0030039E"/>
    <w:rsid w:val="00300681"/>
    <w:rsid w:val="00303528"/>
    <w:rsid w:val="003045D8"/>
    <w:rsid w:val="00304734"/>
    <w:rsid w:val="00310610"/>
    <w:rsid w:val="003109D2"/>
    <w:rsid w:val="003135C8"/>
    <w:rsid w:val="003149C9"/>
    <w:rsid w:val="00317D6E"/>
    <w:rsid w:val="00320EFA"/>
    <w:rsid w:val="00322F59"/>
    <w:rsid w:val="0032729B"/>
    <w:rsid w:val="00331616"/>
    <w:rsid w:val="00341543"/>
    <w:rsid w:val="00341A3E"/>
    <w:rsid w:val="00344CEB"/>
    <w:rsid w:val="0034561B"/>
    <w:rsid w:val="0035082A"/>
    <w:rsid w:val="00352406"/>
    <w:rsid w:val="00354D73"/>
    <w:rsid w:val="003574E5"/>
    <w:rsid w:val="003650AD"/>
    <w:rsid w:val="0036514E"/>
    <w:rsid w:val="00366989"/>
    <w:rsid w:val="00367708"/>
    <w:rsid w:val="00375DCB"/>
    <w:rsid w:val="00382D38"/>
    <w:rsid w:val="00390DB3"/>
    <w:rsid w:val="003A1DF3"/>
    <w:rsid w:val="003B15BD"/>
    <w:rsid w:val="003B54BA"/>
    <w:rsid w:val="003B7F70"/>
    <w:rsid w:val="003C0AB1"/>
    <w:rsid w:val="003C2929"/>
    <w:rsid w:val="003C3DA2"/>
    <w:rsid w:val="003D13F1"/>
    <w:rsid w:val="003D18DF"/>
    <w:rsid w:val="003D283F"/>
    <w:rsid w:val="003D2BEA"/>
    <w:rsid w:val="003E21CF"/>
    <w:rsid w:val="003E41A7"/>
    <w:rsid w:val="003E62A6"/>
    <w:rsid w:val="003E6F1B"/>
    <w:rsid w:val="003E775B"/>
    <w:rsid w:val="003E7EF5"/>
    <w:rsid w:val="003F08E5"/>
    <w:rsid w:val="003F5525"/>
    <w:rsid w:val="003F6596"/>
    <w:rsid w:val="004061CD"/>
    <w:rsid w:val="00410E41"/>
    <w:rsid w:val="00424B14"/>
    <w:rsid w:val="0042509D"/>
    <w:rsid w:val="0042703D"/>
    <w:rsid w:val="00430AB0"/>
    <w:rsid w:val="00431857"/>
    <w:rsid w:val="0043764F"/>
    <w:rsid w:val="00444EF7"/>
    <w:rsid w:val="00445784"/>
    <w:rsid w:val="004463C7"/>
    <w:rsid w:val="00451EA0"/>
    <w:rsid w:val="00452BFB"/>
    <w:rsid w:val="004547F9"/>
    <w:rsid w:val="004552B8"/>
    <w:rsid w:val="00455372"/>
    <w:rsid w:val="00457E82"/>
    <w:rsid w:val="0046216B"/>
    <w:rsid w:val="00471942"/>
    <w:rsid w:val="00471AD4"/>
    <w:rsid w:val="00473F5C"/>
    <w:rsid w:val="004778F2"/>
    <w:rsid w:val="0048339A"/>
    <w:rsid w:val="004851D8"/>
    <w:rsid w:val="004863FA"/>
    <w:rsid w:val="00486546"/>
    <w:rsid w:val="004917A2"/>
    <w:rsid w:val="00491A85"/>
    <w:rsid w:val="00493F02"/>
    <w:rsid w:val="00494FFA"/>
    <w:rsid w:val="00495EF4"/>
    <w:rsid w:val="004A0458"/>
    <w:rsid w:val="004A10BF"/>
    <w:rsid w:val="004A22CA"/>
    <w:rsid w:val="004A3C27"/>
    <w:rsid w:val="004A3F43"/>
    <w:rsid w:val="004A40F5"/>
    <w:rsid w:val="004A603D"/>
    <w:rsid w:val="004A6272"/>
    <w:rsid w:val="004B2EB2"/>
    <w:rsid w:val="004B3DEA"/>
    <w:rsid w:val="004B4902"/>
    <w:rsid w:val="004B7137"/>
    <w:rsid w:val="004D2D44"/>
    <w:rsid w:val="004D2E88"/>
    <w:rsid w:val="004D4F26"/>
    <w:rsid w:val="004D5255"/>
    <w:rsid w:val="004E2E36"/>
    <w:rsid w:val="004E3CEB"/>
    <w:rsid w:val="004E5F2F"/>
    <w:rsid w:val="004F24C8"/>
    <w:rsid w:val="004F43E1"/>
    <w:rsid w:val="004F63AA"/>
    <w:rsid w:val="004F64C0"/>
    <w:rsid w:val="0050353D"/>
    <w:rsid w:val="005105FD"/>
    <w:rsid w:val="00511DF3"/>
    <w:rsid w:val="00516C0D"/>
    <w:rsid w:val="00521ABC"/>
    <w:rsid w:val="00523451"/>
    <w:rsid w:val="0052375A"/>
    <w:rsid w:val="005252E2"/>
    <w:rsid w:val="00534B53"/>
    <w:rsid w:val="00542A80"/>
    <w:rsid w:val="00551C72"/>
    <w:rsid w:val="0056218D"/>
    <w:rsid w:val="00563BC0"/>
    <w:rsid w:val="0056542D"/>
    <w:rsid w:val="00565ED2"/>
    <w:rsid w:val="005662E2"/>
    <w:rsid w:val="00571788"/>
    <w:rsid w:val="0057478E"/>
    <w:rsid w:val="00575496"/>
    <w:rsid w:val="00586C82"/>
    <w:rsid w:val="00594B55"/>
    <w:rsid w:val="00595060"/>
    <w:rsid w:val="005954D2"/>
    <w:rsid w:val="005A1086"/>
    <w:rsid w:val="005A5BEC"/>
    <w:rsid w:val="005A74E7"/>
    <w:rsid w:val="005A7D90"/>
    <w:rsid w:val="005B0929"/>
    <w:rsid w:val="005B5551"/>
    <w:rsid w:val="005B6018"/>
    <w:rsid w:val="005C0738"/>
    <w:rsid w:val="005C520A"/>
    <w:rsid w:val="005C62BD"/>
    <w:rsid w:val="005C62D5"/>
    <w:rsid w:val="005D465B"/>
    <w:rsid w:val="005D5545"/>
    <w:rsid w:val="005D6750"/>
    <w:rsid w:val="005D6F8F"/>
    <w:rsid w:val="005E1C25"/>
    <w:rsid w:val="005F3F3F"/>
    <w:rsid w:val="005F5A1D"/>
    <w:rsid w:val="005F6782"/>
    <w:rsid w:val="00605106"/>
    <w:rsid w:val="006079EF"/>
    <w:rsid w:val="00607FC7"/>
    <w:rsid w:val="00611D0E"/>
    <w:rsid w:val="00612BA0"/>
    <w:rsid w:val="00616BFF"/>
    <w:rsid w:val="006171A4"/>
    <w:rsid w:val="006207CB"/>
    <w:rsid w:val="006212B7"/>
    <w:rsid w:val="006254B9"/>
    <w:rsid w:val="006266E2"/>
    <w:rsid w:val="00626FA1"/>
    <w:rsid w:val="006300B8"/>
    <w:rsid w:val="00631B6A"/>
    <w:rsid w:val="00637E86"/>
    <w:rsid w:val="00641C69"/>
    <w:rsid w:val="00643AE3"/>
    <w:rsid w:val="006446DA"/>
    <w:rsid w:val="00644AE5"/>
    <w:rsid w:val="00645D3F"/>
    <w:rsid w:val="00646811"/>
    <w:rsid w:val="00651653"/>
    <w:rsid w:val="00651C67"/>
    <w:rsid w:val="0065569B"/>
    <w:rsid w:val="0066032B"/>
    <w:rsid w:val="00661D4A"/>
    <w:rsid w:val="00676948"/>
    <w:rsid w:val="00677855"/>
    <w:rsid w:val="00681FDF"/>
    <w:rsid w:val="00684BC7"/>
    <w:rsid w:val="0069174D"/>
    <w:rsid w:val="00691976"/>
    <w:rsid w:val="00691A4C"/>
    <w:rsid w:val="00692B33"/>
    <w:rsid w:val="006937A3"/>
    <w:rsid w:val="006958DB"/>
    <w:rsid w:val="00697516"/>
    <w:rsid w:val="006A4574"/>
    <w:rsid w:val="006C1C3B"/>
    <w:rsid w:val="006C41C8"/>
    <w:rsid w:val="006C7280"/>
    <w:rsid w:val="006D1A7C"/>
    <w:rsid w:val="006E1D4A"/>
    <w:rsid w:val="006E4374"/>
    <w:rsid w:val="006F24A9"/>
    <w:rsid w:val="006F339E"/>
    <w:rsid w:val="006F5A2A"/>
    <w:rsid w:val="006F62B3"/>
    <w:rsid w:val="00700EA0"/>
    <w:rsid w:val="0070190C"/>
    <w:rsid w:val="0070230A"/>
    <w:rsid w:val="0070400C"/>
    <w:rsid w:val="00712C18"/>
    <w:rsid w:val="00713132"/>
    <w:rsid w:val="007163F4"/>
    <w:rsid w:val="00722C1E"/>
    <w:rsid w:val="00731136"/>
    <w:rsid w:val="00734220"/>
    <w:rsid w:val="007367F1"/>
    <w:rsid w:val="00736914"/>
    <w:rsid w:val="007370D0"/>
    <w:rsid w:val="0074409E"/>
    <w:rsid w:val="0074571A"/>
    <w:rsid w:val="00765EAE"/>
    <w:rsid w:val="007672A6"/>
    <w:rsid w:val="00767405"/>
    <w:rsid w:val="00767761"/>
    <w:rsid w:val="007731A5"/>
    <w:rsid w:val="0077379C"/>
    <w:rsid w:val="007737B4"/>
    <w:rsid w:val="007766FD"/>
    <w:rsid w:val="00776E00"/>
    <w:rsid w:val="0078630E"/>
    <w:rsid w:val="00792B75"/>
    <w:rsid w:val="00797A9E"/>
    <w:rsid w:val="007A1265"/>
    <w:rsid w:val="007A1631"/>
    <w:rsid w:val="007A2620"/>
    <w:rsid w:val="007A3063"/>
    <w:rsid w:val="007A36DF"/>
    <w:rsid w:val="007A56DF"/>
    <w:rsid w:val="007B044E"/>
    <w:rsid w:val="007B08C7"/>
    <w:rsid w:val="007B1707"/>
    <w:rsid w:val="007B17DF"/>
    <w:rsid w:val="007B46FB"/>
    <w:rsid w:val="007B7F35"/>
    <w:rsid w:val="007C010F"/>
    <w:rsid w:val="007C09CB"/>
    <w:rsid w:val="007C2A9D"/>
    <w:rsid w:val="007C7CAA"/>
    <w:rsid w:val="007C7F9A"/>
    <w:rsid w:val="007D2CBA"/>
    <w:rsid w:val="007D3B17"/>
    <w:rsid w:val="007D3B3F"/>
    <w:rsid w:val="007D518C"/>
    <w:rsid w:val="007D661E"/>
    <w:rsid w:val="007E0934"/>
    <w:rsid w:val="007E2849"/>
    <w:rsid w:val="007F1DF8"/>
    <w:rsid w:val="007F2660"/>
    <w:rsid w:val="007F2B40"/>
    <w:rsid w:val="007F36E6"/>
    <w:rsid w:val="007F5C1B"/>
    <w:rsid w:val="007F75B0"/>
    <w:rsid w:val="00800FFA"/>
    <w:rsid w:val="00807054"/>
    <w:rsid w:val="00815E8A"/>
    <w:rsid w:val="008174AB"/>
    <w:rsid w:val="00817B4D"/>
    <w:rsid w:val="00817D8C"/>
    <w:rsid w:val="008211B9"/>
    <w:rsid w:val="0082315E"/>
    <w:rsid w:val="00827A56"/>
    <w:rsid w:val="00831895"/>
    <w:rsid w:val="00832C38"/>
    <w:rsid w:val="00844015"/>
    <w:rsid w:val="00844FDF"/>
    <w:rsid w:val="00845BB7"/>
    <w:rsid w:val="008526F4"/>
    <w:rsid w:val="00853AA9"/>
    <w:rsid w:val="0085429E"/>
    <w:rsid w:val="00860639"/>
    <w:rsid w:val="00861BB0"/>
    <w:rsid w:val="00863F3D"/>
    <w:rsid w:val="00866486"/>
    <w:rsid w:val="00872486"/>
    <w:rsid w:val="00873144"/>
    <w:rsid w:val="00875EF5"/>
    <w:rsid w:val="0087674A"/>
    <w:rsid w:val="008821F5"/>
    <w:rsid w:val="00883F3D"/>
    <w:rsid w:val="00887281"/>
    <w:rsid w:val="008875CB"/>
    <w:rsid w:val="00891605"/>
    <w:rsid w:val="00891A68"/>
    <w:rsid w:val="00891AD3"/>
    <w:rsid w:val="00894B33"/>
    <w:rsid w:val="00894EF0"/>
    <w:rsid w:val="00897F4F"/>
    <w:rsid w:val="008A3B2D"/>
    <w:rsid w:val="008A499A"/>
    <w:rsid w:val="008B052F"/>
    <w:rsid w:val="008B4B1B"/>
    <w:rsid w:val="008B7D0A"/>
    <w:rsid w:val="008C1025"/>
    <w:rsid w:val="008C3F0F"/>
    <w:rsid w:val="008C584A"/>
    <w:rsid w:val="008C619E"/>
    <w:rsid w:val="008C69A6"/>
    <w:rsid w:val="008C7A39"/>
    <w:rsid w:val="008D209A"/>
    <w:rsid w:val="008D2348"/>
    <w:rsid w:val="008D4B19"/>
    <w:rsid w:val="008D61C7"/>
    <w:rsid w:val="008E008C"/>
    <w:rsid w:val="008E13D5"/>
    <w:rsid w:val="008E5CAA"/>
    <w:rsid w:val="008F0B12"/>
    <w:rsid w:val="008F4C89"/>
    <w:rsid w:val="008F7D46"/>
    <w:rsid w:val="00900D9A"/>
    <w:rsid w:val="009034C5"/>
    <w:rsid w:val="00904A4B"/>
    <w:rsid w:val="00910637"/>
    <w:rsid w:val="0091174A"/>
    <w:rsid w:val="00920FE5"/>
    <w:rsid w:val="00922CD2"/>
    <w:rsid w:val="00924801"/>
    <w:rsid w:val="00925916"/>
    <w:rsid w:val="009341BA"/>
    <w:rsid w:val="009367EA"/>
    <w:rsid w:val="0093740A"/>
    <w:rsid w:val="00945394"/>
    <w:rsid w:val="009468E5"/>
    <w:rsid w:val="00951C32"/>
    <w:rsid w:val="00953EDF"/>
    <w:rsid w:val="00955945"/>
    <w:rsid w:val="00956416"/>
    <w:rsid w:val="00956A27"/>
    <w:rsid w:val="009602B9"/>
    <w:rsid w:val="00964C71"/>
    <w:rsid w:val="009728AB"/>
    <w:rsid w:val="009748DC"/>
    <w:rsid w:val="00976D0D"/>
    <w:rsid w:val="00981742"/>
    <w:rsid w:val="009853F8"/>
    <w:rsid w:val="009863ED"/>
    <w:rsid w:val="00993BBA"/>
    <w:rsid w:val="009943F4"/>
    <w:rsid w:val="00995C3A"/>
    <w:rsid w:val="009A7A8D"/>
    <w:rsid w:val="009B4FAF"/>
    <w:rsid w:val="009B503D"/>
    <w:rsid w:val="009B54CC"/>
    <w:rsid w:val="009B578F"/>
    <w:rsid w:val="009B7181"/>
    <w:rsid w:val="009D0040"/>
    <w:rsid w:val="009D573A"/>
    <w:rsid w:val="009D7F9A"/>
    <w:rsid w:val="009E0891"/>
    <w:rsid w:val="009E4E90"/>
    <w:rsid w:val="009E5077"/>
    <w:rsid w:val="009F5EF3"/>
    <w:rsid w:val="009F5F90"/>
    <w:rsid w:val="00A0183F"/>
    <w:rsid w:val="00A0247E"/>
    <w:rsid w:val="00A250EB"/>
    <w:rsid w:val="00A33594"/>
    <w:rsid w:val="00A350C4"/>
    <w:rsid w:val="00A40C6C"/>
    <w:rsid w:val="00A41FA4"/>
    <w:rsid w:val="00A50141"/>
    <w:rsid w:val="00A518E4"/>
    <w:rsid w:val="00A52279"/>
    <w:rsid w:val="00A5708F"/>
    <w:rsid w:val="00A60335"/>
    <w:rsid w:val="00A64525"/>
    <w:rsid w:val="00A65A9B"/>
    <w:rsid w:val="00A67FB3"/>
    <w:rsid w:val="00A714D9"/>
    <w:rsid w:val="00A725F9"/>
    <w:rsid w:val="00A73FC0"/>
    <w:rsid w:val="00A7433E"/>
    <w:rsid w:val="00A758BC"/>
    <w:rsid w:val="00A75F1F"/>
    <w:rsid w:val="00A76E93"/>
    <w:rsid w:val="00A8258E"/>
    <w:rsid w:val="00A852D4"/>
    <w:rsid w:val="00A879F4"/>
    <w:rsid w:val="00A90315"/>
    <w:rsid w:val="00A91C6E"/>
    <w:rsid w:val="00A925EC"/>
    <w:rsid w:val="00A93EFE"/>
    <w:rsid w:val="00A93FB6"/>
    <w:rsid w:val="00A97180"/>
    <w:rsid w:val="00AB0E75"/>
    <w:rsid w:val="00AB2A73"/>
    <w:rsid w:val="00AB3B9B"/>
    <w:rsid w:val="00AB5714"/>
    <w:rsid w:val="00AC7714"/>
    <w:rsid w:val="00AD070F"/>
    <w:rsid w:val="00AD5242"/>
    <w:rsid w:val="00AD5D34"/>
    <w:rsid w:val="00AE0F11"/>
    <w:rsid w:val="00AE4E9E"/>
    <w:rsid w:val="00AE4FF3"/>
    <w:rsid w:val="00AE52F5"/>
    <w:rsid w:val="00AE6694"/>
    <w:rsid w:val="00AF2D86"/>
    <w:rsid w:val="00AF38AD"/>
    <w:rsid w:val="00AF4088"/>
    <w:rsid w:val="00B01A59"/>
    <w:rsid w:val="00B025F9"/>
    <w:rsid w:val="00B12E49"/>
    <w:rsid w:val="00B1501F"/>
    <w:rsid w:val="00B20E6F"/>
    <w:rsid w:val="00B22BD7"/>
    <w:rsid w:val="00B3519F"/>
    <w:rsid w:val="00B36497"/>
    <w:rsid w:val="00B40C44"/>
    <w:rsid w:val="00B447E6"/>
    <w:rsid w:val="00B4721E"/>
    <w:rsid w:val="00B47912"/>
    <w:rsid w:val="00B50CBB"/>
    <w:rsid w:val="00B54387"/>
    <w:rsid w:val="00B54D51"/>
    <w:rsid w:val="00B60715"/>
    <w:rsid w:val="00B6239F"/>
    <w:rsid w:val="00B63FC6"/>
    <w:rsid w:val="00B66CD7"/>
    <w:rsid w:val="00B71EE8"/>
    <w:rsid w:val="00B738C8"/>
    <w:rsid w:val="00B73B7B"/>
    <w:rsid w:val="00B75BBB"/>
    <w:rsid w:val="00B76E07"/>
    <w:rsid w:val="00B81D7A"/>
    <w:rsid w:val="00B82CFD"/>
    <w:rsid w:val="00B84183"/>
    <w:rsid w:val="00B92881"/>
    <w:rsid w:val="00B956B7"/>
    <w:rsid w:val="00BA2578"/>
    <w:rsid w:val="00BA3105"/>
    <w:rsid w:val="00BA49A5"/>
    <w:rsid w:val="00BA50C0"/>
    <w:rsid w:val="00BA6940"/>
    <w:rsid w:val="00BB10EA"/>
    <w:rsid w:val="00BB2680"/>
    <w:rsid w:val="00BB4BFD"/>
    <w:rsid w:val="00BB50F4"/>
    <w:rsid w:val="00BC0B80"/>
    <w:rsid w:val="00BC4AB5"/>
    <w:rsid w:val="00BC4C28"/>
    <w:rsid w:val="00BC5D62"/>
    <w:rsid w:val="00BD192C"/>
    <w:rsid w:val="00BD44B1"/>
    <w:rsid w:val="00BD6FB5"/>
    <w:rsid w:val="00BE3714"/>
    <w:rsid w:val="00BE546B"/>
    <w:rsid w:val="00BF56E6"/>
    <w:rsid w:val="00C04376"/>
    <w:rsid w:val="00C069BF"/>
    <w:rsid w:val="00C0732B"/>
    <w:rsid w:val="00C11B68"/>
    <w:rsid w:val="00C11B8F"/>
    <w:rsid w:val="00C12B43"/>
    <w:rsid w:val="00C15CFC"/>
    <w:rsid w:val="00C3131A"/>
    <w:rsid w:val="00C33ACA"/>
    <w:rsid w:val="00C34BC7"/>
    <w:rsid w:val="00C429AC"/>
    <w:rsid w:val="00C53333"/>
    <w:rsid w:val="00C53763"/>
    <w:rsid w:val="00C5552A"/>
    <w:rsid w:val="00C6194D"/>
    <w:rsid w:val="00C6301E"/>
    <w:rsid w:val="00C64E1F"/>
    <w:rsid w:val="00C70120"/>
    <w:rsid w:val="00C719F9"/>
    <w:rsid w:val="00C72130"/>
    <w:rsid w:val="00C73C2F"/>
    <w:rsid w:val="00C7625E"/>
    <w:rsid w:val="00C844B8"/>
    <w:rsid w:val="00C908BB"/>
    <w:rsid w:val="00C90FF5"/>
    <w:rsid w:val="00C92C22"/>
    <w:rsid w:val="00C976C0"/>
    <w:rsid w:val="00CA1C59"/>
    <w:rsid w:val="00CA222B"/>
    <w:rsid w:val="00CA226B"/>
    <w:rsid w:val="00CA29D9"/>
    <w:rsid w:val="00CA2A9E"/>
    <w:rsid w:val="00CA4491"/>
    <w:rsid w:val="00CA5E9B"/>
    <w:rsid w:val="00CB1DB7"/>
    <w:rsid w:val="00CB2692"/>
    <w:rsid w:val="00CB4F5D"/>
    <w:rsid w:val="00CB7B72"/>
    <w:rsid w:val="00CC1031"/>
    <w:rsid w:val="00CC36EB"/>
    <w:rsid w:val="00CC67EC"/>
    <w:rsid w:val="00CC7A2F"/>
    <w:rsid w:val="00CC7AA2"/>
    <w:rsid w:val="00CD0E38"/>
    <w:rsid w:val="00CD1239"/>
    <w:rsid w:val="00CD1C5D"/>
    <w:rsid w:val="00CE604A"/>
    <w:rsid w:val="00CF3E31"/>
    <w:rsid w:val="00CF619D"/>
    <w:rsid w:val="00CF7FBB"/>
    <w:rsid w:val="00D05A34"/>
    <w:rsid w:val="00D05D74"/>
    <w:rsid w:val="00D069E5"/>
    <w:rsid w:val="00D15F76"/>
    <w:rsid w:val="00D16F61"/>
    <w:rsid w:val="00D2283B"/>
    <w:rsid w:val="00D26B00"/>
    <w:rsid w:val="00D273ED"/>
    <w:rsid w:val="00D27661"/>
    <w:rsid w:val="00D30CC8"/>
    <w:rsid w:val="00D368F0"/>
    <w:rsid w:val="00D4240E"/>
    <w:rsid w:val="00D43DE1"/>
    <w:rsid w:val="00D454E1"/>
    <w:rsid w:val="00D66549"/>
    <w:rsid w:val="00D70B36"/>
    <w:rsid w:val="00D72338"/>
    <w:rsid w:val="00D72EF6"/>
    <w:rsid w:val="00D75D86"/>
    <w:rsid w:val="00D8067F"/>
    <w:rsid w:val="00D81808"/>
    <w:rsid w:val="00D84674"/>
    <w:rsid w:val="00D87C2E"/>
    <w:rsid w:val="00D90059"/>
    <w:rsid w:val="00D90D31"/>
    <w:rsid w:val="00D96A8A"/>
    <w:rsid w:val="00D972FF"/>
    <w:rsid w:val="00DA4879"/>
    <w:rsid w:val="00DA4DC8"/>
    <w:rsid w:val="00DA50F0"/>
    <w:rsid w:val="00DA6C3C"/>
    <w:rsid w:val="00DA6FFA"/>
    <w:rsid w:val="00DA7313"/>
    <w:rsid w:val="00DA75FE"/>
    <w:rsid w:val="00DB34CD"/>
    <w:rsid w:val="00DB7D3F"/>
    <w:rsid w:val="00DC1521"/>
    <w:rsid w:val="00DC3AFF"/>
    <w:rsid w:val="00DC3DA0"/>
    <w:rsid w:val="00DC62EE"/>
    <w:rsid w:val="00DC735B"/>
    <w:rsid w:val="00DD016C"/>
    <w:rsid w:val="00DD392A"/>
    <w:rsid w:val="00DD3AFC"/>
    <w:rsid w:val="00DD598C"/>
    <w:rsid w:val="00DE0BA9"/>
    <w:rsid w:val="00DE2798"/>
    <w:rsid w:val="00DF138F"/>
    <w:rsid w:val="00DF3B50"/>
    <w:rsid w:val="00DF40E5"/>
    <w:rsid w:val="00DF470B"/>
    <w:rsid w:val="00DF7FF4"/>
    <w:rsid w:val="00E2141A"/>
    <w:rsid w:val="00E217CB"/>
    <w:rsid w:val="00E22E08"/>
    <w:rsid w:val="00E26431"/>
    <w:rsid w:val="00E26D8F"/>
    <w:rsid w:val="00E2723F"/>
    <w:rsid w:val="00E27673"/>
    <w:rsid w:val="00E31E3C"/>
    <w:rsid w:val="00E3476D"/>
    <w:rsid w:val="00E3788A"/>
    <w:rsid w:val="00E40B4A"/>
    <w:rsid w:val="00E43A90"/>
    <w:rsid w:val="00E43BF8"/>
    <w:rsid w:val="00E43D34"/>
    <w:rsid w:val="00E51F77"/>
    <w:rsid w:val="00E54AB6"/>
    <w:rsid w:val="00E55FE3"/>
    <w:rsid w:val="00E60C50"/>
    <w:rsid w:val="00E610AB"/>
    <w:rsid w:val="00E6143A"/>
    <w:rsid w:val="00E62629"/>
    <w:rsid w:val="00E658B2"/>
    <w:rsid w:val="00E6673D"/>
    <w:rsid w:val="00E67CE0"/>
    <w:rsid w:val="00E72179"/>
    <w:rsid w:val="00E73518"/>
    <w:rsid w:val="00E74735"/>
    <w:rsid w:val="00E75202"/>
    <w:rsid w:val="00E7790A"/>
    <w:rsid w:val="00E813C8"/>
    <w:rsid w:val="00E85618"/>
    <w:rsid w:val="00E904F5"/>
    <w:rsid w:val="00E90B70"/>
    <w:rsid w:val="00E919EE"/>
    <w:rsid w:val="00E929BD"/>
    <w:rsid w:val="00E94EAE"/>
    <w:rsid w:val="00E95676"/>
    <w:rsid w:val="00E95A7F"/>
    <w:rsid w:val="00EA0B94"/>
    <w:rsid w:val="00EA1199"/>
    <w:rsid w:val="00EA165E"/>
    <w:rsid w:val="00EA1E37"/>
    <w:rsid w:val="00EA3239"/>
    <w:rsid w:val="00EA3E5C"/>
    <w:rsid w:val="00EB0118"/>
    <w:rsid w:val="00EB262C"/>
    <w:rsid w:val="00EC5CA9"/>
    <w:rsid w:val="00EC7A8F"/>
    <w:rsid w:val="00ED045D"/>
    <w:rsid w:val="00ED1AED"/>
    <w:rsid w:val="00ED2967"/>
    <w:rsid w:val="00ED7351"/>
    <w:rsid w:val="00ED7839"/>
    <w:rsid w:val="00EE1291"/>
    <w:rsid w:val="00EE1C0D"/>
    <w:rsid w:val="00EE2590"/>
    <w:rsid w:val="00EE331A"/>
    <w:rsid w:val="00EE582E"/>
    <w:rsid w:val="00EE5B87"/>
    <w:rsid w:val="00EF0A99"/>
    <w:rsid w:val="00EF0D5B"/>
    <w:rsid w:val="00EF17B4"/>
    <w:rsid w:val="00EF73C0"/>
    <w:rsid w:val="00F0091D"/>
    <w:rsid w:val="00F04681"/>
    <w:rsid w:val="00F053CC"/>
    <w:rsid w:val="00F1299C"/>
    <w:rsid w:val="00F12A23"/>
    <w:rsid w:val="00F12E76"/>
    <w:rsid w:val="00F13CE0"/>
    <w:rsid w:val="00F1501B"/>
    <w:rsid w:val="00F1554E"/>
    <w:rsid w:val="00F17F5A"/>
    <w:rsid w:val="00F21594"/>
    <w:rsid w:val="00F30D7F"/>
    <w:rsid w:val="00F34FBA"/>
    <w:rsid w:val="00F3513A"/>
    <w:rsid w:val="00F423AD"/>
    <w:rsid w:val="00F4253D"/>
    <w:rsid w:val="00F43091"/>
    <w:rsid w:val="00F430F4"/>
    <w:rsid w:val="00F4437F"/>
    <w:rsid w:val="00F471E0"/>
    <w:rsid w:val="00F4781A"/>
    <w:rsid w:val="00F5262A"/>
    <w:rsid w:val="00F52C5B"/>
    <w:rsid w:val="00F53E98"/>
    <w:rsid w:val="00F55AA4"/>
    <w:rsid w:val="00F56438"/>
    <w:rsid w:val="00F570AF"/>
    <w:rsid w:val="00F57245"/>
    <w:rsid w:val="00F57434"/>
    <w:rsid w:val="00F61F3A"/>
    <w:rsid w:val="00F623B7"/>
    <w:rsid w:val="00F642CF"/>
    <w:rsid w:val="00F67F67"/>
    <w:rsid w:val="00F702E5"/>
    <w:rsid w:val="00F75737"/>
    <w:rsid w:val="00F80FBF"/>
    <w:rsid w:val="00F8247C"/>
    <w:rsid w:val="00F82722"/>
    <w:rsid w:val="00F82EA1"/>
    <w:rsid w:val="00F84F43"/>
    <w:rsid w:val="00F909EF"/>
    <w:rsid w:val="00F91392"/>
    <w:rsid w:val="00F925D1"/>
    <w:rsid w:val="00F92A9A"/>
    <w:rsid w:val="00F948DE"/>
    <w:rsid w:val="00FA0F5F"/>
    <w:rsid w:val="00FA4CC1"/>
    <w:rsid w:val="00FA7D8D"/>
    <w:rsid w:val="00FB1BE1"/>
    <w:rsid w:val="00FB1CA7"/>
    <w:rsid w:val="00FB2D0F"/>
    <w:rsid w:val="00FB3A81"/>
    <w:rsid w:val="00FB7401"/>
    <w:rsid w:val="00FC0316"/>
    <w:rsid w:val="00FC05C8"/>
    <w:rsid w:val="00FC1050"/>
    <w:rsid w:val="00FC3F9F"/>
    <w:rsid w:val="00FC53B4"/>
    <w:rsid w:val="00FD2244"/>
    <w:rsid w:val="00FD7C13"/>
    <w:rsid w:val="00FE0223"/>
    <w:rsid w:val="00FE42C3"/>
    <w:rsid w:val="00FF37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A695"/>
  <w14:defaultImageDpi w14:val="32767"/>
  <w15:chartTrackingRefBased/>
  <w15:docId w15:val="{DA7379F9-43D2-4777-9DF2-435A184B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74E7"/>
    <w:pPr>
      <w:spacing w:after="160" w:line="259" w:lineRule="auto"/>
    </w:pPr>
  </w:style>
  <w:style w:type="paragraph" w:styleId="Heading1">
    <w:name w:val="heading 1"/>
    <w:basedOn w:val="Normal"/>
    <w:next w:val="Normal"/>
    <w:link w:val="Heading1Char"/>
    <w:uiPriority w:val="9"/>
    <w:qFormat/>
    <w:rsid w:val="005A74E7"/>
    <w:pPr>
      <w:keepNext/>
      <w:keepLines/>
      <w:spacing w:before="240" w:after="0"/>
      <w:outlineLvl w:val="0"/>
    </w:pPr>
    <w:rPr>
      <w:rFonts w:asciiTheme="majorHAnsi" w:eastAsiaTheme="majorEastAsia" w:hAnsiTheme="majorHAnsi" w:cstheme="majorBidi"/>
      <w:b/>
      <w:bCs/>
      <w:color w:val="2E74B5" w:themeColor="accent1" w:themeShade="BF"/>
      <w:sz w:val="32"/>
      <w:szCs w:val="32"/>
    </w:rPr>
  </w:style>
  <w:style w:type="paragraph" w:styleId="Heading2">
    <w:name w:val="heading 2"/>
    <w:basedOn w:val="Normal"/>
    <w:next w:val="Normal"/>
    <w:link w:val="Heading2Char"/>
    <w:uiPriority w:val="9"/>
    <w:unhideWhenUsed/>
    <w:qFormat/>
    <w:rsid w:val="005A74E7"/>
    <w:pPr>
      <w:keepNext/>
      <w:keepLines/>
      <w:spacing w:before="40" w:after="0"/>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basedOn w:val="Normal"/>
    <w:next w:val="Normal"/>
    <w:link w:val="Heading3Char"/>
    <w:uiPriority w:val="9"/>
    <w:unhideWhenUsed/>
    <w:qFormat/>
    <w:rsid w:val="005A74E7"/>
    <w:pPr>
      <w:keepNext/>
      <w:keepLines/>
      <w:spacing w:before="40" w:after="0"/>
      <w:outlineLvl w:val="2"/>
    </w:pPr>
    <w:rPr>
      <w:rFonts w:asciiTheme="majorHAnsi" w:eastAsiaTheme="majorEastAsia" w:hAnsiTheme="majorHAnsi" w:cstheme="majorBidi"/>
      <w:b/>
      <w:bCs/>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45D"/>
    <w:rPr>
      <w:rFonts w:asciiTheme="majorHAnsi" w:eastAsiaTheme="majorEastAsia" w:hAnsiTheme="majorHAnsi" w:cstheme="majorBidi"/>
      <w:b/>
      <w:bCs/>
      <w:color w:val="2E74B5" w:themeColor="accent1" w:themeShade="BF"/>
      <w:sz w:val="32"/>
      <w:szCs w:val="32"/>
    </w:rPr>
  </w:style>
  <w:style w:type="character" w:customStyle="1" w:styleId="Heading2Char">
    <w:name w:val="Heading 2 Char"/>
    <w:basedOn w:val="DefaultParagraphFont"/>
    <w:link w:val="Heading2"/>
    <w:uiPriority w:val="9"/>
    <w:rsid w:val="00ED045D"/>
    <w:rPr>
      <w:rFonts w:asciiTheme="majorHAnsi" w:eastAsiaTheme="majorEastAsia" w:hAnsiTheme="majorHAnsi" w:cstheme="majorBidi"/>
      <w:b/>
      <w:bCs/>
      <w:color w:val="2E74B5" w:themeColor="accent1" w:themeShade="BF"/>
      <w:sz w:val="26"/>
      <w:szCs w:val="26"/>
    </w:rPr>
  </w:style>
  <w:style w:type="paragraph" w:styleId="ListParagraph">
    <w:name w:val="List Paragraph"/>
    <w:basedOn w:val="Normal"/>
    <w:uiPriority w:val="34"/>
    <w:qFormat/>
    <w:rsid w:val="00ED045D"/>
    <w:pPr>
      <w:ind w:left="720"/>
      <w:contextualSpacing/>
    </w:pPr>
  </w:style>
  <w:style w:type="paragraph" w:styleId="NormalWeb">
    <w:name w:val="Normal (Web)"/>
    <w:basedOn w:val="Normal"/>
    <w:uiPriority w:val="99"/>
    <w:unhideWhenUsed/>
    <w:rsid w:val="00B4721E"/>
    <w:pPr>
      <w:spacing w:before="100" w:beforeAutospacing="1" w:after="100" w:afterAutospacing="1"/>
    </w:pPr>
  </w:style>
  <w:style w:type="character" w:customStyle="1" w:styleId="Heading3Char">
    <w:name w:val="Heading 3 Char"/>
    <w:basedOn w:val="DefaultParagraphFont"/>
    <w:link w:val="Heading3"/>
    <w:uiPriority w:val="9"/>
    <w:rsid w:val="002352F4"/>
    <w:rPr>
      <w:rFonts w:asciiTheme="majorHAnsi" w:eastAsiaTheme="majorEastAsia" w:hAnsiTheme="majorHAnsi" w:cstheme="majorBidi"/>
      <w:b/>
      <w:bCs/>
      <w:color w:val="1F4D78" w:themeColor="accent1" w:themeShade="7F"/>
      <w:sz w:val="24"/>
      <w:szCs w:val="24"/>
    </w:rPr>
  </w:style>
  <w:style w:type="character" w:styleId="Strong">
    <w:name w:val="Strong"/>
    <w:basedOn w:val="DefaultParagraphFont"/>
    <w:uiPriority w:val="22"/>
    <w:qFormat/>
    <w:rsid w:val="002352F4"/>
    <w:rPr>
      <w:b/>
      <w:bCs/>
    </w:rPr>
  </w:style>
  <w:style w:type="table" w:styleId="TableGrid">
    <w:name w:val="Table Grid"/>
    <w:basedOn w:val="TableNormal"/>
    <w:uiPriority w:val="39"/>
    <w:rsid w:val="00FB7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A2A9E"/>
    <w:pPr>
      <w:widowControl w:val="0"/>
      <w:autoSpaceDE w:val="0"/>
      <w:autoSpaceDN w:val="0"/>
    </w:pPr>
    <w:rPr>
      <w:rFonts w:ascii="Calibri" w:eastAsia="Calibri" w:hAnsi="Calibri" w:cs="Calibri"/>
    </w:rPr>
  </w:style>
  <w:style w:type="character" w:customStyle="1" w:styleId="apple-converted-space">
    <w:name w:val="apple-converted-space"/>
    <w:basedOn w:val="DefaultParagraphFont"/>
    <w:rsid w:val="00237281"/>
  </w:style>
  <w:style w:type="character" w:styleId="Hyperlink">
    <w:name w:val="Hyperlink"/>
    <w:basedOn w:val="DefaultParagraphFont"/>
    <w:uiPriority w:val="99"/>
    <w:unhideWhenUsed/>
    <w:rsid w:val="00237281"/>
    <w:rPr>
      <w:color w:val="0000FF"/>
      <w:u w:val="single"/>
    </w:rPr>
  </w:style>
  <w:style w:type="character" w:styleId="HTMLCite">
    <w:name w:val="HTML Cite"/>
    <w:basedOn w:val="DefaultParagraphFont"/>
    <w:uiPriority w:val="99"/>
    <w:semiHidden/>
    <w:unhideWhenUsed/>
    <w:rsid w:val="00523451"/>
    <w:rPr>
      <w:i/>
      <w:iCs/>
    </w:rPr>
  </w:style>
  <w:style w:type="character" w:customStyle="1" w:styleId="sr-only">
    <w:name w:val="sr-only"/>
    <w:basedOn w:val="DefaultParagraphFont"/>
    <w:rsid w:val="007E0934"/>
  </w:style>
  <w:style w:type="paragraph" w:customStyle="1" w:styleId="clear-header">
    <w:name w:val="clear-header"/>
    <w:basedOn w:val="Normal"/>
    <w:rsid w:val="00317D6E"/>
    <w:pPr>
      <w:spacing w:before="100" w:beforeAutospacing="1" w:after="100" w:afterAutospacing="1"/>
    </w:pPr>
  </w:style>
  <w:style w:type="paragraph" w:customStyle="1" w:styleId="p1">
    <w:name w:val="p1"/>
    <w:basedOn w:val="Normal"/>
    <w:rsid w:val="000334C5"/>
    <w:rPr>
      <w:rFonts w:ascii="Helvetica" w:hAnsi="Helvetica"/>
      <w:sz w:val="18"/>
      <w:szCs w:val="18"/>
    </w:rPr>
  </w:style>
  <w:style w:type="paragraph" w:customStyle="1" w:styleId="p2">
    <w:name w:val="p2"/>
    <w:basedOn w:val="Normal"/>
    <w:rsid w:val="000334C5"/>
    <w:rPr>
      <w:rFonts w:ascii="Helvetica" w:hAnsi="Helvetica"/>
      <w:sz w:val="16"/>
      <w:szCs w:val="16"/>
    </w:rPr>
  </w:style>
  <w:style w:type="paragraph" w:customStyle="1" w:styleId="p3">
    <w:name w:val="p3"/>
    <w:basedOn w:val="Normal"/>
    <w:rsid w:val="000334C5"/>
    <w:rPr>
      <w:rFonts w:ascii="Helvetica" w:hAnsi="Helvetica"/>
      <w:sz w:val="17"/>
      <w:szCs w:val="17"/>
    </w:rPr>
  </w:style>
  <w:style w:type="paragraph" w:customStyle="1" w:styleId="p4">
    <w:name w:val="p4"/>
    <w:basedOn w:val="Normal"/>
    <w:rsid w:val="000334C5"/>
    <w:rPr>
      <w:rFonts w:ascii="Helvetica" w:hAnsi="Helvetica"/>
      <w:sz w:val="17"/>
      <w:szCs w:val="17"/>
    </w:rPr>
  </w:style>
  <w:style w:type="paragraph" w:customStyle="1" w:styleId="p5">
    <w:name w:val="p5"/>
    <w:basedOn w:val="Normal"/>
    <w:rsid w:val="000334C5"/>
    <w:pPr>
      <w:spacing w:after="180" w:line="159" w:lineRule="atLeast"/>
      <w:jc w:val="both"/>
    </w:pPr>
    <w:rPr>
      <w:rFonts w:ascii="Helvetica" w:hAnsi="Helvetica"/>
      <w:sz w:val="16"/>
      <w:szCs w:val="16"/>
    </w:rPr>
  </w:style>
  <w:style w:type="character" w:styleId="CommentReference">
    <w:name w:val="annotation reference"/>
    <w:basedOn w:val="DefaultParagraphFont"/>
    <w:uiPriority w:val="99"/>
    <w:semiHidden/>
    <w:unhideWhenUsed/>
    <w:rsid w:val="009034C5"/>
    <w:rPr>
      <w:sz w:val="18"/>
      <w:szCs w:val="18"/>
    </w:rPr>
  </w:style>
  <w:style w:type="paragraph" w:styleId="CommentText">
    <w:name w:val="annotation text"/>
    <w:basedOn w:val="Normal"/>
    <w:link w:val="CommentTextChar"/>
    <w:uiPriority w:val="99"/>
    <w:unhideWhenUsed/>
    <w:rsid w:val="009034C5"/>
  </w:style>
  <w:style w:type="character" w:customStyle="1" w:styleId="CommentTextChar">
    <w:name w:val="Comment Text Char"/>
    <w:basedOn w:val="DefaultParagraphFont"/>
    <w:link w:val="CommentText"/>
    <w:uiPriority w:val="99"/>
    <w:rsid w:val="009034C5"/>
  </w:style>
  <w:style w:type="paragraph" w:styleId="CommentSubject">
    <w:name w:val="annotation subject"/>
    <w:basedOn w:val="CommentText"/>
    <w:next w:val="CommentText"/>
    <w:link w:val="CommentSubjectChar"/>
    <w:uiPriority w:val="99"/>
    <w:semiHidden/>
    <w:unhideWhenUsed/>
    <w:rsid w:val="009034C5"/>
    <w:rPr>
      <w:b/>
      <w:bCs/>
      <w:sz w:val="20"/>
      <w:szCs w:val="20"/>
    </w:rPr>
  </w:style>
  <w:style w:type="character" w:customStyle="1" w:styleId="CommentSubjectChar">
    <w:name w:val="Comment Subject Char"/>
    <w:basedOn w:val="CommentTextChar"/>
    <w:link w:val="CommentSubject"/>
    <w:uiPriority w:val="99"/>
    <w:semiHidden/>
    <w:rsid w:val="009034C5"/>
    <w:rPr>
      <w:b/>
      <w:bCs/>
      <w:sz w:val="20"/>
      <w:szCs w:val="20"/>
    </w:rPr>
  </w:style>
  <w:style w:type="paragraph" w:styleId="BalloonText">
    <w:name w:val="Balloon Text"/>
    <w:basedOn w:val="Normal"/>
    <w:link w:val="BalloonTextChar"/>
    <w:uiPriority w:val="99"/>
    <w:semiHidden/>
    <w:unhideWhenUsed/>
    <w:rsid w:val="009034C5"/>
    <w:rPr>
      <w:sz w:val="18"/>
      <w:szCs w:val="18"/>
    </w:rPr>
  </w:style>
  <w:style w:type="character" w:customStyle="1" w:styleId="BalloonTextChar">
    <w:name w:val="Balloon Text Char"/>
    <w:basedOn w:val="DefaultParagraphFont"/>
    <w:link w:val="BalloonText"/>
    <w:uiPriority w:val="99"/>
    <w:semiHidden/>
    <w:rsid w:val="009034C5"/>
    <w:rPr>
      <w:rFonts w:ascii="Times New Roman" w:hAnsi="Times New Roman" w:cs="Times New Roman"/>
      <w:sz w:val="18"/>
      <w:szCs w:val="18"/>
    </w:rPr>
  </w:style>
  <w:style w:type="character" w:customStyle="1" w:styleId="def">
    <w:name w:val="def"/>
    <w:basedOn w:val="DefaultParagraphFont"/>
    <w:rsid w:val="00F702E5"/>
  </w:style>
  <w:style w:type="character" w:styleId="Emphasis">
    <w:name w:val="Emphasis"/>
    <w:basedOn w:val="DefaultParagraphFont"/>
    <w:uiPriority w:val="20"/>
    <w:qFormat/>
    <w:rsid w:val="00CA226B"/>
    <w:rPr>
      <w:i/>
      <w:iCs/>
    </w:rPr>
  </w:style>
  <w:style w:type="paragraph" w:customStyle="1" w:styleId="comp">
    <w:name w:val="comp"/>
    <w:basedOn w:val="Normal"/>
    <w:rsid w:val="005D5545"/>
    <w:pPr>
      <w:spacing w:before="100" w:beforeAutospacing="1" w:after="100" w:afterAutospacing="1"/>
    </w:pPr>
  </w:style>
  <w:style w:type="character" w:customStyle="1" w:styleId="UnresolvedMention1">
    <w:name w:val="Unresolved Mention1"/>
    <w:basedOn w:val="DefaultParagraphFont"/>
    <w:uiPriority w:val="99"/>
    <w:rsid w:val="00B71EE8"/>
    <w:rPr>
      <w:color w:val="605E5C"/>
      <w:shd w:val="clear" w:color="auto" w:fill="E1DFDD"/>
    </w:rPr>
  </w:style>
  <w:style w:type="character" w:styleId="FollowedHyperlink">
    <w:name w:val="FollowedHyperlink"/>
    <w:basedOn w:val="DefaultParagraphFont"/>
    <w:uiPriority w:val="99"/>
    <w:semiHidden/>
    <w:unhideWhenUsed/>
    <w:rsid w:val="00BC5D62"/>
    <w:rPr>
      <w:color w:val="954F72" w:themeColor="followedHyperlink"/>
      <w:u w:val="single"/>
    </w:rPr>
  </w:style>
  <w:style w:type="paragraph" w:styleId="Title">
    <w:name w:val="Title"/>
    <w:basedOn w:val="Normal"/>
    <w:next w:val="Normal"/>
    <w:link w:val="TitleChar"/>
    <w:uiPriority w:val="10"/>
    <w:qFormat/>
    <w:rsid w:val="00D273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3ED"/>
    <w:rPr>
      <w:rFonts w:asciiTheme="majorHAnsi" w:eastAsiaTheme="majorEastAsia" w:hAnsiTheme="majorHAnsi" w:cstheme="majorBidi"/>
      <w:spacing w:val="-10"/>
      <w:kern w:val="28"/>
      <w:sz w:val="56"/>
      <w:szCs w:val="56"/>
    </w:rPr>
  </w:style>
  <w:style w:type="paragraph" w:styleId="Revision">
    <w:name w:val="Revision"/>
    <w:hidden/>
    <w:uiPriority w:val="99"/>
    <w:semiHidden/>
    <w:rsid w:val="00E217CB"/>
  </w:style>
  <w:style w:type="character" w:customStyle="1" w:styleId="UnresolvedMention2">
    <w:name w:val="Unresolved Mention2"/>
    <w:basedOn w:val="DefaultParagraphFont"/>
    <w:uiPriority w:val="99"/>
    <w:rsid w:val="00BC0B80"/>
    <w:rPr>
      <w:color w:val="605E5C"/>
      <w:shd w:val="clear" w:color="auto" w:fill="E1DFDD"/>
    </w:rPr>
  </w:style>
  <w:style w:type="paragraph" w:styleId="Header">
    <w:name w:val="header"/>
    <w:basedOn w:val="Normal"/>
    <w:link w:val="HeaderChar"/>
    <w:uiPriority w:val="99"/>
    <w:unhideWhenUsed/>
    <w:rsid w:val="00BC0B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B80"/>
  </w:style>
  <w:style w:type="paragraph" w:styleId="Footer">
    <w:name w:val="footer"/>
    <w:basedOn w:val="Normal"/>
    <w:link w:val="FooterChar"/>
    <w:uiPriority w:val="99"/>
    <w:unhideWhenUsed/>
    <w:rsid w:val="00BC0B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B80"/>
  </w:style>
  <w:style w:type="character" w:styleId="UnresolvedMention">
    <w:name w:val="Unresolved Mention"/>
    <w:basedOn w:val="DefaultParagraphFont"/>
    <w:uiPriority w:val="99"/>
    <w:rsid w:val="00293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3631">
      <w:bodyDiv w:val="1"/>
      <w:marLeft w:val="0"/>
      <w:marRight w:val="0"/>
      <w:marTop w:val="0"/>
      <w:marBottom w:val="0"/>
      <w:divBdr>
        <w:top w:val="none" w:sz="0" w:space="0" w:color="auto"/>
        <w:left w:val="none" w:sz="0" w:space="0" w:color="auto"/>
        <w:bottom w:val="none" w:sz="0" w:space="0" w:color="auto"/>
        <w:right w:val="none" w:sz="0" w:space="0" w:color="auto"/>
      </w:divBdr>
    </w:div>
    <w:div w:id="140078827">
      <w:bodyDiv w:val="1"/>
      <w:marLeft w:val="0"/>
      <w:marRight w:val="0"/>
      <w:marTop w:val="0"/>
      <w:marBottom w:val="0"/>
      <w:divBdr>
        <w:top w:val="none" w:sz="0" w:space="0" w:color="auto"/>
        <w:left w:val="none" w:sz="0" w:space="0" w:color="auto"/>
        <w:bottom w:val="none" w:sz="0" w:space="0" w:color="auto"/>
        <w:right w:val="none" w:sz="0" w:space="0" w:color="auto"/>
      </w:divBdr>
    </w:div>
    <w:div w:id="152572642">
      <w:bodyDiv w:val="1"/>
      <w:marLeft w:val="0"/>
      <w:marRight w:val="0"/>
      <w:marTop w:val="0"/>
      <w:marBottom w:val="0"/>
      <w:divBdr>
        <w:top w:val="none" w:sz="0" w:space="0" w:color="auto"/>
        <w:left w:val="none" w:sz="0" w:space="0" w:color="auto"/>
        <w:bottom w:val="none" w:sz="0" w:space="0" w:color="auto"/>
        <w:right w:val="none" w:sz="0" w:space="0" w:color="auto"/>
      </w:divBdr>
      <w:divsChild>
        <w:div w:id="98918076">
          <w:marLeft w:val="0"/>
          <w:marRight w:val="0"/>
          <w:marTop w:val="225"/>
          <w:marBottom w:val="225"/>
          <w:divBdr>
            <w:top w:val="single" w:sz="24" w:space="15" w:color="185A88"/>
            <w:left w:val="single" w:sz="24" w:space="11" w:color="185A88"/>
            <w:bottom w:val="single" w:sz="24" w:space="15" w:color="185A88"/>
            <w:right w:val="single" w:sz="24" w:space="11" w:color="185A88"/>
          </w:divBdr>
          <w:divsChild>
            <w:div w:id="174806685">
              <w:marLeft w:val="0"/>
              <w:marRight w:val="300"/>
              <w:marTop w:val="0"/>
              <w:marBottom w:val="0"/>
              <w:divBdr>
                <w:top w:val="none" w:sz="0" w:space="0" w:color="auto"/>
                <w:left w:val="none" w:sz="0" w:space="0" w:color="auto"/>
                <w:bottom w:val="none" w:sz="0" w:space="0" w:color="auto"/>
                <w:right w:val="none" w:sz="0" w:space="0" w:color="auto"/>
              </w:divBdr>
            </w:div>
            <w:div w:id="1058211090">
              <w:marLeft w:val="0"/>
              <w:marRight w:val="0"/>
              <w:marTop w:val="0"/>
              <w:marBottom w:val="0"/>
              <w:divBdr>
                <w:top w:val="none" w:sz="0" w:space="0" w:color="auto"/>
                <w:left w:val="none" w:sz="0" w:space="0" w:color="auto"/>
                <w:bottom w:val="none" w:sz="0" w:space="0" w:color="auto"/>
                <w:right w:val="none" w:sz="0" w:space="0" w:color="auto"/>
              </w:divBdr>
              <w:divsChild>
                <w:div w:id="20296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6591">
          <w:marLeft w:val="-225"/>
          <w:marRight w:val="-225"/>
          <w:marTop w:val="0"/>
          <w:marBottom w:val="0"/>
          <w:divBdr>
            <w:top w:val="none" w:sz="0" w:space="0" w:color="auto"/>
            <w:left w:val="none" w:sz="0" w:space="0" w:color="auto"/>
            <w:bottom w:val="none" w:sz="0" w:space="0" w:color="auto"/>
            <w:right w:val="none" w:sz="0" w:space="0" w:color="auto"/>
          </w:divBdr>
          <w:divsChild>
            <w:div w:id="2093771791">
              <w:marLeft w:val="0"/>
              <w:marRight w:val="0"/>
              <w:marTop w:val="0"/>
              <w:marBottom w:val="0"/>
              <w:divBdr>
                <w:top w:val="none" w:sz="0" w:space="0" w:color="auto"/>
                <w:left w:val="none" w:sz="0" w:space="0" w:color="auto"/>
                <w:bottom w:val="none" w:sz="0" w:space="0" w:color="auto"/>
                <w:right w:val="none" w:sz="0" w:space="0" w:color="auto"/>
              </w:divBdr>
              <w:divsChild>
                <w:div w:id="1262765961">
                  <w:marLeft w:val="0"/>
                  <w:marRight w:val="0"/>
                  <w:marTop w:val="0"/>
                  <w:marBottom w:val="300"/>
                  <w:divBdr>
                    <w:top w:val="single" w:sz="6" w:space="0" w:color="E0E1E3"/>
                    <w:left w:val="single" w:sz="6" w:space="0" w:color="E0E1E3"/>
                    <w:bottom w:val="single" w:sz="6" w:space="0" w:color="E0E1E3"/>
                    <w:right w:val="single" w:sz="6" w:space="0" w:color="E0E1E3"/>
                  </w:divBdr>
                  <w:divsChild>
                    <w:div w:id="451939561">
                      <w:marLeft w:val="0"/>
                      <w:marRight w:val="0"/>
                      <w:marTop w:val="0"/>
                      <w:marBottom w:val="0"/>
                      <w:divBdr>
                        <w:top w:val="none" w:sz="0" w:space="0" w:color="auto"/>
                        <w:left w:val="none" w:sz="0" w:space="0" w:color="auto"/>
                        <w:bottom w:val="none" w:sz="0" w:space="0" w:color="auto"/>
                        <w:right w:val="none" w:sz="0" w:space="0" w:color="auto"/>
                      </w:divBdr>
                    </w:div>
                    <w:div w:id="117080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52046">
          <w:blockQuote w:val="1"/>
          <w:marLeft w:val="-450"/>
          <w:marRight w:val="-450"/>
          <w:marTop w:val="0"/>
          <w:marBottom w:val="300"/>
          <w:divBdr>
            <w:top w:val="none" w:sz="0" w:space="8" w:color="auto"/>
            <w:left w:val="single" w:sz="36" w:space="15" w:color="185A88"/>
            <w:bottom w:val="none" w:sz="0" w:space="8" w:color="auto"/>
            <w:right w:val="none" w:sz="0" w:space="15" w:color="auto"/>
          </w:divBdr>
        </w:div>
      </w:divsChild>
    </w:div>
    <w:div w:id="183326443">
      <w:bodyDiv w:val="1"/>
      <w:marLeft w:val="0"/>
      <w:marRight w:val="0"/>
      <w:marTop w:val="0"/>
      <w:marBottom w:val="0"/>
      <w:divBdr>
        <w:top w:val="none" w:sz="0" w:space="0" w:color="auto"/>
        <w:left w:val="none" w:sz="0" w:space="0" w:color="auto"/>
        <w:bottom w:val="none" w:sz="0" w:space="0" w:color="auto"/>
        <w:right w:val="none" w:sz="0" w:space="0" w:color="auto"/>
      </w:divBdr>
    </w:div>
    <w:div w:id="193154953">
      <w:bodyDiv w:val="1"/>
      <w:marLeft w:val="0"/>
      <w:marRight w:val="0"/>
      <w:marTop w:val="0"/>
      <w:marBottom w:val="0"/>
      <w:divBdr>
        <w:top w:val="none" w:sz="0" w:space="0" w:color="auto"/>
        <w:left w:val="none" w:sz="0" w:space="0" w:color="auto"/>
        <w:bottom w:val="none" w:sz="0" w:space="0" w:color="auto"/>
        <w:right w:val="none" w:sz="0" w:space="0" w:color="auto"/>
      </w:divBdr>
    </w:div>
    <w:div w:id="203636981">
      <w:bodyDiv w:val="1"/>
      <w:marLeft w:val="0"/>
      <w:marRight w:val="0"/>
      <w:marTop w:val="0"/>
      <w:marBottom w:val="0"/>
      <w:divBdr>
        <w:top w:val="none" w:sz="0" w:space="0" w:color="auto"/>
        <w:left w:val="none" w:sz="0" w:space="0" w:color="auto"/>
        <w:bottom w:val="none" w:sz="0" w:space="0" w:color="auto"/>
        <w:right w:val="none" w:sz="0" w:space="0" w:color="auto"/>
      </w:divBdr>
    </w:div>
    <w:div w:id="220023967">
      <w:bodyDiv w:val="1"/>
      <w:marLeft w:val="0"/>
      <w:marRight w:val="0"/>
      <w:marTop w:val="0"/>
      <w:marBottom w:val="0"/>
      <w:divBdr>
        <w:top w:val="none" w:sz="0" w:space="0" w:color="auto"/>
        <w:left w:val="none" w:sz="0" w:space="0" w:color="auto"/>
        <w:bottom w:val="none" w:sz="0" w:space="0" w:color="auto"/>
        <w:right w:val="none" w:sz="0" w:space="0" w:color="auto"/>
      </w:divBdr>
    </w:div>
    <w:div w:id="235165473">
      <w:bodyDiv w:val="1"/>
      <w:marLeft w:val="0"/>
      <w:marRight w:val="0"/>
      <w:marTop w:val="0"/>
      <w:marBottom w:val="0"/>
      <w:divBdr>
        <w:top w:val="none" w:sz="0" w:space="0" w:color="auto"/>
        <w:left w:val="none" w:sz="0" w:space="0" w:color="auto"/>
        <w:bottom w:val="none" w:sz="0" w:space="0" w:color="auto"/>
        <w:right w:val="none" w:sz="0" w:space="0" w:color="auto"/>
      </w:divBdr>
    </w:div>
    <w:div w:id="236983208">
      <w:bodyDiv w:val="1"/>
      <w:marLeft w:val="0"/>
      <w:marRight w:val="0"/>
      <w:marTop w:val="0"/>
      <w:marBottom w:val="0"/>
      <w:divBdr>
        <w:top w:val="none" w:sz="0" w:space="0" w:color="auto"/>
        <w:left w:val="none" w:sz="0" w:space="0" w:color="auto"/>
        <w:bottom w:val="none" w:sz="0" w:space="0" w:color="auto"/>
        <w:right w:val="none" w:sz="0" w:space="0" w:color="auto"/>
      </w:divBdr>
    </w:div>
    <w:div w:id="259796933">
      <w:bodyDiv w:val="1"/>
      <w:marLeft w:val="0"/>
      <w:marRight w:val="0"/>
      <w:marTop w:val="0"/>
      <w:marBottom w:val="0"/>
      <w:divBdr>
        <w:top w:val="none" w:sz="0" w:space="0" w:color="auto"/>
        <w:left w:val="none" w:sz="0" w:space="0" w:color="auto"/>
        <w:bottom w:val="none" w:sz="0" w:space="0" w:color="auto"/>
        <w:right w:val="none" w:sz="0" w:space="0" w:color="auto"/>
      </w:divBdr>
    </w:div>
    <w:div w:id="275335807">
      <w:bodyDiv w:val="1"/>
      <w:marLeft w:val="0"/>
      <w:marRight w:val="0"/>
      <w:marTop w:val="0"/>
      <w:marBottom w:val="0"/>
      <w:divBdr>
        <w:top w:val="none" w:sz="0" w:space="0" w:color="auto"/>
        <w:left w:val="none" w:sz="0" w:space="0" w:color="auto"/>
        <w:bottom w:val="none" w:sz="0" w:space="0" w:color="auto"/>
        <w:right w:val="none" w:sz="0" w:space="0" w:color="auto"/>
      </w:divBdr>
      <w:divsChild>
        <w:div w:id="132914794">
          <w:blockQuote w:val="1"/>
          <w:marLeft w:val="-450"/>
          <w:marRight w:val="-450"/>
          <w:marTop w:val="0"/>
          <w:marBottom w:val="300"/>
          <w:divBdr>
            <w:top w:val="none" w:sz="0" w:space="8" w:color="auto"/>
            <w:left w:val="single" w:sz="36" w:space="15" w:color="185A88"/>
            <w:bottom w:val="none" w:sz="0" w:space="8" w:color="auto"/>
            <w:right w:val="none" w:sz="0" w:space="15" w:color="auto"/>
          </w:divBdr>
        </w:div>
        <w:div w:id="1232622081">
          <w:marLeft w:val="-225"/>
          <w:marRight w:val="-225"/>
          <w:marTop w:val="0"/>
          <w:marBottom w:val="0"/>
          <w:divBdr>
            <w:top w:val="none" w:sz="0" w:space="0" w:color="auto"/>
            <w:left w:val="none" w:sz="0" w:space="0" w:color="auto"/>
            <w:bottom w:val="none" w:sz="0" w:space="0" w:color="auto"/>
            <w:right w:val="none" w:sz="0" w:space="0" w:color="auto"/>
          </w:divBdr>
          <w:divsChild>
            <w:div w:id="1129662027">
              <w:marLeft w:val="0"/>
              <w:marRight w:val="0"/>
              <w:marTop w:val="0"/>
              <w:marBottom w:val="0"/>
              <w:divBdr>
                <w:top w:val="none" w:sz="0" w:space="0" w:color="auto"/>
                <w:left w:val="none" w:sz="0" w:space="0" w:color="auto"/>
                <w:bottom w:val="none" w:sz="0" w:space="0" w:color="auto"/>
                <w:right w:val="none" w:sz="0" w:space="0" w:color="auto"/>
              </w:divBdr>
              <w:divsChild>
                <w:div w:id="1890215581">
                  <w:marLeft w:val="0"/>
                  <w:marRight w:val="0"/>
                  <w:marTop w:val="0"/>
                  <w:marBottom w:val="300"/>
                  <w:divBdr>
                    <w:top w:val="single" w:sz="6" w:space="0" w:color="E0E1E3"/>
                    <w:left w:val="single" w:sz="6" w:space="0" w:color="E0E1E3"/>
                    <w:bottom w:val="single" w:sz="6" w:space="0" w:color="E0E1E3"/>
                    <w:right w:val="single" w:sz="6" w:space="0" w:color="E0E1E3"/>
                  </w:divBdr>
                  <w:divsChild>
                    <w:div w:id="1442913288">
                      <w:marLeft w:val="0"/>
                      <w:marRight w:val="0"/>
                      <w:marTop w:val="0"/>
                      <w:marBottom w:val="0"/>
                      <w:divBdr>
                        <w:top w:val="none" w:sz="0" w:space="0" w:color="auto"/>
                        <w:left w:val="none" w:sz="0" w:space="0" w:color="auto"/>
                        <w:bottom w:val="none" w:sz="0" w:space="0" w:color="auto"/>
                        <w:right w:val="none" w:sz="0" w:space="0" w:color="auto"/>
                      </w:divBdr>
                    </w:div>
                    <w:div w:id="172571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673902">
          <w:marLeft w:val="0"/>
          <w:marRight w:val="0"/>
          <w:marTop w:val="225"/>
          <w:marBottom w:val="225"/>
          <w:divBdr>
            <w:top w:val="single" w:sz="24" w:space="15" w:color="185A88"/>
            <w:left w:val="single" w:sz="24" w:space="11" w:color="185A88"/>
            <w:bottom w:val="single" w:sz="24" w:space="15" w:color="185A88"/>
            <w:right w:val="single" w:sz="24" w:space="11" w:color="185A88"/>
          </w:divBdr>
          <w:divsChild>
            <w:div w:id="1319307078">
              <w:marLeft w:val="0"/>
              <w:marRight w:val="300"/>
              <w:marTop w:val="0"/>
              <w:marBottom w:val="0"/>
              <w:divBdr>
                <w:top w:val="none" w:sz="0" w:space="0" w:color="auto"/>
                <w:left w:val="none" w:sz="0" w:space="0" w:color="auto"/>
                <w:bottom w:val="none" w:sz="0" w:space="0" w:color="auto"/>
                <w:right w:val="none" w:sz="0" w:space="0" w:color="auto"/>
              </w:divBdr>
            </w:div>
            <w:div w:id="1550528554">
              <w:marLeft w:val="0"/>
              <w:marRight w:val="0"/>
              <w:marTop w:val="0"/>
              <w:marBottom w:val="0"/>
              <w:divBdr>
                <w:top w:val="none" w:sz="0" w:space="0" w:color="auto"/>
                <w:left w:val="none" w:sz="0" w:space="0" w:color="auto"/>
                <w:bottom w:val="none" w:sz="0" w:space="0" w:color="auto"/>
                <w:right w:val="none" w:sz="0" w:space="0" w:color="auto"/>
              </w:divBdr>
              <w:divsChild>
                <w:div w:id="5623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99635">
      <w:bodyDiv w:val="1"/>
      <w:marLeft w:val="0"/>
      <w:marRight w:val="0"/>
      <w:marTop w:val="0"/>
      <w:marBottom w:val="0"/>
      <w:divBdr>
        <w:top w:val="none" w:sz="0" w:space="0" w:color="auto"/>
        <w:left w:val="none" w:sz="0" w:space="0" w:color="auto"/>
        <w:bottom w:val="none" w:sz="0" w:space="0" w:color="auto"/>
        <w:right w:val="none" w:sz="0" w:space="0" w:color="auto"/>
      </w:divBdr>
    </w:div>
    <w:div w:id="349722235">
      <w:bodyDiv w:val="1"/>
      <w:marLeft w:val="0"/>
      <w:marRight w:val="0"/>
      <w:marTop w:val="0"/>
      <w:marBottom w:val="0"/>
      <w:divBdr>
        <w:top w:val="none" w:sz="0" w:space="0" w:color="auto"/>
        <w:left w:val="none" w:sz="0" w:space="0" w:color="auto"/>
        <w:bottom w:val="none" w:sz="0" w:space="0" w:color="auto"/>
        <w:right w:val="none" w:sz="0" w:space="0" w:color="auto"/>
      </w:divBdr>
    </w:div>
    <w:div w:id="361320294">
      <w:bodyDiv w:val="1"/>
      <w:marLeft w:val="0"/>
      <w:marRight w:val="0"/>
      <w:marTop w:val="0"/>
      <w:marBottom w:val="0"/>
      <w:divBdr>
        <w:top w:val="none" w:sz="0" w:space="0" w:color="auto"/>
        <w:left w:val="none" w:sz="0" w:space="0" w:color="auto"/>
        <w:bottom w:val="none" w:sz="0" w:space="0" w:color="auto"/>
        <w:right w:val="none" w:sz="0" w:space="0" w:color="auto"/>
      </w:divBdr>
    </w:div>
    <w:div w:id="451444302">
      <w:bodyDiv w:val="1"/>
      <w:marLeft w:val="0"/>
      <w:marRight w:val="0"/>
      <w:marTop w:val="0"/>
      <w:marBottom w:val="0"/>
      <w:divBdr>
        <w:top w:val="none" w:sz="0" w:space="0" w:color="auto"/>
        <w:left w:val="none" w:sz="0" w:space="0" w:color="auto"/>
        <w:bottom w:val="none" w:sz="0" w:space="0" w:color="auto"/>
        <w:right w:val="none" w:sz="0" w:space="0" w:color="auto"/>
      </w:divBdr>
    </w:div>
    <w:div w:id="477654994">
      <w:bodyDiv w:val="1"/>
      <w:marLeft w:val="0"/>
      <w:marRight w:val="0"/>
      <w:marTop w:val="0"/>
      <w:marBottom w:val="0"/>
      <w:divBdr>
        <w:top w:val="none" w:sz="0" w:space="0" w:color="auto"/>
        <w:left w:val="none" w:sz="0" w:space="0" w:color="auto"/>
        <w:bottom w:val="none" w:sz="0" w:space="0" w:color="auto"/>
        <w:right w:val="none" w:sz="0" w:space="0" w:color="auto"/>
      </w:divBdr>
    </w:div>
    <w:div w:id="508255291">
      <w:bodyDiv w:val="1"/>
      <w:marLeft w:val="0"/>
      <w:marRight w:val="0"/>
      <w:marTop w:val="0"/>
      <w:marBottom w:val="0"/>
      <w:divBdr>
        <w:top w:val="none" w:sz="0" w:space="0" w:color="auto"/>
        <w:left w:val="none" w:sz="0" w:space="0" w:color="auto"/>
        <w:bottom w:val="none" w:sz="0" w:space="0" w:color="auto"/>
        <w:right w:val="none" w:sz="0" w:space="0" w:color="auto"/>
      </w:divBdr>
      <w:divsChild>
        <w:div w:id="245699960">
          <w:marLeft w:val="0"/>
          <w:marRight w:val="0"/>
          <w:marTop w:val="0"/>
          <w:marBottom w:val="0"/>
          <w:divBdr>
            <w:top w:val="none" w:sz="0" w:space="0" w:color="auto"/>
            <w:left w:val="none" w:sz="0" w:space="0" w:color="auto"/>
            <w:bottom w:val="none" w:sz="0" w:space="0" w:color="auto"/>
            <w:right w:val="none" w:sz="0" w:space="0" w:color="auto"/>
          </w:divBdr>
        </w:div>
        <w:div w:id="505904634">
          <w:marLeft w:val="0"/>
          <w:marRight w:val="0"/>
          <w:marTop w:val="0"/>
          <w:marBottom w:val="0"/>
          <w:divBdr>
            <w:top w:val="none" w:sz="0" w:space="0" w:color="auto"/>
            <w:left w:val="none" w:sz="0" w:space="0" w:color="auto"/>
            <w:bottom w:val="none" w:sz="0" w:space="0" w:color="auto"/>
            <w:right w:val="none" w:sz="0" w:space="0" w:color="auto"/>
          </w:divBdr>
        </w:div>
      </w:divsChild>
    </w:div>
    <w:div w:id="539898073">
      <w:bodyDiv w:val="1"/>
      <w:marLeft w:val="0"/>
      <w:marRight w:val="0"/>
      <w:marTop w:val="0"/>
      <w:marBottom w:val="0"/>
      <w:divBdr>
        <w:top w:val="none" w:sz="0" w:space="0" w:color="auto"/>
        <w:left w:val="none" w:sz="0" w:space="0" w:color="auto"/>
        <w:bottom w:val="none" w:sz="0" w:space="0" w:color="auto"/>
        <w:right w:val="none" w:sz="0" w:space="0" w:color="auto"/>
      </w:divBdr>
      <w:divsChild>
        <w:div w:id="1148979715">
          <w:marLeft w:val="0"/>
          <w:marRight w:val="0"/>
          <w:marTop w:val="0"/>
          <w:marBottom w:val="0"/>
          <w:divBdr>
            <w:top w:val="none" w:sz="0" w:space="0" w:color="auto"/>
            <w:left w:val="none" w:sz="0" w:space="0" w:color="auto"/>
            <w:bottom w:val="none" w:sz="0" w:space="0" w:color="auto"/>
            <w:right w:val="none" w:sz="0" w:space="0" w:color="auto"/>
          </w:divBdr>
        </w:div>
        <w:div w:id="2033846131">
          <w:marLeft w:val="0"/>
          <w:marRight w:val="0"/>
          <w:marTop w:val="0"/>
          <w:marBottom w:val="0"/>
          <w:divBdr>
            <w:top w:val="none" w:sz="0" w:space="0" w:color="auto"/>
            <w:left w:val="none" w:sz="0" w:space="0" w:color="auto"/>
            <w:bottom w:val="none" w:sz="0" w:space="0" w:color="auto"/>
            <w:right w:val="none" w:sz="0" w:space="0" w:color="auto"/>
          </w:divBdr>
        </w:div>
      </w:divsChild>
    </w:div>
    <w:div w:id="680812675">
      <w:bodyDiv w:val="1"/>
      <w:marLeft w:val="0"/>
      <w:marRight w:val="0"/>
      <w:marTop w:val="0"/>
      <w:marBottom w:val="0"/>
      <w:divBdr>
        <w:top w:val="none" w:sz="0" w:space="0" w:color="auto"/>
        <w:left w:val="none" w:sz="0" w:space="0" w:color="auto"/>
        <w:bottom w:val="none" w:sz="0" w:space="0" w:color="auto"/>
        <w:right w:val="none" w:sz="0" w:space="0" w:color="auto"/>
      </w:divBdr>
    </w:div>
    <w:div w:id="681511142">
      <w:bodyDiv w:val="1"/>
      <w:marLeft w:val="0"/>
      <w:marRight w:val="0"/>
      <w:marTop w:val="0"/>
      <w:marBottom w:val="0"/>
      <w:divBdr>
        <w:top w:val="none" w:sz="0" w:space="0" w:color="auto"/>
        <w:left w:val="none" w:sz="0" w:space="0" w:color="auto"/>
        <w:bottom w:val="none" w:sz="0" w:space="0" w:color="auto"/>
        <w:right w:val="none" w:sz="0" w:space="0" w:color="auto"/>
      </w:divBdr>
      <w:divsChild>
        <w:div w:id="1108963488">
          <w:marLeft w:val="0"/>
          <w:marRight w:val="0"/>
          <w:marTop w:val="0"/>
          <w:marBottom w:val="0"/>
          <w:divBdr>
            <w:top w:val="none" w:sz="0" w:space="0" w:color="auto"/>
            <w:left w:val="none" w:sz="0" w:space="0" w:color="auto"/>
            <w:bottom w:val="none" w:sz="0" w:space="0" w:color="auto"/>
            <w:right w:val="none" w:sz="0" w:space="0" w:color="auto"/>
          </w:divBdr>
        </w:div>
        <w:div w:id="1612938370">
          <w:marLeft w:val="0"/>
          <w:marRight w:val="0"/>
          <w:marTop w:val="0"/>
          <w:marBottom w:val="0"/>
          <w:divBdr>
            <w:top w:val="none" w:sz="0" w:space="0" w:color="auto"/>
            <w:left w:val="none" w:sz="0" w:space="0" w:color="auto"/>
            <w:bottom w:val="none" w:sz="0" w:space="0" w:color="auto"/>
            <w:right w:val="none" w:sz="0" w:space="0" w:color="auto"/>
          </w:divBdr>
        </w:div>
      </w:divsChild>
    </w:div>
    <w:div w:id="696810568">
      <w:bodyDiv w:val="1"/>
      <w:marLeft w:val="0"/>
      <w:marRight w:val="0"/>
      <w:marTop w:val="0"/>
      <w:marBottom w:val="0"/>
      <w:divBdr>
        <w:top w:val="none" w:sz="0" w:space="0" w:color="auto"/>
        <w:left w:val="none" w:sz="0" w:space="0" w:color="auto"/>
        <w:bottom w:val="none" w:sz="0" w:space="0" w:color="auto"/>
        <w:right w:val="none" w:sz="0" w:space="0" w:color="auto"/>
      </w:divBdr>
    </w:div>
    <w:div w:id="749546862">
      <w:bodyDiv w:val="1"/>
      <w:marLeft w:val="0"/>
      <w:marRight w:val="0"/>
      <w:marTop w:val="0"/>
      <w:marBottom w:val="0"/>
      <w:divBdr>
        <w:top w:val="none" w:sz="0" w:space="0" w:color="auto"/>
        <w:left w:val="none" w:sz="0" w:space="0" w:color="auto"/>
        <w:bottom w:val="none" w:sz="0" w:space="0" w:color="auto"/>
        <w:right w:val="none" w:sz="0" w:space="0" w:color="auto"/>
      </w:divBdr>
    </w:div>
    <w:div w:id="818690932">
      <w:bodyDiv w:val="1"/>
      <w:marLeft w:val="0"/>
      <w:marRight w:val="0"/>
      <w:marTop w:val="0"/>
      <w:marBottom w:val="0"/>
      <w:divBdr>
        <w:top w:val="none" w:sz="0" w:space="0" w:color="auto"/>
        <w:left w:val="none" w:sz="0" w:space="0" w:color="auto"/>
        <w:bottom w:val="none" w:sz="0" w:space="0" w:color="auto"/>
        <w:right w:val="none" w:sz="0" w:space="0" w:color="auto"/>
      </w:divBdr>
      <w:divsChild>
        <w:div w:id="2028486715">
          <w:marLeft w:val="0"/>
          <w:marRight w:val="0"/>
          <w:marTop w:val="0"/>
          <w:marBottom w:val="0"/>
          <w:divBdr>
            <w:top w:val="none" w:sz="0" w:space="0" w:color="auto"/>
            <w:left w:val="none" w:sz="0" w:space="0" w:color="auto"/>
            <w:bottom w:val="none" w:sz="0" w:space="0" w:color="auto"/>
            <w:right w:val="none" w:sz="0" w:space="0" w:color="auto"/>
          </w:divBdr>
          <w:divsChild>
            <w:div w:id="1876692182">
              <w:marLeft w:val="0"/>
              <w:marRight w:val="0"/>
              <w:marTop w:val="0"/>
              <w:marBottom w:val="0"/>
              <w:divBdr>
                <w:top w:val="none" w:sz="0" w:space="0" w:color="auto"/>
                <w:left w:val="none" w:sz="0" w:space="0" w:color="auto"/>
                <w:bottom w:val="none" w:sz="0" w:space="0" w:color="auto"/>
                <w:right w:val="none" w:sz="0" w:space="0" w:color="auto"/>
              </w:divBdr>
              <w:divsChild>
                <w:div w:id="10649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5436">
      <w:bodyDiv w:val="1"/>
      <w:marLeft w:val="0"/>
      <w:marRight w:val="0"/>
      <w:marTop w:val="0"/>
      <w:marBottom w:val="0"/>
      <w:divBdr>
        <w:top w:val="none" w:sz="0" w:space="0" w:color="auto"/>
        <w:left w:val="none" w:sz="0" w:space="0" w:color="auto"/>
        <w:bottom w:val="none" w:sz="0" w:space="0" w:color="auto"/>
        <w:right w:val="none" w:sz="0" w:space="0" w:color="auto"/>
      </w:divBdr>
      <w:divsChild>
        <w:div w:id="1860779334">
          <w:marLeft w:val="-225"/>
          <w:marRight w:val="-225"/>
          <w:marTop w:val="0"/>
          <w:marBottom w:val="0"/>
          <w:divBdr>
            <w:top w:val="none" w:sz="0" w:space="0" w:color="auto"/>
            <w:left w:val="none" w:sz="0" w:space="0" w:color="auto"/>
            <w:bottom w:val="none" w:sz="0" w:space="0" w:color="auto"/>
            <w:right w:val="none" w:sz="0" w:space="0" w:color="auto"/>
          </w:divBdr>
          <w:divsChild>
            <w:div w:id="1961915596">
              <w:marLeft w:val="0"/>
              <w:marRight w:val="0"/>
              <w:marTop w:val="0"/>
              <w:marBottom w:val="0"/>
              <w:divBdr>
                <w:top w:val="none" w:sz="0" w:space="0" w:color="auto"/>
                <w:left w:val="none" w:sz="0" w:space="0" w:color="auto"/>
                <w:bottom w:val="none" w:sz="0" w:space="0" w:color="auto"/>
                <w:right w:val="none" w:sz="0" w:space="0" w:color="auto"/>
              </w:divBdr>
              <w:divsChild>
                <w:div w:id="842207383">
                  <w:marLeft w:val="0"/>
                  <w:marRight w:val="0"/>
                  <w:marTop w:val="0"/>
                  <w:marBottom w:val="300"/>
                  <w:divBdr>
                    <w:top w:val="single" w:sz="6" w:space="0" w:color="E0E1E3"/>
                    <w:left w:val="single" w:sz="6" w:space="0" w:color="E0E1E3"/>
                    <w:bottom w:val="single" w:sz="6" w:space="0" w:color="E0E1E3"/>
                    <w:right w:val="single" w:sz="6" w:space="0" w:color="E0E1E3"/>
                  </w:divBdr>
                  <w:divsChild>
                    <w:div w:id="1980644426">
                      <w:marLeft w:val="0"/>
                      <w:marRight w:val="0"/>
                      <w:marTop w:val="0"/>
                      <w:marBottom w:val="0"/>
                      <w:divBdr>
                        <w:top w:val="none" w:sz="0" w:space="0" w:color="auto"/>
                        <w:left w:val="none" w:sz="0" w:space="0" w:color="auto"/>
                        <w:bottom w:val="none" w:sz="0" w:space="0" w:color="auto"/>
                        <w:right w:val="none" w:sz="0" w:space="0" w:color="auto"/>
                      </w:divBdr>
                    </w:div>
                    <w:div w:id="20325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5770">
          <w:marLeft w:val="0"/>
          <w:marRight w:val="0"/>
          <w:marTop w:val="225"/>
          <w:marBottom w:val="225"/>
          <w:divBdr>
            <w:top w:val="single" w:sz="24" w:space="15" w:color="185A88"/>
            <w:left w:val="single" w:sz="24" w:space="11" w:color="185A88"/>
            <w:bottom w:val="single" w:sz="24" w:space="15" w:color="185A88"/>
            <w:right w:val="single" w:sz="24" w:space="11" w:color="185A88"/>
          </w:divBdr>
          <w:divsChild>
            <w:div w:id="388653509">
              <w:marLeft w:val="0"/>
              <w:marRight w:val="0"/>
              <w:marTop w:val="0"/>
              <w:marBottom w:val="0"/>
              <w:divBdr>
                <w:top w:val="none" w:sz="0" w:space="0" w:color="auto"/>
                <w:left w:val="none" w:sz="0" w:space="0" w:color="auto"/>
                <w:bottom w:val="none" w:sz="0" w:space="0" w:color="auto"/>
                <w:right w:val="none" w:sz="0" w:space="0" w:color="auto"/>
              </w:divBdr>
              <w:divsChild>
                <w:div w:id="349988963">
                  <w:marLeft w:val="0"/>
                  <w:marRight w:val="0"/>
                  <w:marTop w:val="0"/>
                  <w:marBottom w:val="0"/>
                  <w:divBdr>
                    <w:top w:val="none" w:sz="0" w:space="0" w:color="auto"/>
                    <w:left w:val="none" w:sz="0" w:space="0" w:color="auto"/>
                    <w:bottom w:val="none" w:sz="0" w:space="0" w:color="auto"/>
                    <w:right w:val="none" w:sz="0" w:space="0" w:color="auto"/>
                  </w:divBdr>
                </w:div>
                <w:div w:id="1034384049">
                  <w:marLeft w:val="0"/>
                  <w:marRight w:val="0"/>
                  <w:marTop w:val="0"/>
                  <w:marBottom w:val="0"/>
                  <w:divBdr>
                    <w:top w:val="none" w:sz="0" w:space="0" w:color="auto"/>
                    <w:left w:val="none" w:sz="0" w:space="0" w:color="auto"/>
                    <w:bottom w:val="none" w:sz="0" w:space="0" w:color="auto"/>
                    <w:right w:val="none" w:sz="0" w:space="0" w:color="auto"/>
                  </w:divBdr>
                </w:div>
              </w:divsChild>
            </w:div>
            <w:div w:id="12480801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43225370">
      <w:bodyDiv w:val="1"/>
      <w:marLeft w:val="0"/>
      <w:marRight w:val="0"/>
      <w:marTop w:val="0"/>
      <w:marBottom w:val="0"/>
      <w:divBdr>
        <w:top w:val="none" w:sz="0" w:space="0" w:color="auto"/>
        <w:left w:val="none" w:sz="0" w:space="0" w:color="auto"/>
        <w:bottom w:val="none" w:sz="0" w:space="0" w:color="auto"/>
        <w:right w:val="none" w:sz="0" w:space="0" w:color="auto"/>
      </w:divBdr>
    </w:div>
    <w:div w:id="992443758">
      <w:bodyDiv w:val="1"/>
      <w:marLeft w:val="0"/>
      <w:marRight w:val="0"/>
      <w:marTop w:val="0"/>
      <w:marBottom w:val="0"/>
      <w:divBdr>
        <w:top w:val="none" w:sz="0" w:space="0" w:color="auto"/>
        <w:left w:val="none" w:sz="0" w:space="0" w:color="auto"/>
        <w:bottom w:val="none" w:sz="0" w:space="0" w:color="auto"/>
        <w:right w:val="none" w:sz="0" w:space="0" w:color="auto"/>
      </w:divBdr>
    </w:div>
    <w:div w:id="1096706309">
      <w:bodyDiv w:val="1"/>
      <w:marLeft w:val="0"/>
      <w:marRight w:val="0"/>
      <w:marTop w:val="0"/>
      <w:marBottom w:val="0"/>
      <w:divBdr>
        <w:top w:val="none" w:sz="0" w:space="0" w:color="auto"/>
        <w:left w:val="none" w:sz="0" w:space="0" w:color="auto"/>
        <w:bottom w:val="none" w:sz="0" w:space="0" w:color="auto"/>
        <w:right w:val="none" w:sz="0" w:space="0" w:color="auto"/>
      </w:divBdr>
      <w:divsChild>
        <w:div w:id="1602956600">
          <w:marLeft w:val="0"/>
          <w:marRight w:val="0"/>
          <w:marTop w:val="0"/>
          <w:marBottom w:val="0"/>
          <w:divBdr>
            <w:top w:val="none" w:sz="0" w:space="0" w:color="auto"/>
            <w:left w:val="none" w:sz="0" w:space="0" w:color="auto"/>
            <w:bottom w:val="none" w:sz="0" w:space="0" w:color="auto"/>
            <w:right w:val="none" w:sz="0" w:space="0" w:color="auto"/>
          </w:divBdr>
          <w:divsChild>
            <w:div w:id="1516723719">
              <w:marLeft w:val="0"/>
              <w:marRight w:val="0"/>
              <w:marTop w:val="0"/>
              <w:marBottom w:val="0"/>
              <w:divBdr>
                <w:top w:val="none" w:sz="0" w:space="0" w:color="auto"/>
                <w:left w:val="none" w:sz="0" w:space="0" w:color="auto"/>
                <w:bottom w:val="none" w:sz="0" w:space="0" w:color="auto"/>
                <w:right w:val="none" w:sz="0" w:space="0" w:color="auto"/>
              </w:divBdr>
              <w:divsChild>
                <w:div w:id="161378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13176">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254626452">
      <w:bodyDiv w:val="1"/>
      <w:marLeft w:val="0"/>
      <w:marRight w:val="0"/>
      <w:marTop w:val="0"/>
      <w:marBottom w:val="0"/>
      <w:divBdr>
        <w:top w:val="none" w:sz="0" w:space="0" w:color="auto"/>
        <w:left w:val="none" w:sz="0" w:space="0" w:color="auto"/>
        <w:bottom w:val="none" w:sz="0" w:space="0" w:color="auto"/>
        <w:right w:val="none" w:sz="0" w:space="0" w:color="auto"/>
      </w:divBdr>
    </w:div>
    <w:div w:id="1272318477">
      <w:bodyDiv w:val="1"/>
      <w:marLeft w:val="0"/>
      <w:marRight w:val="0"/>
      <w:marTop w:val="0"/>
      <w:marBottom w:val="0"/>
      <w:divBdr>
        <w:top w:val="none" w:sz="0" w:space="0" w:color="auto"/>
        <w:left w:val="none" w:sz="0" w:space="0" w:color="auto"/>
        <w:bottom w:val="none" w:sz="0" w:space="0" w:color="auto"/>
        <w:right w:val="none" w:sz="0" w:space="0" w:color="auto"/>
      </w:divBdr>
    </w:div>
    <w:div w:id="1286543684">
      <w:bodyDiv w:val="1"/>
      <w:marLeft w:val="0"/>
      <w:marRight w:val="0"/>
      <w:marTop w:val="0"/>
      <w:marBottom w:val="0"/>
      <w:divBdr>
        <w:top w:val="none" w:sz="0" w:space="0" w:color="auto"/>
        <w:left w:val="none" w:sz="0" w:space="0" w:color="auto"/>
        <w:bottom w:val="none" w:sz="0" w:space="0" w:color="auto"/>
        <w:right w:val="none" w:sz="0" w:space="0" w:color="auto"/>
      </w:divBdr>
    </w:div>
    <w:div w:id="1295215272">
      <w:bodyDiv w:val="1"/>
      <w:marLeft w:val="0"/>
      <w:marRight w:val="0"/>
      <w:marTop w:val="0"/>
      <w:marBottom w:val="0"/>
      <w:divBdr>
        <w:top w:val="none" w:sz="0" w:space="0" w:color="auto"/>
        <w:left w:val="none" w:sz="0" w:space="0" w:color="auto"/>
        <w:bottom w:val="none" w:sz="0" w:space="0" w:color="auto"/>
        <w:right w:val="none" w:sz="0" w:space="0" w:color="auto"/>
      </w:divBdr>
    </w:div>
    <w:div w:id="1324580806">
      <w:bodyDiv w:val="1"/>
      <w:marLeft w:val="0"/>
      <w:marRight w:val="0"/>
      <w:marTop w:val="0"/>
      <w:marBottom w:val="0"/>
      <w:divBdr>
        <w:top w:val="none" w:sz="0" w:space="0" w:color="auto"/>
        <w:left w:val="none" w:sz="0" w:space="0" w:color="auto"/>
        <w:bottom w:val="none" w:sz="0" w:space="0" w:color="auto"/>
        <w:right w:val="none" w:sz="0" w:space="0" w:color="auto"/>
      </w:divBdr>
    </w:div>
    <w:div w:id="1400010181">
      <w:bodyDiv w:val="1"/>
      <w:marLeft w:val="0"/>
      <w:marRight w:val="0"/>
      <w:marTop w:val="0"/>
      <w:marBottom w:val="0"/>
      <w:divBdr>
        <w:top w:val="none" w:sz="0" w:space="0" w:color="auto"/>
        <w:left w:val="none" w:sz="0" w:space="0" w:color="auto"/>
        <w:bottom w:val="none" w:sz="0" w:space="0" w:color="auto"/>
        <w:right w:val="none" w:sz="0" w:space="0" w:color="auto"/>
      </w:divBdr>
    </w:div>
    <w:div w:id="1425221435">
      <w:bodyDiv w:val="1"/>
      <w:marLeft w:val="0"/>
      <w:marRight w:val="0"/>
      <w:marTop w:val="0"/>
      <w:marBottom w:val="0"/>
      <w:divBdr>
        <w:top w:val="none" w:sz="0" w:space="0" w:color="auto"/>
        <w:left w:val="none" w:sz="0" w:space="0" w:color="auto"/>
        <w:bottom w:val="none" w:sz="0" w:space="0" w:color="auto"/>
        <w:right w:val="none" w:sz="0" w:space="0" w:color="auto"/>
      </w:divBdr>
    </w:div>
    <w:div w:id="1426531244">
      <w:bodyDiv w:val="1"/>
      <w:marLeft w:val="0"/>
      <w:marRight w:val="0"/>
      <w:marTop w:val="0"/>
      <w:marBottom w:val="0"/>
      <w:divBdr>
        <w:top w:val="none" w:sz="0" w:space="0" w:color="auto"/>
        <w:left w:val="none" w:sz="0" w:space="0" w:color="auto"/>
        <w:bottom w:val="none" w:sz="0" w:space="0" w:color="auto"/>
        <w:right w:val="none" w:sz="0" w:space="0" w:color="auto"/>
      </w:divBdr>
      <w:divsChild>
        <w:div w:id="414786264">
          <w:marLeft w:val="1319"/>
          <w:marRight w:val="0"/>
          <w:marTop w:val="0"/>
          <w:marBottom w:val="0"/>
          <w:divBdr>
            <w:top w:val="none" w:sz="0" w:space="0" w:color="auto"/>
            <w:left w:val="none" w:sz="0" w:space="0" w:color="auto"/>
            <w:bottom w:val="none" w:sz="0" w:space="0" w:color="auto"/>
            <w:right w:val="none" w:sz="0" w:space="0" w:color="auto"/>
          </w:divBdr>
        </w:div>
        <w:div w:id="958755944">
          <w:marLeft w:val="1319"/>
          <w:marRight w:val="0"/>
          <w:marTop w:val="0"/>
          <w:marBottom w:val="0"/>
          <w:divBdr>
            <w:top w:val="none" w:sz="0" w:space="0" w:color="auto"/>
            <w:left w:val="none" w:sz="0" w:space="0" w:color="auto"/>
            <w:bottom w:val="none" w:sz="0" w:space="0" w:color="auto"/>
            <w:right w:val="none" w:sz="0" w:space="0" w:color="auto"/>
          </w:divBdr>
          <w:divsChild>
            <w:div w:id="1686327083">
              <w:marLeft w:val="0"/>
              <w:marRight w:val="0"/>
              <w:marTop w:val="225"/>
              <w:marBottom w:val="225"/>
              <w:divBdr>
                <w:top w:val="single" w:sz="24" w:space="15" w:color="185A88"/>
                <w:left w:val="single" w:sz="24" w:space="11" w:color="185A88"/>
                <w:bottom w:val="single" w:sz="24" w:space="15" w:color="185A88"/>
                <w:right w:val="single" w:sz="24" w:space="11" w:color="185A88"/>
              </w:divBdr>
              <w:divsChild>
                <w:div w:id="621347813">
                  <w:marLeft w:val="0"/>
                  <w:marRight w:val="0"/>
                  <w:marTop w:val="0"/>
                  <w:marBottom w:val="0"/>
                  <w:divBdr>
                    <w:top w:val="none" w:sz="0" w:space="0" w:color="auto"/>
                    <w:left w:val="none" w:sz="0" w:space="0" w:color="auto"/>
                    <w:bottom w:val="none" w:sz="0" w:space="0" w:color="auto"/>
                    <w:right w:val="none" w:sz="0" w:space="0" w:color="auto"/>
                  </w:divBdr>
                  <w:divsChild>
                    <w:div w:id="1362434998">
                      <w:marLeft w:val="0"/>
                      <w:marRight w:val="0"/>
                      <w:marTop w:val="0"/>
                      <w:marBottom w:val="0"/>
                      <w:divBdr>
                        <w:top w:val="none" w:sz="0" w:space="0" w:color="auto"/>
                        <w:left w:val="none" w:sz="0" w:space="0" w:color="auto"/>
                        <w:bottom w:val="none" w:sz="0" w:space="0" w:color="auto"/>
                        <w:right w:val="none" w:sz="0" w:space="0" w:color="auto"/>
                      </w:divBdr>
                    </w:div>
                  </w:divsChild>
                </w:div>
                <w:div w:id="152274354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18469985">
      <w:bodyDiv w:val="1"/>
      <w:marLeft w:val="0"/>
      <w:marRight w:val="0"/>
      <w:marTop w:val="0"/>
      <w:marBottom w:val="0"/>
      <w:divBdr>
        <w:top w:val="none" w:sz="0" w:space="0" w:color="auto"/>
        <w:left w:val="none" w:sz="0" w:space="0" w:color="auto"/>
        <w:bottom w:val="none" w:sz="0" w:space="0" w:color="auto"/>
        <w:right w:val="none" w:sz="0" w:space="0" w:color="auto"/>
      </w:divBdr>
    </w:div>
    <w:div w:id="1549105269">
      <w:bodyDiv w:val="1"/>
      <w:marLeft w:val="0"/>
      <w:marRight w:val="0"/>
      <w:marTop w:val="0"/>
      <w:marBottom w:val="0"/>
      <w:divBdr>
        <w:top w:val="none" w:sz="0" w:space="0" w:color="auto"/>
        <w:left w:val="none" w:sz="0" w:space="0" w:color="auto"/>
        <w:bottom w:val="none" w:sz="0" w:space="0" w:color="auto"/>
        <w:right w:val="none" w:sz="0" w:space="0" w:color="auto"/>
      </w:divBdr>
      <w:divsChild>
        <w:div w:id="108286841">
          <w:marLeft w:val="0"/>
          <w:marRight w:val="0"/>
          <w:marTop w:val="0"/>
          <w:marBottom w:val="0"/>
          <w:divBdr>
            <w:top w:val="none" w:sz="0" w:space="0" w:color="auto"/>
            <w:left w:val="none" w:sz="0" w:space="0" w:color="auto"/>
            <w:bottom w:val="none" w:sz="0" w:space="0" w:color="auto"/>
            <w:right w:val="none" w:sz="0" w:space="0" w:color="auto"/>
          </w:divBdr>
          <w:divsChild>
            <w:div w:id="1498307981">
              <w:marLeft w:val="0"/>
              <w:marRight w:val="0"/>
              <w:marTop w:val="0"/>
              <w:marBottom w:val="0"/>
              <w:divBdr>
                <w:top w:val="none" w:sz="0" w:space="0" w:color="auto"/>
                <w:left w:val="none" w:sz="0" w:space="0" w:color="auto"/>
                <w:bottom w:val="none" w:sz="0" w:space="0" w:color="auto"/>
                <w:right w:val="none" w:sz="0" w:space="0" w:color="auto"/>
              </w:divBdr>
              <w:divsChild>
                <w:div w:id="1793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2169">
      <w:bodyDiv w:val="1"/>
      <w:marLeft w:val="0"/>
      <w:marRight w:val="0"/>
      <w:marTop w:val="0"/>
      <w:marBottom w:val="0"/>
      <w:divBdr>
        <w:top w:val="none" w:sz="0" w:space="0" w:color="auto"/>
        <w:left w:val="none" w:sz="0" w:space="0" w:color="auto"/>
        <w:bottom w:val="none" w:sz="0" w:space="0" w:color="auto"/>
        <w:right w:val="none" w:sz="0" w:space="0" w:color="auto"/>
      </w:divBdr>
    </w:div>
    <w:div w:id="1614433314">
      <w:bodyDiv w:val="1"/>
      <w:marLeft w:val="0"/>
      <w:marRight w:val="0"/>
      <w:marTop w:val="0"/>
      <w:marBottom w:val="0"/>
      <w:divBdr>
        <w:top w:val="none" w:sz="0" w:space="0" w:color="auto"/>
        <w:left w:val="none" w:sz="0" w:space="0" w:color="auto"/>
        <w:bottom w:val="none" w:sz="0" w:space="0" w:color="auto"/>
        <w:right w:val="none" w:sz="0" w:space="0" w:color="auto"/>
      </w:divBdr>
    </w:div>
    <w:div w:id="1626427868">
      <w:bodyDiv w:val="1"/>
      <w:marLeft w:val="0"/>
      <w:marRight w:val="0"/>
      <w:marTop w:val="0"/>
      <w:marBottom w:val="0"/>
      <w:divBdr>
        <w:top w:val="none" w:sz="0" w:space="0" w:color="auto"/>
        <w:left w:val="none" w:sz="0" w:space="0" w:color="auto"/>
        <w:bottom w:val="none" w:sz="0" w:space="0" w:color="auto"/>
        <w:right w:val="none" w:sz="0" w:space="0" w:color="auto"/>
      </w:divBdr>
    </w:div>
    <w:div w:id="1645965509">
      <w:bodyDiv w:val="1"/>
      <w:marLeft w:val="0"/>
      <w:marRight w:val="0"/>
      <w:marTop w:val="0"/>
      <w:marBottom w:val="0"/>
      <w:divBdr>
        <w:top w:val="none" w:sz="0" w:space="0" w:color="auto"/>
        <w:left w:val="none" w:sz="0" w:space="0" w:color="auto"/>
        <w:bottom w:val="none" w:sz="0" w:space="0" w:color="auto"/>
        <w:right w:val="none" w:sz="0" w:space="0" w:color="auto"/>
      </w:divBdr>
    </w:div>
    <w:div w:id="1652783941">
      <w:bodyDiv w:val="1"/>
      <w:marLeft w:val="0"/>
      <w:marRight w:val="0"/>
      <w:marTop w:val="0"/>
      <w:marBottom w:val="0"/>
      <w:divBdr>
        <w:top w:val="none" w:sz="0" w:space="0" w:color="auto"/>
        <w:left w:val="none" w:sz="0" w:space="0" w:color="auto"/>
        <w:bottom w:val="none" w:sz="0" w:space="0" w:color="auto"/>
        <w:right w:val="none" w:sz="0" w:space="0" w:color="auto"/>
      </w:divBdr>
    </w:div>
    <w:div w:id="1691563440">
      <w:bodyDiv w:val="1"/>
      <w:marLeft w:val="0"/>
      <w:marRight w:val="0"/>
      <w:marTop w:val="0"/>
      <w:marBottom w:val="0"/>
      <w:divBdr>
        <w:top w:val="none" w:sz="0" w:space="0" w:color="auto"/>
        <w:left w:val="none" w:sz="0" w:space="0" w:color="auto"/>
        <w:bottom w:val="none" w:sz="0" w:space="0" w:color="auto"/>
        <w:right w:val="none" w:sz="0" w:space="0" w:color="auto"/>
      </w:divBdr>
      <w:divsChild>
        <w:div w:id="890119410">
          <w:blockQuote w:val="1"/>
          <w:marLeft w:val="-450"/>
          <w:marRight w:val="-450"/>
          <w:marTop w:val="0"/>
          <w:marBottom w:val="300"/>
          <w:divBdr>
            <w:top w:val="none" w:sz="0" w:space="8" w:color="auto"/>
            <w:left w:val="single" w:sz="36" w:space="15" w:color="185A88"/>
            <w:bottom w:val="none" w:sz="0" w:space="8" w:color="auto"/>
            <w:right w:val="none" w:sz="0" w:space="15" w:color="auto"/>
          </w:divBdr>
        </w:div>
      </w:divsChild>
    </w:div>
    <w:div w:id="1720397070">
      <w:bodyDiv w:val="1"/>
      <w:marLeft w:val="0"/>
      <w:marRight w:val="0"/>
      <w:marTop w:val="0"/>
      <w:marBottom w:val="0"/>
      <w:divBdr>
        <w:top w:val="none" w:sz="0" w:space="0" w:color="auto"/>
        <w:left w:val="none" w:sz="0" w:space="0" w:color="auto"/>
        <w:bottom w:val="none" w:sz="0" w:space="0" w:color="auto"/>
        <w:right w:val="none" w:sz="0" w:space="0" w:color="auto"/>
      </w:divBdr>
    </w:div>
    <w:div w:id="1744983174">
      <w:bodyDiv w:val="1"/>
      <w:marLeft w:val="0"/>
      <w:marRight w:val="0"/>
      <w:marTop w:val="0"/>
      <w:marBottom w:val="0"/>
      <w:divBdr>
        <w:top w:val="none" w:sz="0" w:space="0" w:color="auto"/>
        <w:left w:val="none" w:sz="0" w:space="0" w:color="auto"/>
        <w:bottom w:val="none" w:sz="0" w:space="0" w:color="auto"/>
        <w:right w:val="none" w:sz="0" w:space="0" w:color="auto"/>
      </w:divBdr>
    </w:div>
    <w:div w:id="1766605975">
      <w:bodyDiv w:val="1"/>
      <w:marLeft w:val="0"/>
      <w:marRight w:val="0"/>
      <w:marTop w:val="0"/>
      <w:marBottom w:val="0"/>
      <w:divBdr>
        <w:top w:val="none" w:sz="0" w:space="0" w:color="auto"/>
        <w:left w:val="none" w:sz="0" w:space="0" w:color="auto"/>
        <w:bottom w:val="none" w:sz="0" w:space="0" w:color="auto"/>
        <w:right w:val="none" w:sz="0" w:space="0" w:color="auto"/>
      </w:divBdr>
    </w:div>
    <w:div w:id="1794591497">
      <w:bodyDiv w:val="1"/>
      <w:marLeft w:val="0"/>
      <w:marRight w:val="0"/>
      <w:marTop w:val="0"/>
      <w:marBottom w:val="0"/>
      <w:divBdr>
        <w:top w:val="none" w:sz="0" w:space="0" w:color="auto"/>
        <w:left w:val="none" w:sz="0" w:space="0" w:color="auto"/>
        <w:bottom w:val="none" w:sz="0" w:space="0" w:color="auto"/>
        <w:right w:val="none" w:sz="0" w:space="0" w:color="auto"/>
      </w:divBdr>
      <w:divsChild>
        <w:div w:id="1310017981">
          <w:marLeft w:val="0"/>
          <w:marRight w:val="0"/>
          <w:marTop w:val="0"/>
          <w:marBottom w:val="0"/>
          <w:divBdr>
            <w:top w:val="none" w:sz="0" w:space="0" w:color="auto"/>
            <w:left w:val="none" w:sz="0" w:space="0" w:color="auto"/>
            <w:bottom w:val="none" w:sz="0" w:space="0" w:color="auto"/>
            <w:right w:val="none" w:sz="0" w:space="0" w:color="auto"/>
          </w:divBdr>
          <w:divsChild>
            <w:div w:id="1055741006">
              <w:marLeft w:val="0"/>
              <w:marRight w:val="0"/>
              <w:marTop w:val="0"/>
              <w:marBottom w:val="0"/>
              <w:divBdr>
                <w:top w:val="none" w:sz="0" w:space="0" w:color="auto"/>
                <w:left w:val="none" w:sz="0" w:space="0" w:color="auto"/>
                <w:bottom w:val="none" w:sz="0" w:space="0" w:color="auto"/>
                <w:right w:val="none" w:sz="0" w:space="0" w:color="auto"/>
              </w:divBdr>
              <w:divsChild>
                <w:div w:id="3775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839956">
      <w:bodyDiv w:val="1"/>
      <w:marLeft w:val="0"/>
      <w:marRight w:val="0"/>
      <w:marTop w:val="0"/>
      <w:marBottom w:val="0"/>
      <w:divBdr>
        <w:top w:val="none" w:sz="0" w:space="0" w:color="auto"/>
        <w:left w:val="none" w:sz="0" w:space="0" w:color="auto"/>
        <w:bottom w:val="none" w:sz="0" w:space="0" w:color="auto"/>
        <w:right w:val="none" w:sz="0" w:space="0" w:color="auto"/>
      </w:divBdr>
    </w:div>
    <w:div w:id="1890653847">
      <w:bodyDiv w:val="1"/>
      <w:marLeft w:val="0"/>
      <w:marRight w:val="0"/>
      <w:marTop w:val="0"/>
      <w:marBottom w:val="0"/>
      <w:divBdr>
        <w:top w:val="none" w:sz="0" w:space="0" w:color="auto"/>
        <w:left w:val="none" w:sz="0" w:space="0" w:color="auto"/>
        <w:bottom w:val="none" w:sz="0" w:space="0" w:color="auto"/>
        <w:right w:val="none" w:sz="0" w:space="0" w:color="auto"/>
      </w:divBdr>
    </w:div>
    <w:div w:id="1917520071">
      <w:bodyDiv w:val="1"/>
      <w:marLeft w:val="0"/>
      <w:marRight w:val="0"/>
      <w:marTop w:val="0"/>
      <w:marBottom w:val="0"/>
      <w:divBdr>
        <w:top w:val="none" w:sz="0" w:space="0" w:color="auto"/>
        <w:left w:val="none" w:sz="0" w:space="0" w:color="auto"/>
        <w:bottom w:val="none" w:sz="0" w:space="0" w:color="auto"/>
        <w:right w:val="none" w:sz="0" w:space="0" w:color="auto"/>
      </w:divBdr>
    </w:div>
    <w:div w:id="1975912722">
      <w:bodyDiv w:val="1"/>
      <w:marLeft w:val="0"/>
      <w:marRight w:val="0"/>
      <w:marTop w:val="0"/>
      <w:marBottom w:val="0"/>
      <w:divBdr>
        <w:top w:val="none" w:sz="0" w:space="0" w:color="auto"/>
        <w:left w:val="none" w:sz="0" w:space="0" w:color="auto"/>
        <w:bottom w:val="none" w:sz="0" w:space="0" w:color="auto"/>
        <w:right w:val="none" w:sz="0" w:space="0" w:color="auto"/>
      </w:divBdr>
      <w:divsChild>
        <w:div w:id="1190871201">
          <w:marLeft w:val="-225"/>
          <w:marRight w:val="-225"/>
          <w:marTop w:val="0"/>
          <w:marBottom w:val="0"/>
          <w:divBdr>
            <w:top w:val="none" w:sz="0" w:space="0" w:color="auto"/>
            <w:left w:val="none" w:sz="0" w:space="0" w:color="auto"/>
            <w:bottom w:val="none" w:sz="0" w:space="0" w:color="auto"/>
            <w:right w:val="none" w:sz="0" w:space="0" w:color="auto"/>
          </w:divBdr>
        </w:div>
      </w:divsChild>
    </w:div>
    <w:div w:id="1982611010">
      <w:bodyDiv w:val="1"/>
      <w:marLeft w:val="0"/>
      <w:marRight w:val="0"/>
      <w:marTop w:val="0"/>
      <w:marBottom w:val="0"/>
      <w:divBdr>
        <w:top w:val="none" w:sz="0" w:space="0" w:color="auto"/>
        <w:left w:val="none" w:sz="0" w:space="0" w:color="auto"/>
        <w:bottom w:val="none" w:sz="0" w:space="0" w:color="auto"/>
        <w:right w:val="none" w:sz="0" w:space="0" w:color="auto"/>
      </w:divBdr>
      <w:divsChild>
        <w:div w:id="551037471">
          <w:marLeft w:val="0"/>
          <w:marRight w:val="0"/>
          <w:marTop w:val="0"/>
          <w:marBottom w:val="0"/>
          <w:divBdr>
            <w:top w:val="none" w:sz="0" w:space="0" w:color="auto"/>
            <w:left w:val="none" w:sz="0" w:space="0" w:color="auto"/>
            <w:bottom w:val="none" w:sz="0" w:space="0" w:color="auto"/>
            <w:right w:val="none" w:sz="0" w:space="0" w:color="auto"/>
          </w:divBdr>
          <w:divsChild>
            <w:div w:id="850795362">
              <w:marLeft w:val="0"/>
              <w:marRight w:val="0"/>
              <w:marTop w:val="0"/>
              <w:marBottom w:val="0"/>
              <w:divBdr>
                <w:top w:val="none" w:sz="0" w:space="0" w:color="auto"/>
                <w:left w:val="none" w:sz="0" w:space="0" w:color="auto"/>
                <w:bottom w:val="none" w:sz="0" w:space="0" w:color="auto"/>
                <w:right w:val="none" w:sz="0" w:space="0" w:color="auto"/>
              </w:divBdr>
              <w:divsChild>
                <w:div w:id="18676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9785">
      <w:bodyDiv w:val="1"/>
      <w:marLeft w:val="0"/>
      <w:marRight w:val="0"/>
      <w:marTop w:val="0"/>
      <w:marBottom w:val="0"/>
      <w:divBdr>
        <w:top w:val="none" w:sz="0" w:space="0" w:color="auto"/>
        <w:left w:val="none" w:sz="0" w:space="0" w:color="auto"/>
        <w:bottom w:val="none" w:sz="0" w:space="0" w:color="auto"/>
        <w:right w:val="none" w:sz="0" w:space="0" w:color="auto"/>
      </w:divBdr>
      <w:divsChild>
        <w:div w:id="323701605">
          <w:blockQuote w:val="1"/>
          <w:marLeft w:val="-450"/>
          <w:marRight w:val="-450"/>
          <w:marTop w:val="0"/>
          <w:marBottom w:val="300"/>
          <w:divBdr>
            <w:top w:val="none" w:sz="0" w:space="8" w:color="auto"/>
            <w:left w:val="single" w:sz="36" w:space="15" w:color="185A88"/>
            <w:bottom w:val="none" w:sz="0" w:space="8" w:color="auto"/>
            <w:right w:val="none" w:sz="0" w:space="15" w:color="auto"/>
          </w:divBdr>
        </w:div>
      </w:divsChild>
    </w:div>
    <w:div w:id="2078895562">
      <w:bodyDiv w:val="1"/>
      <w:marLeft w:val="0"/>
      <w:marRight w:val="0"/>
      <w:marTop w:val="0"/>
      <w:marBottom w:val="0"/>
      <w:divBdr>
        <w:top w:val="none" w:sz="0" w:space="0" w:color="auto"/>
        <w:left w:val="none" w:sz="0" w:space="0" w:color="auto"/>
        <w:bottom w:val="none" w:sz="0" w:space="0" w:color="auto"/>
        <w:right w:val="none" w:sz="0" w:space="0" w:color="auto"/>
      </w:divBdr>
      <w:divsChild>
        <w:div w:id="72440268">
          <w:marLeft w:val="0"/>
          <w:marRight w:val="0"/>
          <w:marTop w:val="0"/>
          <w:marBottom w:val="0"/>
          <w:divBdr>
            <w:top w:val="none" w:sz="0" w:space="0" w:color="auto"/>
            <w:left w:val="none" w:sz="0" w:space="0" w:color="auto"/>
            <w:bottom w:val="none" w:sz="0" w:space="0" w:color="auto"/>
            <w:right w:val="none" w:sz="0" w:space="0" w:color="auto"/>
          </w:divBdr>
        </w:div>
        <w:div w:id="288780446">
          <w:marLeft w:val="0"/>
          <w:marRight w:val="0"/>
          <w:marTop w:val="0"/>
          <w:marBottom w:val="0"/>
          <w:divBdr>
            <w:top w:val="none" w:sz="0" w:space="0" w:color="auto"/>
            <w:left w:val="none" w:sz="0" w:space="0" w:color="auto"/>
            <w:bottom w:val="none" w:sz="0" w:space="0" w:color="auto"/>
            <w:right w:val="none" w:sz="0" w:space="0" w:color="auto"/>
          </w:divBdr>
        </w:div>
      </w:divsChild>
    </w:div>
    <w:div w:id="2091584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dic.gov/resources/deposit-insurance/" TargetMode="External"/><Relationship Id="rId18" Type="http://schemas.openxmlformats.org/officeDocument/2006/relationships/diagramQuickStyle" Target="diagrams/quickStyle1.xml"/><Relationship Id="rId26" Type="http://schemas.openxmlformats.org/officeDocument/2006/relationships/diagramColors" Target="diagrams/colors2.xml"/><Relationship Id="rId3" Type="http://schemas.openxmlformats.org/officeDocument/2006/relationships/customXml" Target="../customXml/item3.xml"/><Relationship Id="rId21" Type="http://schemas.openxmlformats.org/officeDocument/2006/relationships/hyperlink" Target="https://www.bankofengland.co.uk/prudential-regulatio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scs.org.uk/" TargetMode="External"/><Relationship Id="rId17" Type="http://schemas.openxmlformats.org/officeDocument/2006/relationships/diagramLayout" Target="diagrams/layout1.xml"/><Relationship Id="rId25" Type="http://schemas.openxmlformats.org/officeDocument/2006/relationships/diagramQuickStyle" Target="diagrams/quickStyle2.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yperlink" Target="https://www.bis.org/basel_framework/chapter/CRE/20.htm?tldate=2019123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dic.org.sg/" TargetMode="External"/><Relationship Id="rId24" Type="http://schemas.openxmlformats.org/officeDocument/2006/relationships/diagramLayout" Target="diagrams/layout2.xml"/><Relationship Id="rId32" Type="http://schemas.openxmlformats.org/officeDocument/2006/relationships/hyperlink" Target="https://www.bis.org/basel_framework/chapter/CRE/20.htm?tldate=20191231" TargetMode="External"/><Relationship Id="rId5" Type="http://schemas.openxmlformats.org/officeDocument/2006/relationships/numbering" Target="numbering.xml"/><Relationship Id="rId15" Type="http://schemas.openxmlformats.org/officeDocument/2006/relationships/hyperlink" Target="https://www.investopedia.com/terms/b/broker-dealer.asp" TargetMode="External"/><Relationship Id="rId23" Type="http://schemas.openxmlformats.org/officeDocument/2006/relationships/diagramData" Target="diagrams/data2.xml"/><Relationship Id="rId28" Type="http://schemas.openxmlformats.org/officeDocument/2006/relationships/hyperlink" Target="https://www.bankofengland.co.uk/prudential-regulation/publication/2013/internal-ratings-based-approaches-ss" TargetMode="Externa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hyperlink" Target="https://www.bankofengland.co.uk/knowledgebank/what-is-capit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fo/business-economy-euro/banking-and-finance/financial-supervision-and-risk-management/managing-risks-banks-and-financial-institutions/deposit-guarantee-schemes_en" TargetMode="External"/><Relationship Id="rId22" Type="http://schemas.openxmlformats.org/officeDocument/2006/relationships/hyperlink" Target="https://www.fca.org.uk/" TargetMode="External"/><Relationship Id="rId27" Type="http://schemas.microsoft.com/office/2007/relationships/diagramDrawing" Target="diagrams/drawing2.xml"/><Relationship Id="rId30" Type="http://schemas.openxmlformats.org/officeDocument/2006/relationships/hyperlink" Target="https://www.statista.com/statistics/909924/liquidity-coverage-ratio-in-europe-by-country/" TargetMode="External"/><Relationship Id="rId35" Type="http://schemas.openxmlformats.org/officeDocument/2006/relationships/theme" Target="theme/theme1.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1CD596-33E2-46C5-986A-38E07300DF0F}"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GB"/>
        </a:p>
      </dgm:t>
    </dgm:pt>
    <dgm:pt modelId="{4EBD174F-56F7-400E-A61A-604BA7BB606E}">
      <dgm:prSet phldrT="[Text]"/>
      <dgm:spPr/>
      <dgm:t>
        <a:bodyPr/>
        <a:lstStyle/>
        <a:p>
          <a:r>
            <a:rPr lang="en-GB"/>
            <a:t>Prudential regulations</a:t>
          </a:r>
        </a:p>
      </dgm:t>
    </dgm:pt>
    <dgm:pt modelId="{723DA391-5A5C-4572-86EB-36A79EC73E50}" type="parTrans" cxnId="{B936BCA3-A9CC-4C71-9E20-02C9EAC8215F}">
      <dgm:prSet/>
      <dgm:spPr/>
      <dgm:t>
        <a:bodyPr/>
        <a:lstStyle/>
        <a:p>
          <a:endParaRPr lang="en-GB"/>
        </a:p>
      </dgm:t>
    </dgm:pt>
    <dgm:pt modelId="{3E9652B7-7615-4944-80F1-2931B73A97DC}" type="sibTrans" cxnId="{B936BCA3-A9CC-4C71-9E20-02C9EAC8215F}">
      <dgm:prSet/>
      <dgm:spPr/>
      <dgm:t>
        <a:bodyPr/>
        <a:lstStyle/>
        <a:p>
          <a:endParaRPr lang="en-GB"/>
        </a:p>
      </dgm:t>
    </dgm:pt>
    <dgm:pt modelId="{648A45FD-9756-4073-80CC-ED07446BD599}">
      <dgm:prSet phldrT="[Text]"/>
      <dgm:spPr/>
      <dgm:t>
        <a:bodyPr/>
        <a:lstStyle/>
        <a:p>
          <a:r>
            <a:rPr lang="en-GB"/>
            <a:t>Minimal capital requirements</a:t>
          </a:r>
        </a:p>
      </dgm:t>
    </dgm:pt>
    <dgm:pt modelId="{0D43124E-E35F-4549-939E-83364687DA77}" type="parTrans" cxnId="{AEC65878-F834-45D4-8351-B47EB7C73382}">
      <dgm:prSet/>
      <dgm:spPr/>
      <dgm:t>
        <a:bodyPr/>
        <a:lstStyle/>
        <a:p>
          <a:endParaRPr lang="en-GB"/>
        </a:p>
      </dgm:t>
    </dgm:pt>
    <dgm:pt modelId="{6172E797-0535-47E2-8D74-9D7EB7CD6822}" type="sibTrans" cxnId="{AEC65878-F834-45D4-8351-B47EB7C73382}">
      <dgm:prSet/>
      <dgm:spPr/>
      <dgm:t>
        <a:bodyPr/>
        <a:lstStyle/>
        <a:p>
          <a:endParaRPr lang="en-GB"/>
        </a:p>
      </dgm:t>
    </dgm:pt>
    <dgm:pt modelId="{07000533-96FA-4340-A957-6DC969B1DB73}">
      <dgm:prSet phldrT="[Text]"/>
      <dgm:spPr/>
      <dgm:t>
        <a:bodyPr/>
        <a:lstStyle/>
        <a:p>
          <a:r>
            <a:rPr lang="en-GB"/>
            <a:t>Liquidity standards</a:t>
          </a:r>
        </a:p>
      </dgm:t>
    </dgm:pt>
    <dgm:pt modelId="{00A7F5A1-90EC-40DB-8709-0C3E84124FDB}" type="parTrans" cxnId="{18BD83BA-CD6F-4864-A5BC-158F1EFBBF72}">
      <dgm:prSet/>
      <dgm:spPr/>
      <dgm:t>
        <a:bodyPr/>
        <a:lstStyle/>
        <a:p>
          <a:endParaRPr lang="en-GB"/>
        </a:p>
      </dgm:t>
    </dgm:pt>
    <dgm:pt modelId="{B1EF23E3-4403-4D3C-81D9-4D2F242B3D9B}" type="sibTrans" cxnId="{18BD83BA-CD6F-4864-A5BC-158F1EFBBF72}">
      <dgm:prSet/>
      <dgm:spPr/>
      <dgm:t>
        <a:bodyPr/>
        <a:lstStyle/>
        <a:p>
          <a:endParaRPr lang="en-GB"/>
        </a:p>
      </dgm:t>
    </dgm:pt>
    <dgm:pt modelId="{B76C4233-FE15-464F-AE47-2AC44C90B7AA}">
      <dgm:prSet phldrT="[Text]"/>
      <dgm:spPr/>
      <dgm:t>
        <a:bodyPr/>
        <a:lstStyle/>
        <a:p>
          <a:r>
            <a:rPr lang="en-GB"/>
            <a:t>Loan portfolio diversification</a:t>
          </a:r>
        </a:p>
      </dgm:t>
    </dgm:pt>
    <dgm:pt modelId="{56F27E20-30AD-4E71-AEA3-6F5E3A779648}" type="parTrans" cxnId="{7B6B321D-394F-4525-987A-33BC7F2F67A5}">
      <dgm:prSet/>
      <dgm:spPr/>
      <dgm:t>
        <a:bodyPr/>
        <a:lstStyle/>
        <a:p>
          <a:endParaRPr lang="en-GB"/>
        </a:p>
      </dgm:t>
    </dgm:pt>
    <dgm:pt modelId="{3418762F-13A3-406A-B4F2-266F5C6B548D}" type="sibTrans" cxnId="{7B6B321D-394F-4525-987A-33BC7F2F67A5}">
      <dgm:prSet/>
      <dgm:spPr/>
      <dgm:t>
        <a:bodyPr/>
        <a:lstStyle/>
        <a:p>
          <a:endParaRPr lang="en-GB"/>
        </a:p>
      </dgm:t>
    </dgm:pt>
    <dgm:pt modelId="{AC57A48B-2E78-48AF-9799-DB3BFEDB9BD9}">
      <dgm:prSet phldrT="[Text]"/>
      <dgm:spPr/>
      <dgm:t>
        <a:bodyPr/>
        <a:lstStyle/>
        <a:p>
          <a:r>
            <a:rPr lang="en-GB"/>
            <a:t>Limitations on a bank’s lines of business</a:t>
          </a:r>
        </a:p>
      </dgm:t>
    </dgm:pt>
    <dgm:pt modelId="{E2637EFA-FB11-4AE9-9811-181A3A595706}" type="parTrans" cxnId="{101894DC-5B9B-42A0-A1EC-8360E12DEE16}">
      <dgm:prSet/>
      <dgm:spPr/>
      <dgm:t>
        <a:bodyPr/>
        <a:lstStyle/>
        <a:p>
          <a:endParaRPr lang="en-GB"/>
        </a:p>
      </dgm:t>
    </dgm:pt>
    <dgm:pt modelId="{6BBE2F9D-544B-484F-A56B-E0B61D1E01BF}" type="sibTrans" cxnId="{101894DC-5B9B-42A0-A1EC-8360E12DEE16}">
      <dgm:prSet/>
      <dgm:spPr/>
      <dgm:t>
        <a:bodyPr/>
        <a:lstStyle/>
        <a:p>
          <a:endParaRPr lang="en-GB"/>
        </a:p>
      </dgm:t>
    </dgm:pt>
    <dgm:pt modelId="{914BB32F-58B6-44F3-A1C3-AA3C3CF5A1D9}">
      <dgm:prSet phldrT="[Text]"/>
      <dgm:spPr/>
      <dgm:t>
        <a:bodyPr/>
        <a:lstStyle/>
        <a:p>
          <a:r>
            <a:rPr lang="en-GB"/>
            <a:t>Limitations on a bank’s portfolio investments</a:t>
          </a:r>
        </a:p>
      </dgm:t>
    </dgm:pt>
    <dgm:pt modelId="{26E8330F-C65D-474D-B8FE-E6CFCD63A1CC}" type="parTrans" cxnId="{7914E99A-DD0A-44F1-9E8F-851DCDD247FB}">
      <dgm:prSet/>
      <dgm:spPr/>
      <dgm:t>
        <a:bodyPr/>
        <a:lstStyle/>
        <a:p>
          <a:endParaRPr lang="en-GB"/>
        </a:p>
      </dgm:t>
    </dgm:pt>
    <dgm:pt modelId="{51452043-61AB-4C78-8288-65B61BD86C17}" type="sibTrans" cxnId="{7914E99A-DD0A-44F1-9E8F-851DCDD247FB}">
      <dgm:prSet/>
      <dgm:spPr/>
      <dgm:t>
        <a:bodyPr/>
        <a:lstStyle/>
        <a:p>
          <a:endParaRPr lang="en-GB"/>
        </a:p>
      </dgm:t>
    </dgm:pt>
    <dgm:pt modelId="{832C160C-D453-418A-86A6-4C76AF13121E}" type="pres">
      <dgm:prSet presAssocID="{ED1CD596-33E2-46C5-986A-38E07300DF0F}" presName="cycle" presStyleCnt="0">
        <dgm:presLayoutVars>
          <dgm:chMax val="1"/>
          <dgm:dir/>
          <dgm:animLvl val="ctr"/>
          <dgm:resizeHandles val="exact"/>
        </dgm:presLayoutVars>
      </dgm:prSet>
      <dgm:spPr/>
    </dgm:pt>
    <dgm:pt modelId="{B3035522-B09C-40BA-A5AA-D67F3DEF6F26}" type="pres">
      <dgm:prSet presAssocID="{4EBD174F-56F7-400E-A61A-604BA7BB606E}" presName="centerShape" presStyleLbl="node0" presStyleIdx="0" presStyleCnt="1"/>
      <dgm:spPr/>
    </dgm:pt>
    <dgm:pt modelId="{DE0BFB71-F1E1-440A-9D3F-0D1C9D8BF938}" type="pres">
      <dgm:prSet presAssocID="{0D43124E-E35F-4549-939E-83364687DA77}" presName="Name9" presStyleLbl="parChTrans1D2" presStyleIdx="0" presStyleCnt="5"/>
      <dgm:spPr/>
    </dgm:pt>
    <dgm:pt modelId="{401B67C9-5878-458B-B67C-31CAFB434E6E}" type="pres">
      <dgm:prSet presAssocID="{0D43124E-E35F-4549-939E-83364687DA77}" presName="connTx" presStyleLbl="parChTrans1D2" presStyleIdx="0" presStyleCnt="5"/>
      <dgm:spPr/>
    </dgm:pt>
    <dgm:pt modelId="{1E45B739-CA6A-45FD-B9D8-D5C523FB33CC}" type="pres">
      <dgm:prSet presAssocID="{648A45FD-9756-4073-80CC-ED07446BD599}" presName="node" presStyleLbl="node1" presStyleIdx="0" presStyleCnt="5">
        <dgm:presLayoutVars>
          <dgm:bulletEnabled val="1"/>
        </dgm:presLayoutVars>
      </dgm:prSet>
      <dgm:spPr/>
    </dgm:pt>
    <dgm:pt modelId="{93DF68C0-BAE1-4DDF-87EA-BA9097E918C7}" type="pres">
      <dgm:prSet presAssocID="{00A7F5A1-90EC-40DB-8709-0C3E84124FDB}" presName="Name9" presStyleLbl="parChTrans1D2" presStyleIdx="1" presStyleCnt="5"/>
      <dgm:spPr/>
    </dgm:pt>
    <dgm:pt modelId="{7CBC8AEC-9349-4DD1-988C-AA8F9BFC505A}" type="pres">
      <dgm:prSet presAssocID="{00A7F5A1-90EC-40DB-8709-0C3E84124FDB}" presName="connTx" presStyleLbl="parChTrans1D2" presStyleIdx="1" presStyleCnt="5"/>
      <dgm:spPr/>
    </dgm:pt>
    <dgm:pt modelId="{85F2C461-EC9C-4B8C-A624-953164FEF4AB}" type="pres">
      <dgm:prSet presAssocID="{07000533-96FA-4340-A957-6DC969B1DB73}" presName="node" presStyleLbl="node1" presStyleIdx="1" presStyleCnt="5">
        <dgm:presLayoutVars>
          <dgm:bulletEnabled val="1"/>
        </dgm:presLayoutVars>
      </dgm:prSet>
      <dgm:spPr/>
    </dgm:pt>
    <dgm:pt modelId="{E91B1D67-3D1E-4633-AF5B-6EF1EA0C97A2}" type="pres">
      <dgm:prSet presAssocID="{56F27E20-30AD-4E71-AEA3-6F5E3A779648}" presName="Name9" presStyleLbl="parChTrans1D2" presStyleIdx="2" presStyleCnt="5"/>
      <dgm:spPr/>
    </dgm:pt>
    <dgm:pt modelId="{5026B7B1-3A03-4645-88BE-FFBA3F99F99E}" type="pres">
      <dgm:prSet presAssocID="{56F27E20-30AD-4E71-AEA3-6F5E3A779648}" presName="connTx" presStyleLbl="parChTrans1D2" presStyleIdx="2" presStyleCnt="5"/>
      <dgm:spPr/>
    </dgm:pt>
    <dgm:pt modelId="{D20D9F91-66FC-4E8B-93CC-2E3BBFA6EAF4}" type="pres">
      <dgm:prSet presAssocID="{B76C4233-FE15-464F-AE47-2AC44C90B7AA}" presName="node" presStyleLbl="node1" presStyleIdx="2" presStyleCnt="5">
        <dgm:presLayoutVars>
          <dgm:bulletEnabled val="1"/>
        </dgm:presLayoutVars>
      </dgm:prSet>
      <dgm:spPr/>
    </dgm:pt>
    <dgm:pt modelId="{C1479BF6-C5C3-4F4C-A2C8-253AD7D400C3}" type="pres">
      <dgm:prSet presAssocID="{E2637EFA-FB11-4AE9-9811-181A3A595706}" presName="Name9" presStyleLbl="parChTrans1D2" presStyleIdx="3" presStyleCnt="5"/>
      <dgm:spPr/>
    </dgm:pt>
    <dgm:pt modelId="{95683EE3-2599-4BCB-A5F3-2878D7CDE91C}" type="pres">
      <dgm:prSet presAssocID="{E2637EFA-FB11-4AE9-9811-181A3A595706}" presName="connTx" presStyleLbl="parChTrans1D2" presStyleIdx="3" presStyleCnt="5"/>
      <dgm:spPr/>
    </dgm:pt>
    <dgm:pt modelId="{A55ACC9A-5376-46C4-9643-DE7942A74576}" type="pres">
      <dgm:prSet presAssocID="{AC57A48B-2E78-48AF-9799-DB3BFEDB9BD9}" presName="node" presStyleLbl="node1" presStyleIdx="3" presStyleCnt="5">
        <dgm:presLayoutVars>
          <dgm:bulletEnabled val="1"/>
        </dgm:presLayoutVars>
      </dgm:prSet>
      <dgm:spPr/>
    </dgm:pt>
    <dgm:pt modelId="{C1FFA576-2B8A-40EC-A6B9-32CFD9029A77}" type="pres">
      <dgm:prSet presAssocID="{26E8330F-C65D-474D-B8FE-E6CFCD63A1CC}" presName="Name9" presStyleLbl="parChTrans1D2" presStyleIdx="4" presStyleCnt="5"/>
      <dgm:spPr/>
    </dgm:pt>
    <dgm:pt modelId="{9CC6F5EE-9352-495A-A215-877F24715900}" type="pres">
      <dgm:prSet presAssocID="{26E8330F-C65D-474D-B8FE-E6CFCD63A1CC}" presName="connTx" presStyleLbl="parChTrans1D2" presStyleIdx="4" presStyleCnt="5"/>
      <dgm:spPr/>
    </dgm:pt>
    <dgm:pt modelId="{D9DAA0DF-F798-46E2-AE20-3ACC1DB06EE6}" type="pres">
      <dgm:prSet presAssocID="{914BB32F-58B6-44F3-A1C3-AA3C3CF5A1D9}" presName="node" presStyleLbl="node1" presStyleIdx="4" presStyleCnt="5">
        <dgm:presLayoutVars>
          <dgm:bulletEnabled val="1"/>
        </dgm:presLayoutVars>
      </dgm:prSet>
      <dgm:spPr/>
    </dgm:pt>
  </dgm:ptLst>
  <dgm:cxnLst>
    <dgm:cxn modelId="{0C00580F-9CBE-D447-A8B6-4B937648973C}" type="presOf" srcId="{00A7F5A1-90EC-40DB-8709-0C3E84124FDB}" destId="{7CBC8AEC-9349-4DD1-988C-AA8F9BFC505A}" srcOrd="1" destOrd="0" presId="urn:microsoft.com/office/officeart/2005/8/layout/radial1"/>
    <dgm:cxn modelId="{BCD35611-BD97-2440-95B9-3E6E4E560424}" type="presOf" srcId="{0D43124E-E35F-4549-939E-83364687DA77}" destId="{DE0BFB71-F1E1-440A-9D3F-0D1C9D8BF938}" srcOrd="0" destOrd="0" presId="urn:microsoft.com/office/officeart/2005/8/layout/radial1"/>
    <dgm:cxn modelId="{B3AF1015-926F-A248-8BC3-A5DE259BCA7B}" type="presOf" srcId="{07000533-96FA-4340-A957-6DC969B1DB73}" destId="{85F2C461-EC9C-4B8C-A624-953164FEF4AB}" srcOrd="0" destOrd="0" presId="urn:microsoft.com/office/officeart/2005/8/layout/radial1"/>
    <dgm:cxn modelId="{66D15119-976E-DC43-AF35-3D4718AC3BB5}" type="presOf" srcId="{0D43124E-E35F-4549-939E-83364687DA77}" destId="{401B67C9-5878-458B-B67C-31CAFB434E6E}" srcOrd="1" destOrd="0" presId="urn:microsoft.com/office/officeart/2005/8/layout/radial1"/>
    <dgm:cxn modelId="{7B6B321D-394F-4525-987A-33BC7F2F67A5}" srcId="{4EBD174F-56F7-400E-A61A-604BA7BB606E}" destId="{B76C4233-FE15-464F-AE47-2AC44C90B7AA}" srcOrd="2" destOrd="0" parTransId="{56F27E20-30AD-4E71-AEA3-6F5E3A779648}" sibTransId="{3418762F-13A3-406A-B4F2-266F5C6B548D}"/>
    <dgm:cxn modelId="{9E26E525-B112-FB4E-A86E-F318F6AD86AC}" type="presOf" srcId="{AC57A48B-2E78-48AF-9799-DB3BFEDB9BD9}" destId="{A55ACC9A-5376-46C4-9643-DE7942A74576}" srcOrd="0" destOrd="0" presId="urn:microsoft.com/office/officeart/2005/8/layout/radial1"/>
    <dgm:cxn modelId="{C11F7426-618D-9448-B528-BC82ADDB9207}" type="presOf" srcId="{914BB32F-58B6-44F3-A1C3-AA3C3CF5A1D9}" destId="{D9DAA0DF-F798-46E2-AE20-3ACC1DB06EE6}" srcOrd="0" destOrd="0" presId="urn:microsoft.com/office/officeart/2005/8/layout/radial1"/>
    <dgm:cxn modelId="{E1C7AD64-6AE0-394A-9279-8AE99EA41791}" type="presOf" srcId="{ED1CD596-33E2-46C5-986A-38E07300DF0F}" destId="{832C160C-D453-418A-86A6-4C76AF13121E}" srcOrd="0" destOrd="0" presId="urn:microsoft.com/office/officeart/2005/8/layout/radial1"/>
    <dgm:cxn modelId="{5C6B9A6D-1839-B146-88EB-A5CB2965E580}" type="presOf" srcId="{E2637EFA-FB11-4AE9-9811-181A3A595706}" destId="{95683EE3-2599-4BCB-A5F3-2878D7CDE91C}" srcOrd="1" destOrd="0" presId="urn:microsoft.com/office/officeart/2005/8/layout/radial1"/>
    <dgm:cxn modelId="{F059E06D-95B8-E14D-80ED-63885A8DE981}" type="presOf" srcId="{E2637EFA-FB11-4AE9-9811-181A3A595706}" destId="{C1479BF6-C5C3-4F4C-A2C8-253AD7D400C3}" srcOrd="0" destOrd="0" presId="urn:microsoft.com/office/officeart/2005/8/layout/radial1"/>
    <dgm:cxn modelId="{D001864F-915D-434A-9125-3B3AABBE0BF1}" type="presOf" srcId="{4EBD174F-56F7-400E-A61A-604BA7BB606E}" destId="{B3035522-B09C-40BA-A5AA-D67F3DEF6F26}" srcOrd="0" destOrd="0" presId="urn:microsoft.com/office/officeart/2005/8/layout/radial1"/>
    <dgm:cxn modelId="{AEC65878-F834-45D4-8351-B47EB7C73382}" srcId="{4EBD174F-56F7-400E-A61A-604BA7BB606E}" destId="{648A45FD-9756-4073-80CC-ED07446BD599}" srcOrd="0" destOrd="0" parTransId="{0D43124E-E35F-4549-939E-83364687DA77}" sibTransId="{6172E797-0535-47E2-8D74-9D7EB7CD6822}"/>
    <dgm:cxn modelId="{45D0B978-C6DA-B343-AA94-4C9F4FC53DCC}" type="presOf" srcId="{B76C4233-FE15-464F-AE47-2AC44C90B7AA}" destId="{D20D9F91-66FC-4E8B-93CC-2E3BBFA6EAF4}" srcOrd="0" destOrd="0" presId="urn:microsoft.com/office/officeart/2005/8/layout/radial1"/>
    <dgm:cxn modelId="{1CD20D7F-4432-5E42-AB41-0D40C2D9DE4C}" type="presOf" srcId="{00A7F5A1-90EC-40DB-8709-0C3E84124FDB}" destId="{93DF68C0-BAE1-4DDF-87EA-BA9097E918C7}" srcOrd="0" destOrd="0" presId="urn:microsoft.com/office/officeart/2005/8/layout/radial1"/>
    <dgm:cxn modelId="{59C7D48E-241F-0B41-9373-1D6E8CD75787}" type="presOf" srcId="{648A45FD-9756-4073-80CC-ED07446BD599}" destId="{1E45B739-CA6A-45FD-B9D8-D5C523FB33CC}" srcOrd="0" destOrd="0" presId="urn:microsoft.com/office/officeart/2005/8/layout/radial1"/>
    <dgm:cxn modelId="{7914E99A-DD0A-44F1-9E8F-851DCDD247FB}" srcId="{4EBD174F-56F7-400E-A61A-604BA7BB606E}" destId="{914BB32F-58B6-44F3-A1C3-AA3C3CF5A1D9}" srcOrd="4" destOrd="0" parTransId="{26E8330F-C65D-474D-B8FE-E6CFCD63A1CC}" sibTransId="{51452043-61AB-4C78-8288-65B61BD86C17}"/>
    <dgm:cxn modelId="{EB49589C-415E-FA44-9745-BA543DA8E05B}" type="presOf" srcId="{56F27E20-30AD-4E71-AEA3-6F5E3A779648}" destId="{5026B7B1-3A03-4645-88BE-FFBA3F99F99E}" srcOrd="1" destOrd="0" presId="urn:microsoft.com/office/officeart/2005/8/layout/radial1"/>
    <dgm:cxn modelId="{B936BCA3-A9CC-4C71-9E20-02C9EAC8215F}" srcId="{ED1CD596-33E2-46C5-986A-38E07300DF0F}" destId="{4EBD174F-56F7-400E-A61A-604BA7BB606E}" srcOrd="0" destOrd="0" parTransId="{723DA391-5A5C-4572-86EB-36A79EC73E50}" sibTransId="{3E9652B7-7615-4944-80F1-2931B73A97DC}"/>
    <dgm:cxn modelId="{18BD83BA-CD6F-4864-A5BC-158F1EFBBF72}" srcId="{4EBD174F-56F7-400E-A61A-604BA7BB606E}" destId="{07000533-96FA-4340-A957-6DC969B1DB73}" srcOrd="1" destOrd="0" parTransId="{00A7F5A1-90EC-40DB-8709-0C3E84124FDB}" sibTransId="{B1EF23E3-4403-4D3C-81D9-4D2F242B3D9B}"/>
    <dgm:cxn modelId="{1C1C1DCE-3528-2946-843B-3F162FB2EF2E}" type="presOf" srcId="{26E8330F-C65D-474D-B8FE-E6CFCD63A1CC}" destId="{C1FFA576-2B8A-40EC-A6B9-32CFD9029A77}" srcOrd="0" destOrd="0" presId="urn:microsoft.com/office/officeart/2005/8/layout/radial1"/>
    <dgm:cxn modelId="{101894DC-5B9B-42A0-A1EC-8360E12DEE16}" srcId="{4EBD174F-56F7-400E-A61A-604BA7BB606E}" destId="{AC57A48B-2E78-48AF-9799-DB3BFEDB9BD9}" srcOrd="3" destOrd="0" parTransId="{E2637EFA-FB11-4AE9-9811-181A3A595706}" sibTransId="{6BBE2F9D-544B-484F-A56B-E0B61D1E01BF}"/>
    <dgm:cxn modelId="{130949E4-E4FF-F646-AC48-5F9BA383D5DF}" type="presOf" srcId="{26E8330F-C65D-474D-B8FE-E6CFCD63A1CC}" destId="{9CC6F5EE-9352-495A-A215-877F24715900}" srcOrd="1" destOrd="0" presId="urn:microsoft.com/office/officeart/2005/8/layout/radial1"/>
    <dgm:cxn modelId="{32A5A2F5-ECA4-204B-A443-36F536EAF2EB}" type="presOf" srcId="{56F27E20-30AD-4E71-AEA3-6F5E3A779648}" destId="{E91B1D67-3D1E-4633-AF5B-6EF1EA0C97A2}" srcOrd="0" destOrd="0" presId="urn:microsoft.com/office/officeart/2005/8/layout/radial1"/>
    <dgm:cxn modelId="{CCD248F5-014E-D645-8148-3F1FB7655D55}" type="presParOf" srcId="{832C160C-D453-418A-86A6-4C76AF13121E}" destId="{B3035522-B09C-40BA-A5AA-D67F3DEF6F26}" srcOrd="0" destOrd="0" presId="urn:microsoft.com/office/officeart/2005/8/layout/radial1"/>
    <dgm:cxn modelId="{F9AFF4A6-77D0-8240-A7FE-F1A703EC0B79}" type="presParOf" srcId="{832C160C-D453-418A-86A6-4C76AF13121E}" destId="{DE0BFB71-F1E1-440A-9D3F-0D1C9D8BF938}" srcOrd="1" destOrd="0" presId="urn:microsoft.com/office/officeart/2005/8/layout/radial1"/>
    <dgm:cxn modelId="{49065210-BD8D-9A4F-A864-FE70DF6356FE}" type="presParOf" srcId="{DE0BFB71-F1E1-440A-9D3F-0D1C9D8BF938}" destId="{401B67C9-5878-458B-B67C-31CAFB434E6E}" srcOrd="0" destOrd="0" presId="urn:microsoft.com/office/officeart/2005/8/layout/radial1"/>
    <dgm:cxn modelId="{3B1DA36A-588B-9649-83F0-83E47D5DA0A5}" type="presParOf" srcId="{832C160C-D453-418A-86A6-4C76AF13121E}" destId="{1E45B739-CA6A-45FD-B9D8-D5C523FB33CC}" srcOrd="2" destOrd="0" presId="urn:microsoft.com/office/officeart/2005/8/layout/radial1"/>
    <dgm:cxn modelId="{F2FDA000-45FC-E948-8D3E-BDEAFFA9C340}" type="presParOf" srcId="{832C160C-D453-418A-86A6-4C76AF13121E}" destId="{93DF68C0-BAE1-4DDF-87EA-BA9097E918C7}" srcOrd="3" destOrd="0" presId="urn:microsoft.com/office/officeart/2005/8/layout/radial1"/>
    <dgm:cxn modelId="{70C4F0A3-B9CC-6140-8AE8-DE7AA7C189F5}" type="presParOf" srcId="{93DF68C0-BAE1-4DDF-87EA-BA9097E918C7}" destId="{7CBC8AEC-9349-4DD1-988C-AA8F9BFC505A}" srcOrd="0" destOrd="0" presId="urn:microsoft.com/office/officeart/2005/8/layout/radial1"/>
    <dgm:cxn modelId="{F8E6B4CE-02C8-A440-9C15-2C3C573551E6}" type="presParOf" srcId="{832C160C-D453-418A-86A6-4C76AF13121E}" destId="{85F2C461-EC9C-4B8C-A624-953164FEF4AB}" srcOrd="4" destOrd="0" presId="urn:microsoft.com/office/officeart/2005/8/layout/radial1"/>
    <dgm:cxn modelId="{C593A76B-DB68-454A-B7E7-5C6ED72E2895}" type="presParOf" srcId="{832C160C-D453-418A-86A6-4C76AF13121E}" destId="{E91B1D67-3D1E-4633-AF5B-6EF1EA0C97A2}" srcOrd="5" destOrd="0" presId="urn:microsoft.com/office/officeart/2005/8/layout/radial1"/>
    <dgm:cxn modelId="{A61F876E-704C-D94B-AD3D-5554510BC2EF}" type="presParOf" srcId="{E91B1D67-3D1E-4633-AF5B-6EF1EA0C97A2}" destId="{5026B7B1-3A03-4645-88BE-FFBA3F99F99E}" srcOrd="0" destOrd="0" presId="urn:microsoft.com/office/officeart/2005/8/layout/radial1"/>
    <dgm:cxn modelId="{4378531C-6C41-B743-8DF3-828B01F89BBF}" type="presParOf" srcId="{832C160C-D453-418A-86A6-4C76AF13121E}" destId="{D20D9F91-66FC-4E8B-93CC-2E3BBFA6EAF4}" srcOrd="6" destOrd="0" presId="urn:microsoft.com/office/officeart/2005/8/layout/radial1"/>
    <dgm:cxn modelId="{759E00CE-0415-CB4C-817F-28D54B07B5A1}" type="presParOf" srcId="{832C160C-D453-418A-86A6-4C76AF13121E}" destId="{C1479BF6-C5C3-4F4C-A2C8-253AD7D400C3}" srcOrd="7" destOrd="0" presId="urn:microsoft.com/office/officeart/2005/8/layout/radial1"/>
    <dgm:cxn modelId="{D9FAF0EB-75E2-904F-B793-5EA23B8E3C15}" type="presParOf" srcId="{C1479BF6-C5C3-4F4C-A2C8-253AD7D400C3}" destId="{95683EE3-2599-4BCB-A5F3-2878D7CDE91C}" srcOrd="0" destOrd="0" presId="urn:microsoft.com/office/officeart/2005/8/layout/radial1"/>
    <dgm:cxn modelId="{BEBE89D6-4D9F-F84E-918D-B8C648FD5D17}" type="presParOf" srcId="{832C160C-D453-418A-86A6-4C76AF13121E}" destId="{A55ACC9A-5376-46C4-9643-DE7942A74576}" srcOrd="8" destOrd="0" presId="urn:microsoft.com/office/officeart/2005/8/layout/radial1"/>
    <dgm:cxn modelId="{5ED1B83D-077C-9B4C-AAA9-5FAA7ACD6852}" type="presParOf" srcId="{832C160C-D453-418A-86A6-4C76AF13121E}" destId="{C1FFA576-2B8A-40EC-A6B9-32CFD9029A77}" srcOrd="9" destOrd="0" presId="urn:microsoft.com/office/officeart/2005/8/layout/radial1"/>
    <dgm:cxn modelId="{F64C8E7D-C1F2-5343-A18A-EA8B560B25D8}" type="presParOf" srcId="{C1FFA576-2B8A-40EC-A6B9-32CFD9029A77}" destId="{9CC6F5EE-9352-495A-A215-877F24715900}" srcOrd="0" destOrd="0" presId="urn:microsoft.com/office/officeart/2005/8/layout/radial1"/>
    <dgm:cxn modelId="{6A0BC1BA-74AA-774D-BFD8-05BDD5358296}" type="presParOf" srcId="{832C160C-D453-418A-86A6-4C76AF13121E}" destId="{D9DAA0DF-F798-46E2-AE20-3ACC1DB06EE6}" srcOrd="10" destOrd="0" presId="urn:microsoft.com/office/officeart/2005/8/layout/radial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C059E28-C863-4E67-AAC3-76251449B4B0}" type="doc">
      <dgm:prSet loTypeId="urn:microsoft.com/office/officeart/2005/8/layout/hProcess9" loCatId="process" qsTypeId="urn:microsoft.com/office/officeart/2005/8/quickstyle/simple1" qsCatId="simple" csTypeId="urn:microsoft.com/office/officeart/2005/8/colors/accent1_2" csCatId="accent1" phldr="1"/>
      <dgm:spPr/>
    </dgm:pt>
    <dgm:pt modelId="{C5AF8B5E-F2F9-4835-B852-C9742CBE45A0}">
      <dgm:prSet phldrT="[Text]"/>
      <dgm:spPr/>
      <dgm:t>
        <a:bodyPr/>
        <a:lstStyle/>
        <a:p>
          <a:r>
            <a:rPr lang="en-GB"/>
            <a:t>Regulatory authority outlines how the policy will be incorporated in local regulations or laws in a consultation paper</a:t>
          </a:r>
        </a:p>
      </dgm:t>
    </dgm:pt>
    <dgm:pt modelId="{90999DBF-91D1-442E-A91E-8B424F344DA0}" type="parTrans" cxnId="{B6706E84-78A0-4CDD-8729-4CD76BD93563}">
      <dgm:prSet/>
      <dgm:spPr/>
      <dgm:t>
        <a:bodyPr/>
        <a:lstStyle/>
        <a:p>
          <a:endParaRPr lang="en-GB"/>
        </a:p>
      </dgm:t>
    </dgm:pt>
    <dgm:pt modelId="{7759A6F8-84BA-411F-86D5-FF3DE9F5ED89}" type="sibTrans" cxnId="{B6706E84-78A0-4CDD-8729-4CD76BD93563}">
      <dgm:prSet/>
      <dgm:spPr/>
      <dgm:t>
        <a:bodyPr/>
        <a:lstStyle/>
        <a:p>
          <a:endParaRPr lang="en-GB"/>
        </a:p>
      </dgm:t>
    </dgm:pt>
    <dgm:pt modelId="{C0D10D1C-D060-4ABF-A88A-2F1B6F432B86}">
      <dgm:prSet phldrT="[Text]"/>
      <dgm:spPr/>
      <dgm:t>
        <a:bodyPr/>
        <a:lstStyle/>
        <a:p>
          <a:r>
            <a:rPr lang="en-GB"/>
            <a:t>There is a consultation period during which market participants can provide comments</a:t>
          </a:r>
        </a:p>
      </dgm:t>
    </dgm:pt>
    <dgm:pt modelId="{6E73C9EF-9091-41E9-A845-72975880F535}" type="parTrans" cxnId="{190D0EEB-6561-4565-A1A3-51785DD60D39}">
      <dgm:prSet/>
      <dgm:spPr/>
      <dgm:t>
        <a:bodyPr/>
        <a:lstStyle/>
        <a:p>
          <a:endParaRPr lang="en-GB"/>
        </a:p>
      </dgm:t>
    </dgm:pt>
    <dgm:pt modelId="{68D32EEE-158A-4B2C-B9C0-C680BB9D7C88}" type="sibTrans" cxnId="{190D0EEB-6561-4565-A1A3-51785DD60D39}">
      <dgm:prSet/>
      <dgm:spPr/>
      <dgm:t>
        <a:bodyPr/>
        <a:lstStyle/>
        <a:p>
          <a:endParaRPr lang="en-GB"/>
        </a:p>
      </dgm:t>
    </dgm:pt>
    <dgm:pt modelId="{826EC861-AB7F-496E-BA21-0C179A0D632E}">
      <dgm:prSet phldrT="[Text]"/>
      <dgm:spPr/>
      <dgm:t>
        <a:bodyPr/>
        <a:lstStyle/>
        <a:p>
          <a:r>
            <a:rPr lang="en-GB"/>
            <a:t>A final paper is issued with the new regulations, including responses to any issues raised during the consultation</a:t>
          </a:r>
        </a:p>
      </dgm:t>
    </dgm:pt>
    <dgm:pt modelId="{5261F4E7-09C8-4797-9530-9F32C00A8A98}" type="parTrans" cxnId="{038D19F2-B129-47E7-9EEA-F115684816D9}">
      <dgm:prSet/>
      <dgm:spPr/>
      <dgm:t>
        <a:bodyPr/>
        <a:lstStyle/>
        <a:p>
          <a:endParaRPr lang="en-GB"/>
        </a:p>
      </dgm:t>
    </dgm:pt>
    <dgm:pt modelId="{BB6CD65A-07EC-457E-9866-9294AED60C6C}" type="sibTrans" cxnId="{038D19F2-B129-47E7-9EEA-F115684816D9}">
      <dgm:prSet/>
      <dgm:spPr/>
      <dgm:t>
        <a:bodyPr/>
        <a:lstStyle/>
        <a:p>
          <a:endParaRPr lang="en-GB"/>
        </a:p>
      </dgm:t>
    </dgm:pt>
    <dgm:pt modelId="{A24C3048-0199-4A93-A07F-F027EC388DF4}">
      <dgm:prSet phldrT="[Text]"/>
      <dgm:spPr/>
      <dgm:t>
        <a:bodyPr/>
        <a:lstStyle/>
        <a:p>
          <a:r>
            <a:rPr lang="en-GB"/>
            <a:t>Any associated laws, Acts, rules and regulations are updated as appropriate</a:t>
          </a:r>
        </a:p>
      </dgm:t>
    </dgm:pt>
    <dgm:pt modelId="{8250B160-5716-4685-BD0B-79311B42B388}" type="parTrans" cxnId="{2B0BB2C4-23CE-4241-9E74-6B15DC6AC4BA}">
      <dgm:prSet/>
      <dgm:spPr/>
      <dgm:t>
        <a:bodyPr/>
        <a:lstStyle/>
        <a:p>
          <a:endParaRPr lang="en-GB"/>
        </a:p>
      </dgm:t>
    </dgm:pt>
    <dgm:pt modelId="{522B5436-6D71-49CC-A484-C1A33AC83BA3}" type="sibTrans" cxnId="{2B0BB2C4-23CE-4241-9E74-6B15DC6AC4BA}">
      <dgm:prSet/>
      <dgm:spPr/>
      <dgm:t>
        <a:bodyPr/>
        <a:lstStyle/>
        <a:p>
          <a:endParaRPr lang="en-GB"/>
        </a:p>
      </dgm:t>
    </dgm:pt>
    <dgm:pt modelId="{AB7CD81F-142B-4B5A-8250-F32FCC416D26}" type="pres">
      <dgm:prSet presAssocID="{5C059E28-C863-4E67-AAC3-76251449B4B0}" presName="CompostProcess" presStyleCnt="0">
        <dgm:presLayoutVars>
          <dgm:dir/>
          <dgm:resizeHandles val="exact"/>
        </dgm:presLayoutVars>
      </dgm:prSet>
      <dgm:spPr/>
    </dgm:pt>
    <dgm:pt modelId="{D8E6EA18-F8AF-4A22-B4B5-0651006FAFFE}" type="pres">
      <dgm:prSet presAssocID="{5C059E28-C863-4E67-AAC3-76251449B4B0}" presName="arrow" presStyleLbl="bgShp" presStyleIdx="0" presStyleCnt="1"/>
      <dgm:spPr/>
    </dgm:pt>
    <dgm:pt modelId="{31CB71F8-8BF8-49A7-9961-9DC6C4D052C1}" type="pres">
      <dgm:prSet presAssocID="{5C059E28-C863-4E67-AAC3-76251449B4B0}" presName="linearProcess" presStyleCnt="0"/>
      <dgm:spPr/>
    </dgm:pt>
    <dgm:pt modelId="{6427CDC2-B145-49E8-9043-D7604AC1C7B4}" type="pres">
      <dgm:prSet presAssocID="{C5AF8B5E-F2F9-4835-B852-C9742CBE45A0}" presName="textNode" presStyleLbl="node1" presStyleIdx="0" presStyleCnt="4">
        <dgm:presLayoutVars>
          <dgm:bulletEnabled val="1"/>
        </dgm:presLayoutVars>
      </dgm:prSet>
      <dgm:spPr/>
    </dgm:pt>
    <dgm:pt modelId="{3930B3A6-5DD6-48D4-9028-4F77D8C3D42D}" type="pres">
      <dgm:prSet presAssocID="{7759A6F8-84BA-411F-86D5-FF3DE9F5ED89}" presName="sibTrans" presStyleCnt="0"/>
      <dgm:spPr/>
    </dgm:pt>
    <dgm:pt modelId="{4B204E7F-2496-42CD-BEED-47EA4774C9DE}" type="pres">
      <dgm:prSet presAssocID="{C0D10D1C-D060-4ABF-A88A-2F1B6F432B86}" presName="textNode" presStyleLbl="node1" presStyleIdx="1" presStyleCnt="4">
        <dgm:presLayoutVars>
          <dgm:bulletEnabled val="1"/>
        </dgm:presLayoutVars>
      </dgm:prSet>
      <dgm:spPr/>
    </dgm:pt>
    <dgm:pt modelId="{4A714CA8-1F62-4D21-BCF6-829251A1266E}" type="pres">
      <dgm:prSet presAssocID="{68D32EEE-158A-4B2C-B9C0-C680BB9D7C88}" presName="sibTrans" presStyleCnt="0"/>
      <dgm:spPr/>
    </dgm:pt>
    <dgm:pt modelId="{460F7362-8F6B-4486-88D6-F35B138EAA73}" type="pres">
      <dgm:prSet presAssocID="{826EC861-AB7F-496E-BA21-0C179A0D632E}" presName="textNode" presStyleLbl="node1" presStyleIdx="2" presStyleCnt="4">
        <dgm:presLayoutVars>
          <dgm:bulletEnabled val="1"/>
        </dgm:presLayoutVars>
      </dgm:prSet>
      <dgm:spPr/>
    </dgm:pt>
    <dgm:pt modelId="{69912101-E22D-4986-8047-D06982CCDE35}" type="pres">
      <dgm:prSet presAssocID="{BB6CD65A-07EC-457E-9866-9294AED60C6C}" presName="sibTrans" presStyleCnt="0"/>
      <dgm:spPr/>
    </dgm:pt>
    <dgm:pt modelId="{7ACD49AD-5D94-4F00-94EC-20D9712552B9}" type="pres">
      <dgm:prSet presAssocID="{A24C3048-0199-4A93-A07F-F027EC388DF4}" presName="textNode" presStyleLbl="node1" presStyleIdx="3" presStyleCnt="4">
        <dgm:presLayoutVars>
          <dgm:bulletEnabled val="1"/>
        </dgm:presLayoutVars>
      </dgm:prSet>
      <dgm:spPr/>
    </dgm:pt>
  </dgm:ptLst>
  <dgm:cxnLst>
    <dgm:cxn modelId="{B6706E84-78A0-4CDD-8729-4CD76BD93563}" srcId="{5C059E28-C863-4E67-AAC3-76251449B4B0}" destId="{C5AF8B5E-F2F9-4835-B852-C9742CBE45A0}" srcOrd="0" destOrd="0" parTransId="{90999DBF-91D1-442E-A91E-8B424F344DA0}" sibTransId="{7759A6F8-84BA-411F-86D5-FF3DE9F5ED89}"/>
    <dgm:cxn modelId="{BA82D2B0-245C-F74A-9203-77E704B8532E}" type="presOf" srcId="{C0D10D1C-D060-4ABF-A88A-2F1B6F432B86}" destId="{4B204E7F-2496-42CD-BEED-47EA4774C9DE}" srcOrd="0" destOrd="0" presId="urn:microsoft.com/office/officeart/2005/8/layout/hProcess9"/>
    <dgm:cxn modelId="{2B0BB2C4-23CE-4241-9E74-6B15DC6AC4BA}" srcId="{5C059E28-C863-4E67-AAC3-76251449B4B0}" destId="{A24C3048-0199-4A93-A07F-F027EC388DF4}" srcOrd="3" destOrd="0" parTransId="{8250B160-5716-4685-BD0B-79311B42B388}" sibTransId="{522B5436-6D71-49CC-A484-C1A33AC83BA3}"/>
    <dgm:cxn modelId="{C33A6ADE-F200-C44D-A0E2-77BC9253B8E3}" type="presOf" srcId="{5C059E28-C863-4E67-AAC3-76251449B4B0}" destId="{AB7CD81F-142B-4B5A-8250-F32FCC416D26}" srcOrd="0" destOrd="0" presId="urn:microsoft.com/office/officeart/2005/8/layout/hProcess9"/>
    <dgm:cxn modelId="{190D0EEB-6561-4565-A1A3-51785DD60D39}" srcId="{5C059E28-C863-4E67-AAC3-76251449B4B0}" destId="{C0D10D1C-D060-4ABF-A88A-2F1B6F432B86}" srcOrd="1" destOrd="0" parTransId="{6E73C9EF-9091-41E9-A845-72975880F535}" sibTransId="{68D32EEE-158A-4B2C-B9C0-C680BB9D7C88}"/>
    <dgm:cxn modelId="{1AC4E6EB-48C3-AF4B-8E44-33A86B9BE4BE}" type="presOf" srcId="{A24C3048-0199-4A93-A07F-F027EC388DF4}" destId="{7ACD49AD-5D94-4F00-94EC-20D9712552B9}" srcOrd="0" destOrd="0" presId="urn:microsoft.com/office/officeart/2005/8/layout/hProcess9"/>
    <dgm:cxn modelId="{05BC8FF1-5AB7-734D-A374-B71202DEBA27}" type="presOf" srcId="{C5AF8B5E-F2F9-4835-B852-C9742CBE45A0}" destId="{6427CDC2-B145-49E8-9043-D7604AC1C7B4}" srcOrd="0" destOrd="0" presId="urn:microsoft.com/office/officeart/2005/8/layout/hProcess9"/>
    <dgm:cxn modelId="{038D19F2-B129-47E7-9EEA-F115684816D9}" srcId="{5C059E28-C863-4E67-AAC3-76251449B4B0}" destId="{826EC861-AB7F-496E-BA21-0C179A0D632E}" srcOrd="2" destOrd="0" parTransId="{5261F4E7-09C8-4797-9530-9F32C00A8A98}" sibTransId="{BB6CD65A-07EC-457E-9866-9294AED60C6C}"/>
    <dgm:cxn modelId="{6D7F3CFA-71E8-F346-B637-9C1D5055B0A9}" type="presOf" srcId="{826EC861-AB7F-496E-BA21-0C179A0D632E}" destId="{460F7362-8F6B-4486-88D6-F35B138EAA73}" srcOrd="0" destOrd="0" presId="urn:microsoft.com/office/officeart/2005/8/layout/hProcess9"/>
    <dgm:cxn modelId="{F403967E-9C7E-8542-A8FB-6410FB56268E}" type="presParOf" srcId="{AB7CD81F-142B-4B5A-8250-F32FCC416D26}" destId="{D8E6EA18-F8AF-4A22-B4B5-0651006FAFFE}" srcOrd="0" destOrd="0" presId="urn:microsoft.com/office/officeart/2005/8/layout/hProcess9"/>
    <dgm:cxn modelId="{34AF248C-9670-9647-AE28-AC68A2DAFA42}" type="presParOf" srcId="{AB7CD81F-142B-4B5A-8250-F32FCC416D26}" destId="{31CB71F8-8BF8-49A7-9961-9DC6C4D052C1}" srcOrd="1" destOrd="0" presId="urn:microsoft.com/office/officeart/2005/8/layout/hProcess9"/>
    <dgm:cxn modelId="{E2970A60-4C5E-094F-BBE7-E0E0787B015A}" type="presParOf" srcId="{31CB71F8-8BF8-49A7-9961-9DC6C4D052C1}" destId="{6427CDC2-B145-49E8-9043-D7604AC1C7B4}" srcOrd="0" destOrd="0" presId="urn:microsoft.com/office/officeart/2005/8/layout/hProcess9"/>
    <dgm:cxn modelId="{F32BD4DB-AC14-D945-8682-3C72465578E3}" type="presParOf" srcId="{31CB71F8-8BF8-49A7-9961-9DC6C4D052C1}" destId="{3930B3A6-5DD6-48D4-9028-4F77D8C3D42D}" srcOrd="1" destOrd="0" presId="urn:microsoft.com/office/officeart/2005/8/layout/hProcess9"/>
    <dgm:cxn modelId="{3625EA8B-15F2-0D4C-954E-C5D989571CF2}" type="presParOf" srcId="{31CB71F8-8BF8-49A7-9961-9DC6C4D052C1}" destId="{4B204E7F-2496-42CD-BEED-47EA4774C9DE}" srcOrd="2" destOrd="0" presId="urn:microsoft.com/office/officeart/2005/8/layout/hProcess9"/>
    <dgm:cxn modelId="{06C89F54-21FE-EB44-8B61-9B381F93C64C}" type="presParOf" srcId="{31CB71F8-8BF8-49A7-9961-9DC6C4D052C1}" destId="{4A714CA8-1F62-4D21-BCF6-829251A1266E}" srcOrd="3" destOrd="0" presId="urn:microsoft.com/office/officeart/2005/8/layout/hProcess9"/>
    <dgm:cxn modelId="{824E87BB-6BD4-4E4B-8101-0EBCF877571B}" type="presParOf" srcId="{31CB71F8-8BF8-49A7-9961-9DC6C4D052C1}" destId="{460F7362-8F6B-4486-88D6-F35B138EAA73}" srcOrd="4" destOrd="0" presId="urn:microsoft.com/office/officeart/2005/8/layout/hProcess9"/>
    <dgm:cxn modelId="{AF0A5984-81E5-EB4A-9F5E-95D610C01989}" type="presParOf" srcId="{31CB71F8-8BF8-49A7-9961-9DC6C4D052C1}" destId="{69912101-E22D-4986-8047-D06982CCDE35}" srcOrd="5" destOrd="0" presId="urn:microsoft.com/office/officeart/2005/8/layout/hProcess9"/>
    <dgm:cxn modelId="{0D3ECF0F-1BFB-874E-88D2-41540B9671E8}" type="presParOf" srcId="{31CB71F8-8BF8-49A7-9961-9DC6C4D052C1}" destId="{7ACD49AD-5D94-4F00-94EC-20D9712552B9}" srcOrd="6" destOrd="0" presId="urn:microsoft.com/office/officeart/2005/8/layout/hProcess9"/>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035522-B09C-40BA-A5AA-D67F3DEF6F26}">
      <dsp:nvSpPr>
        <dsp:cNvPr id="0" name=""/>
        <dsp:cNvSpPr/>
      </dsp:nvSpPr>
      <dsp:spPr>
        <a:xfrm>
          <a:off x="2266354" y="1241783"/>
          <a:ext cx="953690" cy="9536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Prudential regulations</a:t>
          </a:r>
        </a:p>
      </dsp:txBody>
      <dsp:txXfrm>
        <a:off x="2406019" y="1381448"/>
        <a:ext cx="674360" cy="674360"/>
      </dsp:txXfrm>
    </dsp:sp>
    <dsp:sp modelId="{DE0BFB71-F1E1-440A-9D3F-0D1C9D8BF938}">
      <dsp:nvSpPr>
        <dsp:cNvPr id="0" name=""/>
        <dsp:cNvSpPr/>
      </dsp:nvSpPr>
      <dsp:spPr>
        <a:xfrm rot="16200000">
          <a:off x="2599945" y="1082884"/>
          <a:ext cx="286508" cy="31289"/>
        </a:xfrm>
        <a:custGeom>
          <a:avLst/>
          <a:gdLst/>
          <a:ahLst/>
          <a:cxnLst/>
          <a:rect l="0" t="0" r="0" b="0"/>
          <a:pathLst>
            <a:path>
              <a:moveTo>
                <a:pt x="0" y="15644"/>
              </a:moveTo>
              <a:lnTo>
                <a:pt x="286508" y="156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36037" y="1091365"/>
        <a:ext cx="14325" cy="14325"/>
      </dsp:txXfrm>
    </dsp:sp>
    <dsp:sp modelId="{1E45B739-CA6A-45FD-B9D8-D5C523FB33CC}">
      <dsp:nvSpPr>
        <dsp:cNvPr id="0" name=""/>
        <dsp:cNvSpPr/>
      </dsp:nvSpPr>
      <dsp:spPr>
        <a:xfrm>
          <a:off x="2266354" y="1583"/>
          <a:ext cx="953690" cy="9536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Minimal capital requirements</a:t>
          </a:r>
        </a:p>
      </dsp:txBody>
      <dsp:txXfrm>
        <a:off x="2406019" y="141248"/>
        <a:ext cx="674360" cy="674360"/>
      </dsp:txXfrm>
    </dsp:sp>
    <dsp:sp modelId="{93DF68C0-BAE1-4DDF-87EA-BA9097E918C7}">
      <dsp:nvSpPr>
        <dsp:cNvPr id="0" name=""/>
        <dsp:cNvSpPr/>
      </dsp:nvSpPr>
      <dsp:spPr>
        <a:xfrm rot="20520000">
          <a:off x="3189695" y="1511362"/>
          <a:ext cx="286508" cy="31289"/>
        </a:xfrm>
        <a:custGeom>
          <a:avLst/>
          <a:gdLst/>
          <a:ahLst/>
          <a:cxnLst/>
          <a:rect l="0" t="0" r="0" b="0"/>
          <a:pathLst>
            <a:path>
              <a:moveTo>
                <a:pt x="0" y="15644"/>
              </a:moveTo>
              <a:lnTo>
                <a:pt x="286508" y="156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25787" y="1519844"/>
        <a:ext cx="14325" cy="14325"/>
      </dsp:txXfrm>
    </dsp:sp>
    <dsp:sp modelId="{85F2C461-EC9C-4B8C-A624-953164FEF4AB}">
      <dsp:nvSpPr>
        <dsp:cNvPr id="0" name=""/>
        <dsp:cNvSpPr/>
      </dsp:nvSpPr>
      <dsp:spPr>
        <a:xfrm>
          <a:off x="3445854" y="858540"/>
          <a:ext cx="953690" cy="9536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Liquidity standards</a:t>
          </a:r>
        </a:p>
      </dsp:txBody>
      <dsp:txXfrm>
        <a:off x="3585519" y="998205"/>
        <a:ext cx="674360" cy="674360"/>
      </dsp:txXfrm>
    </dsp:sp>
    <dsp:sp modelId="{E91B1D67-3D1E-4633-AF5B-6EF1EA0C97A2}">
      <dsp:nvSpPr>
        <dsp:cNvPr id="0" name=""/>
        <dsp:cNvSpPr/>
      </dsp:nvSpPr>
      <dsp:spPr>
        <a:xfrm rot="3240000">
          <a:off x="2964431" y="2204655"/>
          <a:ext cx="286508" cy="31289"/>
        </a:xfrm>
        <a:custGeom>
          <a:avLst/>
          <a:gdLst/>
          <a:ahLst/>
          <a:cxnLst/>
          <a:rect l="0" t="0" r="0" b="0"/>
          <a:pathLst>
            <a:path>
              <a:moveTo>
                <a:pt x="0" y="15644"/>
              </a:moveTo>
              <a:lnTo>
                <a:pt x="286508" y="156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100522" y="2213137"/>
        <a:ext cx="14325" cy="14325"/>
      </dsp:txXfrm>
    </dsp:sp>
    <dsp:sp modelId="{D20D9F91-66FC-4E8B-93CC-2E3BBFA6EAF4}">
      <dsp:nvSpPr>
        <dsp:cNvPr id="0" name=""/>
        <dsp:cNvSpPr/>
      </dsp:nvSpPr>
      <dsp:spPr>
        <a:xfrm>
          <a:off x="2995325" y="2245125"/>
          <a:ext cx="953690" cy="9536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Loan portfolio diversification</a:t>
          </a:r>
        </a:p>
      </dsp:txBody>
      <dsp:txXfrm>
        <a:off x="3134990" y="2384790"/>
        <a:ext cx="674360" cy="674360"/>
      </dsp:txXfrm>
    </dsp:sp>
    <dsp:sp modelId="{C1479BF6-C5C3-4F4C-A2C8-253AD7D400C3}">
      <dsp:nvSpPr>
        <dsp:cNvPr id="0" name=""/>
        <dsp:cNvSpPr/>
      </dsp:nvSpPr>
      <dsp:spPr>
        <a:xfrm rot="7560000">
          <a:off x="2235459" y="2204655"/>
          <a:ext cx="286508" cy="31289"/>
        </a:xfrm>
        <a:custGeom>
          <a:avLst/>
          <a:gdLst/>
          <a:ahLst/>
          <a:cxnLst/>
          <a:rect l="0" t="0" r="0" b="0"/>
          <a:pathLst>
            <a:path>
              <a:moveTo>
                <a:pt x="0" y="15644"/>
              </a:moveTo>
              <a:lnTo>
                <a:pt x="286508" y="156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371551" y="2213137"/>
        <a:ext cx="14325" cy="14325"/>
      </dsp:txXfrm>
    </dsp:sp>
    <dsp:sp modelId="{A55ACC9A-5376-46C4-9643-DE7942A74576}">
      <dsp:nvSpPr>
        <dsp:cNvPr id="0" name=""/>
        <dsp:cNvSpPr/>
      </dsp:nvSpPr>
      <dsp:spPr>
        <a:xfrm>
          <a:off x="1537383" y="2245125"/>
          <a:ext cx="953690" cy="9536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Limitations on a bank’s lines of business</a:t>
          </a:r>
        </a:p>
      </dsp:txBody>
      <dsp:txXfrm>
        <a:off x="1677048" y="2384790"/>
        <a:ext cx="674360" cy="674360"/>
      </dsp:txXfrm>
    </dsp:sp>
    <dsp:sp modelId="{C1FFA576-2B8A-40EC-A6B9-32CFD9029A77}">
      <dsp:nvSpPr>
        <dsp:cNvPr id="0" name=""/>
        <dsp:cNvSpPr/>
      </dsp:nvSpPr>
      <dsp:spPr>
        <a:xfrm rot="11880000">
          <a:off x="2010195" y="1511362"/>
          <a:ext cx="286508" cy="31289"/>
        </a:xfrm>
        <a:custGeom>
          <a:avLst/>
          <a:gdLst/>
          <a:ahLst/>
          <a:cxnLst/>
          <a:rect l="0" t="0" r="0" b="0"/>
          <a:pathLst>
            <a:path>
              <a:moveTo>
                <a:pt x="0" y="15644"/>
              </a:moveTo>
              <a:lnTo>
                <a:pt x="286508" y="156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146287" y="1519844"/>
        <a:ext cx="14325" cy="14325"/>
      </dsp:txXfrm>
    </dsp:sp>
    <dsp:sp modelId="{D9DAA0DF-F798-46E2-AE20-3ACC1DB06EE6}">
      <dsp:nvSpPr>
        <dsp:cNvPr id="0" name=""/>
        <dsp:cNvSpPr/>
      </dsp:nvSpPr>
      <dsp:spPr>
        <a:xfrm>
          <a:off x="1086854" y="858540"/>
          <a:ext cx="953690" cy="9536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Limitations on a bank’s portfolio investments</a:t>
          </a:r>
        </a:p>
      </dsp:txBody>
      <dsp:txXfrm>
        <a:off x="1226519" y="998205"/>
        <a:ext cx="674360" cy="6743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E6EA18-F8AF-4A22-B4B5-0651006FAFFE}">
      <dsp:nvSpPr>
        <dsp:cNvPr id="0" name=""/>
        <dsp:cNvSpPr/>
      </dsp:nvSpPr>
      <dsp:spPr>
        <a:xfrm>
          <a:off x="411479" y="0"/>
          <a:ext cx="4663440" cy="32004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427CDC2-B145-49E8-9043-D7604AC1C7B4}">
      <dsp:nvSpPr>
        <dsp:cNvPr id="0" name=""/>
        <dsp:cNvSpPr/>
      </dsp:nvSpPr>
      <dsp:spPr>
        <a:xfrm>
          <a:off x="2745" y="960120"/>
          <a:ext cx="132070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Regulatory authority outlines how the policy will be incorporated in local regulations or laws in a consultation paper</a:t>
          </a:r>
        </a:p>
      </dsp:txBody>
      <dsp:txXfrm>
        <a:off x="65237" y="1022612"/>
        <a:ext cx="1195716" cy="1155176"/>
      </dsp:txXfrm>
    </dsp:sp>
    <dsp:sp modelId="{4B204E7F-2496-42CD-BEED-47EA4774C9DE}">
      <dsp:nvSpPr>
        <dsp:cNvPr id="0" name=""/>
        <dsp:cNvSpPr/>
      </dsp:nvSpPr>
      <dsp:spPr>
        <a:xfrm>
          <a:off x="1389481" y="960120"/>
          <a:ext cx="132070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There is a consultation period during which market participants can provide comments</a:t>
          </a:r>
        </a:p>
      </dsp:txBody>
      <dsp:txXfrm>
        <a:off x="1451973" y="1022612"/>
        <a:ext cx="1195716" cy="1155176"/>
      </dsp:txXfrm>
    </dsp:sp>
    <dsp:sp modelId="{460F7362-8F6B-4486-88D6-F35B138EAA73}">
      <dsp:nvSpPr>
        <dsp:cNvPr id="0" name=""/>
        <dsp:cNvSpPr/>
      </dsp:nvSpPr>
      <dsp:spPr>
        <a:xfrm>
          <a:off x="2776217" y="960120"/>
          <a:ext cx="132070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A final paper is issued with the new regulations, including responses to any issues raised during the consultation</a:t>
          </a:r>
        </a:p>
      </dsp:txBody>
      <dsp:txXfrm>
        <a:off x="2838709" y="1022612"/>
        <a:ext cx="1195716" cy="1155176"/>
      </dsp:txXfrm>
    </dsp:sp>
    <dsp:sp modelId="{7ACD49AD-5D94-4F00-94EC-20D9712552B9}">
      <dsp:nvSpPr>
        <dsp:cNvPr id="0" name=""/>
        <dsp:cNvSpPr/>
      </dsp:nvSpPr>
      <dsp:spPr>
        <a:xfrm>
          <a:off x="4162953" y="960120"/>
          <a:ext cx="1320700"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Any associated laws, Acts, rules and regulations are updated as appropriate</a:t>
          </a:r>
        </a:p>
      </dsp:txBody>
      <dsp:txXfrm>
        <a:off x="4225445" y="1022612"/>
        <a:ext cx="1195716" cy="1155176"/>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IBCF 2021">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9a95e43-445a-4ff4-9ecc-952f3ad7f37b">
      <UserInfo>
        <DisplayName>Nadire Ramadani</DisplayName>
        <AccountId>161</AccountId>
        <AccountType/>
      </UserInfo>
      <UserInfo>
        <DisplayName>Chris Hall</DisplayName>
        <AccountId>26</AccountId>
        <AccountType/>
      </UserInfo>
      <UserInfo>
        <DisplayName>Mark O'Neill</DisplayName>
        <AccountId>17</AccountId>
        <AccountType/>
      </UserInfo>
      <UserInfo>
        <DisplayName>Melanie Siggs</DisplayName>
        <AccountId>62</AccountId>
        <AccountType/>
      </UserInfo>
      <UserInfo>
        <DisplayName>Malini Rajendran</DisplayName>
        <AccountId>22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BD93C3C6D7C4544A04FC184F1407BDE" ma:contentTypeVersion="12" ma:contentTypeDescription="Create a new document." ma:contentTypeScope="" ma:versionID="4354eb8d7014de10c436ac4eb8e09d50">
  <xsd:schema xmlns:xsd="http://www.w3.org/2001/XMLSchema" xmlns:xs="http://www.w3.org/2001/XMLSchema" xmlns:p="http://schemas.microsoft.com/office/2006/metadata/properties" xmlns:ns2="a9f1dac8-44b4-4048-8fce-88a035d54f2a" xmlns:ns3="19a95e43-445a-4ff4-9ecc-952f3ad7f37b" targetNamespace="http://schemas.microsoft.com/office/2006/metadata/properties" ma:root="true" ma:fieldsID="7a2f0b8466e410d0468bf4386253e4c0" ns2:_="" ns3:_="">
    <xsd:import namespace="a9f1dac8-44b4-4048-8fce-88a035d54f2a"/>
    <xsd:import namespace="19a95e43-445a-4ff4-9ecc-952f3ad7f3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dac8-44b4-4048-8fce-88a035d54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a95e43-445a-4ff4-9ecc-952f3ad7f3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7D1C31-F5DD-4446-B7EC-18033AB5007E}">
  <ds:schemaRefs>
    <ds:schemaRef ds:uri="http://schemas.microsoft.com/office/2006/metadata/properties"/>
    <ds:schemaRef ds:uri="http://schemas.microsoft.com/office/infopath/2007/PartnerControls"/>
    <ds:schemaRef ds:uri="19a95e43-445a-4ff4-9ecc-952f3ad7f37b"/>
  </ds:schemaRefs>
</ds:datastoreItem>
</file>

<file path=customXml/itemProps2.xml><?xml version="1.0" encoding="utf-8"?>
<ds:datastoreItem xmlns:ds="http://schemas.openxmlformats.org/officeDocument/2006/customXml" ds:itemID="{1894A268-70BD-2E4E-9B95-6E3B853F9B58}">
  <ds:schemaRefs>
    <ds:schemaRef ds:uri="http://schemas.openxmlformats.org/officeDocument/2006/bibliography"/>
  </ds:schemaRefs>
</ds:datastoreItem>
</file>

<file path=customXml/itemProps3.xml><?xml version="1.0" encoding="utf-8"?>
<ds:datastoreItem xmlns:ds="http://schemas.openxmlformats.org/officeDocument/2006/customXml" ds:itemID="{50523DF8-B411-4DDE-B106-890FB696E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dac8-44b4-4048-8fce-88a035d54f2a"/>
    <ds:schemaRef ds:uri="19a95e43-445a-4ff4-9ecc-952f3ad7f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C8BBBE-B505-4939-B484-15128BD57E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3175</Words>
  <Characters>16324</Characters>
  <Application>Microsoft Office Word</Application>
  <DocSecurity>0</DocSecurity>
  <Lines>388</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19250</CharactersWithSpaces>
  <SharedDoc>false</SharedDoc>
  <HLinks>
    <vt:vector size="72" baseType="variant">
      <vt:variant>
        <vt:i4>5570686</vt:i4>
      </vt:variant>
      <vt:variant>
        <vt:i4>33</vt:i4>
      </vt:variant>
      <vt:variant>
        <vt:i4>0</vt:i4>
      </vt:variant>
      <vt:variant>
        <vt:i4>5</vt:i4>
      </vt:variant>
      <vt:variant>
        <vt:lpwstr>https://www.bis.org/basel_framework/chapter/CRE/20.htm?tldate=20191231</vt:lpwstr>
      </vt:variant>
      <vt:variant>
        <vt:lpwstr/>
      </vt:variant>
      <vt:variant>
        <vt:i4>5898318</vt:i4>
      </vt:variant>
      <vt:variant>
        <vt:i4>30</vt:i4>
      </vt:variant>
      <vt:variant>
        <vt:i4>0</vt:i4>
      </vt:variant>
      <vt:variant>
        <vt:i4>5</vt:i4>
      </vt:variant>
      <vt:variant>
        <vt:lpwstr>https://www.bankofengland.co.uk/knowledgebank/what-is-capital</vt:lpwstr>
      </vt:variant>
      <vt:variant>
        <vt:lpwstr/>
      </vt:variant>
      <vt:variant>
        <vt:i4>20</vt:i4>
      </vt:variant>
      <vt:variant>
        <vt:i4>27</vt:i4>
      </vt:variant>
      <vt:variant>
        <vt:i4>0</vt:i4>
      </vt:variant>
      <vt:variant>
        <vt:i4>5</vt:i4>
      </vt:variant>
      <vt:variant>
        <vt:lpwstr>https://www.statista.com/statistics/909924/liquidity-coverage-ratio-in-europe-by-country/</vt:lpwstr>
      </vt:variant>
      <vt:variant>
        <vt:lpwstr/>
      </vt:variant>
      <vt:variant>
        <vt:i4>5570686</vt:i4>
      </vt:variant>
      <vt:variant>
        <vt:i4>24</vt:i4>
      </vt:variant>
      <vt:variant>
        <vt:i4>0</vt:i4>
      </vt:variant>
      <vt:variant>
        <vt:i4>5</vt:i4>
      </vt:variant>
      <vt:variant>
        <vt:lpwstr>https://www.bis.org/basel_framework/chapter/CRE/20.htm?tldate=20191231</vt:lpwstr>
      </vt:variant>
      <vt:variant>
        <vt:lpwstr/>
      </vt:variant>
      <vt:variant>
        <vt:i4>7143471</vt:i4>
      </vt:variant>
      <vt:variant>
        <vt:i4>21</vt:i4>
      </vt:variant>
      <vt:variant>
        <vt:i4>0</vt:i4>
      </vt:variant>
      <vt:variant>
        <vt:i4>5</vt:i4>
      </vt:variant>
      <vt:variant>
        <vt:lpwstr>https://www.bankofengland.co.uk/prudential-regulation/publication/2013/internal-ratings-based-approaches-ss</vt:lpwstr>
      </vt:variant>
      <vt:variant>
        <vt:lpwstr/>
      </vt:variant>
      <vt:variant>
        <vt:i4>3276858</vt:i4>
      </vt:variant>
      <vt:variant>
        <vt:i4>18</vt:i4>
      </vt:variant>
      <vt:variant>
        <vt:i4>0</vt:i4>
      </vt:variant>
      <vt:variant>
        <vt:i4>5</vt:i4>
      </vt:variant>
      <vt:variant>
        <vt:lpwstr>https://www.fca.org.uk/</vt:lpwstr>
      </vt:variant>
      <vt:variant>
        <vt:lpwstr/>
      </vt:variant>
      <vt:variant>
        <vt:i4>4980802</vt:i4>
      </vt:variant>
      <vt:variant>
        <vt:i4>15</vt:i4>
      </vt:variant>
      <vt:variant>
        <vt:i4>0</vt:i4>
      </vt:variant>
      <vt:variant>
        <vt:i4>5</vt:i4>
      </vt:variant>
      <vt:variant>
        <vt:lpwstr>https://www.bankofengland.co.uk/prudential-regulation</vt:lpwstr>
      </vt:variant>
      <vt:variant>
        <vt:lpwstr/>
      </vt:variant>
      <vt:variant>
        <vt:i4>7602303</vt:i4>
      </vt:variant>
      <vt:variant>
        <vt:i4>12</vt:i4>
      </vt:variant>
      <vt:variant>
        <vt:i4>0</vt:i4>
      </vt:variant>
      <vt:variant>
        <vt:i4>5</vt:i4>
      </vt:variant>
      <vt:variant>
        <vt:lpwstr>https://www.investopedia.com/terms/b/broker-dealer.asp</vt:lpwstr>
      </vt:variant>
      <vt:variant>
        <vt:lpwstr/>
      </vt:variant>
      <vt:variant>
        <vt:i4>65568</vt:i4>
      </vt:variant>
      <vt:variant>
        <vt:i4>9</vt:i4>
      </vt:variant>
      <vt:variant>
        <vt:i4>0</vt:i4>
      </vt:variant>
      <vt:variant>
        <vt:i4>5</vt:i4>
      </vt:variant>
      <vt:variant>
        <vt:lpwstr>https://ec.europa.eu/info/business-economy-euro/banking-and-finance/financial-supervision-and-risk-management/managing-risks-banks-and-financial-institutions/deposit-guarantee-schemes_en</vt:lpwstr>
      </vt:variant>
      <vt:variant>
        <vt:lpwstr/>
      </vt:variant>
      <vt:variant>
        <vt:i4>4849732</vt:i4>
      </vt:variant>
      <vt:variant>
        <vt:i4>6</vt:i4>
      </vt:variant>
      <vt:variant>
        <vt:i4>0</vt:i4>
      </vt:variant>
      <vt:variant>
        <vt:i4>5</vt:i4>
      </vt:variant>
      <vt:variant>
        <vt:lpwstr>https://www.fdic.gov/resources/deposit-insurance/</vt:lpwstr>
      </vt:variant>
      <vt:variant>
        <vt:lpwstr/>
      </vt:variant>
      <vt:variant>
        <vt:i4>1704028</vt:i4>
      </vt:variant>
      <vt:variant>
        <vt:i4>3</vt:i4>
      </vt:variant>
      <vt:variant>
        <vt:i4>0</vt:i4>
      </vt:variant>
      <vt:variant>
        <vt:i4>5</vt:i4>
      </vt:variant>
      <vt:variant>
        <vt:lpwstr>https://www.fscs.org.uk/</vt:lpwstr>
      </vt:variant>
      <vt:variant>
        <vt:lpwstr/>
      </vt:variant>
      <vt:variant>
        <vt:i4>1769551</vt:i4>
      </vt:variant>
      <vt:variant>
        <vt:i4>0</vt:i4>
      </vt:variant>
      <vt:variant>
        <vt:i4>0</vt:i4>
      </vt:variant>
      <vt:variant>
        <vt:i4>5</vt:i4>
      </vt:variant>
      <vt:variant>
        <vt:lpwstr>https://www.sdic.org.sg/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Schoo</dc:creator>
  <cp:keywords/>
  <dc:description/>
  <cp:lastModifiedBy>Pami Hoggatt</cp:lastModifiedBy>
  <cp:revision>5</cp:revision>
  <dcterms:created xsi:type="dcterms:W3CDTF">2021-09-20T15:51:00Z</dcterms:created>
  <dcterms:modified xsi:type="dcterms:W3CDTF">2021-09-30T11:50:00Z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0x0101006BD93C3C6D7C4544A04FC184F1407BDE</vt:lpwstr>
  </property>
</Properties>
</file>