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6E928" w14:textId="2413B7C0" w:rsidR="00FB7205" w:rsidRPr="007C2C03" w:rsidRDefault="00FB7205" w:rsidP="00AB3F9D">
      <w:pPr>
        <w:tabs>
          <w:tab w:val="left" w:pos="6150"/>
        </w:tabs>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The interplay between </w:t>
      </w:r>
      <w:r w:rsidR="001D6C95">
        <w:rPr>
          <w:rFonts w:asciiTheme="majorBidi" w:hAnsiTheme="majorBidi" w:cstheme="majorBidi"/>
          <w:b/>
          <w:bCs/>
          <w:sz w:val="24"/>
          <w:szCs w:val="24"/>
        </w:rPr>
        <w:t xml:space="preserve">crystallinity and the levels of </w:t>
      </w:r>
      <w:r w:rsidR="00230A25">
        <w:rPr>
          <w:rFonts w:asciiTheme="majorBidi" w:hAnsiTheme="majorBidi" w:cstheme="majorBidi"/>
          <w:b/>
          <w:bCs/>
          <w:sz w:val="24"/>
          <w:szCs w:val="24"/>
        </w:rPr>
        <w:t>Zn</w:t>
      </w:r>
      <w:r>
        <w:rPr>
          <w:rFonts w:asciiTheme="majorBidi" w:hAnsiTheme="majorBidi" w:cstheme="majorBidi"/>
          <w:b/>
          <w:bCs/>
          <w:sz w:val="24"/>
          <w:szCs w:val="24"/>
        </w:rPr>
        <w:t xml:space="preserve"> </w:t>
      </w:r>
      <w:r w:rsidR="00890194">
        <w:rPr>
          <w:rFonts w:asciiTheme="majorBidi" w:hAnsiTheme="majorBidi" w:cstheme="majorBidi"/>
          <w:b/>
          <w:bCs/>
          <w:sz w:val="24"/>
          <w:szCs w:val="24"/>
        </w:rPr>
        <w:t xml:space="preserve">and carbonate </w:t>
      </w:r>
      <w:r w:rsidR="001D6C95">
        <w:rPr>
          <w:rFonts w:asciiTheme="majorBidi" w:hAnsiTheme="majorBidi" w:cstheme="majorBidi"/>
          <w:b/>
          <w:bCs/>
          <w:sz w:val="24"/>
          <w:szCs w:val="24"/>
        </w:rPr>
        <w:t>in</w:t>
      </w:r>
      <w:r>
        <w:rPr>
          <w:rFonts w:asciiTheme="majorBidi" w:hAnsiTheme="majorBidi" w:cstheme="majorBidi"/>
          <w:b/>
          <w:bCs/>
          <w:sz w:val="24"/>
          <w:szCs w:val="24"/>
        </w:rPr>
        <w:t xml:space="preserve"> </w:t>
      </w:r>
      <w:r w:rsidRPr="007C2C03">
        <w:rPr>
          <w:rFonts w:asciiTheme="majorBidi" w:hAnsiTheme="majorBidi" w:cstheme="majorBidi"/>
          <w:b/>
          <w:bCs/>
          <w:sz w:val="24"/>
          <w:szCs w:val="24"/>
        </w:rPr>
        <w:t>synthetic microcalcification</w:t>
      </w:r>
      <w:r w:rsidR="007F57A7">
        <w:rPr>
          <w:rFonts w:asciiTheme="majorBidi" w:hAnsiTheme="majorBidi" w:cstheme="majorBidi"/>
          <w:b/>
          <w:bCs/>
          <w:sz w:val="24"/>
          <w:szCs w:val="24"/>
        </w:rPr>
        <w:t>s</w:t>
      </w:r>
      <w:r w:rsidRPr="007C2C03">
        <w:rPr>
          <w:rFonts w:asciiTheme="majorBidi" w:hAnsiTheme="majorBidi" w:cstheme="majorBidi"/>
          <w:b/>
          <w:bCs/>
          <w:sz w:val="24"/>
          <w:szCs w:val="24"/>
        </w:rPr>
        <w:t xml:space="preserve"> </w:t>
      </w:r>
      <w:r w:rsidR="00153E80">
        <w:rPr>
          <w:rFonts w:asciiTheme="majorBidi" w:hAnsiTheme="majorBidi" w:cstheme="majorBidi"/>
          <w:b/>
          <w:bCs/>
          <w:sz w:val="24"/>
          <w:szCs w:val="24"/>
        </w:rPr>
        <w:t xml:space="preserve">directs </w:t>
      </w:r>
      <w:r w:rsidRPr="007C2C03">
        <w:rPr>
          <w:rFonts w:asciiTheme="majorBidi" w:hAnsiTheme="majorBidi" w:cstheme="majorBidi"/>
          <w:b/>
          <w:bCs/>
          <w:sz w:val="24"/>
          <w:szCs w:val="24"/>
        </w:rPr>
        <w:t>thyroid cell malignancy</w:t>
      </w:r>
      <w:r>
        <w:rPr>
          <w:rFonts w:asciiTheme="majorBidi" w:hAnsiTheme="majorBidi" w:cstheme="majorBidi"/>
          <w:b/>
          <w:bCs/>
          <w:sz w:val="24"/>
          <w:szCs w:val="24"/>
        </w:rPr>
        <w:tab/>
      </w:r>
    </w:p>
    <w:p w14:paraId="065433E5" w14:textId="191CBA1B" w:rsidR="00D772D0" w:rsidRPr="007C2C03" w:rsidRDefault="00D772D0" w:rsidP="00AB3F9D">
      <w:pPr>
        <w:spacing w:after="0" w:line="360" w:lineRule="auto"/>
        <w:rPr>
          <w:rFonts w:asciiTheme="majorBidi" w:hAnsiTheme="majorBidi" w:cstheme="majorBidi"/>
          <w:sz w:val="24"/>
          <w:szCs w:val="24"/>
        </w:rPr>
      </w:pPr>
      <w:r w:rsidRPr="007C2C03">
        <w:rPr>
          <w:rFonts w:asciiTheme="majorBidi" w:hAnsiTheme="majorBidi" w:cstheme="majorBidi"/>
          <w:sz w:val="24"/>
          <w:szCs w:val="24"/>
        </w:rPr>
        <w:t>Lotem Gotnayer</w:t>
      </w:r>
      <w:r w:rsidRPr="007C2C03">
        <w:rPr>
          <w:rFonts w:asciiTheme="majorBidi" w:eastAsia="NSimSun" w:hAnsiTheme="majorBidi" w:cstheme="majorBidi"/>
          <w:kern w:val="3"/>
          <w:sz w:val="24"/>
          <w:szCs w:val="24"/>
          <w:vertAlign w:val="superscript"/>
          <w:lang w:eastAsia="zh-CN" w:bidi="hi-IN"/>
        </w:rPr>
        <w:t>1</w:t>
      </w:r>
      <w:r w:rsidRPr="007C2C03">
        <w:rPr>
          <w:rFonts w:asciiTheme="majorBidi" w:hAnsiTheme="majorBidi" w:cstheme="majorBidi"/>
          <w:sz w:val="24"/>
          <w:szCs w:val="24"/>
        </w:rPr>
        <w:t>, Yarden Nahmias</w:t>
      </w:r>
      <w:r w:rsidR="001408FA" w:rsidRPr="007C2C03">
        <w:rPr>
          <w:rFonts w:asciiTheme="majorBidi" w:eastAsia="NSimSun" w:hAnsiTheme="majorBidi" w:cstheme="majorBidi"/>
          <w:kern w:val="3"/>
          <w:sz w:val="24"/>
          <w:szCs w:val="24"/>
          <w:vertAlign w:val="superscript"/>
          <w:lang w:eastAsia="zh-CN" w:bidi="hi-IN"/>
        </w:rPr>
        <w:t>1</w:t>
      </w:r>
      <w:r w:rsidR="001408FA" w:rsidRPr="007C2C03">
        <w:rPr>
          <w:rFonts w:asciiTheme="majorBidi" w:hAnsiTheme="majorBidi" w:cstheme="majorBidi"/>
          <w:sz w:val="24"/>
          <w:szCs w:val="24"/>
        </w:rPr>
        <w:t>,</w:t>
      </w:r>
      <w:r w:rsidR="001408FA">
        <w:rPr>
          <w:rFonts w:asciiTheme="majorBidi" w:hAnsiTheme="majorBidi" w:cstheme="majorBidi"/>
          <w:sz w:val="24"/>
          <w:szCs w:val="24"/>
        </w:rPr>
        <w:t xml:space="preserve"> Gabriel Yazbek Grobman</w:t>
      </w:r>
      <w:r w:rsidR="001408FA" w:rsidRPr="007C2C03">
        <w:rPr>
          <w:rFonts w:asciiTheme="majorBidi" w:eastAsia="NSimSun" w:hAnsiTheme="majorBidi" w:cstheme="majorBidi"/>
          <w:kern w:val="3"/>
          <w:sz w:val="24"/>
          <w:szCs w:val="24"/>
          <w:vertAlign w:val="superscript"/>
          <w:lang w:eastAsia="zh-CN" w:bidi="hi-IN"/>
        </w:rPr>
        <w:t>1</w:t>
      </w:r>
      <w:r w:rsidR="001408FA" w:rsidRPr="007C2C03">
        <w:rPr>
          <w:rFonts w:asciiTheme="majorBidi" w:hAnsiTheme="majorBidi" w:cstheme="majorBidi"/>
          <w:sz w:val="24"/>
          <w:szCs w:val="24"/>
        </w:rPr>
        <w:t>,</w:t>
      </w:r>
      <w:r w:rsidR="001408FA">
        <w:rPr>
          <w:rFonts w:asciiTheme="majorBidi" w:hAnsiTheme="majorBidi" w:cstheme="majorBidi"/>
          <w:sz w:val="24"/>
          <w:szCs w:val="24"/>
        </w:rPr>
        <w:t xml:space="preserve"> </w:t>
      </w:r>
      <w:r w:rsidRPr="00A5107B">
        <w:rPr>
          <w:rFonts w:asciiTheme="majorBidi" w:hAnsiTheme="majorBidi" w:cstheme="majorBidi"/>
          <w:sz w:val="24"/>
          <w:szCs w:val="24"/>
        </w:rPr>
        <w:t>Lonia Friedlander</w:t>
      </w:r>
      <w:r>
        <w:rPr>
          <w:rFonts w:asciiTheme="majorBidi" w:hAnsiTheme="majorBidi" w:cstheme="majorBidi"/>
          <w:sz w:val="24"/>
          <w:szCs w:val="24"/>
          <w:vertAlign w:val="superscript"/>
        </w:rPr>
        <w:t>2</w:t>
      </w:r>
      <w:r>
        <w:rPr>
          <w:rFonts w:asciiTheme="majorBidi" w:hAnsiTheme="majorBidi" w:cstheme="majorBidi"/>
          <w:sz w:val="24"/>
          <w:szCs w:val="24"/>
        </w:rPr>
        <w:t xml:space="preserve">, </w:t>
      </w:r>
      <w:r w:rsidR="001929EB" w:rsidRPr="009E7C3A">
        <w:rPr>
          <w:rFonts w:asciiTheme="majorBidi" w:hAnsiTheme="majorBidi" w:cstheme="majorBidi"/>
          <w:sz w:val="24"/>
          <w:szCs w:val="24"/>
          <w:highlight w:val="green"/>
        </w:rPr>
        <w:t>Dina Aranovich</w:t>
      </w:r>
      <w:r w:rsidR="001929EB" w:rsidRPr="009E7C3A">
        <w:rPr>
          <w:rFonts w:asciiTheme="majorBidi" w:eastAsia="NSimSun" w:hAnsiTheme="majorBidi" w:cstheme="majorBidi"/>
          <w:kern w:val="3"/>
          <w:sz w:val="24"/>
          <w:szCs w:val="24"/>
          <w:highlight w:val="green"/>
          <w:vertAlign w:val="superscript"/>
          <w:lang w:eastAsia="zh-CN" w:bidi="hi-IN"/>
        </w:rPr>
        <w:t>1</w:t>
      </w:r>
      <w:r w:rsidR="001929EB">
        <w:rPr>
          <w:rFonts w:asciiTheme="majorBidi" w:hAnsiTheme="majorBidi" w:cstheme="majorBidi"/>
          <w:sz w:val="24"/>
          <w:szCs w:val="24"/>
        </w:rPr>
        <w:t xml:space="preserve">, </w:t>
      </w:r>
      <w:r w:rsidRPr="007C2C03">
        <w:rPr>
          <w:rFonts w:asciiTheme="majorBidi" w:hAnsiTheme="majorBidi" w:cstheme="majorBidi"/>
          <w:sz w:val="24"/>
          <w:szCs w:val="24"/>
        </w:rPr>
        <w:t>Uri Yoel</w:t>
      </w:r>
      <w:r>
        <w:rPr>
          <w:rFonts w:asciiTheme="majorBidi" w:eastAsia="NSimSun" w:hAnsiTheme="majorBidi" w:cstheme="majorBidi"/>
          <w:kern w:val="3"/>
          <w:sz w:val="24"/>
          <w:szCs w:val="24"/>
          <w:vertAlign w:val="superscript"/>
          <w:lang w:eastAsia="zh-CN" w:bidi="hi-IN"/>
        </w:rPr>
        <w:t>3,4</w:t>
      </w:r>
      <w:r w:rsidRPr="007C2C03">
        <w:rPr>
          <w:rFonts w:asciiTheme="majorBidi" w:hAnsiTheme="majorBidi" w:cstheme="majorBidi"/>
          <w:sz w:val="24"/>
          <w:szCs w:val="24"/>
        </w:rPr>
        <w:t>, Netta Vidavsky</w:t>
      </w:r>
      <w:r w:rsidRPr="007C2C03">
        <w:rPr>
          <w:rFonts w:asciiTheme="majorBidi" w:eastAsia="NSimSun" w:hAnsiTheme="majorBidi" w:cstheme="majorBidi"/>
          <w:kern w:val="3"/>
          <w:sz w:val="24"/>
          <w:szCs w:val="24"/>
          <w:vertAlign w:val="superscript"/>
          <w:lang w:eastAsia="zh-CN" w:bidi="hi-IN"/>
        </w:rPr>
        <w:t>1,</w:t>
      </w:r>
      <w:r>
        <w:rPr>
          <w:rFonts w:asciiTheme="majorBidi" w:eastAsia="NSimSun" w:hAnsiTheme="majorBidi" w:cstheme="majorBidi"/>
          <w:kern w:val="3"/>
          <w:sz w:val="24"/>
          <w:szCs w:val="24"/>
          <w:vertAlign w:val="superscript"/>
          <w:lang w:eastAsia="zh-CN" w:bidi="hi-IN"/>
        </w:rPr>
        <w:t>2</w:t>
      </w:r>
      <w:r w:rsidRPr="007C2C03">
        <w:rPr>
          <w:rFonts w:asciiTheme="majorBidi" w:eastAsia="NSimSun" w:hAnsiTheme="majorBidi" w:cstheme="majorBidi"/>
          <w:kern w:val="3"/>
          <w:sz w:val="24"/>
          <w:szCs w:val="24"/>
          <w:vertAlign w:val="superscript"/>
          <w:lang w:eastAsia="zh-CN" w:bidi="hi-IN"/>
        </w:rPr>
        <w:t>*</w:t>
      </w:r>
    </w:p>
    <w:p w14:paraId="67579CF9" w14:textId="77777777" w:rsidR="00D772D0" w:rsidRDefault="00D772D0" w:rsidP="00AB3F9D">
      <w:pPr>
        <w:pStyle w:val="NoSpacing"/>
        <w:bidi w:val="0"/>
        <w:spacing w:line="360" w:lineRule="auto"/>
        <w:jc w:val="both"/>
        <w:rPr>
          <w:rFonts w:asciiTheme="majorBidi" w:eastAsia="NSimSun" w:hAnsiTheme="majorBidi" w:cstheme="majorBidi"/>
          <w:kern w:val="3"/>
          <w:sz w:val="24"/>
          <w:szCs w:val="24"/>
          <w:lang w:eastAsia="zh-CN" w:bidi="hi-IN"/>
        </w:rPr>
      </w:pPr>
      <w:r w:rsidRPr="007C2C03">
        <w:rPr>
          <w:rFonts w:asciiTheme="majorBidi" w:eastAsia="NSimSun" w:hAnsiTheme="majorBidi" w:cstheme="majorBidi"/>
          <w:kern w:val="3"/>
          <w:sz w:val="24"/>
          <w:szCs w:val="24"/>
          <w:vertAlign w:val="superscript"/>
          <w:lang w:eastAsia="zh-CN" w:bidi="hi-IN"/>
        </w:rPr>
        <w:t>1</w:t>
      </w:r>
      <w:r w:rsidRPr="007C2C03">
        <w:rPr>
          <w:rFonts w:asciiTheme="majorBidi" w:eastAsia="NSimSun" w:hAnsiTheme="majorBidi" w:cstheme="majorBidi"/>
          <w:kern w:val="3"/>
          <w:sz w:val="24"/>
          <w:szCs w:val="24"/>
          <w:lang w:eastAsia="zh-CN" w:bidi="hi-IN"/>
        </w:rPr>
        <w:t>Department of Chemical Engineering, Ben-Gurion University of the Negev, Beer Sheva, Israel</w:t>
      </w:r>
    </w:p>
    <w:p w14:paraId="272DF2EC" w14:textId="77777777" w:rsidR="00D772D0" w:rsidRPr="007C2C03" w:rsidRDefault="00D772D0" w:rsidP="00AB3F9D">
      <w:pPr>
        <w:pStyle w:val="NoSpacing"/>
        <w:bidi w:val="0"/>
        <w:spacing w:line="360" w:lineRule="auto"/>
        <w:jc w:val="both"/>
        <w:rPr>
          <w:rFonts w:asciiTheme="majorBidi" w:eastAsia="NSimSun" w:hAnsiTheme="majorBidi" w:cstheme="majorBidi"/>
          <w:kern w:val="3"/>
          <w:sz w:val="24"/>
          <w:szCs w:val="24"/>
          <w:lang w:eastAsia="zh-CN" w:bidi="hi-IN"/>
        </w:rPr>
      </w:pPr>
      <w:r>
        <w:rPr>
          <w:rFonts w:asciiTheme="majorBidi" w:eastAsia="NSimSun" w:hAnsiTheme="majorBidi" w:cstheme="majorBidi"/>
          <w:kern w:val="3"/>
          <w:sz w:val="24"/>
          <w:szCs w:val="24"/>
          <w:vertAlign w:val="superscript"/>
          <w:lang w:eastAsia="zh-CN" w:bidi="hi-IN"/>
        </w:rPr>
        <w:t>2</w:t>
      </w:r>
      <w:r w:rsidRPr="007C2C03">
        <w:rPr>
          <w:rFonts w:asciiTheme="majorBidi" w:eastAsia="NSimSun" w:hAnsiTheme="majorBidi" w:cstheme="majorBidi"/>
          <w:kern w:val="3"/>
          <w:sz w:val="24"/>
          <w:szCs w:val="24"/>
          <w:lang w:eastAsia="zh-CN" w:bidi="hi-IN"/>
        </w:rPr>
        <w:t>Ilse Katz Institute for Nanoscale Science &amp; Technology, Ben-Gurion University of the Negev, Beer Sheva, Israel</w:t>
      </w:r>
    </w:p>
    <w:p w14:paraId="28CD01E1" w14:textId="77777777" w:rsidR="00D772D0" w:rsidRPr="007C2C03" w:rsidRDefault="00D772D0" w:rsidP="00AB3F9D">
      <w:pPr>
        <w:pStyle w:val="NoSpacing"/>
        <w:bidi w:val="0"/>
        <w:spacing w:line="360" w:lineRule="auto"/>
        <w:jc w:val="both"/>
        <w:rPr>
          <w:rFonts w:asciiTheme="majorBidi" w:eastAsia="NSimSun" w:hAnsiTheme="majorBidi" w:cstheme="majorBidi"/>
          <w:kern w:val="3"/>
          <w:sz w:val="24"/>
          <w:szCs w:val="24"/>
          <w:lang w:eastAsia="zh-CN" w:bidi="hi-IN"/>
        </w:rPr>
      </w:pPr>
      <w:r>
        <w:rPr>
          <w:rFonts w:asciiTheme="majorBidi" w:eastAsia="NSimSun" w:hAnsiTheme="majorBidi" w:cstheme="majorBidi"/>
          <w:kern w:val="3"/>
          <w:sz w:val="24"/>
          <w:szCs w:val="24"/>
          <w:vertAlign w:val="superscript"/>
          <w:lang w:eastAsia="zh-CN" w:bidi="hi-IN"/>
        </w:rPr>
        <w:t>3</w:t>
      </w:r>
      <w:r w:rsidRPr="007C2C03">
        <w:rPr>
          <w:rFonts w:asciiTheme="majorBidi" w:eastAsia="NSimSun" w:hAnsiTheme="majorBidi" w:cstheme="majorBidi"/>
          <w:kern w:val="3"/>
          <w:sz w:val="24"/>
          <w:szCs w:val="24"/>
          <w:lang w:eastAsia="zh-CN" w:bidi="hi-IN"/>
        </w:rPr>
        <w:t>Faculty of Health Sciences, Ben-Gurion University of the Negev, Beer Sheva, Israel</w:t>
      </w:r>
    </w:p>
    <w:p w14:paraId="5BCDECC7" w14:textId="77777777" w:rsidR="00D772D0" w:rsidRPr="007C2C03" w:rsidRDefault="00D772D0" w:rsidP="00AB3F9D">
      <w:pPr>
        <w:pStyle w:val="NoSpacing"/>
        <w:bidi w:val="0"/>
        <w:spacing w:line="360" w:lineRule="auto"/>
        <w:jc w:val="both"/>
        <w:rPr>
          <w:rFonts w:asciiTheme="majorBidi" w:eastAsia="NSimSun" w:hAnsiTheme="majorBidi" w:cstheme="majorBidi"/>
          <w:kern w:val="3"/>
          <w:sz w:val="24"/>
          <w:szCs w:val="24"/>
          <w:lang w:eastAsia="zh-CN" w:bidi="hi-IN"/>
        </w:rPr>
      </w:pPr>
      <w:r>
        <w:rPr>
          <w:rFonts w:asciiTheme="majorBidi" w:eastAsia="NSimSun" w:hAnsiTheme="majorBidi" w:cstheme="majorBidi"/>
          <w:kern w:val="3"/>
          <w:sz w:val="24"/>
          <w:szCs w:val="24"/>
          <w:vertAlign w:val="superscript"/>
          <w:lang w:eastAsia="zh-CN" w:bidi="hi-IN"/>
        </w:rPr>
        <w:t>4</w:t>
      </w:r>
      <w:r w:rsidRPr="007C2C03">
        <w:rPr>
          <w:rFonts w:asciiTheme="majorBidi" w:eastAsia="NSimSun" w:hAnsiTheme="majorBidi" w:cstheme="majorBidi"/>
          <w:kern w:val="3"/>
          <w:sz w:val="24"/>
          <w:szCs w:val="24"/>
          <w:lang w:eastAsia="zh-CN" w:bidi="hi-IN"/>
        </w:rPr>
        <w:t>Endocrinology, Soroka University Medical Center, Beer Sheva, Israel</w:t>
      </w:r>
    </w:p>
    <w:p w14:paraId="0601788C" w14:textId="77777777" w:rsidR="00D772D0" w:rsidRPr="00960BA5" w:rsidRDefault="00D772D0" w:rsidP="00AB3F9D">
      <w:pPr>
        <w:spacing w:after="0" w:line="360" w:lineRule="auto"/>
        <w:jc w:val="both"/>
        <w:rPr>
          <w:rFonts w:asciiTheme="majorBidi" w:hAnsiTheme="majorBidi" w:cstheme="majorBidi"/>
          <w:sz w:val="24"/>
          <w:szCs w:val="24"/>
        </w:rPr>
      </w:pPr>
      <w:r w:rsidRPr="007C2C03">
        <w:rPr>
          <w:rFonts w:asciiTheme="majorBidi" w:hAnsiTheme="majorBidi" w:cstheme="majorBidi"/>
          <w:sz w:val="24"/>
          <w:szCs w:val="24"/>
          <w:vertAlign w:val="superscript"/>
        </w:rPr>
        <w:t>*</w:t>
      </w:r>
      <w:r w:rsidRPr="007C2C03">
        <w:rPr>
          <w:rFonts w:asciiTheme="majorBidi" w:hAnsiTheme="majorBidi" w:cstheme="majorBidi"/>
          <w:sz w:val="24"/>
          <w:szCs w:val="24"/>
        </w:rPr>
        <w:t xml:space="preserve"> Corresponding author</w:t>
      </w:r>
    </w:p>
    <w:p w14:paraId="017A35B5" w14:textId="77777777" w:rsidR="00D772D0" w:rsidRDefault="00D772D0" w:rsidP="00AB3F9D">
      <w:pPr>
        <w:spacing w:after="0" w:line="360" w:lineRule="auto"/>
        <w:rPr>
          <w:rFonts w:asciiTheme="majorBidi" w:hAnsiTheme="majorBidi" w:cstheme="majorBidi"/>
          <w:b/>
          <w:bCs/>
          <w:sz w:val="24"/>
          <w:szCs w:val="24"/>
        </w:rPr>
      </w:pPr>
      <w:r w:rsidRPr="007C2C03">
        <w:rPr>
          <w:rFonts w:asciiTheme="majorBidi" w:hAnsiTheme="majorBidi" w:cstheme="majorBidi"/>
          <w:b/>
          <w:bCs/>
          <w:sz w:val="24"/>
          <w:szCs w:val="24"/>
        </w:rPr>
        <w:t>Abstract</w:t>
      </w:r>
    </w:p>
    <w:p w14:paraId="43772CA6" w14:textId="3993DBB3" w:rsidR="009D6EE8" w:rsidRDefault="0052691A" w:rsidP="00AB3F9D">
      <w:pPr>
        <w:spacing w:after="0" w:line="360" w:lineRule="auto"/>
        <w:jc w:val="both"/>
        <w:rPr>
          <w:rFonts w:asciiTheme="majorBidi" w:hAnsiTheme="majorBidi" w:cstheme="majorBidi"/>
          <w:sz w:val="24"/>
          <w:szCs w:val="24"/>
        </w:rPr>
      </w:pPr>
      <w:r w:rsidRPr="00A77C8E">
        <w:rPr>
          <w:rFonts w:asciiTheme="majorBidi" w:hAnsiTheme="majorBidi" w:cstheme="majorBidi"/>
          <w:sz w:val="24"/>
          <w:szCs w:val="24"/>
        </w:rPr>
        <w:t xml:space="preserve">One of the key challenges in </w:t>
      </w:r>
      <w:r w:rsidR="004A4018">
        <w:rPr>
          <w:rFonts w:asciiTheme="majorBidi" w:hAnsiTheme="majorBidi" w:cstheme="majorBidi"/>
          <w:sz w:val="24"/>
          <w:szCs w:val="24"/>
        </w:rPr>
        <w:t xml:space="preserve">diagnosing </w:t>
      </w:r>
      <w:r w:rsidRPr="00A77C8E">
        <w:rPr>
          <w:rFonts w:asciiTheme="majorBidi" w:hAnsiTheme="majorBidi" w:cstheme="majorBidi"/>
          <w:sz w:val="24"/>
          <w:szCs w:val="24"/>
        </w:rPr>
        <w:t>thyroid cancer</w:t>
      </w:r>
      <w:r w:rsidR="00247EE7">
        <w:rPr>
          <w:rFonts w:asciiTheme="majorBidi" w:hAnsiTheme="majorBidi" w:cstheme="majorBidi"/>
          <w:sz w:val="24"/>
          <w:szCs w:val="24"/>
        </w:rPr>
        <w:t xml:space="preserve"> (TC)</w:t>
      </w:r>
      <w:r w:rsidRPr="00A77C8E">
        <w:rPr>
          <w:rFonts w:asciiTheme="majorBidi" w:hAnsiTheme="majorBidi" w:cstheme="majorBidi"/>
          <w:sz w:val="24"/>
          <w:szCs w:val="24"/>
        </w:rPr>
        <w:t xml:space="preserve"> lies in the substantial percentage of indeterminate diagnos</w:t>
      </w:r>
      <w:r w:rsidR="006507A1">
        <w:rPr>
          <w:rFonts w:asciiTheme="majorBidi" w:hAnsiTheme="majorBidi" w:cstheme="majorBidi"/>
          <w:sz w:val="24"/>
          <w:szCs w:val="24"/>
        </w:rPr>
        <w:t>i</w:t>
      </w:r>
      <w:r w:rsidRPr="00A77C8E">
        <w:rPr>
          <w:rFonts w:asciiTheme="majorBidi" w:hAnsiTheme="majorBidi" w:cstheme="majorBidi"/>
          <w:sz w:val="24"/>
          <w:szCs w:val="24"/>
        </w:rPr>
        <w:t xml:space="preserve">s </w:t>
      </w:r>
      <w:r w:rsidR="006507A1">
        <w:rPr>
          <w:rFonts w:asciiTheme="majorBidi" w:hAnsiTheme="majorBidi" w:cstheme="majorBidi"/>
          <w:sz w:val="24"/>
          <w:szCs w:val="24"/>
        </w:rPr>
        <w:t xml:space="preserve">of </w:t>
      </w:r>
      <w:r w:rsidRPr="00A77C8E">
        <w:rPr>
          <w:rFonts w:asciiTheme="majorBidi" w:hAnsiTheme="majorBidi" w:cstheme="majorBidi"/>
          <w:sz w:val="24"/>
          <w:szCs w:val="24"/>
        </w:rPr>
        <w:t>thyroid nodules</w:t>
      </w:r>
      <w:r w:rsidR="006507A1">
        <w:rPr>
          <w:rFonts w:asciiTheme="majorBidi" w:hAnsiTheme="majorBidi" w:cstheme="majorBidi"/>
          <w:sz w:val="24"/>
          <w:szCs w:val="24"/>
        </w:rPr>
        <w:t xml:space="preserve"> undergoing ultrasound-gui</w:t>
      </w:r>
      <w:r w:rsidR="00427772">
        <w:rPr>
          <w:rFonts w:asciiTheme="majorBidi" w:hAnsiTheme="majorBidi" w:cstheme="majorBidi"/>
          <w:sz w:val="24"/>
          <w:szCs w:val="24"/>
        </w:rPr>
        <w:t>d</w:t>
      </w:r>
      <w:r w:rsidR="006507A1">
        <w:rPr>
          <w:rFonts w:asciiTheme="majorBidi" w:hAnsiTheme="majorBidi" w:cstheme="majorBidi"/>
          <w:sz w:val="24"/>
          <w:szCs w:val="24"/>
        </w:rPr>
        <w:t>ed fine-needle-aspiration (FNA) biopsy for cytological evaluation</w:t>
      </w:r>
      <w:r w:rsidRPr="00A77C8E">
        <w:rPr>
          <w:rFonts w:asciiTheme="majorBidi" w:hAnsiTheme="majorBidi" w:cstheme="majorBidi"/>
          <w:sz w:val="24"/>
          <w:szCs w:val="24"/>
        </w:rPr>
        <w:t>.</w:t>
      </w:r>
      <w:r w:rsidR="006507A1">
        <w:rPr>
          <w:rFonts w:asciiTheme="majorBidi" w:hAnsiTheme="majorBidi" w:cstheme="majorBidi"/>
          <w:sz w:val="24"/>
          <w:szCs w:val="24"/>
        </w:rPr>
        <w:t xml:space="preserve"> Th</w:t>
      </w:r>
      <w:r w:rsidR="003E26A4">
        <w:rPr>
          <w:rFonts w:asciiTheme="majorBidi" w:hAnsiTheme="majorBidi" w:cstheme="majorBidi"/>
          <w:sz w:val="24"/>
          <w:szCs w:val="24"/>
        </w:rPr>
        <w:t>i</w:t>
      </w:r>
      <w:r w:rsidR="006507A1">
        <w:rPr>
          <w:rFonts w:asciiTheme="majorBidi" w:hAnsiTheme="majorBidi" w:cstheme="majorBidi"/>
          <w:sz w:val="24"/>
          <w:szCs w:val="24"/>
        </w:rPr>
        <w:t>s</w:t>
      </w:r>
      <w:r w:rsidR="003E26A4">
        <w:rPr>
          <w:rFonts w:asciiTheme="majorBidi" w:hAnsiTheme="majorBidi" w:cstheme="majorBidi"/>
          <w:sz w:val="24"/>
          <w:szCs w:val="24"/>
        </w:rPr>
        <w:t xml:space="preserve"> delays</w:t>
      </w:r>
      <w:r w:rsidR="006507A1">
        <w:rPr>
          <w:rFonts w:asciiTheme="majorBidi" w:hAnsiTheme="majorBidi" w:cstheme="majorBidi"/>
          <w:sz w:val="24"/>
          <w:szCs w:val="24"/>
        </w:rPr>
        <w:t xml:space="preserve"> definit</w:t>
      </w:r>
      <w:r w:rsidR="003E26A4">
        <w:rPr>
          <w:rFonts w:asciiTheme="majorBidi" w:hAnsiTheme="majorBidi" w:cstheme="majorBidi"/>
          <w:sz w:val="24"/>
          <w:szCs w:val="24"/>
        </w:rPr>
        <w:t>iv</w:t>
      </w:r>
      <w:r w:rsidR="006507A1">
        <w:rPr>
          <w:rFonts w:asciiTheme="majorBidi" w:hAnsiTheme="majorBidi" w:cstheme="majorBidi"/>
          <w:sz w:val="24"/>
          <w:szCs w:val="24"/>
        </w:rPr>
        <w:t>e diagnos</w:t>
      </w:r>
      <w:r w:rsidR="003E26A4">
        <w:rPr>
          <w:rFonts w:asciiTheme="majorBidi" w:hAnsiTheme="majorBidi" w:cstheme="majorBidi"/>
          <w:sz w:val="24"/>
          <w:szCs w:val="24"/>
        </w:rPr>
        <w:t>e</w:t>
      </w:r>
      <w:r w:rsidR="006507A1">
        <w:rPr>
          <w:rFonts w:asciiTheme="majorBidi" w:hAnsiTheme="majorBidi" w:cstheme="majorBidi"/>
          <w:sz w:val="24"/>
          <w:szCs w:val="24"/>
        </w:rPr>
        <w:t>s and treatment plan</w:t>
      </w:r>
      <w:r w:rsidR="00427772">
        <w:rPr>
          <w:rFonts w:asciiTheme="majorBidi" w:hAnsiTheme="majorBidi" w:cstheme="majorBidi"/>
          <w:sz w:val="24"/>
          <w:szCs w:val="24"/>
        </w:rPr>
        <w:t>s</w:t>
      </w:r>
      <w:r w:rsidR="006507A1">
        <w:rPr>
          <w:rFonts w:asciiTheme="majorBidi" w:hAnsiTheme="majorBidi" w:cstheme="majorBidi"/>
          <w:sz w:val="24"/>
          <w:szCs w:val="24"/>
        </w:rPr>
        <w:t xml:space="preserve">. </w:t>
      </w:r>
      <w:r w:rsidRPr="00A77C8E">
        <w:rPr>
          <w:rFonts w:asciiTheme="majorBidi" w:hAnsiTheme="majorBidi" w:cstheme="majorBidi"/>
          <w:sz w:val="24"/>
          <w:szCs w:val="24"/>
        </w:rPr>
        <w:t xml:space="preserve">In a recent development, our research demonstrated that </w:t>
      </w:r>
      <w:r w:rsidR="00611003">
        <w:rPr>
          <w:rFonts w:asciiTheme="majorBidi" w:hAnsiTheme="majorBidi" w:cstheme="majorBidi"/>
          <w:sz w:val="24"/>
          <w:szCs w:val="24"/>
        </w:rPr>
        <w:t>hydroxyapatite</w:t>
      </w:r>
      <w:r w:rsidR="00C83ACC">
        <w:rPr>
          <w:rFonts w:asciiTheme="majorBidi" w:hAnsiTheme="majorBidi" w:cstheme="majorBidi"/>
          <w:sz w:val="24"/>
          <w:szCs w:val="24"/>
        </w:rPr>
        <w:t xml:space="preserve"> </w:t>
      </w:r>
      <w:r w:rsidR="00EF78ED">
        <w:rPr>
          <w:rFonts w:asciiTheme="majorBidi" w:hAnsiTheme="majorBidi" w:cstheme="majorBidi"/>
          <w:sz w:val="24"/>
          <w:szCs w:val="24"/>
        </w:rPr>
        <w:t>micro</w:t>
      </w:r>
      <w:r w:rsidRPr="00A77C8E">
        <w:rPr>
          <w:rFonts w:asciiTheme="majorBidi" w:hAnsiTheme="majorBidi" w:cstheme="majorBidi"/>
          <w:sz w:val="24"/>
          <w:szCs w:val="24"/>
        </w:rPr>
        <w:t xml:space="preserve">calcifications </w:t>
      </w:r>
      <w:r w:rsidR="00EF78ED">
        <w:rPr>
          <w:rFonts w:asciiTheme="majorBidi" w:hAnsiTheme="majorBidi" w:cstheme="majorBidi"/>
          <w:sz w:val="24"/>
          <w:szCs w:val="24"/>
        </w:rPr>
        <w:t xml:space="preserve">(MCs) </w:t>
      </w:r>
      <w:r w:rsidRPr="00A77C8E">
        <w:rPr>
          <w:rFonts w:asciiTheme="majorBidi" w:hAnsiTheme="majorBidi" w:cstheme="majorBidi"/>
          <w:sz w:val="24"/>
          <w:szCs w:val="24"/>
        </w:rPr>
        <w:t>aspirated from thyroid nodules</w:t>
      </w:r>
      <w:r w:rsidR="006D1C99">
        <w:rPr>
          <w:rFonts w:asciiTheme="majorBidi" w:hAnsiTheme="majorBidi" w:cstheme="majorBidi"/>
          <w:sz w:val="24"/>
          <w:szCs w:val="24"/>
        </w:rPr>
        <w:t xml:space="preserve"> </w:t>
      </w:r>
      <w:r w:rsidRPr="00A77C8E">
        <w:rPr>
          <w:rFonts w:asciiTheme="majorBidi" w:hAnsiTheme="majorBidi" w:cstheme="majorBidi"/>
          <w:sz w:val="24"/>
          <w:szCs w:val="24"/>
        </w:rPr>
        <w:t xml:space="preserve">hold </w:t>
      </w:r>
      <w:r w:rsidR="004A4018">
        <w:rPr>
          <w:rFonts w:asciiTheme="majorBidi" w:hAnsiTheme="majorBidi" w:cstheme="majorBidi"/>
          <w:sz w:val="24"/>
          <w:szCs w:val="24"/>
        </w:rPr>
        <w:t xml:space="preserve">the </w:t>
      </w:r>
      <w:r w:rsidRPr="00A77C8E">
        <w:rPr>
          <w:rFonts w:asciiTheme="majorBidi" w:hAnsiTheme="majorBidi" w:cstheme="majorBidi"/>
          <w:sz w:val="24"/>
          <w:szCs w:val="24"/>
        </w:rPr>
        <w:t xml:space="preserve">potential </w:t>
      </w:r>
      <w:r w:rsidR="00611003">
        <w:rPr>
          <w:rFonts w:asciiTheme="majorBidi" w:hAnsiTheme="majorBidi" w:cstheme="majorBidi"/>
          <w:sz w:val="24"/>
          <w:szCs w:val="24"/>
        </w:rPr>
        <w:t>to aid</w:t>
      </w:r>
      <w:r w:rsidRPr="00A77C8E">
        <w:rPr>
          <w:rFonts w:asciiTheme="majorBidi" w:hAnsiTheme="majorBidi" w:cstheme="majorBidi"/>
          <w:sz w:val="24"/>
          <w:szCs w:val="24"/>
        </w:rPr>
        <w:t xml:space="preserve"> nodule diagnosis based on their composition. </w:t>
      </w:r>
      <w:r w:rsidR="004A4018">
        <w:rPr>
          <w:rFonts w:asciiTheme="majorBidi" w:hAnsiTheme="majorBidi" w:cstheme="majorBidi"/>
          <w:sz w:val="24"/>
          <w:szCs w:val="24"/>
        </w:rPr>
        <w:t>Main</w:t>
      </w:r>
      <w:r w:rsidRPr="00A77C8E">
        <w:rPr>
          <w:rFonts w:asciiTheme="majorBidi" w:hAnsiTheme="majorBidi" w:cstheme="majorBidi"/>
          <w:sz w:val="24"/>
          <w:szCs w:val="24"/>
        </w:rPr>
        <w:t xml:space="preserve">ly, </w:t>
      </w:r>
      <w:r w:rsidR="00230A25">
        <w:rPr>
          <w:rFonts w:asciiTheme="majorBidi" w:hAnsiTheme="majorBidi" w:cstheme="majorBidi"/>
          <w:sz w:val="24"/>
          <w:szCs w:val="24"/>
        </w:rPr>
        <w:t>Zn</w:t>
      </w:r>
      <w:r w:rsidRPr="00A77C8E">
        <w:rPr>
          <w:rFonts w:asciiTheme="majorBidi" w:hAnsiTheme="majorBidi" w:cstheme="majorBidi"/>
          <w:sz w:val="24"/>
          <w:szCs w:val="24"/>
        </w:rPr>
        <w:t xml:space="preserve">-enriched </w:t>
      </w:r>
      <w:r w:rsidR="00DC348C">
        <w:rPr>
          <w:rFonts w:asciiTheme="majorBidi" w:hAnsiTheme="majorBidi" w:cstheme="majorBidi"/>
          <w:sz w:val="24"/>
          <w:szCs w:val="24"/>
        </w:rPr>
        <w:t>MCs</w:t>
      </w:r>
      <w:r w:rsidRPr="00A77C8E">
        <w:rPr>
          <w:rFonts w:asciiTheme="majorBidi" w:hAnsiTheme="majorBidi" w:cstheme="majorBidi"/>
          <w:sz w:val="24"/>
          <w:szCs w:val="24"/>
        </w:rPr>
        <w:t xml:space="preserve"> have emerged as potential cancer biomarkers.</w:t>
      </w:r>
      <w:r w:rsidR="006F5756" w:rsidRPr="00A77C8E">
        <w:rPr>
          <w:rFonts w:asciiTheme="majorBidi" w:hAnsiTheme="majorBidi" w:cstheme="majorBidi"/>
          <w:sz w:val="24"/>
          <w:szCs w:val="24"/>
        </w:rPr>
        <w:t xml:space="preserve"> However, a pertinent question remains: Is the elevation in </w:t>
      </w:r>
      <w:r w:rsidR="00230A25">
        <w:rPr>
          <w:rFonts w:asciiTheme="majorBidi" w:hAnsiTheme="majorBidi" w:cstheme="majorBidi"/>
          <w:sz w:val="24"/>
          <w:szCs w:val="24"/>
        </w:rPr>
        <w:t>Zn</w:t>
      </w:r>
      <w:r w:rsidR="006F5756" w:rsidRPr="00A77C8E">
        <w:rPr>
          <w:rFonts w:asciiTheme="majorBidi" w:hAnsiTheme="majorBidi" w:cstheme="majorBidi"/>
          <w:sz w:val="24"/>
          <w:szCs w:val="24"/>
        </w:rPr>
        <w:t xml:space="preserve"> </w:t>
      </w:r>
      <w:r w:rsidR="006D1C99">
        <w:rPr>
          <w:rFonts w:asciiTheme="majorBidi" w:hAnsiTheme="majorBidi" w:cstheme="majorBidi"/>
          <w:sz w:val="24"/>
          <w:szCs w:val="24"/>
        </w:rPr>
        <w:t>content</w:t>
      </w:r>
      <w:r w:rsidR="006D1C99" w:rsidRPr="00A77C8E">
        <w:rPr>
          <w:rFonts w:asciiTheme="majorBidi" w:hAnsiTheme="majorBidi" w:cstheme="majorBidi"/>
          <w:sz w:val="24"/>
          <w:szCs w:val="24"/>
        </w:rPr>
        <w:t xml:space="preserve"> </w:t>
      </w:r>
      <w:r w:rsidR="006F5756" w:rsidRPr="00A77C8E">
        <w:rPr>
          <w:rFonts w:asciiTheme="majorBidi" w:hAnsiTheme="majorBidi" w:cstheme="majorBidi"/>
          <w:sz w:val="24"/>
          <w:szCs w:val="24"/>
        </w:rPr>
        <w:t xml:space="preserve">within </w:t>
      </w:r>
      <w:r w:rsidR="006D1C99">
        <w:rPr>
          <w:rFonts w:asciiTheme="majorBidi" w:hAnsiTheme="majorBidi" w:cstheme="majorBidi"/>
          <w:sz w:val="24"/>
          <w:szCs w:val="24"/>
        </w:rPr>
        <w:t>MCs a</w:t>
      </w:r>
      <w:r w:rsidR="006F5756" w:rsidRPr="00A77C8E">
        <w:rPr>
          <w:rFonts w:asciiTheme="majorBidi" w:hAnsiTheme="majorBidi" w:cstheme="majorBidi"/>
          <w:sz w:val="24"/>
          <w:szCs w:val="24"/>
        </w:rPr>
        <w:t xml:space="preserve"> consequence of cancer, or do the </w:t>
      </w:r>
      <w:r w:rsidR="00230A25">
        <w:rPr>
          <w:rFonts w:asciiTheme="majorBidi" w:hAnsiTheme="majorBidi" w:cstheme="majorBidi"/>
          <w:sz w:val="24"/>
          <w:szCs w:val="24"/>
        </w:rPr>
        <w:t>Zn</w:t>
      </w:r>
      <w:r w:rsidR="006F5756" w:rsidRPr="00A77C8E">
        <w:rPr>
          <w:rFonts w:asciiTheme="majorBidi" w:hAnsiTheme="majorBidi" w:cstheme="majorBidi"/>
          <w:sz w:val="24"/>
          <w:szCs w:val="24"/>
        </w:rPr>
        <w:t xml:space="preserve">-enriched </w:t>
      </w:r>
      <w:r w:rsidR="00DC348C">
        <w:rPr>
          <w:rFonts w:asciiTheme="majorBidi" w:hAnsiTheme="majorBidi" w:cstheme="majorBidi"/>
          <w:sz w:val="24"/>
          <w:szCs w:val="24"/>
        </w:rPr>
        <w:t>MCs</w:t>
      </w:r>
      <w:r w:rsidR="006F5756" w:rsidRPr="00A77C8E">
        <w:rPr>
          <w:rFonts w:asciiTheme="majorBidi" w:hAnsiTheme="majorBidi" w:cstheme="majorBidi"/>
          <w:sz w:val="24"/>
          <w:szCs w:val="24"/>
        </w:rPr>
        <w:t xml:space="preserve"> encourage tumorigenesis? </w:t>
      </w:r>
    </w:p>
    <w:p w14:paraId="1A9C760F" w14:textId="2E72610D" w:rsidR="006F5756" w:rsidRPr="00A77C8E" w:rsidRDefault="006F5756" w:rsidP="00AB3F9D">
      <w:pPr>
        <w:autoSpaceDE w:val="0"/>
        <w:autoSpaceDN w:val="0"/>
        <w:adjustRightInd w:val="0"/>
        <w:spacing w:after="0" w:line="360" w:lineRule="auto"/>
        <w:jc w:val="both"/>
        <w:rPr>
          <w:rFonts w:asciiTheme="majorBidi" w:hAnsiTheme="majorBidi" w:cstheme="majorBidi"/>
          <w:sz w:val="24"/>
          <w:szCs w:val="24"/>
        </w:rPr>
      </w:pPr>
      <w:r w:rsidRPr="00A77C8E">
        <w:rPr>
          <w:rFonts w:asciiTheme="majorBidi" w:hAnsiTheme="majorBidi" w:cstheme="majorBidi"/>
          <w:sz w:val="24"/>
          <w:szCs w:val="24"/>
        </w:rPr>
        <w:t xml:space="preserve">To address this, we </w:t>
      </w:r>
      <w:r w:rsidR="00924C81">
        <w:rPr>
          <w:rFonts w:asciiTheme="majorBidi" w:hAnsiTheme="majorBidi" w:cstheme="majorBidi"/>
          <w:sz w:val="24"/>
          <w:szCs w:val="24"/>
        </w:rPr>
        <w:t>treated</w:t>
      </w:r>
      <w:r w:rsidR="00247EE7">
        <w:rPr>
          <w:rFonts w:asciiTheme="majorBidi" w:hAnsiTheme="majorBidi" w:cstheme="majorBidi"/>
          <w:sz w:val="24"/>
          <w:szCs w:val="24"/>
        </w:rPr>
        <w:t xml:space="preserve"> </w:t>
      </w:r>
      <w:r w:rsidR="004E0A22">
        <w:rPr>
          <w:rFonts w:asciiTheme="majorBidi" w:hAnsiTheme="majorBidi" w:cstheme="majorBidi"/>
          <w:sz w:val="24"/>
          <w:szCs w:val="24"/>
        </w:rPr>
        <w:t xml:space="preserve">the </w:t>
      </w:r>
      <w:r w:rsidR="00247EE7">
        <w:rPr>
          <w:rFonts w:asciiTheme="majorBidi" w:hAnsiTheme="majorBidi" w:cstheme="majorBidi"/>
          <w:sz w:val="24"/>
          <w:szCs w:val="24"/>
        </w:rPr>
        <w:t xml:space="preserve">TC </w:t>
      </w:r>
      <w:r w:rsidR="004E0A22">
        <w:rPr>
          <w:rFonts w:asciiTheme="majorBidi" w:hAnsiTheme="majorBidi" w:cstheme="majorBidi"/>
          <w:sz w:val="24"/>
          <w:szCs w:val="24"/>
        </w:rPr>
        <w:t xml:space="preserve">human </w:t>
      </w:r>
      <w:r w:rsidR="00247EE7">
        <w:rPr>
          <w:rFonts w:asciiTheme="majorBidi" w:hAnsiTheme="majorBidi" w:cstheme="majorBidi"/>
          <w:sz w:val="24"/>
          <w:szCs w:val="24"/>
        </w:rPr>
        <w:t>cell</w:t>
      </w:r>
      <w:r w:rsidR="004E0A22">
        <w:rPr>
          <w:rFonts w:asciiTheme="majorBidi" w:hAnsiTheme="majorBidi" w:cstheme="majorBidi"/>
          <w:sz w:val="24"/>
          <w:szCs w:val="24"/>
        </w:rPr>
        <w:t xml:space="preserve"> l</w:t>
      </w:r>
      <w:r w:rsidR="00247EE7">
        <w:rPr>
          <w:rFonts w:asciiTheme="majorBidi" w:hAnsiTheme="majorBidi" w:cstheme="majorBidi"/>
          <w:sz w:val="24"/>
          <w:szCs w:val="24"/>
        </w:rPr>
        <w:t>ine</w:t>
      </w:r>
      <w:r w:rsidR="00711355">
        <w:rPr>
          <w:rFonts w:asciiTheme="majorBidi" w:hAnsiTheme="majorBidi" w:cstheme="majorBidi"/>
          <w:sz w:val="24"/>
          <w:szCs w:val="24"/>
        </w:rPr>
        <w:t xml:space="preserve"> </w:t>
      </w:r>
      <w:r w:rsidR="006A7FF5" w:rsidRPr="00A96CC3">
        <w:rPr>
          <w:rFonts w:asciiTheme="majorBidi" w:hAnsiTheme="majorBidi" w:cstheme="majorBidi"/>
          <w:color w:val="231F20"/>
          <w:sz w:val="24"/>
          <w:szCs w:val="24"/>
        </w:rPr>
        <w:t>MDA</w:t>
      </w:r>
      <w:r w:rsidR="006C3D7D">
        <w:rPr>
          <w:rFonts w:asciiTheme="majorBidi" w:hAnsiTheme="majorBidi" w:cstheme="majorBidi"/>
          <w:color w:val="231F20"/>
          <w:sz w:val="24"/>
          <w:szCs w:val="24"/>
        </w:rPr>
        <w:t>-</w:t>
      </w:r>
      <w:r w:rsidR="006A7FF5" w:rsidRPr="00A96CC3">
        <w:rPr>
          <w:rFonts w:asciiTheme="majorBidi" w:hAnsiTheme="majorBidi" w:cstheme="majorBidi"/>
          <w:color w:val="231F20"/>
          <w:sz w:val="24"/>
          <w:szCs w:val="24"/>
        </w:rPr>
        <w:t>T32</w:t>
      </w:r>
      <w:r w:rsidR="00EB77E0">
        <w:rPr>
          <w:rFonts w:asciiTheme="majorBidi" w:hAnsiTheme="majorBidi" w:cstheme="majorBidi"/>
          <w:color w:val="231F20"/>
          <w:sz w:val="24"/>
          <w:szCs w:val="24"/>
        </w:rPr>
        <w:t xml:space="preserve"> </w:t>
      </w:r>
      <w:r w:rsidR="00247EE7">
        <w:rPr>
          <w:rFonts w:asciiTheme="majorBidi" w:hAnsiTheme="majorBidi" w:cstheme="majorBidi"/>
          <w:sz w:val="24"/>
          <w:szCs w:val="24"/>
        </w:rPr>
        <w:t>with</w:t>
      </w:r>
      <w:r w:rsidR="00247EE7" w:rsidRPr="00A77C8E">
        <w:rPr>
          <w:rFonts w:asciiTheme="majorBidi" w:hAnsiTheme="majorBidi" w:cstheme="majorBidi"/>
          <w:sz w:val="24"/>
          <w:szCs w:val="24"/>
        </w:rPr>
        <w:t xml:space="preserve"> </w:t>
      </w:r>
      <w:r w:rsidRPr="00A77C8E">
        <w:rPr>
          <w:rFonts w:asciiTheme="majorBidi" w:hAnsiTheme="majorBidi" w:cstheme="majorBidi"/>
          <w:sz w:val="24"/>
          <w:szCs w:val="24"/>
        </w:rPr>
        <w:t xml:space="preserve">synthetic </w:t>
      </w:r>
      <w:r w:rsidR="00DC348C">
        <w:rPr>
          <w:rFonts w:asciiTheme="majorBidi" w:hAnsiTheme="majorBidi" w:cstheme="majorBidi"/>
          <w:sz w:val="24"/>
          <w:szCs w:val="24"/>
        </w:rPr>
        <w:t>MC</w:t>
      </w:r>
      <w:r w:rsidRPr="00A77C8E">
        <w:rPr>
          <w:rFonts w:asciiTheme="majorBidi" w:hAnsiTheme="majorBidi" w:cstheme="majorBidi"/>
          <w:sz w:val="24"/>
          <w:szCs w:val="24"/>
        </w:rPr>
        <w:t xml:space="preserve"> analogs </w:t>
      </w:r>
      <w:r w:rsidR="00924C81">
        <w:rPr>
          <w:rFonts w:asciiTheme="majorBidi" w:hAnsiTheme="majorBidi" w:cstheme="majorBidi"/>
          <w:sz w:val="24"/>
          <w:szCs w:val="24"/>
        </w:rPr>
        <w:t>consisting of</w:t>
      </w:r>
      <w:r w:rsidR="004A4018">
        <w:rPr>
          <w:rFonts w:asciiTheme="majorBidi" w:hAnsiTheme="majorBidi" w:cstheme="majorBidi"/>
          <w:sz w:val="24"/>
          <w:szCs w:val="24"/>
        </w:rPr>
        <w:t xml:space="preserve"> </w:t>
      </w:r>
      <w:r w:rsidR="008F185C">
        <w:rPr>
          <w:rFonts w:asciiTheme="majorBidi" w:hAnsiTheme="majorBidi" w:cstheme="majorBidi"/>
          <w:sz w:val="24"/>
          <w:szCs w:val="24"/>
        </w:rPr>
        <w:t xml:space="preserve">hydroxyapatite </w:t>
      </w:r>
      <w:r w:rsidR="004A4018">
        <w:rPr>
          <w:rFonts w:asciiTheme="majorBidi" w:hAnsiTheme="majorBidi" w:cstheme="majorBidi"/>
          <w:sz w:val="24"/>
          <w:szCs w:val="24"/>
        </w:rPr>
        <w:t xml:space="preserve">crystals </w:t>
      </w:r>
      <w:r w:rsidR="008F185C">
        <w:rPr>
          <w:rFonts w:asciiTheme="majorBidi" w:hAnsiTheme="majorBidi" w:cstheme="majorBidi"/>
          <w:sz w:val="24"/>
          <w:szCs w:val="24"/>
        </w:rPr>
        <w:t>with</w:t>
      </w:r>
      <w:r w:rsidR="004A4018">
        <w:rPr>
          <w:rFonts w:asciiTheme="majorBidi" w:hAnsiTheme="majorBidi" w:cstheme="majorBidi"/>
          <w:sz w:val="24"/>
          <w:szCs w:val="24"/>
        </w:rPr>
        <w:t xml:space="preserve"> varied</w:t>
      </w:r>
      <w:r w:rsidR="004E0A22">
        <w:rPr>
          <w:rFonts w:asciiTheme="majorBidi" w:hAnsiTheme="majorBidi" w:cstheme="majorBidi"/>
          <w:sz w:val="24"/>
          <w:szCs w:val="24"/>
        </w:rPr>
        <w:t xml:space="preserve"> pathologically</w:t>
      </w:r>
      <w:r w:rsidR="008915CA">
        <w:rPr>
          <w:rFonts w:asciiTheme="majorBidi" w:hAnsiTheme="majorBidi" w:cstheme="majorBidi"/>
          <w:sz w:val="24"/>
          <w:szCs w:val="24"/>
        </w:rPr>
        <w:t xml:space="preserve"> </w:t>
      </w:r>
      <w:r w:rsidR="004E0A22">
        <w:rPr>
          <w:rFonts w:asciiTheme="majorBidi" w:hAnsiTheme="majorBidi" w:cstheme="majorBidi"/>
          <w:sz w:val="24"/>
          <w:szCs w:val="24"/>
        </w:rPr>
        <w:t>relevant</w:t>
      </w:r>
      <w:r w:rsidR="004A4018">
        <w:rPr>
          <w:rFonts w:asciiTheme="majorBidi" w:hAnsiTheme="majorBidi" w:cstheme="majorBidi"/>
          <w:sz w:val="24"/>
          <w:szCs w:val="24"/>
        </w:rPr>
        <w:t xml:space="preserve"> Zn fractions</w:t>
      </w:r>
      <w:r w:rsidR="00A94725">
        <w:rPr>
          <w:rFonts w:asciiTheme="majorBidi" w:hAnsiTheme="majorBidi" w:cstheme="majorBidi"/>
          <w:sz w:val="24"/>
          <w:szCs w:val="24"/>
        </w:rPr>
        <w:t xml:space="preserve"> and </w:t>
      </w:r>
      <w:r w:rsidR="00924C81">
        <w:rPr>
          <w:rFonts w:asciiTheme="majorBidi" w:hAnsiTheme="majorBidi" w:cstheme="majorBidi"/>
          <w:sz w:val="24"/>
          <w:szCs w:val="24"/>
        </w:rPr>
        <w:t>assessed</w:t>
      </w:r>
      <w:r w:rsidR="00A94725">
        <w:rPr>
          <w:rFonts w:asciiTheme="majorBidi" w:hAnsiTheme="majorBidi" w:cstheme="majorBidi"/>
          <w:sz w:val="24"/>
          <w:szCs w:val="24"/>
        </w:rPr>
        <w:t xml:space="preserve"> the cellular response.</w:t>
      </w:r>
      <w:r w:rsidR="004A4018">
        <w:rPr>
          <w:rFonts w:asciiTheme="majorBidi" w:hAnsiTheme="majorBidi" w:cstheme="majorBidi"/>
          <w:sz w:val="24"/>
          <w:szCs w:val="24"/>
        </w:rPr>
        <w:t xml:space="preserve"> </w:t>
      </w:r>
      <w:r w:rsidR="00B1124C">
        <w:rPr>
          <w:rFonts w:asciiTheme="majorBidi" w:hAnsiTheme="majorBidi" w:cstheme="majorBidi"/>
          <w:sz w:val="24"/>
          <w:szCs w:val="24"/>
        </w:rPr>
        <w:t>The</w:t>
      </w:r>
      <w:r w:rsidR="003B4190" w:rsidRPr="00A77C8E">
        <w:rPr>
          <w:rFonts w:asciiTheme="majorBidi" w:hAnsiTheme="majorBidi" w:cstheme="majorBidi"/>
          <w:sz w:val="24"/>
          <w:szCs w:val="24"/>
        </w:rPr>
        <w:t xml:space="preserve"> MC analogs </w:t>
      </w:r>
      <w:r w:rsidR="00EB5FDB">
        <w:rPr>
          <w:rFonts w:asciiTheme="majorBidi" w:hAnsiTheme="majorBidi" w:cstheme="majorBidi"/>
          <w:sz w:val="24"/>
          <w:szCs w:val="24"/>
        </w:rPr>
        <w:t xml:space="preserve">exhibited an irregular surface </w:t>
      </w:r>
      <w:r w:rsidR="0085248C">
        <w:rPr>
          <w:rFonts w:asciiTheme="majorBidi" w:hAnsiTheme="majorBidi" w:cstheme="majorBidi"/>
          <w:sz w:val="24"/>
          <w:szCs w:val="24"/>
        </w:rPr>
        <w:t>morphology</w:t>
      </w:r>
      <w:r w:rsidR="00EB5FDB">
        <w:rPr>
          <w:rFonts w:asciiTheme="majorBidi" w:hAnsiTheme="majorBidi" w:cstheme="majorBidi"/>
          <w:sz w:val="24"/>
          <w:szCs w:val="24"/>
        </w:rPr>
        <w:t xml:space="preserve"> </w:t>
      </w:r>
      <w:r w:rsidR="003B4190">
        <w:rPr>
          <w:rFonts w:asciiTheme="majorBidi" w:hAnsiTheme="majorBidi" w:cstheme="majorBidi"/>
          <w:sz w:val="24"/>
          <w:szCs w:val="24"/>
        </w:rPr>
        <w:t>similar</w:t>
      </w:r>
      <w:r w:rsidR="003B4190" w:rsidRPr="00A77C8E">
        <w:rPr>
          <w:rFonts w:asciiTheme="majorBidi" w:hAnsiTheme="majorBidi" w:cstheme="majorBidi"/>
          <w:sz w:val="24"/>
          <w:szCs w:val="24"/>
        </w:rPr>
        <w:t xml:space="preserve"> to FNA MCs </w:t>
      </w:r>
      <w:r w:rsidR="003B4190">
        <w:rPr>
          <w:rFonts w:asciiTheme="majorBidi" w:hAnsiTheme="majorBidi" w:cstheme="majorBidi"/>
          <w:sz w:val="24"/>
          <w:szCs w:val="24"/>
        </w:rPr>
        <w:t>observed</w:t>
      </w:r>
      <w:r w:rsidR="003B4190" w:rsidRPr="00A77C8E">
        <w:rPr>
          <w:rFonts w:asciiTheme="majorBidi" w:hAnsiTheme="majorBidi" w:cstheme="majorBidi"/>
          <w:sz w:val="24"/>
          <w:szCs w:val="24"/>
        </w:rPr>
        <w:t xml:space="preserve"> in cancerous thyroid nodules</w:t>
      </w:r>
      <w:r w:rsidR="008F185C">
        <w:rPr>
          <w:rFonts w:asciiTheme="majorBidi" w:hAnsiTheme="majorBidi" w:cstheme="majorBidi"/>
          <w:sz w:val="24"/>
          <w:szCs w:val="24"/>
        </w:rPr>
        <w:t>.</w:t>
      </w:r>
      <w:r w:rsidR="00590310">
        <w:rPr>
          <w:rFonts w:asciiTheme="majorBidi" w:hAnsiTheme="majorBidi" w:cstheme="majorBidi"/>
          <w:sz w:val="24"/>
          <w:szCs w:val="24"/>
        </w:rPr>
        <w:t xml:space="preserve"> </w:t>
      </w:r>
      <w:r w:rsidRPr="00A77C8E">
        <w:rPr>
          <w:rFonts w:asciiTheme="majorBidi" w:hAnsiTheme="majorBidi" w:cstheme="majorBidi"/>
          <w:sz w:val="24"/>
          <w:szCs w:val="24"/>
        </w:rPr>
        <w:t xml:space="preserve">These MC analogs display an inverse relationship between </w:t>
      </w:r>
      <w:r w:rsidR="00230A25">
        <w:rPr>
          <w:rFonts w:asciiTheme="majorBidi" w:hAnsiTheme="majorBidi" w:cstheme="majorBidi"/>
          <w:sz w:val="24"/>
          <w:szCs w:val="24"/>
        </w:rPr>
        <w:t>Zn</w:t>
      </w:r>
      <w:r w:rsidRPr="00A77C8E">
        <w:rPr>
          <w:rFonts w:asciiTheme="majorBidi" w:hAnsiTheme="majorBidi" w:cstheme="majorBidi"/>
          <w:sz w:val="24"/>
          <w:szCs w:val="24"/>
        </w:rPr>
        <w:t xml:space="preserve"> </w:t>
      </w:r>
      <w:r w:rsidR="00747D73">
        <w:rPr>
          <w:rFonts w:asciiTheme="majorBidi" w:hAnsiTheme="majorBidi" w:cstheme="majorBidi"/>
          <w:sz w:val="24"/>
          <w:szCs w:val="24"/>
        </w:rPr>
        <w:t>fraction</w:t>
      </w:r>
      <w:r w:rsidR="00747D73" w:rsidRPr="00A77C8E">
        <w:rPr>
          <w:rFonts w:asciiTheme="majorBidi" w:hAnsiTheme="majorBidi" w:cstheme="majorBidi"/>
          <w:sz w:val="24"/>
          <w:szCs w:val="24"/>
        </w:rPr>
        <w:t xml:space="preserve"> </w:t>
      </w:r>
      <w:r w:rsidRPr="00A77C8E">
        <w:rPr>
          <w:rFonts w:asciiTheme="majorBidi" w:hAnsiTheme="majorBidi" w:cstheme="majorBidi"/>
          <w:sz w:val="24"/>
          <w:szCs w:val="24"/>
        </w:rPr>
        <w:t xml:space="preserve">and crystallinity, as </w:t>
      </w:r>
      <w:r w:rsidR="00E027EB">
        <w:rPr>
          <w:rFonts w:asciiTheme="majorBidi" w:hAnsiTheme="majorBidi" w:cstheme="majorBidi"/>
          <w:sz w:val="24"/>
          <w:szCs w:val="24"/>
        </w:rPr>
        <w:t>shown by</w:t>
      </w:r>
      <w:r w:rsidR="00E027EB" w:rsidRPr="00A77C8E">
        <w:rPr>
          <w:rFonts w:asciiTheme="majorBidi" w:hAnsiTheme="majorBidi" w:cstheme="majorBidi"/>
          <w:sz w:val="24"/>
          <w:szCs w:val="24"/>
        </w:rPr>
        <w:t xml:space="preserve"> </w:t>
      </w:r>
      <w:r w:rsidRPr="00A77C8E">
        <w:rPr>
          <w:rFonts w:asciiTheme="majorBidi" w:hAnsiTheme="majorBidi" w:cstheme="majorBidi"/>
          <w:sz w:val="24"/>
          <w:szCs w:val="24"/>
        </w:rPr>
        <w:t>X-ray diffrac</w:t>
      </w:r>
      <w:r w:rsidR="00E027EB">
        <w:rPr>
          <w:rFonts w:asciiTheme="majorBidi" w:hAnsiTheme="majorBidi" w:cstheme="majorBidi"/>
          <w:sz w:val="24"/>
          <w:szCs w:val="24"/>
        </w:rPr>
        <w:t>tometry</w:t>
      </w:r>
      <w:r w:rsidRPr="00A77C8E">
        <w:rPr>
          <w:rFonts w:asciiTheme="majorBidi" w:hAnsiTheme="majorBidi" w:cstheme="majorBidi"/>
          <w:sz w:val="24"/>
          <w:szCs w:val="24"/>
        </w:rPr>
        <w:t xml:space="preserve">. </w:t>
      </w:r>
      <w:r w:rsidR="00B6367A">
        <w:rPr>
          <w:rFonts w:asciiTheme="majorBidi" w:hAnsiTheme="majorBidi" w:cstheme="majorBidi"/>
          <w:sz w:val="24"/>
          <w:szCs w:val="24"/>
        </w:rPr>
        <w:t>The zeta potential of the</w:t>
      </w:r>
      <w:r w:rsidR="003E26A4">
        <w:rPr>
          <w:rFonts w:asciiTheme="majorBidi" w:hAnsiTheme="majorBidi" w:cstheme="majorBidi"/>
          <w:sz w:val="24"/>
          <w:szCs w:val="24"/>
        </w:rPr>
        <w:t xml:space="preserve"> non</w:t>
      </w:r>
      <w:r w:rsidR="002F54F7">
        <w:rPr>
          <w:rFonts w:asciiTheme="majorBidi" w:hAnsiTheme="majorBidi" w:cstheme="majorBidi"/>
          <w:sz w:val="24"/>
          <w:szCs w:val="24"/>
        </w:rPr>
        <w:t>-</w:t>
      </w:r>
      <w:r w:rsidR="003E26A4">
        <w:rPr>
          <w:rFonts w:asciiTheme="majorBidi" w:hAnsiTheme="majorBidi" w:cstheme="majorBidi"/>
          <w:sz w:val="24"/>
          <w:szCs w:val="24"/>
        </w:rPr>
        <w:t>Zn-bearing</w:t>
      </w:r>
      <w:r w:rsidR="00B6367A">
        <w:rPr>
          <w:rFonts w:asciiTheme="majorBidi" w:hAnsiTheme="majorBidi" w:cstheme="majorBidi"/>
          <w:sz w:val="24"/>
          <w:szCs w:val="24"/>
        </w:rPr>
        <w:t xml:space="preserve"> </w:t>
      </w:r>
      <w:r w:rsidR="008F185C">
        <w:rPr>
          <w:rFonts w:asciiTheme="majorBidi" w:hAnsiTheme="majorBidi" w:cstheme="majorBidi"/>
          <w:sz w:val="24"/>
          <w:szCs w:val="24"/>
        </w:rPr>
        <w:t xml:space="preserve">hydroxyapatite </w:t>
      </w:r>
      <w:r w:rsidR="00B6367A">
        <w:rPr>
          <w:rFonts w:asciiTheme="majorBidi" w:hAnsiTheme="majorBidi" w:cstheme="majorBidi"/>
          <w:sz w:val="24"/>
          <w:szCs w:val="24"/>
        </w:rPr>
        <w:t>crystal</w:t>
      </w:r>
      <w:r w:rsidR="00FA5CB1">
        <w:rPr>
          <w:rFonts w:asciiTheme="majorBidi" w:hAnsiTheme="majorBidi" w:cstheme="majorBidi"/>
          <w:sz w:val="24"/>
          <w:szCs w:val="24"/>
        </w:rPr>
        <w:t>s</w:t>
      </w:r>
      <w:r w:rsidR="00B6367A">
        <w:rPr>
          <w:rFonts w:asciiTheme="majorBidi" w:hAnsiTheme="majorBidi" w:cstheme="majorBidi"/>
          <w:sz w:val="24"/>
          <w:szCs w:val="24"/>
        </w:rPr>
        <w:t xml:space="preserve"> was negative, which </w:t>
      </w:r>
      <w:r w:rsidR="00611003">
        <w:rPr>
          <w:rFonts w:asciiTheme="majorBidi" w:hAnsiTheme="majorBidi" w:cstheme="majorBidi"/>
          <w:sz w:val="24"/>
          <w:szCs w:val="24"/>
        </w:rPr>
        <w:t xml:space="preserve">decreased </w:t>
      </w:r>
      <w:r w:rsidR="007E5303">
        <w:rPr>
          <w:rFonts w:asciiTheme="majorBidi" w:hAnsiTheme="majorBidi" w:cstheme="majorBidi"/>
          <w:sz w:val="24"/>
          <w:szCs w:val="24"/>
        </w:rPr>
        <w:t>once Zn was incorporated in</w:t>
      </w:r>
      <w:r w:rsidR="00B6367A">
        <w:rPr>
          <w:rFonts w:asciiTheme="majorBidi" w:hAnsiTheme="majorBidi" w:cstheme="majorBidi"/>
          <w:sz w:val="24"/>
          <w:szCs w:val="24"/>
        </w:rPr>
        <w:t>to</w:t>
      </w:r>
      <w:r w:rsidR="007E5303">
        <w:rPr>
          <w:rFonts w:asciiTheme="majorBidi" w:hAnsiTheme="majorBidi" w:cstheme="majorBidi"/>
          <w:sz w:val="24"/>
          <w:szCs w:val="24"/>
        </w:rPr>
        <w:t xml:space="preserve"> the crystal</w:t>
      </w:r>
      <w:r w:rsidR="00611003">
        <w:rPr>
          <w:rFonts w:asciiTheme="majorBidi" w:hAnsiTheme="majorBidi" w:cstheme="majorBidi"/>
          <w:sz w:val="24"/>
          <w:szCs w:val="24"/>
        </w:rPr>
        <w:t>.</w:t>
      </w:r>
      <w:r w:rsidR="008010B4">
        <w:rPr>
          <w:rFonts w:asciiTheme="majorBidi" w:hAnsiTheme="majorBidi" w:cstheme="majorBidi"/>
          <w:sz w:val="24"/>
          <w:szCs w:val="24"/>
        </w:rPr>
        <w:t xml:space="preserve"> </w:t>
      </w:r>
      <w:r w:rsidR="008010B4" w:rsidRPr="00971E31">
        <w:rPr>
          <w:rFonts w:asciiTheme="majorBidi" w:hAnsiTheme="majorBidi" w:cstheme="majorBidi"/>
          <w:sz w:val="24"/>
          <w:szCs w:val="24"/>
          <w:highlight w:val="green"/>
        </w:rPr>
        <w:t>The MC analogs were not cytotoxic</w:t>
      </w:r>
      <w:r w:rsidR="00CD15D2">
        <w:rPr>
          <w:rFonts w:asciiTheme="majorBidi" w:hAnsiTheme="majorBidi" w:cstheme="majorBidi"/>
          <w:sz w:val="24"/>
          <w:szCs w:val="24"/>
          <w:highlight w:val="green"/>
        </w:rPr>
        <w:t>.</w:t>
      </w:r>
      <w:r w:rsidR="008010B4" w:rsidRPr="00971E31">
        <w:rPr>
          <w:rFonts w:asciiTheme="majorBidi" w:hAnsiTheme="majorBidi" w:cstheme="majorBidi"/>
          <w:sz w:val="24"/>
          <w:szCs w:val="24"/>
          <w:highlight w:val="green"/>
        </w:rPr>
        <w:t xml:space="preserve"> </w:t>
      </w:r>
      <w:r w:rsidR="00CD15D2">
        <w:rPr>
          <w:rFonts w:asciiTheme="majorBidi" w:hAnsiTheme="majorBidi" w:cstheme="majorBidi"/>
          <w:sz w:val="24"/>
          <w:szCs w:val="24"/>
          <w:highlight w:val="green"/>
        </w:rPr>
        <w:t>T</w:t>
      </w:r>
      <w:r w:rsidR="008010B4" w:rsidRPr="00971E31">
        <w:rPr>
          <w:rFonts w:asciiTheme="majorBidi" w:hAnsiTheme="majorBidi" w:cstheme="majorBidi"/>
          <w:sz w:val="24"/>
          <w:szCs w:val="24"/>
          <w:highlight w:val="green"/>
        </w:rPr>
        <w:t>he cellular response to treatment with these crystals was evaluated in terms of cell migration, proliferation, the tendency</w:t>
      </w:r>
      <w:r w:rsidR="00CD15D2">
        <w:rPr>
          <w:rFonts w:asciiTheme="majorBidi" w:hAnsiTheme="majorBidi" w:cstheme="majorBidi"/>
          <w:sz w:val="24"/>
          <w:szCs w:val="24"/>
          <w:highlight w:val="green"/>
        </w:rPr>
        <w:t xml:space="preserve"> of the cells</w:t>
      </w:r>
      <w:r w:rsidR="008010B4" w:rsidRPr="00971E31">
        <w:rPr>
          <w:rFonts w:asciiTheme="majorBidi" w:hAnsiTheme="majorBidi" w:cstheme="majorBidi"/>
          <w:sz w:val="24"/>
          <w:szCs w:val="24"/>
          <w:highlight w:val="green"/>
        </w:rPr>
        <w:t xml:space="preserve"> to form multicellular spheroids, and the expression of cancer markers.</w:t>
      </w:r>
      <w:r w:rsidR="00611003">
        <w:rPr>
          <w:rFonts w:asciiTheme="majorBidi" w:hAnsiTheme="majorBidi" w:cstheme="majorBidi"/>
          <w:sz w:val="24"/>
          <w:szCs w:val="24"/>
        </w:rPr>
        <w:t xml:space="preserve"> </w:t>
      </w:r>
      <w:r w:rsidR="00F12E1E" w:rsidRPr="00F34B57">
        <w:rPr>
          <w:rFonts w:asciiTheme="majorBidi" w:hAnsiTheme="majorBidi" w:cstheme="majorBidi"/>
          <w:sz w:val="24"/>
          <w:szCs w:val="24"/>
        </w:rPr>
        <w:t>Our</w:t>
      </w:r>
      <w:r w:rsidRPr="00F34B57">
        <w:rPr>
          <w:rFonts w:asciiTheme="majorBidi" w:hAnsiTheme="majorBidi" w:cstheme="majorBidi"/>
          <w:sz w:val="24"/>
          <w:szCs w:val="24"/>
        </w:rPr>
        <w:t xml:space="preserve"> </w:t>
      </w:r>
      <w:r w:rsidR="00916E3B" w:rsidRPr="00F34B57">
        <w:rPr>
          <w:rFonts w:asciiTheme="majorBidi" w:hAnsiTheme="majorBidi" w:cstheme="majorBidi"/>
          <w:sz w:val="24"/>
          <w:szCs w:val="24"/>
        </w:rPr>
        <w:t xml:space="preserve">findings </w:t>
      </w:r>
      <w:r w:rsidR="00A4682D" w:rsidRPr="00F34B57">
        <w:rPr>
          <w:rFonts w:asciiTheme="majorBidi" w:hAnsiTheme="majorBidi" w:cstheme="majorBidi"/>
          <w:sz w:val="24"/>
          <w:szCs w:val="24"/>
        </w:rPr>
        <w:t xml:space="preserve">suggest </w:t>
      </w:r>
      <w:r w:rsidR="00D3294D" w:rsidRPr="00F34B57">
        <w:rPr>
          <w:rFonts w:asciiTheme="majorBidi" w:hAnsiTheme="majorBidi" w:cstheme="majorBidi"/>
          <w:sz w:val="24"/>
          <w:szCs w:val="24"/>
        </w:rPr>
        <w:t>that i</w:t>
      </w:r>
      <w:r w:rsidRPr="00F34B57">
        <w:rPr>
          <w:rFonts w:asciiTheme="majorBidi" w:hAnsiTheme="majorBidi" w:cstheme="majorBidi"/>
          <w:sz w:val="24"/>
          <w:szCs w:val="24"/>
        </w:rPr>
        <w:t xml:space="preserve">f thyroid MCs play a role in promoting cancerous behavior </w:t>
      </w:r>
      <w:r w:rsidRPr="00F34B57">
        <w:rPr>
          <w:rFonts w:asciiTheme="majorBidi" w:hAnsiTheme="majorBidi" w:cstheme="majorBidi"/>
          <w:i/>
          <w:iCs/>
          <w:sz w:val="24"/>
          <w:szCs w:val="24"/>
        </w:rPr>
        <w:t>in vivo</w:t>
      </w:r>
      <w:r w:rsidRPr="00F34B57">
        <w:rPr>
          <w:rFonts w:asciiTheme="majorBidi" w:hAnsiTheme="majorBidi" w:cstheme="majorBidi"/>
          <w:sz w:val="24"/>
          <w:szCs w:val="24"/>
        </w:rPr>
        <w:t>, it</w:t>
      </w:r>
      <w:r w:rsidR="00A77C8E" w:rsidRPr="00F34B57">
        <w:rPr>
          <w:rFonts w:asciiTheme="majorBidi" w:hAnsiTheme="majorBidi" w:cstheme="majorBidi"/>
          <w:sz w:val="24"/>
          <w:szCs w:val="24"/>
        </w:rPr>
        <w:t xml:space="preserve"> i</w:t>
      </w:r>
      <w:r w:rsidRPr="00F34B57">
        <w:rPr>
          <w:rFonts w:asciiTheme="majorBidi" w:hAnsiTheme="majorBidi" w:cstheme="majorBidi"/>
          <w:sz w:val="24"/>
          <w:szCs w:val="24"/>
        </w:rPr>
        <w:t>s likely a result of the interplay between crystallinity</w:t>
      </w:r>
      <w:r w:rsidR="00F12E1E" w:rsidRPr="00F34B57">
        <w:rPr>
          <w:rFonts w:asciiTheme="majorBidi" w:hAnsiTheme="majorBidi" w:cstheme="majorBidi"/>
          <w:sz w:val="24"/>
          <w:szCs w:val="24"/>
        </w:rPr>
        <w:t xml:space="preserve"> </w:t>
      </w:r>
      <w:r w:rsidRPr="00F34B57">
        <w:rPr>
          <w:rFonts w:asciiTheme="majorBidi" w:hAnsiTheme="majorBidi" w:cstheme="majorBidi"/>
          <w:sz w:val="24"/>
          <w:szCs w:val="24"/>
        </w:rPr>
        <w:t xml:space="preserve">and </w:t>
      </w:r>
      <w:r w:rsidR="00230A25" w:rsidRPr="00F34B57">
        <w:rPr>
          <w:rFonts w:asciiTheme="majorBidi" w:hAnsiTheme="majorBidi" w:cstheme="majorBidi"/>
          <w:sz w:val="24"/>
          <w:szCs w:val="24"/>
        </w:rPr>
        <w:t>Zn</w:t>
      </w:r>
      <w:r w:rsidRPr="00F34B57">
        <w:rPr>
          <w:rFonts w:asciiTheme="majorBidi" w:hAnsiTheme="majorBidi" w:cstheme="majorBidi"/>
          <w:sz w:val="24"/>
          <w:szCs w:val="24"/>
        </w:rPr>
        <w:t xml:space="preserve"> </w:t>
      </w:r>
      <w:r w:rsidR="00737954" w:rsidRPr="00F34B57">
        <w:rPr>
          <w:rFonts w:asciiTheme="majorBidi" w:hAnsiTheme="majorBidi" w:cstheme="majorBidi"/>
          <w:sz w:val="24"/>
          <w:szCs w:val="24"/>
        </w:rPr>
        <w:t xml:space="preserve">and carbonate </w:t>
      </w:r>
      <w:r w:rsidR="00886F1A" w:rsidRPr="00F34B57">
        <w:rPr>
          <w:rFonts w:asciiTheme="majorBidi" w:hAnsiTheme="majorBidi" w:cstheme="majorBidi"/>
          <w:sz w:val="24"/>
          <w:szCs w:val="24"/>
        </w:rPr>
        <w:t xml:space="preserve">fractions </w:t>
      </w:r>
      <w:r w:rsidR="005803DA" w:rsidRPr="00F34B57">
        <w:rPr>
          <w:rFonts w:asciiTheme="majorBidi" w:hAnsiTheme="majorBidi" w:cstheme="majorBidi"/>
          <w:sz w:val="24"/>
          <w:szCs w:val="24"/>
        </w:rPr>
        <w:t>in MCs</w:t>
      </w:r>
      <w:r w:rsidRPr="00F34B57">
        <w:rPr>
          <w:rFonts w:asciiTheme="majorBidi" w:hAnsiTheme="majorBidi" w:cstheme="majorBidi"/>
          <w:sz w:val="24"/>
          <w:szCs w:val="24"/>
        </w:rPr>
        <w:t>.</w:t>
      </w:r>
    </w:p>
    <w:p w14:paraId="108EF0FD" w14:textId="1C95561D" w:rsidR="005F4A5A" w:rsidRDefault="005F4A5A" w:rsidP="00AB3F9D">
      <w:pPr>
        <w:spacing w:after="0" w:line="360" w:lineRule="auto"/>
        <w:rPr>
          <w:rFonts w:asciiTheme="majorBidi" w:hAnsiTheme="majorBidi" w:cstheme="majorBidi"/>
          <w:b/>
          <w:bCs/>
          <w:noProof/>
          <w:sz w:val="24"/>
          <w:szCs w:val="24"/>
        </w:rPr>
      </w:pPr>
    </w:p>
    <w:p w14:paraId="3E9509DD" w14:textId="77777777" w:rsidR="00F12E1E" w:rsidRDefault="00F12E1E" w:rsidP="00AB3F9D">
      <w:pPr>
        <w:spacing w:after="0" w:line="360" w:lineRule="auto"/>
        <w:rPr>
          <w:rFonts w:asciiTheme="majorBidi" w:hAnsiTheme="majorBidi" w:cstheme="majorBidi"/>
          <w:b/>
          <w:bCs/>
          <w:noProof/>
          <w:sz w:val="24"/>
          <w:szCs w:val="24"/>
        </w:rPr>
      </w:pPr>
    </w:p>
    <w:p w14:paraId="5E62E03C" w14:textId="77777777" w:rsidR="00F12E1E" w:rsidRDefault="00F12E1E" w:rsidP="00AB3F9D">
      <w:pPr>
        <w:spacing w:after="0" w:line="360" w:lineRule="auto"/>
        <w:rPr>
          <w:rFonts w:asciiTheme="majorBidi" w:hAnsiTheme="majorBidi" w:cstheme="majorBidi"/>
          <w:b/>
          <w:bCs/>
          <w:noProof/>
          <w:sz w:val="24"/>
          <w:szCs w:val="24"/>
        </w:rPr>
      </w:pPr>
    </w:p>
    <w:p w14:paraId="4BDD70AC" w14:textId="77777777" w:rsidR="00D772D0" w:rsidRPr="008F1A9A" w:rsidRDefault="00D772D0" w:rsidP="00AB3F9D">
      <w:pPr>
        <w:pStyle w:val="ListParagraph"/>
        <w:numPr>
          <w:ilvl w:val="0"/>
          <w:numId w:val="1"/>
        </w:numPr>
        <w:spacing w:after="0" w:line="360" w:lineRule="auto"/>
        <w:rPr>
          <w:rFonts w:asciiTheme="majorBidi" w:hAnsiTheme="majorBidi" w:cstheme="majorBidi"/>
          <w:b/>
          <w:bCs/>
          <w:sz w:val="24"/>
          <w:szCs w:val="24"/>
        </w:rPr>
      </w:pPr>
      <w:r w:rsidRPr="008F1A9A">
        <w:rPr>
          <w:rFonts w:asciiTheme="majorBidi" w:hAnsiTheme="majorBidi" w:cstheme="majorBidi"/>
          <w:b/>
          <w:bCs/>
          <w:sz w:val="24"/>
          <w:szCs w:val="24"/>
        </w:rPr>
        <w:lastRenderedPageBreak/>
        <w:t>Introduction</w:t>
      </w:r>
      <w:r>
        <w:rPr>
          <w:rFonts w:asciiTheme="majorBidi" w:hAnsiTheme="majorBidi" w:cstheme="majorBidi"/>
          <w:b/>
          <w:bCs/>
          <w:sz w:val="24"/>
          <w:szCs w:val="24"/>
        </w:rPr>
        <w:t xml:space="preserve"> </w:t>
      </w:r>
    </w:p>
    <w:p w14:paraId="67F8A4C7" w14:textId="565E3AB7" w:rsidR="007D7B5F" w:rsidRDefault="00D772D0" w:rsidP="00AB3F9D">
      <w:pPr>
        <w:widowControl w:val="0"/>
        <w:autoSpaceDE w:val="0"/>
        <w:autoSpaceDN w:val="0"/>
        <w:adjustRightInd w:val="0"/>
        <w:spacing w:after="0" w:line="360" w:lineRule="auto"/>
        <w:jc w:val="both"/>
        <w:rPr>
          <w:rFonts w:asciiTheme="majorBidi" w:hAnsiTheme="majorBidi" w:cstheme="majorBidi"/>
          <w:sz w:val="24"/>
          <w:szCs w:val="24"/>
        </w:rPr>
      </w:pPr>
      <w:r w:rsidRPr="00A97995">
        <w:rPr>
          <w:rFonts w:asciiTheme="majorBidi" w:hAnsiTheme="majorBidi" w:cstheme="majorBidi"/>
          <w:sz w:val="24"/>
          <w:shd w:val="clear" w:color="auto" w:fill="FFFFFF"/>
        </w:rPr>
        <w:t>Mineral deposits form in the human body as part of the skeletal system, but also due to tissue abnormalities, biomaterial implantation, and disease</w:t>
      </w:r>
      <w:r w:rsidR="008531BC">
        <w:rPr>
          <w:rFonts w:asciiTheme="majorBidi" w:hAnsiTheme="majorBidi" w:cstheme="majorBidi"/>
          <w:sz w:val="24"/>
          <w:shd w:val="clear" w:color="auto" w:fill="FFFFFF"/>
        </w:rPr>
        <w:t xml:space="preserve"> </w:t>
      </w:r>
      <w:r w:rsidR="00135FBE">
        <w:rPr>
          <w:rFonts w:asciiTheme="majorBidi" w:hAnsiTheme="majorBidi" w:cstheme="majorBidi"/>
          <w:color w:val="212121"/>
          <w:sz w:val="24"/>
          <w:shd w:val="clear" w:color="auto" w:fill="FFFFFF"/>
        </w:rPr>
        <w:fldChar w:fldCharType="begin" w:fldLock="1"/>
      </w:r>
      <w:r w:rsidR="00463093">
        <w:rPr>
          <w:rFonts w:asciiTheme="majorBidi" w:hAnsiTheme="majorBidi" w:cstheme="majorBidi"/>
          <w:color w:val="212121"/>
          <w:sz w:val="24"/>
          <w:shd w:val="clear" w:color="auto" w:fill="FFFFFF"/>
        </w:rPr>
        <w:instrText>ADDIN CSL_CITATION {"citationItems":[{"id":"ITEM-1","itemData":{"DOI":"10.1016/j.mtcomm.2022.104916","ISSN":"23524928","abstract":"Current heart valve replacements (HVRs) fail to comprehensively capture the physiological behavior of native heart valve tissues, allowing the burden of valvular heart disease to persist after surgical intervention. Through extensive research and clinical experience, it has become evident that material selection is central to the success of HVRs. One outstanding candidate material for next-generation HVRs is polyurethane. These polymers exhibit a unique segmented chemical structure that can imitate the mechanical strength and elasticity of soft biological tissues. Consequently, polyurethanes have long been investigated as HVR materials, however, progression to clinical utility has historically been impaired by the material's susceptibility to biodegradation and calcification. This review presents a concise and critical analysis of past and recent investigations to elucidate the contemporary potential of polyurethane HVRs. Importantly, the overwhelming clinical failure of past prototypes necessitated a detailed examination to validate any further use of polyurethanes in HVR development. Recently, advancements in polyurethane chemistry have contributed towards addressing the shortcomings of polyurethane HVRs, encouraging progress towards clinical translation.","author":[{"dropping-particle":"","family":"Crago","given":"Matthew","non-dropping-particle":"","parse-names":false,"suffix":""},{"dropping-particle":"","family":"Lee","given":"Aeryne","non-dropping-particle":"","parse-names":false,"suffix":""},{"dropping-particle":"","family":"Farajikhah","given":"Syamak","non-dropping-particle":"","parse-names":false,"suffix":""},{"dropping-particle":"","family":"Oveissi","given":"Farshad","non-dropping-particle":"","parse-names":false,"suffix":""},{"dropping-particle":"","family":"Fletcher","given":"David Frederick","non-dropping-particle":"","parse-names":false,"suffix":""},{"dropping-particle":"","family":"Dehghani","given":"Fariba","non-dropping-particle":"","parse-names":false,"suffix":""},{"dropping-particle":"","family":"Winlaw","given":"David Scott","non-dropping-particle":"","parse-names":false,"suffix":""},{"dropping-particle":"","family":"Naficy","given":"Sina","non-dropping-particle":"","parse-names":false,"suffix":""}],"container-title":"Materials Today Communications","id":"ITEM-1","issue":"November","issued":{"date-parts":[["2022"]]},"page":"104916","publisher":"Elsevier Ltd","title":"The evolution of polyurethane heart valve replacements: How chemistry translates to the clinic","type":"article-journal","volume":"33"},"uris":["http://www.mendeley.com/documents/?uuid=721817c0-26ff-4ac0-8686-ec44b3d99136"]},{"id":"ITEM-2","itemData":{"DOI":"10.1038/natrevmats.2016.41","ISSN":"20588437","abstract":"From an engineering perspective, skeletal tissues are remarkable structures because they are lightweight, stiff and tough, yet produced at ambient conditions. The biomechanical success of skeletal tissues is largely attributable to the process of biomineralization-a tightly regulated, cell-driven formation of billions of inorganic nanocrystals formed from ions found abundantly in body fluids. In this Review, we discuss nature's strategies to produce and sustain appropriate biomechanical properties in mineralizing (by the promotion of mineralization) and non-mineralizing (by the inhibition of mineralization) tissues. We review how perturbations of biomineralization are controlled over a continuum that spans from the desirable (or defective in disease) mineralization of the skeleton to pathological cardiovascular mineralization, and to mineralization of bioengineered constructs. A materials science vision of mineralization is presented with an emphasis on the micro- and nanostructure of mineralized tissues recently revealed by state-of-the-art analytical methods, and on how biomineralization-inspired designs are influencing the field of synthetic materials.","author":[{"dropping-particle":"","family":"Reznikov","given":"N.","non-dropping-particle":"","parse-names":false,"suffix":""},{"dropping-particle":"","family":"Steele","given":"J. A.M.","non-dropping-particle":"","parse-names":false,"suffix":""},{"dropping-particle":"","family":"Fratzl","given":"P.","non-dropping-particle":"","parse-names":false,"suffix":""},{"dropping-particle":"","family":"Stevens","given":"M. M.","non-dropping-particle":"","parse-names":false,"suffix":""}],"container-title":"Nature Reviews Materials","id":"ITEM-2","issue":"8","issued":{"date-parts":[["2016"]]},"page":"16041","title":"A materials science vision of extracellular matrix mineralization","type":"article-journal","volume":"1"},"uris":["http://www.mendeley.com/documents/?uuid=bd4d4eb4-c4ac-4359-bd71-1db347bcd211"]},{"id":"ITEM-3","itemData":{"DOI":"10.1038/NMAT3627","abstract":"The accumulation of calcified material in cardiovascular tissue is thought to involve cytochemical, extracellular matrix and systemic signals; however, its precise composition and nanoscale architecture remain largely unexplored. Using nano-analytical electron microscopy techniques, we examined valves, aortae and coronary arteries from patients with and without calcific cardiovascular disease and detected spherical calcium phosphate particles, regardless of the presence of calcific lesions. We also examined lesions after sectioning with a focused ion beam and found that the spherical particles are composed of highly crystalline hydroxyapatite that crystallographically and structurally differs from bone mineral. Taken together, these data suggest that mineralized spherical particles may play a fundamental role in calcific lesion formation. Their ubiquitous presence in varied cardiovascular tissues and from patients with a spectrum of diseases further suggests that lesion formation may follow a common process. Indeed, applying materials science techniques to ectopic and orthotopic calcification has great potential to lend critical insights into pathophysiological processes underlying calcific cardiovascular disease.","author":[{"dropping-particle":"","family":"Bertazzo","given":"Sergio","non-dropping-particle":"","parse-names":false,"suffix":""},{"dropping-particle":"","family":"Gentleman","given":"Eileen","non-dropping-particle":"","parse-names":false,"suffix":""},{"dropping-particle":"","family":"Cloyd","given":"Kristy L","non-dropping-particle":"","parse-names":false,"suffix":""},{"dropping-particle":"","family":"Chester","given":"Adrian H","non-dropping-particle":"","parse-names":false,"suffix":""},{"dropping-particle":"","family":"Yacoub","given":"Magdi H","non-dropping-particle":"","parse-names":false,"suffix":""},{"dropping-particle":"","family":"Stevens","given":"Molly M","non-dropping-particle":"","parse-names":false,"suffix":""}],"container-title":"Nature Materials","id":"ITEM-3","issued":{"date-parts":[["2013"]]},"page":"576–583","title":"Nano-analytical electron microscopy reveals fundamental insights into human cardiovascular tissue calcification","type":"article-journal","volume":"12"},"uris":["http://www.mendeley.com/documents/?uuid=c7295c0e-6d44-3006-8fbe-abaff5b3435f"]},{"id":"ITEM-4","itemData":{"DOI":"10.1007/s00223-013-9712-z","abstract":"Vascular calcification is highly associated with cardiovascular disease mortality, particularly in high-risk patients with diabetes and chronic kidney diseases (CKD). In blood vessels, intimal calcification is associated with athero-sclerosis, whereas medial calcification is a nonocclusive process which leads to increased vascular stiffness and reduced vascular compliance. In the valves, calcification of the leaflets can change the mechanical properties of the tissue and result in stenosis. For many decades, vascular calcification has been noted as a consequence of aging. Studies now confirm that vascular calcification is an actively regulated process and shares many features with bone development and metabolism. This review provides an update on the mechanisms of vascular calcification including the emerging roles of the RANK/RANKL/OPG triad, osteoclasts, and microRNAs. Potential treatments adapted from osteoporosis and CKD treatments that are under investigation for preventing and/or regressing vascular calcification are also reviewed.","author":[{"dropping-particle":"","family":"Wu","given":"Meiting","non-dropping-particle":"","parse-names":false,"suffix":""},{"dropping-particle":"","family":"Rementer","given":"Cameron","non-dropping-particle":"","parse-names":false,"suffix":""},{"dropping-particle":"","family":"Giachelli","given":"Cecilia M","non-dropping-particle":"","parse-names":false,"suffix":""}],"container-title":"Calcified Tissue International","id":"ITEM-4","issued":{"date-parts":[["2013"]]},"page":"365-373","title":"Vascular Calcification: An update on mechanisms and challenges in treatment","type":"article-journal","volume":"93"},"uris":["http://www.mendeley.com/documents/?uuid=e1c9ea4f-c68a-34bf-92e5-f0f79257e3d9"]}],"mendeley":{"formattedCitation":"[1–4]","plainTextFormattedCitation":"[1–4]","previouslyFormattedCitation":"[1–4]"},"properties":{"noteIndex":0},"schema":"https://github.com/citation-style-language/schema/raw/master/csl-citation.json"}</w:instrText>
      </w:r>
      <w:r w:rsidR="00135FBE">
        <w:rPr>
          <w:rFonts w:asciiTheme="majorBidi" w:hAnsiTheme="majorBidi" w:cstheme="majorBidi"/>
          <w:color w:val="212121"/>
          <w:sz w:val="24"/>
          <w:shd w:val="clear" w:color="auto" w:fill="FFFFFF"/>
        </w:rPr>
        <w:fldChar w:fldCharType="separate"/>
      </w:r>
      <w:r w:rsidR="00135FBE" w:rsidRPr="00135FBE">
        <w:rPr>
          <w:rFonts w:asciiTheme="majorBidi" w:hAnsiTheme="majorBidi" w:cstheme="majorBidi"/>
          <w:noProof/>
          <w:color w:val="212121"/>
          <w:sz w:val="24"/>
          <w:shd w:val="clear" w:color="auto" w:fill="FFFFFF"/>
        </w:rPr>
        <w:t>[1–4]</w:t>
      </w:r>
      <w:r w:rsidR="00135FBE">
        <w:rPr>
          <w:rFonts w:asciiTheme="majorBidi" w:hAnsiTheme="majorBidi" w:cstheme="majorBidi"/>
          <w:color w:val="212121"/>
          <w:sz w:val="24"/>
          <w:shd w:val="clear" w:color="auto" w:fill="FFFFFF"/>
        </w:rPr>
        <w:fldChar w:fldCharType="end"/>
      </w:r>
      <w:r w:rsidRPr="00582814">
        <w:rPr>
          <w:rFonts w:asciiTheme="majorBidi" w:hAnsiTheme="majorBidi" w:cstheme="majorBidi"/>
          <w:color w:val="212121"/>
          <w:sz w:val="24"/>
          <w:shd w:val="clear" w:color="auto" w:fill="FFFFFF"/>
        </w:rPr>
        <w:t xml:space="preserve">. </w:t>
      </w:r>
      <w:r w:rsidRPr="004E67EE">
        <w:rPr>
          <w:rFonts w:asciiTheme="majorBidi" w:hAnsiTheme="majorBidi" w:cstheme="majorBidi"/>
          <w:sz w:val="24"/>
          <w:szCs w:val="24"/>
        </w:rPr>
        <w:t xml:space="preserve">In </w:t>
      </w:r>
      <w:r>
        <w:rPr>
          <w:rFonts w:asciiTheme="majorBidi" w:hAnsiTheme="majorBidi" w:cstheme="majorBidi"/>
          <w:sz w:val="24"/>
          <w:szCs w:val="24"/>
        </w:rPr>
        <w:t>certain cancers, such as breast, ovarian, and thyroid, mineral deposits called calcifications form in the tumor microenvironment</w:t>
      </w:r>
      <w:r w:rsidR="008531BC">
        <w:rPr>
          <w:rFonts w:asciiTheme="majorBidi" w:hAnsiTheme="majorBidi" w:cstheme="majorBidi"/>
          <w:sz w:val="24"/>
          <w:szCs w:val="24"/>
        </w:rPr>
        <w:t xml:space="preserve"> </w:t>
      </w:r>
      <w:r w:rsidR="00135FBE">
        <w:rPr>
          <w:rFonts w:asciiTheme="majorBidi" w:hAnsiTheme="majorBidi" w:cstheme="majorBidi"/>
          <w:sz w:val="24"/>
          <w:szCs w:val="24"/>
        </w:rPr>
        <w:fldChar w:fldCharType="begin" w:fldLock="1"/>
      </w:r>
      <w:r w:rsidR="00463093">
        <w:rPr>
          <w:rFonts w:asciiTheme="majorBidi" w:hAnsiTheme="majorBidi" w:cstheme="majorBidi"/>
          <w:sz w:val="24"/>
          <w:szCs w:val="24"/>
        </w:rPr>
        <w:instrText>ADDIN CSL_CITATION {"citationItems":[{"id":"ITEM-1","itemData":{"DOI":"10.1002/adhm.202001271","abstract":"Biomineralization of skeletal components (e.g., bone and teeth) is generally accepted to occur under strict cellular regulation, leading to mineral-organic composites with hierarchical structures and properties optimized for their designated function. Such cellular regulation includes promoting mineralization at desired sites as well as inhibiting mineralization in soft tissues and other undesirable locations. In contrast, pathological mineralization, with potentially harmful health effects, can occur as a result of tissue or metabolic abnormalities, disease, or implantation of certain biomaterials. This progress report defines mineralization pathway components and identifies the commonalities (and differences) between physiological (e.g., bone remodeling) and pathological calcification formation pathways, based, in part, upon the extent of cellular control within the system. These concepts are discussed in representative examples of calcium phosphate-based pathological mineralization in cancer (breast, thyroid, ovarian, and meningioma) and in cardiovascular disease. In-depth mechanistic understanding of pathological mineralization requires utilizing state-of-the-art materials science imaging and characterization techniques, focusing not only on the final deposits, but also on the earlier stages of crystal nucleation, growth, and aggregation. Such mechanistic understanding will further enable the use of pathological calcifications in diagnosis and prognosis, as well as possibly provide insights into preventative treatments for detrimental mineralization in disease.","author":[{"dropping-particle":"","family":"Vidavsky","given":"Netta","non-dropping-particle":"","parse-names":false,"suffix":""},{"dropping-particle":"","family":"Kunitake","given":"Jennie A M R","non-dropping-particle":"","parse-names":false,"suffix":""},{"dropping-particle":"","family":"Estroff","given":"Lara A","non-dropping-particle":"","parse-names":false,"suffix":""}],"container-title":"Advanced Healthcare Materials","id":"ITEM-1","issued":{"date-parts":[["2021"]]},"page":"2001271","title":"Multiple pathways for pathological calcification in the human body","type":"article-journal","volume":"10(4)"},"uris":["http://www.mendeley.com/documents/?uuid=fbb19699-d546-34de-b5d7-3747c27c797c"]}],"mendeley":{"formattedCitation":"[5]","plainTextFormattedCitation":"[5]","previouslyFormattedCitation":"[5]"},"properties":{"noteIndex":0},"schema":"https://github.com/citation-style-language/schema/raw/master/csl-citation.json"}</w:instrText>
      </w:r>
      <w:r w:rsidR="00135FBE">
        <w:rPr>
          <w:rFonts w:asciiTheme="majorBidi" w:hAnsiTheme="majorBidi" w:cstheme="majorBidi"/>
          <w:sz w:val="24"/>
          <w:szCs w:val="24"/>
        </w:rPr>
        <w:fldChar w:fldCharType="separate"/>
      </w:r>
      <w:r w:rsidR="00135FBE" w:rsidRPr="00135FBE">
        <w:rPr>
          <w:rFonts w:asciiTheme="majorBidi" w:hAnsiTheme="majorBidi" w:cstheme="majorBidi"/>
          <w:noProof/>
          <w:sz w:val="24"/>
          <w:szCs w:val="24"/>
        </w:rPr>
        <w:t>[5]</w:t>
      </w:r>
      <w:r w:rsidR="00135FBE">
        <w:rPr>
          <w:rFonts w:asciiTheme="majorBidi" w:hAnsiTheme="majorBidi" w:cstheme="majorBidi"/>
          <w:sz w:val="24"/>
          <w:szCs w:val="24"/>
        </w:rPr>
        <w:fldChar w:fldCharType="end"/>
      </w:r>
      <w:r>
        <w:rPr>
          <w:rFonts w:asciiTheme="majorBidi" w:hAnsiTheme="majorBidi" w:cstheme="majorBidi"/>
          <w:sz w:val="24"/>
          <w:szCs w:val="24"/>
        </w:rPr>
        <w:t xml:space="preserve">. These calcifications can be as large as a few </w:t>
      </w:r>
      <w:r w:rsidR="007D7B5F">
        <w:rPr>
          <w:rFonts w:asciiTheme="majorBidi" w:hAnsiTheme="majorBidi" w:cstheme="majorBidi"/>
          <w:sz w:val="24"/>
          <w:szCs w:val="24"/>
        </w:rPr>
        <w:t xml:space="preserve">millimeters </w:t>
      </w:r>
      <w:r>
        <w:rPr>
          <w:rFonts w:asciiTheme="majorBidi" w:hAnsiTheme="majorBidi" w:cstheme="majorBidi"/>
          <w:sz w:val="24"/>
          <w:szCs w:val="24"/>
        </w:rPr>
        <w:t xml:space="preserve">and can be detected during cancer screening </w:t>
      </w:r>
      <w:r w:rsidR="006D2307">
        <w:rPr>
          <w:rFonts w:asciiTheme="majorBidi" w:hAnsiTheme="majorBidi" w:cstheme="majorBidi"/>
          <w:sz w:val="24"/>
          <w:szCs w:val="24"/>
        </w:rPr>
        <w:t xml:space="preserve">methods </w:t>
      </w:r>
      <w:r>
        <w:rPr>
          <w:rFonts w:asciiTheme="majorBidi" w:hAnsiTheme="majorBidi" w:cstheme="majorBidi"/>
          <w:sz w:val="24"/>
          <w:szCs w:val="24"/>
        </w:rPr>
        <w:t>like mammography and ultrasonography</w:t>
      </w:r>
      <w:r w:rsidR="008531BC">
        <w:rPr>
          <w:rFonts w:asciiTheme="majorBidi" w:hAnsiTheme="majorBidi" w:cstheme="majorBidi"/>
          <w:sz w:val="24"/>
          <w:szCs w:val="24"/>
        </w:rPr>
        <w:t xml:space="preserve"> </w:t>
      </w:r>
      <w:r w:rsidR="00135FBE">
        <w:rPr>
          <w:rFonts w:asciiTheme="majorBidi" w:hAnsiTheme="majorBidi" w:cstheme="majorBidi"/>
          <w:sz w:val="24"/>
          <w:szCs w:val="24"/>
        </w:rPr>
        <w:fldChar w:fldCharType="begin" w:fldLock="1"/>
      </w:r>
      <w:r w:rsidR="00463093">
        <w:rPr>
          <w:rFonts w:asciiTheme="majorBidi" w:hAnsiTheme="majorBidi" w:cstheme="majorBidi"/>
          <w:sz w:val="24"/>
          <w:szCs w:val="24"/>
        </w:rPr>
        <w:instrText>ADDIN CSL_CITATION {"citationItems":[{"id":"ITEM-1","itemData":{"DOI":"10.1007/s12282-010-0223-8","abstract":"Background Triple-negative breast cancer is characterized as a cancer with a high malignancy potential and a poor prognosis. Therefore, early detection of this subtype of breast cancer is vital. In this paper, we describe the mammography and ultrasound findings of triple-negative breast cancer in a large population and investigate the specific features of this subtype. Methods From January 2007 to April 2010, mammogra-phy and ultrasound findings of 88 patients with triple-negative breast cancer were retrospectively reviewed. In this cohort, 52 patients underwent neoadjuvant chemo-therapy. We compared the pathological chemotherapy effects and radiological findings among these patients. Mammograms were reviewed according to the Japanese mammography guideline. Ultrasound findings were classified as masses, low echoic area, distortions, and calcifi-cations. Noted features included shapes, patterns of internal echoes, posterior echoes, vascularity, and elasticity scores. Results On mammography, triple-negative breast cancers frequently presented with a mass (62.4%). Masses with microlobulated margins were the most frequent (39.6%), indistinct (32.0%) and circumscribed (20.8%) were commonly observed, but spiculated margins were rare (4.7%). On ultrasound, cancers were more likely to present as a mass (92.5%), and less likely to show attenuating posterior echoes (8.8%). Of the 40 cases obtained via elasticity imaging, 35 (87.5%) lesions were scored as 4 or 5. There were no significant differences in the mammography or ultrasound findings between the chemotherapy effects. Conclusion Mammography and ultrasound imaging together revealed that the morphological features of triple-negative breast cancer include a lobulated mass, with less attenuating posterior echoes, some vascularity, and low elasticity.","author":[{"dropping-particle":"","family":"Kojima","given":"Yasuyuki","non-dropping-particle":"","parse-names":false,"suffix":""},{"dropping-particle":"","family":"Tsunoda","given":"Hiroko","non-dropping-particle":"","parse-names":false,"suffix":""}],"container-title":"Breast Cancer","id":"ITEM-1","issue":"18","issued":{"date-parts":[["2011"]]},"page":"146-151","title":"Imaging findings of triple-negative breast cancer Mammography and ultrasound features of triple-negative breast cancer","type":"article-journal","volume":"6"},"uris":["http://www.mendeley.com/documents/?uuid=c72af671-7512-3624-8aa8-eda83fe01548"]}],"mendeley":{"formattedCitation":"[6]","plainTextFormattedCitation":"[6]","previouslyFormattedCitation":"[6]"},"properties":{"noteIndex":0},"schema":"https://github.com/citation-style-language/schema/raw/master/csl-citation.json"}</w:instrText>
      </w:r>
      <w:r w:rsidR="00135FBE">
        <w:rPr>
          <w:rFonts w:asciiTheme="majorBidi" w:hAnsiTheme="majorBidi" w:cstheme="majorBidi"/>
          <w:sz w:val="24"/>
          <w:szCs w:val="24"/>
        </w:rPr>
        <w:fldChar w:fldCharType="separate"/>
      </w:r>
      <w:r w:rsidR="00135FBE" w:rsidRPr="00135FBE">
        <w:rPr>
          <w:rFonts w:asciiTheme="majorBidi" w:hAnsiTheme="majorBidi" w:cstheme="majorBidi"/>
          <w:noProof/>
          <w:sz w:val="24"/>
          <w:szCs w:val="24"/>
        </w:rPr>
        <w:t>[6]</w:t>
      </w:r>
      <w:r w:rsidR="00135FBE">
        <w:rPr>
          <w:rFonts w:asciiTheme="majorBidi" w:hAnsiTheme="majorBidi" w:cstheme="majorBidi"/>
          <w:sz w:val="24"/>
          <w:szCs w:val="24"/>
        </w:rPr>
        <w:fldChar w:fldCharType="end"/>
      </w:r>
      <w:r>
        <w:rPr>
          <w:rFonts w:asciiTheme="majorBidi" w:hAnsiTheme="majorBidi" w:cstheme="majorBidi"/>
          <w:sz w:val="24"/>
          <w:szCs w:val="24"/>
        </w:rPr>
        <w:t xml:space="preserve">. </w:t>
      </w:r>
      <w:r w:rsidR="00344EC5">
        <w:rPr>
          <w:rFonts w:asciiTheme="majorBidi" w:hAnsiTheme="majorBidi" w:cstheme="majorBidi"/>
          <w:sz w:val="24"/>
          <w:szCs w:val="24"/>
        </w:rPr>
        <w:t>Regarding</w:t>
      </w:r>
      <w:r w:rsidR="006D2307">
        <w:rPr>
          <w:rFonts w:asciiTheme="majorBidi" w:hAnsiTheme="majorBidi" w:cstheme="majorBidi"/>
          <w:sz w:val="24"/>
          <w:szCs w:val="24"/>
        </w:rPr>
        <w:t xml:space="preserve"> c</w:t>
      </w:r>
      <w:r>
        <w:rPr>
          <w:rFonts w:asciiTheme="majorBidi" w:hAnsiTheme="majorBidi" w:cstheme="majorBidi"/>
          <w:sz w:val="24"/>
          <w:szCs w:val="24"/>
        </w:rPr>
        <w:t>alcifications</w:t>
      </w:r>
      <w:r w:rsidR="002811B5">
        <w:rPr>
          <w:rFonts w:asciiTheme="majorBidi" w:hAnsiTheme="majorBidi" w:cstheme="majorBidi"/>
          <w:sz w:val="24"/>
          <w:szCs w:val="24"/>
        </w:rPr>
        <w:t xml:space="preserve"> smaller than</w:t>
      </w:r>
      <w:r w:rsidR="006D2307">
        <w:rPr>
          <w:rFonts w:asciiTheme="majorBidi" w:hAnsiTheme="majorBidi" w:cstheme="majorBidi"/>
          <w:sz w:val="24"/>
          <w:szCs w:val="24"/>
        </w:rPr>
        <w:t xml:space="preserve"> </w:t>
      </w:r>
      <w:r>
        <w:rPr>
          <w:rFonts w:asciiTheme="majorBidi" w:hAnsiTheme="majorBidi" w:cstheme="majorBidi"/>
          <w:sz w:val="24"/>
          <w:szCs w:val="24"/>
        </w:rPr>
        <w:t xml:space="preserve">100 </w:t>
      </w:r>
      <w:r w:rsidRPr="004E67EE">
        <w:rPr>
          <w:rFonts w:ascii="Symbol" w:hAnsi="Symbol" w:cstheme="majorBidi"/>
          <w:sz w:val="24"/>
          <w:szCs w:val="24"/>
        </w:rPr>
        <w:t></w:t>
      </w:r>
      <w:r>
        <w:rPr>
          <w:rFonts w:asciiTheme="majorBidi" w:hAnsiTheme="majorBidi" w:cstheme="majorBidi"/>
          <w:sz w:val="24"/>
          <w:szCs w:val="24"/>
        </w:rPr>
        <w:t>m</w:t>
      </w:r>
      <w:r w:rsidR="00344EC5">
        <w:rPr>
          <w:rFonts w:asciiTheme="majorBidi" w:hAnsiTheme="majorBidi" w:cstheme="majorBidi"/>
          <w:sz w:val="24"/>
          <w:szCs w:val="24"/>
        </w:rPr>
        <w:t>,</w:t>
      </w:r>
      <w:r w:rsidR="00D90BF1">
        <w:rPr>
          <w:rFonts w:asciiTheme="majorBidi" w:hAnsiTheme="majorBidi" w:cstheme="majorBidi"/>
          <w:sz w:val="24"/>
          <w:szCs w:val="24"/>
        </w:rPr>
        <w:t xml:space="preserve"> </w:t>
      </w:r>
      <w:r>
        <w:rPr>
          <w:rFonts w:asciiTheme="majorBidi" w:hAnsiTheme="majorBidi" w:cstheme="majorBidi"/>
          <w:sz w:val="24"/>
          <w:szCs w:val="24"/>
        </w:rPr>
        <w:t xml:space="preserve">termed microcalcifications (MCs), </w:t>
      </w:r>
      <w:r w:rsidR="008959E9">
        <w:rPr>
          <w:rFonts w:asciiTheme="majorBidi" w:hAnsiTheme="majorBidi" w:cstheme="majorBidi"/>
          <w:sz w:val="24"/>
          <w:szCs w:val="24"/>
        </w:rPr>
        <w:t xml:space="preserve">higher resolution techniques </w:t>
      </w:r>
      <w:r>
        <w:rPr>
          <w:rFonts w:asciiTheme="majorBidi" w:hAnsiTheme="majorBidi" w:cstheme="majorBidi"/>
          <w:sz w:val="24"/>
          <w:szCs w:val="24"/>
        </w:rPr>
        <w:t xml:space="preserve">such as histopathology, </w:t>
      </w:r>
      <w:r w:rsidR="00D90BF1">
        <w:rPr>
          <w:rFonts w:asciiTheme="majorBidi" w:hAnsiTheme="majorBidi" w:cstheme="majorBidi"/>
          <w:sz w:val="24"/>
          <w:szCs w:val="24"/>
        </w:rPr>
        <w:t>vibrational spectroscopy-based chemical mapping</w:t>
      </w:r>
      <w:r>
        <w:rPr>
          <w:rFonts w:asciiTheme="majorBidi" w:hAnsiTheme="majorBidi" w:cstheme="majorBidi"/>
          <w:sz w:val="24"/>
          <w:szCs w:val="24"/>
        </w:rPr>
        <w:t>, and electron microscopy</w:t>
      </w:r>
      <w:r w:rsidR="008959E9">
        <w:rPr>
          <w:rFonts w:asciiTheme="majorBidi" w:hAnsiTheme="majorBidi" w:cstheme="majorBidi"/>
          <w:sz w:val="24"/>
          <w:szCs w:val="24"/>
        </w:rPr>
        <w:t xml:space="preserve"> are required for characterization</w:t>
      </w:r>
      <w:r w:rsidR="008531BC">
        <w:rPr>
          <w:rFonts w:asciiTheme="majorBidi" w:hAnsiTheme="majorBidi" w:cstheme="majorBidi"/>
          <w:sz w:val="24"/>
          <w:szCs w:val="24"/>
        </w:rPr>
        <w:t xml:space="preserve"> </w:t>
      </w:r>
      <w:r w:rsidR="00CE5AAE">
        <w:rPr>
          <w:rFonts w:asciiTheme="majorBidi" w:hAnsiTheme="majorBidi" w:cstheme="majorBidi"/>
          <w:sz w:val="24"/>
          <w:szCs w:val="24"/>
        </w:rPr>
        <w:fldChar w:fldCharType="begin" w:fldLock="1"/>
      </w:r>
      <w:r w:rsidR="00463093">
        <w:rPr>
          <w:rFonts w:asciiTheme="majorBidi" w:hAnsiTheme="majorBidi" w:cstheme="majorBidi"/>
          <w:sz w:val="24"/>
          <w:szCs w:val="24"/>
        </w:rPr>
        <w:instrText>ADDIN CSL_CITATION {"citationItems":[{"id":"ITEM-1","itemData":{"DOI":"10.1016/j.jsb.2017.12.002","ISSN":"10958657","PMID":"29221896","abstract":"Microcalcifications (MCs) are routinely used to detect breast cancer in mammography. Little is known, however, about their materials properties and associated organic matrix, or their correlation to breast cancer prognosis. We combine histopathology, Raman microscopy, and electron microscopy to image MCs within snap-frozen human breast tissue and generate micron-scale resolution correlative maps of crystalline phase, trace metals, particle morphology, and organic matrix chemical signatures within high grade ductal carcinoma in situ (DCIS) and invasive cancer. We reveal the heterogeneity of mineral-matrix pairings, including punctate apatitic particles (&lt;2 µm) with associated trace elements (e.g., F, Na, and unexpectedly Al) distributed within the necrotic cores of DCIS, and both apatite and spheroidal whitlockite particles in invasive cancer within a matrix containing spectroscopic signatures of collagen, non-collagen proteins, cholesterol, carotenoids, and DNA. Among the three DCIS samples, we identify key similarities in MC morphology and distribution, supporting a dystrophic mineralization pathway. This multimodal methodology lays the groundwork for establishing MC heterogeneity in the context of breast cancer biology, and could dramatically improve current prognostic models.","author":[{"dropping-particle":"","family":"Kunitake","given":"Jennie A.M.R.","non-dropping-particle":"","parse-names":false,"suffix":""},{"dropping-particle":"","family":"Choi","given":"Siyoung","non-dropping-particle":"","parse-names":false,"suffix":""},{"dropping-particle":"","family":"Nguyen","given":"Kayla X.","non-dropping-particle":"","parse-names":false,"suffix":""},{"dropping-particle":"","family":"Lee","given":"Meredith M.","non-dropping-particle":"","parse-names":false,"suffix":""},{"dropping-particle":"","family":"He","given":"Frank","non-dropping-particle":"","parse-names":false,"suffix":""},{"dropping-particle":"","family":"Sudilovsky","given":"Daniel","non-dropping-particle":"","parse-names":false,"suffix":""},{"dropping-particle":"","family":"Morris","given":"Patrick G.","non-dropping-particle":"","parse-names":false,"suffix":""},{"dropping-particle":"","family":"Jochelson","given":"Maxine S.","non-dropping-particle":"","parse-names":false,"suffix":""},{"dropping-particle":"","family":"Hudis","given":"Clifford A.","non-dropping-particle":"","parse-names":false,"suffix":""},{"dropping-particle":"","family":"Muller","given":"David A.","non-dropping-particle":"","parse-names":false,"suffix":""},{"dropping-particle":"","family":"Fratzl","given":"Peter","non-dropping-particle":"","parse-names":false,"suffix":""},{"dropping-particle":"","family":"Fischbach","given":"Claudia","non-dropping-particle":"","parse-names":false,"suffix":""},{"dropping-particle":"","family":"Masic","given":"Admir","non-dropping-particle":"","parse-names":false,"suffix":""},{"dropping-particle":"","family":"Estroff","given":"Lara A.","non-dropping-particle":"","parse-names":false,"suffix":""}],"container-title":"Journal of Structural Biology","id":"ITEM-1","issue":"1","issued":{"date-parts":[["2018"]]},"page":"25-34","title":"Correlative imaging reveals physiochemical heterogeneity of microcalcifications in human breast carcinomas","type":"article-journal","volume":"202"},"uris":["http://www.mendeley.com/documents/?uuid=9bdd1549-5ed1-4e02-8842-876e02d29697"]},{"id":"ITEM-2","itemData":{"DOI":"10.1038/srep09907","ISSN":"00085472","PMID":"12235010","abstract":"We have applied Raman spectroscopy to analyze the chemical composition of microcalcifications occurring in benign and malignant lesions in the human breast. Microcalcifications were initially separated into two categories based on their Raman spectrum: type I, calcium oxalate dihydrate, and type II, calcium hydroxyapatite. Type I microcalcifications were diagnosed as benign, whereas type II were subdivided into benign and malignant categories using principal component analysis, a statistical technique. Although type II microcalcifications are primarily composed of calcium hydroxyapatite, they also contain trace amounts of several biological impurities. Using principal component analysis, we were able to highlight subtle chemical differences in type II microcalcifications that correlate with breast disease. On the basis of these results, we believe that type II microcalcifications formed in benign ducts typically contain a larger amount of calcium carbonate and a smaller amount of protein than those formed in malignant ducts. Using this diagnostic strategy, we were able to distinguish microcalcifications occurring in benign and malignant ducts with a sensitivity of 88% and a specificity of 93%. This is a significant improvement over current X-ray mammography techniques, which are unable to reliably differentiate microcalcifications in benign and malignant breast lesions.","author":[{"dropping-particle":"","family":"Haka","given":"Abigail S.","non-dropping-particle":"","parse-names":false,"suffix":""},{"dropping-particle":"","family":"Shafer-Peltier","given":"Karen E.","non-dropping-particle":"","parse-names":false,"suffix":""},{"dropping-particle":"","family":"Fitzmaurice","given":"Maryann","non-dropping-particle":"","parse-names":false,"suffix":""},{"dropping-particle":"","family":"Crowe","given":"Joseph","non-dropping-particle":"","parse-names":false,"suffix":""},{"dropping-particle":"","family":"Dasari","given":"Ramachandra R.","non-dropping-particle":"","parse-names":false,"suffix":""},{"dropping-particle":"","family":"Feld","given":"Michael S.","non-dropping-particle":"","parse-names":false,"suffix":""}],"container-title":"Cancer Research","id":"ITEM-2","issue":"18","issued":{"date-parts":[["2002"]]},"page":"5375-5380","title":"Identifying microcalcifications in benign and malignant breast lesions by probing differences in their chemical composition using raman spectroscopy","type":"article-journal","volume":"62"},"uris":["http://www.mendeley.com/documents/?uuid=4fd67f12-6357-413d-bdd8-6227de2a4a46"]},{"id":"ITEM-3","itemData":{"DOI":"10.1158/0008-5472.CAN-19-3204","ISSN":"15387445","PMID":"32094303","abstract":"Breast microcalcifications are a common mammographic finding. Microcalcifications are considered suspicious signs of breast cancer and a breast biopsy is required, however, cancer is diagnosed in only a few patients. Reducing unnecessary biopsies and rapid characterization of breast microcalcifications are unmet clinical needs. In this study, 473 microcalcifications detected on breast biopsy specimens from 56 patients were characterized entirely by Raman mapping and confirmed by X-ray scattering. Microcalcifications from malignant samples were generally more homogeneous, more crystalline, and characterized by a less substituted crystal lattice compared with benign samples. There were significant differences in Raman features corresponding to the phosphate and carbonate bands between the benign and malignant groups. In addition to the heterogeneous composition, the presence of whitlockite specifically emerged as marker of benignity in benign microcalcifications. The whole Raman signature of each microcalcification was then used to build a classification model that distinguishes microcalcifications according to their overall biochemical composition. After validation, microcalcifications found in benign and malignant samples were correctly recognized with 93.5% sensitivity and 80.6% specificity. Finally, microcalcifications identified in malignant biopsies, but located outside the lesion, reported malignant features in 65% of in situ and 98% of invasive cancer cases, respectively, suggesting that the local microenvironment influences microcalcification features. This study confirms that the composition and structural features of microcalcifications correlate with breast pathology and indicates new diagnostic potentialities based on microcalcifications assessment. Significance: Raman spectroscopy could be a quick and accurate diagnostic tool to precisely characterize and distinguish benign from malignant breast microcalcifications detected on mammography.","author":[{"dropping-particle":"","family":"Vanna","given":"Renzo","non-dropping-particle":"","parse-names":false,"suffix":""},{"dropping-particle":"","family":"Morasso","given":"Carlo","non-dropping-particle":"","parse-names":false,"suffix":""},{"dropping-particle":"","family":"Marcinno","given":"Beatrice","non-dropping-particle":"","parse-names":false,"suffix":""},{"dropping-particle":"","family":"Piccotti","given":"Francesca","non-dropping-particle":"","parse-names":false,"suffix":""},{"dropping-particle":"","family":"Torti","given":"Emanuele","non-dropping-particle":"","parse-names":false,"suffix":""},{"dropping-particle":"","family":"Altamura","given":"Davide","non-dropping-particle":"","parse-names":false,"suffix":""},{"dropping-particle":"","family":"Albasini","given":"Sara","non-dropping-particle":"","parse-names":false,"suffix":""},{"dropping-particle":"","family":"Agozzino","given":"Manuela","non-dropping-particle":"","parse-names":false,"suffix":""},{"dropping-particle":"","family":"Villani","given":"Laura","non-dropping-particle":"","parse-names":false,"suffix":""},{"dropping-particle":"","family":"Sorrentino","given":"Luca","non-dropping-particle":"","parse-names":false,"suffix":""},{"dropping-particle":"","family":"Bunk","given":"Oliver","non-dropping-particle":"","parse-names":false,"suffix":""},{"dropping-particle":"","family":"Leporati","given":"Francesco","non-dropping-particle":"","parse-names":false,"suffix":""},{"dropping-particle":"","family":"Giannini","given":"Cinzia","non-dropping-particle":"","parse-names":false,"suffix":""},{"dropping-particle":"","family":"Corsi","given":"Fabio","non-dropping-particle":"","parse-names":false,"suffix":""}],"container-title":"Cancer Research","id":"ITEM-3","issue":"8","issued":{"date-parts":[["2020"]]},"page":"1762-1772","title":"Raman spectroscopy reveals that biochemical composition of breast microcalcifications correlates with histopathologic features","type":"article-journal","volume":"80"},"uris":["http://www.mendeley.com/documents/?uuid=4a17d357-de83-4154-bc9b-179bd59ce6e6"]},{"id":"ITEM-4","itemData":{"DOI":"10.1038/sj.bjc.6605873","abstract":"BACKGROUND: Breast microcalcifications are key diagnostically significant radiological features for localisation of malignancy. This study explores the hypothesis that breast calcification composition is directly related to the local tissue pathological state. METHODS: A total of 236 human breast calcifications from 110 patients were analysed by mid-Fouries transform infrared (FTIR) spectroscopy from three different pathology types (112 invasive carcinoma (IC), 64 in-situ carcinomas and 60 benign). The biochemical composition and the incorporation of carbonate into the hydroxyapatite lattice of the microcalcifications were studied by infrared microspectroscopy. This allowed the spectrally identified composition to be directly correlated with the histopathology grading of the surrounding tissue. RESULTS: The carbonate content of breast microcalcifications was shown to significantly decrease when progressing from benign to malignant disease. In this study, we report significant correlations (Po0.001) between microcalcification chemical composition (carbonate content and protein matrix : mineral ratios) and distinct pathology grades (benign, in-situ carcinoma and ICs). Furthermore, a significant correlation (Po0.001) was observed between carbonate concentrations and carcinoma in-situ sub-grades. Using the two measures of pathology-specific calcification composition (carbonate content and protein matrix : mineral ratios) as the inputs to a two-metric discriminant model sensitivities of 79, 84 and 90% and specificities of 98, 82 and 96% were achieved for benign, ductal carcinoma in situ and invasive malignancies, respectively. CONCLUSIONS: We present the first demonstration of a direct link between the chemical nature of microcalcifications and the grade of the pathological breast disease. This suggests that microcalcifications have a significant association with cancer progression, and could be used for future objective analytical classification of breast pathology. A simple two-metric model has been demonstrated, more complex spectral analysis may yeild greater discrimination performance. Furthermore there appears to be a sequential progression of calcification composition.","author":[{"dropping-particle":"","family":"Baker","given":"R","non-dropping-particle":"","parse-names":false,"suffix":""},{"dropping-particle":"","family":"Rogers","given":"K D","non-dropping-particle":"","parse-names":false,"suffix":""},{"dropping-particle":"","family":"Shepherd","given":"N","non-dropping-particle":"","parse-names":false,"suffix":""},{"dropping-particle":"","family":"Stone","given":"N","non-dropping-particle":"","parse-names":false,"suffix":""}],"container-title":"British Journal of Cancer","id":"ITEM-4","issued":{"date-parts":[["2010"]]},"page":"1034-1039","title":"New relationships between breast microcalcifications and cancer","type":"article-journal","volume":"103"},"uris":["http://www.mendeley.com/documents/?uuid=38a60449-624d-3593-b9e6-a6988220ccae"]},{"id":"ITEM-5","itemData":{"DOI":"10.1371/journal.pone.0224138","ISBN":"1111111111","ISSN":"19326203","PMID":"31648281","abstract":"Thyroid calcification is frequent in thyroid nodules. The aim of our study was to evaluate the prevalence of calcifications in thyroid tissue samples of patients with various thyroid diseases, and to identify their composition according to their localization. Among 50 thyroid samples included, 56% were malignant (papillary carcinoma) and 44% were benign (adenoma, multinodular goiter, Graves' disease, sarcoidosis). Calcifications were found in 95% of samples using polarised light microscopy, whereas only 12% were described in initial pathological reports. Three types were individualised and analyzed by infrared spectrometry (μFTIR): colloid calcifications composed of calcium oxalate, capsular calcifications and psammoma bodies, both composed of calcium phosphate. Of notice, psammoma bodies characterized by FE-SEM were composed of concentric structure suggesting a slow process for crystal deposition. Calcium phosphates were found only in malignant samples whereas calcium oxalate was not associated with a define pathology. Proliferation assessed by KI67 staining was high (33% of positive follicles), and RUNX2, OPN, and CD44 positive staining were detected in thyrocytes with a broad variation between samples. However, thyrocyte proliferation and differentiation markers were not associated with the number of crystals. TRPV5 and CaSR expression was also detected in thyrocytes. mRNA transcripts expression was confirmed in a subgroup of 10 patients, altogether with other calcium transporters such as PMCA1 or Cav1.3. Interestingly, TRPV5 mRNA expression was significantly associated with number of colloid calcifications (rho = -0.72; p = 0.02). The high prevalence of calcium oxalate crystals within colloid gel raises intriguing issues upon follicle physiology for calcium and oxalate transport.","author":[{"dropping-particle":"","family":"Guerlain","given":"Joanne","non-dropping-particle":"","parse-names":false,"suffix":""},{"dropping-particle":"","family":"Perie","given":"Sophie","non-dropping-particle":"","parse-names":false,"suffix":""},{"dropping-particle":"","family":"Lefevre","given":"Marine","non-dropping-particle":"","parse-names":false,"suffix":""},{"dropping-particle":"","family":"Perez","given":"Joëlle","non-dropping-particle":"","parse-names":false,"suffix":""},{"dropping-particle":"","family":"Vandermeersch","given":"Sophie","non-dropping-particle":"","parse-names":false,"suffix":""},{"dropping-particle":"","family":"Jouanneau","given":"Chantal","non-dropping-particle":"","parse-names":false,"suffix":""},{"dropping-particle":"","family":"Huguet","given":"Léa","non-dropping-particle":"","parse-names":false,"suffix":""},{"dropping-particle":"","family":"Frochot","given":"Vincent","non-dropping-particle":"","parse-names":false,"suffix":""},{"dropping-particle":"","family":"Letavernier","given":"Emmanuel","non-dropping-particle":"","parse-names":false,"suffix":""},{"dropping-particle":"","family":"Weil","given":"Raphael","non-dropping-particle":"","parse-names":false,"suffix":""},{"dropping-particle":"","family":"Rouziere","given":"Stéphan","non-dropping-particle":"","parse-names":false,"suffix":""},{"dropping-particle":"","family":"Bazin","given":"Dominique","non-dropping-particle":"","parse-names":false,"suffix":""},{"dropping-particle":"","family":"Daudon","given":"Michel","non-dropping-particle":"","parse-names":false,"suffix":""},{"dropping-particle":"","family":"Haymann","given":"Jean Philippe","non-dropping-particle":"","parse-names":false,"suffix":""}],"container-title":"PLoS ONE","id":"ITEM-5","issue":"10","issued":{"date-parts":[["2019"]]},"page":"1-13","title":"Localization and characterization of thyroid microcalcifications: A histopathological study","type":"article-journal","volume":"14"},"uris":["http://www.mendeley.com/documents/?uuid=7c6c5bbd-acb1-4eae-81bc-63d30810ed8f"]}],"mendeley":{"formattedCitation":"[7–11]","plainTextFormattedCitation":"[7–11]","previouslyFormattedCitation":"[7–11]"},"properties":{"noteIndex":0},"schema":"https://github.com/citation-style-language/schema/raw/master/csl-citation.json"}</w:instrText>
      </w:r>
      <w:r w:rsidR="00CE5AAE">
        <w:rPr>
          <w:rFonts w:asciiTheme="majorBidi" w:hAnsiTheme="majorBidi" w:cstheme="majorBidi"/>
          <w:sz w:val="24"/>
          <w:szCs w:val="24"/>
        </w:rPr>
        <w:fldChar w:fldCharType="separate"/>
      </w:r>
      <w:r w:rsidR="00CE5AAE" w:rsidRPr="00CE5AAE">
        <w:rPr>
          <w:rFonts w:asciiTheme="majorBidi" w:hAnsiTheme="majorBidi" w:cstheme="majorBidi"/>
          <w:noProof/>
          <w:sz w:val="24"/>
          <w:szCs w:val="24"/>
        </w:rPr>
        <w:t>[7–11]</w:t>
      </w:r>
      <w:r w:rsidR="00CE5AAE">
        <w:rPr>
          <w:rFonts w:asciiTheme="majorBidi" w:hAnsiTheme="majorBidi" w:cstheme="majorBidi"/>
          <w:sz w:val="24"/>
          <w:szCs w:val="24"/>
        </w:rPr>
        <w:fldChar w:fldCharType="end"/>
      </w:r>
      <w:r>
        <w:rPr>
          <w:rFonts w:asciiTheme="majorBidi" w:hAnsiTheme="majorBidi" w:cstheme="majorBidi"/>
          <w:sz w:val="24"/>
          <w:szCs w:val="24"/>
        </w:rPr>
        <w:t xml:space="preserve">. Most MCs are calcium phosphate crystals in the form of non-stoichiometric </w:t>
      </w:r>
      <w:r w:rsidR="00A83F4B">
        <w:rPr>
          <w:rFonts w:asciiTheme="majorBidi" w:hAnsiTheme="majorBidi" w:cstheme="majorBidi"/>
          <w:sz w:val="24"/>
          <w:szCs w:val="24"/>
        </w:rPr>
        <w:t>hydroxy</w:t>
      </w:r>
      <w:r>
        <w:rPr>
          <w:rFonts w:asciiTheme="majorBidi" w:hAnsiTheme="majorBidi" w:cstheme="majorBidi"/>
          <w:sz w:val="24"/>
          <w:szCs w:val="24"/>
        </w:rPr>
        <w:t>apatite</w:t>
      </w:r>
      <w:r w:rsidR="00A83F4B">
        <w:rPr>
          <w:rFonts w:asciiTheme="majorBidi" w:hAnsiTheme="majorBidi" w:cstheme="majorBidi"/>
          <w:sz w:val="24"/>
          <w:szCs w:val="24"/>
        </w:rPr>
        <w:t xml:space="preserve"> (HA)</w:t>
      </w:r>
      <w:r>
        <w:rPr>
          <w:rFonts w:asciiTheme="majorBidi" w:hAnsiTheme="majorBidi" w:cstheme="majorBidi"/>
          <w:sz w:val="24"/>
          <w:szCs w:val="24"/>
        </w:rPr>
        <w:t>, with a tendency for ion substitution</w:t>
      </w:r>
      <w:r w:rsidR="008531BC">
        <w:rPr>
          <w:rFonts w:asciiTheme="majorBidi" w:hAnsiTheme="majorBidi" w:cstheme="majorBidi"/>
          <w:sz w:val="24"/>
          <w:szCs w:val="24"/>
        </w:rPr>
        <w:t xml:space="preserve"> </w:t>
      </w:r>
      <w:r w:rsidR="00CE5AAE">
        <w:rPr>
          <w:rFonts w:asciiTheme="majorBidi" w:hAnsiTheme="majorBidi" w:cstheme="majorBidi"/>
          <w:sz w:val="24"/>
          <w:szCs w:val="24"/>
        </w:rPr>
        <w:fldChar w:fldCharType="begin" w:fldLock="1"/>
      </w:r>
      <w:r w:rsidR="009E7B10">
        <w:rPr>
          <w:rFonts w:asciiTheme="majorBidi" w:hAnsiTheme="majorBidi" w:cstheme="majorBidi"/>
          <w:sz w:val="24"/>
          <w:szCs w:val="24"/>
        </w:rPr>
        <w:instrText>ADDIN CSL_CITATION {"citationItems":[{"id":"ITEM-1","itemData":{"DOI":"10.1021/cr200068d","ISSN":"00092665","PMID":"22809072","author":[{"dropping-particle":"","family":"Bazin","given":"D.","non-dropping-particle":"","parse-names":false,"suffix":""},{"dropping-particle":"","family":"Daudon","given":"M.","non-dropping-particle":"","parse-names":false,"suffix":""},{"dropping-particle":"","family":"Combes","given":"C.","non-dropping-particle":"","parse-names":false,"suffix":""},{"dropping-particle":"","family":"Rey","given":"C.","non-dropping-particle":"","parse-names":false,"suffix":""}],"container-title":"Chemical Reviews","id":"ITEM-1","issue":"10","issued":{"date-parts":[["2012","10","10"]]},"page":"5092-5120","publisher":"American Chemical Society","title":"Characterization and some physicochemical aspects of pathological microcalcifications","type":"article-journal","volume":"112"},"uris":["http://www.mendeley.com/documents/?uuid=f3197d27-d900-3499-b439-f0cb85b7be27"]}],"mendeley":{"formattedCitation":"[12]","plainTextFormattedCitation":"[12]","previouslyFormattedCitation":"[12]"},"properties":{"noteIndex":0},"schema":"https://github.com/citation-style-language/schema/raw/master/csl-citation.json"}</w:instrText>
      </w:r>
      <w:r w:rsidR="00CE5AAE">
        <w:rPr>
          <w:rFonts w:asciiTheme="majorBidi" w:hAnsiTheme="majorBidi" w:cstheme="majorBidi"/>
          <w:sz w:val="24"/>
          <w:szCs w:val="24"/>
        </w:rPr>
        <w:fldChar w:fldCharType="separate"/>
      </w:r>
      <w:r w:rsidR="00CE5AAE" w:rsidRPr="00CE5AAE">
        <w:rPr>
          <w:rFonts w:asciiTheme="majorBidi" w:hAnsiTheme="majorBidi" w:cstheme="majorBidi"/>
          <w:noProof/>
          <w:sz w:val="24"/>
          <w:szCs w:val="24"/>
        </w:rPr>
        <w:t>[12]</w:t>
      </w:r>
      <w:r w:rsidR="00CE5AAE">
        <w:rPr>
          <w:rFonts w:asciiTheme="majorBidi" w:hAnsiTheme="majorBidi" w:cstheme="majorBidi"/>
          <w:sz w:val="24"/>
          <w:szCs w:val="24"/>
        </w:rPr>
        <w:fldChar w:fldCharType="end"/>
      </w:r>
      <w:r>
        <w:rPr>
          <w:rFonts w:asciiTheme="majorBidi" w:hAnsiTheme="majorBidi" w:cstheme="majorBidi"/>
          <w:sz w:val="24"/>
          <w:szCs w:val="24"/>
        </w:rPr>
        <w:t xml:space="preserve">. </w:t>
      </w:r>
      <w:r w:rsidR="00F02CC8">
        <w:rPr>
          <w:rFonts w:asciiTheme="majorBidi" w:hAnsiTheme="majorBidi" w:cstheme="majorBidi"/>
          <w:sz w:val="24"/>
          <w:szCs w:val="24"/>
        </w:rPr>
        <w:t>For instance, c</w:t>
      </w:r>
      <w:r>
        <w:rPr>
          <w:rFonts w:asciiTheme="majorBidi" w:hAnsiTheme="majorBidi" w:cstheme="majorBidi"/>
          <w:sz w:val="24"/>
          <w:szCs w:val="24"/>
        </w:rPr>
        <w:t xml:space="preserve">arbonate </w:t>
      </w:r>
      <w:r w:rsidR="00F02CC8">
        <w:rPr>
          <w:rFonts w:asciiTheme="majorBidi" w:hAnsiTheme="majorBidi" w:cstheme="majorBidi"/>
          <w:sz w:val="24"/>
          <w:szCs w:val="24"/>
        </w:rPr>
        <w:t xml:space="preserve">may </w:t>
      </w:r>
      <w:r>
        <w:rPr>
          <w:rFonts w:asciiTheme="majorBidi" w:hAnsiTheme="majorBidi" w:cstheme="majorBidi"/>
          <w:sz w:val="24"/>
          <w:szCs w:val="24"/>
        </w:rPr>
        <w:t>substitute either phosphate or hydroxyl ions</w:t>
      </w:r>
      <w:r w:rsidR="00091189">
        <w:rPr>
          <w:rFonts w:asciiTheme="majorBidi" w:hAnsiTheme="majorBidi" w:cstheme="majorBidi"/>
          <w:sz w:val="24"/>
          <w:szCs w:val="24"/>
        </w:rPr>
        <w:t xml:space="preserve"> within the </w:t>
      </w:r>
      <w:r w:rsidR="00E960BA">
        <w:rPr>
          <w:rFonts w:asciiTheme="majorBidi" w:hAnsiTheme="majorBidi" w:cstheme="majorBidi"/>
          <w:sz w:val="24"/>
          <w:szCs w:val="24"/>
        </w:rPr>
        <w:t>lattice</w:t>
      </w:r>
      <w:r>
        <w:rPr>
          <w:rFonts w:asciiTheme="majorBidi" w:hAnsiTheme="majorBidi" w:cstheme="majorBidi"/>
          <w:sz w:val="24"/>
          <w:szCs w:val="24"/>
        </w:rPr>
        <w:t xml:space="preserve">, </w:t>
      </w:r>
      <w:r w:rsidR="00E960BA">
        <w:rPr>
          <w:rFonts w:asciiTheme="majorBidi" w:hAnsiTheme="majorBidi" w:cstheme="majorBidi"/>
          <w:sz w:val="24"/>
          <w:szCs w:val="24"/>
        </w:rPr>
        <w:t xml:space="preserve">while </w:t>
      </w:r>
      <w:r>
        <w:rPr>
          <w:rFonts w:asciiTheme="majorBidi" w:hAnsiTheme="majorBidi" w:cstheme="majorBidi"/>
          <w:sz w:val="24"/>
          <w:szCs w:val="24"/>
        </w:rPr>
        <w:t>mono and divalent cations can substitute calcium</w:t>
      </w:r>
      <w:r w:rsidR="008531BC">
        <w:rPr>
          <w:rFonts w:asciiTheme="majorBidi" w:hAnsiTheme="majorBidi" w:cstheme="majorBidi"/>
          <w:sz w:val="24"/>
          <w:szCs w:val="24"/>
        </w:rPr>
        <w:t xml:space="preserve"> </w:t>
      </w:r>
      <w:r w:rsidR="00CE5AAE">
        <w:rPr>
          <w:rFonts w:asciiTheme="majorBidi" w:hAnsiTheme="majorBidi" w:cstheme="majorBidi"/>
          <w:sz w:val="24"/>
          <w:szCs w:val="24"/>
        </w:rPr>
        <w:fldChar w:fldCharType="begin" w:fldLock="1"/>
      </w:r>
      <w:r w:rsidR="00463093">
        <w:rPr>
          <w:rFonts w:asciiTheme="majorBidi" w:hAnsiTheme="majorBidi" w:cstheme="majorBidi"/>
          <w:sz w:val="24"/>
          <w:szCs w:val="24"/>
        </w:rPr>
        <w:instrText>ADDIN CSL_CITATION {"citationItems":[{"id":"ITEM-1","itemData":{"DOI":"10.1038/srep09907","ISSN":"00085472","PMID":"12235010","abstract":"We have applied Raman spectroscopy to analyze the chemical composition of microcalcifications occurring in benign and malignant lesions in the human breast. Microcalcifications were initially separated into two categories based on their Raman spectrum: type I, calcium oxalate dihydrate, and type II, calcium hydroxyapatite. Type I microcalcifications were diagnosed as benign, whereas type II were subdivided into benign and malignant categories using principal component analysis, a statistical technique. Although type II microcalcifications are primarily composed of calcium hydroxyapatite, they also contain trace amounts of several biological impurities. Using principal component analysis, we were able to highlight subtle chemical differences in type II microcalcifications that correlate with breast disease. On the basis of these results, we believe that type II microcalcifications formed in benign ducts typically contain a larger amount of calcium carbonate and a smaller amount of protein than those formed in malignant ducts. Using this diagnostic strategy, we were able to distinguish microcalcifications occurring in benign and malignant ducts with a sensitivity of 88% and a specificity of 93%. This is a significant improvement over current X-ray mammography techniques, which are unable to reliably differentiate microcalcifications in benign and malignant breast lesions.","author":[{"dropping-particle":"","family":"Haka","given":"Abigail S.","non-dropping-particle":"","parse-names":false,"suffix":""},{"dropping-particle":"","family":"Shafer-Peltier","given":"Karen E.","non-dropping-particle":"","parse-names":false,"suffix":""},{"dropping-particle":"","family":"Fitzmaurice","given":"Maryann","non-dropping-particle":"","parse-names":false,"suffix":""},{"dropping-particle":"","family":"Crowe","given":"Joseph","non-dropping-particle":"","parse-names":false,"suffix":""},{"dropping-particle":"","family":"Dasari","given":"Ramachandra R.","non-dropping-particle":"","parse-names":false,"suffix":""},{"dropping-particle":"","family":"Feld","given":"Michael S.","non-dropping-particle":"","parse-names":false,"suffix":""}],"container-title":"Cancer Research","id":"ITEM-1","issue":"18","issued":{"date-parts":[["2002"]]},"page":"5375-5380","title":"Identifying microcalcifications in benign and malignant breast lesions by probing differences in their chemical composition using raman spectroscopy","type":"article-journal","volume":"62"},"uris":["http://www.mendeley.com/documents/?uuid=4fd67f12-6357-413d-bdd8-6227de2a4a46"]},{"id":"ITEM-2","itemData":{"DOI":"10.1007/s10911-019-09441-3","ISSN":"15737039","PMID":"31807966","abstract":"Microcalcifications are important diagnostic indicators of disease in breast tissue. Tissue microenvironments differ in many aspects between normal and cancerous cells, notably extracellular pH and glycolytic respiration. Hydroxyapatite microcalcification microstructure is also found to differ between tissue pathologies, including differential ion substitutions and the presence of additional crystallographic phases. Distinguishing between tissue pathologies at an early stage is essential to improve patient experience and diagnostic accuracy, leading to better disease outcome. This study explores the hypothesis that microenvironment features may become immortalised within calcification crystallite characteristics thus becoming indicators of tissue pathology. In total, 55 breast calcifications incorporating 3 tissue pathologies (benign – B2, ductal carcinoma in-situ - B5a and invasive malignancy - B5b) from archive formalin-fixed paraffin-embedded core needle breast biopsies were analysed using X-ray diffraction. Crystallite size and strain were determined from 548 diffractograms using Williamson-Hall analysis. There was an increased crystallinity of hydroxyapatite with tissue malignancy compared to benign tissue. Coherence length was significantly correlated with pathology grade in all basis crystallographic directions (P &lt; 0.01), with a greater difference between benign and in situ disease compared to in-situ disease and invasive malignancy. Crystallite size and non-uniform strain contributed to peak broadening in all three pathologies. Furthermore, crystallite size and non-uniform strain normal to the basal planes increased significantly with malignancy (P &lt; 0.05). Our findings support the view that tissue microenvironments can influence differing formation mechanisms of hydroxyapatite through acidic precursors, leading to differential substitution of carbonate into the hydroxide and phosphate sites, causing significant changes in crystallite size and non-uniform strain.","author":[{"dropping-particle":"","family":"Gosling","given":"Sarah","non-dropping-particle":"","parse-names":false,"suffix":""},{"dropping-particle":"","family":"Scott","given":"Robert","non-dropping-particle":"","parse-names":false,"suffix":""},{"dropping-particle":"","family":"Greenwood","given":"Charlene","non-dropping-particle":"","parse-names":false,"suffix":""},{"dropping-particle":"","family":"Bouzy","given":"Pascaline","non-dropping-particle":"","parse-names":false,"suffix":""},{"dropping-particle":"","family":"Nallala","given":"Jayakrupakar","non-dropping-particle":"","parse-names":false,"suffix":""},{"dropping-particle":"","family":"Lyburn","given":"Iain D.","non-dropping-particle":"","parse-names":false,"suffix":""},{"dropping-particle":"","family":"Stone","given":"Nicholas","non-dropping-particle":"","parse-names":false,"suffix":""},{"dropping-particle":"","family":"Rogers","given":"Keith","non-dropping-particle":"","parse-names":false,"suffix":""}],"container-title":"Journal of Mammary Gland Biology and Neoplasia","id":"ITEM-2","issue":"4","issued":{"date-parts":[["2019"]]},"page":"333-342","publisher":"Journal of Mammary Gland Biology and Neoplasia","title":"Calcification microstructure reflects breast tissue microenvironment","type":"article-journal","volume":"24"},"uris":["http://www.mendeley.com/documents/?uuid=df1125d1-6359-48f4-a33d-ad919e0837b0"]}],"mendeley":{"formattedCitation":"[8,13]","plainTextFormattedCitation":"[8,13]","previouslyFormattedCitation":"[8,13]"},"properties":{"noteIndex":0},"schema":"https://github.com/citation-style-language/schema/raw/master/csl-citation.json"}</w:instrText>
      </w:r>
      <w:r w:rsidR="00CE5AAE">
        <w:rPr>
          <w:rFonts w:asciiTheme="majorBidi" w:hAnsiTheme="majorBidi" w:cstheme="majorBidi"/>
          <w:sz w:val="24"/>
          <w:szCs w:val="24"/>
        </w:rPr>
        <w:fldChar w:fldCharType="separate"/>
      </w:r>
      <w:r w:rsidR="00CE5AAE" w:rsidRPr="00CE5AAE">
        <w:rPr>
          <w:rFonts w:asciiTheme="majorBidi" w:hAnsiTheme="majorBidi" w:cstheme="majorBidi"/>
          <w:noProof/>
          <w:sz w:val="24"/>
          <w:szCs w:val="24"/>
        </w:rPr>
        <w:t>[8,13]</w:t>
      </w:r>
      <w:r w:rsidR="00CE5AAE">
        <w:rPr>
          <w:rFonts w:asciiTheme="majorBidi" w:hAnsiTheme="majorBidi" w:cstheme="majorBidi"/>
          <w:sz w:val="24"/>
          <w:szCs w:val="24"/>
        </w:rPr>
        <w:fldChar w:fldCharType="end"/>
      </w:r>
      <w:r>
        <w:rPr>
          <w:rFonts w:asciiTheme="majorBidi" w:hAnsiTheme="majorBidi" w:cstheme="majorBidi"/>
          <w:sz w:val="24"/>
          <w:szCs w:val="24"/>
        </w:rPr>
        <w:t xml:space="preserve">. </w:t>
      </w:r>
      <w:r w:rsidR="00346515">
        <w:rPr>
          <w:rFonts w:asciiTheme="majorBidi" w:hAnsiTheme="majorBidi" w:cstheme="majorBidi"/>
          <w:sz w:val="24"/>
          <w:szCs w:val="24"/>
        </w:rPr>
        <w:t>In</w:t>
      </w:r>
      <w:r w:rsidR="0032077F" w:rsidRPr="0032077F">
        <w:rPr>
          <w:rFonts w:asciiTheme="majorBidi" w:hAnsiTheme="majorBidi" w:cstheme="majorBidi"/>
          <w:sz w:val="24"/>
          <w:szCs w:val="24"/>
        </w:rPr>
        <w:t xml:space="preserve"> breast </w:t>
      </w:r>
      <w:r w:rsidR="0032077F">
        <w:rPr>
          <w:rFonts w:asciiTheme="majorBidi" w:hAnsiTheme="majorBidi" w:cstheme="majorBidi"/>
          <w:sz w:val="24"/>
          <w:szCs w:val="24"/>
        </w:rPr>
        <w:t>MCs</w:t>
      </w:r>
      <w:r w:rsidR="00E960BA">
        <w:rPr>
          <w:rFonts w:asciiTheme="majorBidi" w:hAnsiTheme="majorBidi" w:cstheme="majorBidi"/>
          <w:sz w:val="24"/>
          <w:szCs w:val="24"/>
        </w:rPr>
        <w:t xml:space="preserve">, </w:t>
      </w:r>
      <w:r w:rsidR="00A21485">
        <w:rPr>
          <w:rFonts w:asciiTheme="majorBidi" w:hAnsiTheme="majorBidi" w:cstheme="majorBidi"/>
          <w:sz w:val="24"/>
          <w:szCs w:val="24"/>
        </w:rPr>
        <w:t xml:space="preserve">there is </w:t>
      </w:r>
      <w:r w:rsidR="00E960BA">
        <w:rPr>
          <w:rFonts w:asciiTheme="majorBidi" w:hAnsiTheme="majorBidi" w:cstheme="majorBidi"/>
          <w:sz w:val="24"/>
          <w:szCs w:val="24"/>
        </w:rPr>
        <w:t xml:space="preserve">a correlation </w:t>
      </w:r>
      <w:r w:rsidR="0032077F" w:rsidRPr="0032077F">
        <w:rPr>
          <w:rFonts w:asciiTheme="majorBidi" w:hAnsiTheme="majorBidi" w:cstheme="majorBidi"/>
          <w:sz w:val="24"/>
          <w:szCs w:val="24"/>
        </w:rPr>
        <w:t xml:space="preserve">between </w:t>
      </w:r>
      <w:r w:rsidR="00E960BA">
        <w:rPr>
          <w:rFonts w:asciiTheme="majorBidi" w:hAnsiTheme="majorBidi" w:cstheme="majorBidi"/>
          <w:sz w:val="24"/>
          <w:szCs w:val="24"/>
        </w:rPr>
        <w:t xml:space="preserve">the </w:t>
      </w:r>
      <w:r w:rsidR="0032077F" w:rsidRPr="0032077F">
        <w:rPr>
          <w:rFonts w:asciiTheme="majorBidi" w:hAnsiTheme="majorBidi" w:cstheme="majorBidi"/>
          <w:sz w:val="24"/>
          <w:szCs w:val="24"/>
        </w:rPr>
        <w:t xml:space="preserve">crystal </w:t>
      </w:r>
      <w:r w:rsidR="00F34A95">
        <w:rPr>
          <w:rFonts w:asciiTheme="majorBidi" w:hAnsiTheme="majorBidi" w:cstheme="majorBidi"/>
          <w:sz w:val="24"/>
          <w:szCs w:val="24"/>
        </w:rPr>
        <w:t>properties</w:t>
      </w:r>
      <w:r w:rsidR="0032077F">
        <w:rPr>
          <w:rFonts w:asciiTheme="majorBidi" w:hAnsiTheme="majorBidi" w:cstheme="majorBidi"/>
          <w:sz w:val="24"/>
          <w:szCs w:val="24"/>
        </w:rPr>
        <w:t xml:space="preserve"> and tissue malignancy</w:t>
      </w:r>
      <w:r w:rsidR="00576308">
        <w:rPr>
          <w:rFonts w:asciiTheme="majorBidi" w:hAnsiTheme="majorBidi" w:cstheme="majorBidi"/>
          <w:sz w:val="24"/>
          <w:szCs w:val="24"/>
        </w:rPr>
        <w:t xml:space="preserve">; </w:t>
      </w:r>
      <w:r>
        <w:rPr>
          <w:rFonts w:asciiTheme="majorBidi" w:hAnsiTheme="majorBidi" w:cstheme="majorBidi"/>
          <w:sz w:val="24"/>
          <w:szCs w:val="24"/>
        </w:rPr>
        <w:t>the more malignant the tissue, the higher</w:t>
      </w:r>
      <w:r w:rsidR="00576308">
        <w:rPr>
          <w:rFonts w:asciiTheme="majorBidi" w:hAnsiTheme="majorBidi" w:cstheme="majorBidi"/>
          <w:sz w:val="24"/>
          <w:szCs w:val="24"/>
        </w:rPr>
        <w:t xml:space="preserve"> </w:t>
      </w:r>
      <w:r w:rsidR="00C9193B">
        <w:rPr>
          <w:rFonts w:asciiTheme="majorBidi" w:hAnsiTheme="majorBidi" w:cstheme="majorBidi"/>
          <w:sz w:val="24"/>
          <w:szCs w:val="24"/>
        </w:rPr>
        <w:t xml:space="preserve">the </w:t>
      </w:r>
      <w:r w:rsidR="00C9193B" w:rsidRPr="00E01A79">
        <w:rPr>
          <w:rFonts w:asciiTheme="majorBidi" w:hAnsiTheme="majorBidi" w:cstheme="majorBidi"/>
          <w:sz w:val="24"/>
          <w:szCs w:val="24"/>
        </w:rPr>
        <w:t>crystallinity</w:t>
      </w:r>
      <w:r w:rsidR="008531BC">
        <w:rPr>
          <w:rFonts w:asciiTheme="majorBidi" w:hAnsiTheme="majorBidi" w:cstheme="majorBidi"/>
          <w:sz w:val="24"/>
          <w:szCs w:val="24"/>
        </w:rPr>
        <w:t xml:space="preserve"> </w:t>
      </w:r>
      <w:r w:rsidR="00C9193B">
        <w:rPr>
          <w:rFonts w:asciiTheme="majorBidi" w:hAnsiTheme="majorBidi" w:cstheme="majorBidi"/>
          <w:sz w:val="24"/>
          <w:szCs w:val="24"/>
        </w:rPr>
        <w:fldChar w:fldCharType="begin" w:fldLock="1"/>
      </w:r>
      <w:r w:rsidR="00C9193B">
        <w:rPr>
          <w:rFonts w:asciiTheme="majorBidi" w:hAnsiTheme="majorBidi" w:cstheme="majorBidi"/>
          <w:sz w:val="24"/>
          <w:szCs w:val="24"/>
        </w:rPr>
        <w:instrText>ADDIN CSL_CITATION {"citationItems":[{"id":"ITEM-1","itemData":{"DOI":"10.1007/s10911-019-09441-3","ISSN":"15737039","PMID":"31807966","abstract":"Microcalcifications are important diagnostic indicators of disease in breast tissue. Tissue microenvironments differ in many aspects between normal and cancerous cells, notably extracellular pH and glycolytic respiration. Hydroxyapatite microcalcification microstructure is also found to differ between tissue pathologies, including differential ion substitutions and the presence of additional crystallographic phases. Distinguishing between tissue pathologies at an early stage is essential to improve patient experience and diagnostic accuracy, leading to better disease outcome. This study explores the hypothesis that microenvironment features may become immortalised within calcification crystallite characteristics thus becoming indicators of tissue pathology. In total, 55 breast calcifications incorporating 3 tissue pathologies (benign – B2, ductal carcinoma in-situ - B5a and invasive malignancy - B5b) from archive formalin-fixed paraffin-embedded core needle breast biopsies were analysed using X-ray diffraction. Crystallite size and strain were determined from 548 diffractograms using Williamson-Hall analysis. There was an increased crystallinity of hydroxyapatite with tissue malignancy compared to benign tissue. Coherence length was significantly correlated with pathology grade in all basis crystallographic directions (P &lt; 0.01), with a greater difference between benign and in situ disease compared to in-situ disease and invasive malignancy. Crystallite size and non-uniform strain contributed to peak broadening in all three pathologies. Furthermore, crystallite size and non-uniform strain normal to the basal planes increased significantly with malignancy (P &lt; 0.05). Our findings support the view that tissue microenvironments can influence differing formation mechanisms of hydroxyapatite through acidic precursors, leading to differential substitution of carbonate into the hydroxide and phosphate sites, causing significant changes in crystallite size and non-uniform strain.","author":[{"dropping-particle":"","family":"Gosling","given":"Sarah","non-dropping-particle":"","parse-names":false,"suffix":""},{"dropping-particle":"","family":"Scott","given":"Robert","non-dropping-particle":"","parse-names":false,"suffix":""},{"dropping-particle":"","family":"Greenwood","given":"Charlene","non-dropping-particle":"","parse-names":false,"suffix":""},{"dropping-particle":"","family":"Bouzy","given":"Pascaline","non-dropping-particle":"","parse-names":false,"suffix":""},{"dropping-particle":"","family":"Nallala","given":"Jayakrupakar","non-dropping-particle":"","parse-names":false,"suffix":""},{"dropping-particle":"","family":"Lyburn","given":"Iain D.","non-dropping-particle":"","parse-names":false,"suffix":""},{"dropping-particle":"","family":"Stone","given":"Nicholas","non-dropping-particle":"","parse-names":false,"suffix":""},{"dropping-particle":"","family":"Rogers","given":"Keith","non-dropping-particle":"","parse-names":false,"suffix":""}],"container-title":"Journal of Mammary Gland Biology and Neoplasia","id":"ITEM-1","issue":"4","issued":{"date-parts":[["2019"]]},"page":"333-342","publisher":"Journal of Mammary Gland Biology and Neoplasia","title":"Calcification microstructure reflects breast tissue microenvironment","type":"article-journal","volume":"24"},"uris":["http://www.mendeley.com/documents/?uuid=df1125d1-6359-48f4-a33d-ad919e0837b0"]}],"mendeley":{"formattedCitation":"[13]","plainTextFormattedCitation":"[13]","previouslyFormattedCitation":"[13]"},"properties":{"noteIndex":0},"schema":"https://github.com/citation-style-language/schema/raw/master/csl-citation.json"}</w:instrText>
      </w:r>
      <w:r w:rsidR="00C9193B">
        <w:rPr>
          <w:rFonts w:asciiTheme="majorBidi" w:hAnsiTheme="majorBidi" w:cstheme="majorBidi"/>
          <w:sz w:val="24"/>
          <w:szCs w:val="24"/>
        </w:rPr>
        <w:fldChar w:fldCharType="separate"/>
      </w:r>
      <w:r w:rsidR="00C9193B" w:rsidRPr="00633095">
        <w:rPr>
          <w:rFonts w:asciiTheme="majorBidi" w:hAnsiTheme="majorBidi" w:cstheme="majorBidi"/>
          <w:noProof/>
          <w:sz w:val="24"/>
          <w:szCs w:val="24"/>
        </w:rPr>
        <w:t>[13]</w:t>
      </w:r>
      <w:r w:rsidR="00C9193B">
        <w:rPr>
          <w:rFonts w:asciiTheme="majorBidi" w:hAnsiTheme="majorBidi" w:cstheme="majorBidi"/>
          <w:sz w:val="24"/>
          <w:szCs w:val="24"/>
        </w:rPr>
        <w:fldChar w:fldCharType="end"/>
      </w:r>
      <w:r w:rsidR="00C9193B">
        <w:rPr>
          <w:rFonts w:asciiTheme="majorBidi" w:hAnsiTheme="majorBidi" w:cstheme="majorBidi"/>
          <w:sz w:val="24"/>
          <w:szCs w:val="24"/>
        </w:rPr>
        <w:t xml:space="preserve"> and </w:t>
      </w:r>
      <w:r w:rsidR="00576308">
        <w:rPr>
          <w:rFonts w:asciiTheme="majorBidi" w:hAnsiTheme="majorBidi" w:cstheme="majorBidi"/>
          <w:sz w:val="24"/>
          <w:szCs w:val="24"/>
        </w:rPr>
        <w:t>the fractions of</w:t>
      </w:r>
      <w:r>
        <w:rPr>
          <w:rFonts w:asciiTheme="majorBidi" w:hAnsiTheme="majorBidi" w:cstheme="majorBidi"/>
          <w:sz w:val="24"/>
          <w:szCs w:val="24"/>
        </w:rPr>
        <w:t xml:space="preserve"> Na, Mg, and Zn </w:t>
      </w:r>
      <w:r w:rsidR="005B3868">
        <w:rPr>
          <w:rFonts w:asciiTheme="majorBidi" w:hAnsiTheme="majorBidi" w:cstheme="majorBidi"/>
          <w:sz w:val="24"/>
          <w:szCs w:val="24"/>
        </w:rPr>
        <w:t xml:space="preserve">found </w:t>
      </w:r>
      <w:r>
        <w:rPr>
          <w:rFonts w:asciiTheme="majorBidi" w:hAnsiTheme="majorBidi" w:cstheme="majorBidi"/>
          <w:sz w:val="24"/>
          <w:szCs w:val="24"/>
        </w:rPr>
        <w:t>in the MCs</w:t>
      </w:r>
      <w:r w:rsidR="008531BC">
        <w:rPr>
          <w:rFonts w:asciiTheme="majorBidi" w:hAnsiTheme="majorBidi" w:cstheme="majorBidi"/>
          <w:sz w:val="24"/>
          <w:szCs w:val="24"/>
        </w:rPr>
        <w:t xml:space="preserve"> </w:t>
      </w:r>
      <w:r w:rsidR="005B0A9E">
        <w:rPr>
          <w:rFonts w:asciiTheme="majorBidi" w:hAnsiTheme="majorBidi" w:cstheme="majorBidi"/>
          <w:sz w:val="24"/>
          <w:szCs w:val="24"/>
        </w:rPr>
        <w:fldChar w:fldCharType="begin" w:fldLock="1"/>
      </w:r>
      <w:r w:rsidR="00BC71DE">
        <w:rPr>
          <w:rFonts w:asciiTheme="majorBidi" w:hAnsiTheme="majorBidi" w:cstheme="majorBidi"/>
          <w:sz w:val="24"/>
          <w:szCs w:val="24"/>
        </w:rPr>
        <w:instrText>ADDIN CSL_CITATION {"citationItems":[{"id":"ITEM-1","itemData":{"DOI":"10.1038/sj.bjc.6605873","abstract":"BACKGROUND: Breast microcalcifications are key diagnostically significant radiological features for localisation of malignancy. This study explores the hypothesis that breast calcification composition is directly related to the local tissue pathological state. METHODS: A total of 236 human breast calcifications from 110 patients were analysed by mid-Fouries transform infrared (FTIR) spectroscopy from three different pathology types (112 invasive carcinoma (IC), 64 in-situ carcinomas and 60 benign). The biochemical composition and the incorporation of carbonate into the hydroxyapatite lattice of the microcalcifications were studied by infrared microspectroscopy. This allowed the spectrally identified composition to be directly correlated with the histopathology grading of the surrounding tissue. RESULTS: The carbonate content of breast microcalcifications was shown to significantly decrease when progressing from benign to malignant disease. In this study, we report significant correlations (Po0.001) between microcalcification chemical composition (carbonate content and protein matrix : mineral ratios) and distinct pathology grades (benign, in-situ carcinoma and ICs). Furthermore, a significant correlation (Po0.001) was observed between carbonate concentrations and carcinoma in-situ sub-grades. Using the two measures of pathology-specific calcification composition (carbonate content and protein matrix : mineral ratios) as the inputs to a two-metric discriminant model sensitivities of 79, 84 and 90% and specificities of 98, 82 and 96% were achieved for benign, ductal carcinoma in situ and invasive malignancies, respectively. CONCLUSIONS: We present the first demonstration of a direct link between the chemical nature of microcalcifications and the grade of the pathological breast disease. This suggests that microcalcifications have a significant association with cancer progression, and could be used for future objective analytical classification of breast pathology. A simple two-metric model has been demonstrated, more complex spectral analysis may yeild greater discrimination performance. Furthermore there appears to be a sequential progression of calcification composition.","author":[{"dropping-particle":"","family":"Baker","given":"R","non-dropping-particle":"","parse-names":false,"suffix":""},{"dropping-particle":"","family":"Rogers","given":"K D","non-dropping-particle":"","parse-names":false,"suffix":""},{"dropping-particle":"","family":"Shepherd","given":"N","non-dropping-particle":"","parse-names":false,"suffix":""},{"dropping-particle":"","family":"Stone","given":"N","non-dropping-particle":"","parse-names":false,"suffix":""}],"container-title":"British Journal of Cancer","id":"ITEM-1","issued":{"date-parts":[["2010"]]},"page":"1034-1039","title":"New relationships between breast microcalcifications and cancer","type":"article-journal","volume":"103"},"uris":["http://www.mendeley.com/documents/?uuid=38a60449-624d-3593-b9e6-a6988220ccae"]},{"id":"ITEM-2","itemData":{"DOI":"10.1038/npjbcancer.2016.29","ISSN":"23744677","abstract":"Calcifications are not only one of the most important early diagnostic markers of breast cancer, but are also increasingly believed to aggravate the proliferation of cancer cells and invasion of surrounding tissue. Moreover, this influence appears to vary with calcification composition. Despite this, remarkably little is known about the composition and crystal structure of the most common type of breast calcifications, and how this differs between benign and malignant lesions. We sought to determine how the phase composition and crystallographic parameters within calcifications varies with pathology, using synchrotron X-ray diffraction. This is the first time crystallite size and lattice parameters have been measured in breast calcifications, and we found that these both parallel closely the changes in these parameters with age observed in fetal bone. We also discovered that these calcifications contain a small proportion of magnesium whitlockite, and that this proportion increases from benign to in situ to invasive cancer. When combined with other recent evidence on the effect of magnesium on hydroxyapatite precipitation, this suggests a mechanism explaining observations that carbonate levels within breast calcifications are lower in malignant specimens.","author":[{"dropping-particle":"","family":"Scott","given":"Robert","non-dropping-particle":"","parse-names":false,"suffix":""},{"dropping-particle":"","family":"Stone","given":"Nicholas","non-dropping-particle":"","parse-names":false,"suffix":""},{"dropping-particle":"","family":"Kendall","given":"Catherine","non-dropping-particle":"","parse-names":false,"suffix":""},{"dropping-particle":"","family":"Geraki","given":"Kalotina","non-dropping-particle":"","parse-names":false,"suffix":""},{"dropping-particle":"","family":"Rogers","given":"Keith","non-dropping-particle":"","parse-names":false,"suffix":""}],"container-title":"npj Breast Cancer","id":"ITEM-2","issue":"1","issued":{"date-parts":[["2016"]]},"page":"1-6","publisher":"Nature Publishing Group","title":"Relationships between pathology and crystal structure in breast calcifications: An in situ X-ray diffraction study in histological sections","type":"article-journal","volume":"2"},"uris":["http://www.mendeley.com/documents/?uuid=e65ec6e7-587c-42af-be85-a05b4b15b6eb"]},{"id":"ITEM-3","itemData":{"DOI":"10.1126/sciadv.ade3152","ISSN":"23752548","PMID":"36812311","abstract":"Microcalcifications, primarily biogenic apatite, occur in cancerous and benign breast pathologies and are key mammographic indicators. Outside the clinic, numerous microcalcification compositional metrics (e.g., carbonate and metal content) are linked to malignancy, yet microcalcification formation is dependent on microenvironmental conditions, which are notoriously heterogeneous in breast cancer. We interrogate multiscale heterogeneity in 93 calcifications from 21 breast cancer patients using an omics-inspired approach: For each microcalcification, we define a \"biomineralogical signature\"combining metrics derived from Raman microscopy and energy-dispersive spectroscopy. We observe that (i) calcifications cluster into physiologically relevant groups reflecting tissue type and local malignancy; (ii) carbonate content exhibits substantial intratumor heterogeneity; (iii) trace metals including zinc, iron, and aluminum are enhanced in malignant-localized calcifications; and (iv) the lipid-to-protein ratio within calcifications is lower in patients with poor composite outcome, suggesting that there is potential clinical value in expanding research on calcification diagnostic metrics to include \"mineral-entrapped\"organic matrix.","author":[{"dropping-particle":"","family":"Kunitake","given":"Jennie A.M.R.","non-dropping-particle":"","parse-names":false,"suffix":""},{"dropping-particle":"","family":"Sudilovsky","given":"Daniel","non-dropping-particle":"","parse-names":false,"suffix":""},{"dropping-particle":"","family":"Johnson","given":"Lynn M.","non-dropping-particle":"","parse-names":false,"suffix":""},{"dropping-particle":"","family":"Loh","given":"Hyun Chae","non-dropping-particle":"","parse-names":false,"suffix":""},{"dropping-particle":"","family":"Choi","given":"Siyoung","non-dropping-particle":"","parse-names":false,"suffix":""},{"dropping-particle":"","family":"Morris","given":"Patrick G.","non-dropping-particle":"","parse-names":false,"suffix":""},{"dropping-particle":"","family":"Jochelson","given":"Maxine S.","non-dropping-particle":"","parse-names":false,"suffix":""},{"dropping-particle":"","family":"Iyengar","given":"Neil M.","non-dropping-particle":"","parse-names":false,"suffix":""},{"dropping-particle":"","family":"Morrow","given":"Monica","non-dropping-particle":"","parse-names":false,"suffix":""},{"dropping-particle":"","family":"Masic","given":"Admir","non-dropping-particle":"","parse-names":false,"suffix":""},{"dropping-particle":"","family":"Fischbach","given":"Claudia","non-dropping-particle":"","parse-names":false,"suffix":""},{"dropping-particle":"","family":"Estroff","given":"Lara A.","non-dropping-particle":"","parse-names":false,"suffix":""}],"container-title":"Science Advances","id":"ITEM-3","issue":"8","issued":{"date-parts":[["2023"]]},"page":"1-21","title":"Biomineralogical signatures of breast microcalcifications","type":"article-journal","volume":"9"},"uris":["http://www.mendeley.com/documents/?uuid=9f250999-c012-4150-ac6d-4254a212224b"]}],"mendeley":{"formattedCitation":"[10,14,15]","plainTextFormattedCitation":"[10,14,15]","previouslyFormattedCitation":"[10,14,15]"},"properties":{"noteIndex":0},"schema":"https://github.com/citation-style-language/schema/raw/master/csl-citation.json"}</w:instrText>
      </w:r>
      <w:r w:rsidR="005B0A9E">
        <w:rPr>
          <w:rFonts w:asciiTheme="majorBidi" w:hAnsiTheme="majorBidi" w:cstheme="majorBidi"/>
          <w:sz w:val="24"/>
          <w:szCs w:val="24"/>
        </w:rPr>
        <w:fldChar w:fldCharType="separate"/>
      </w:r>
      <w:r w:rsidR="005B0A9E" w:rsidRPr="005B0A9E">
        <w:rPr>
          <w:rFonts w:asciiTheme="majorBidi" w:hAnsiTheme="majorBidi" w:cstheme="majorBidi"/>
          <w:noProof/>
          <w:sz w:val="24"/>
          <w:szCs w:val="24"/>
        </w:rPr>
        <w:t>[10,14,15]</w:t>
      </w:r>
      <w:r w:rsidR="005B0A9E">
        <w:rPr>
          <w:rFonts w:asciiTheme="majorBidi" w:hAnsiTheme="majorBidi" w:cstheme="majorBidi"/>
          <w:sz w:val="24"/>
          <w:szCs w:val="24"/>
        </w:rPr>
        <w:fldChar w:fldCharType="end"/>
      </w:r>
      <w:r w:rsidR="0089335B">
        <w:rPr>
          <w:rFonts w:asciiTheme="majorBidi" w:hAnsiTheme="majorBidi" w:cstheme="majorBidi"/>
          <w:sz w:val="24"/>
          <w:szCs w:val="24"/>
        </w:rPr>
        <w:t>,</w:t>
      </w:r>
      <w:r w:rsidR="001D7081">
        <w:rPr>
          <w:rFonts w:asciiTheme="majorBidi" w:hAnsiTheme="majorBidi" w:cstheme="majorBidi"/>
          <w:sz w:val="24"/>
          <w:szCs w:val="24"/>
        </w:rPr>
        <w:t xml:space="preserve"> </w:t>
      </w:r>
      <w:r w:rsidR="00484621">
        <w:rPr>
          <w:rFonts w:asciiTheme="majorBidi" w:hAnsiTheme="majorBidi" w:cstheme="majorBidi"/>
          <w:sz w:val="24"/>
          <w:szCs w:val="24"/>
        </w:rPr>
        <w:t>and</w:t>
      </w:r>
      <w:r w:rsidR="00612D21">
        <w:rPr>
          <w:rFonts w:asciiTheme="majorBidi" w:hAnsiTheme="majorBidi" w:cstheme="majorBidi"/>
          <w:sz w:val="24"/>
          <w:szCs w:val="24"/>
        </w:rPr>
        <w:t xml:space="preserve"> t</w:t>
      </w:r>
      <w:r w:rsidR="00D90262">
        <w:rPr>
          <w:rFonts w:asciiTheme="majorBidi" w:hAnsiTheme="majorBidi" w:cstheme="majorBidi"/>
          <w:sz w:val="24"/>
          <w:szCs w:val="24"/>
        </w:rPr>
        <w:t>he</w:t>
      </w:r>
      <w:r w:rsidR="004A3E34">
        <w:rPr>
          <w:rFonts w:asciiTheme="majorBidi" w:hAnsiTheme="majorBidi" w:cstheme="majorBidi"/>
          <w:sz w:val="24"/>
          <w:szCs w:val="24"/>
        </w:rPr>
        <w:t xml:space="preserve"> lower the</w:t>
      </w:r>
      <w:r w:rsidR="00D90262">
        <w:rPr>
          <w:rFonts w:asciiTheme="majorBidi" w:hAnsiTheme="majorBidi" w:cstheme="majorBidi"/>
          <w:sz w:val="24"/>
          <w:szCs w:val="24"/>
        </w:rPr>
        <w:t xml:space="preserve"> carbonate fraction</w:t>
      </w:r>
      <w:r w:rsidR="008531BC">
        <w:rPr>
          <w:rFonts w:asciiTheme="majorBidi" w:hAnsiTheme="majorBidi" w:cstheme="majorBidi"/>
          <w:sz w:val="24"/>
          <w:szCs w:val="24"/>
        </w:rPr>
        <w:t xml:space="preserve"> </w:t>
      </w:r>
      <w:r w:rsidR="003845E4">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{"citationItems":[{"id":"ITEM-1","itemData":{"DOI":"10.1038/sj.bjc.6605873","abstract":"BACKGROUND: Breast microcalcifications are key diagnostically significant radiological features for localisation of malignancy. This study explores the hypothesis that breast calcification composition is directly related to the local tissue pathological state. METHODS: A total of 236 human breast calcifications from 110 patients were analysed by mid-Fouries transform infrared (FTIR) spectroscopy from three different pathology types (112 invasive carcinoma (IC), 64 in-situ carcinomas and 60 benign). The biochemical composition and the incorporation of carbonate into the hydroxyapatite lattice of the microcalcifications were studied by infrared microspectroscopy. This allowed the spectrally identified composition to be directly correlated with the histopathology grading of the surrounding tissue. RESULTS: The carbonate content of breast microcalcifications was shown to significantly decrease when progressing from benign to malignant disease. In this study, we report significant correlations (Po0.001) between microcalcification chemical composition (carbonate content and protein matrix : mineral ratios) and distinct pathology grades (benign, in-situ carcinoma and ICs). Furthermore, a significant correlation (Po0.001) was observed between carbonate concentrations and carcinoma in-situ sub-grades. Using the two measures of pathology-specific calcification composition (carbonate content and protein matrix : mineral ratios) as the inputs to a two-metric discriminant model sensitivities of 79, 84 and 90% and specificities of 98, 82 and 96% were achieved for benign, ductal carcinoma in situ and invasive malignancies, respectively. CONCLUSIONS: We present the first demonstration of a direct link between the chemical nature of microcalcifications and the grade of the pathological breast disease. This suggests that microcalcifications have a significant association with cancer progression, and could be used for future objective analytical classification of breast pathology. A simple two-metric model has been demonstrated, more complex spectral analysis may yeild greater discrimination performance. Furthermore there appears to be a sequential progression of calcification composition.","author":[{"dropping-particle":"","family":"Baker","given":"R","non-dropping-particle":"","parse-names":false,"suffix":""},{"dropping-particle":"","family":"Rogers","given":"K D","non-dropping-particle":"","parse-names":false,"suffix":""},{"dropping-particle":"","family":"Shepherd","given":"N","non-dropping-particle":"","parse-names":false,"suffix":""},{"dropping-particle":"","family":"Stone","given":"N","non-dropping-particle":"","parse-names":false,"suffix":""}],"container-title":"British Journal of Cancer","id":"ITEM-1","issued":{"date-parts":[["2010"]]},"page":"1034-1039","title":"New relationships between breast microcalcifications and cancer","type":"article-journal","volume":"103"},"uris":["http://www.mendeley.com/documents/?uuid=38a60449-624d-3593-b9e6-a6988220ccae"]}],"mendeley":{"formattedCitation":"[10]","plainTextFormattedCitation":"[10]","previouslyFormattedCitation":"[10]"},"properties":{"noteIndex":0},"schema":"https://github.com/citation-style-language/schema/raw/master/csl-citation.json"}</w:instrText>
      </w:r>
      <w:r w:rsidR="003845E4">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[10]</w:t>
      </w:r>
      <w:r w:rsidR="003845E4">
        <w:rPr>
          <w:rFonts w:asciiTheme="majorBidi" w:hAnsiTheme="majorBidi" w:cstheme="majorBidi"/>
          <w:sz w:val="24"/>
          <w:szCs w:val="24"/>
        </w:rPr>
        <w:fldChar w:fldCharType="end"/>
      </w:r>
      <w:r w:rsidR="00441C36">
        <w:rPr>
          <w:rFonts w:asciiTheme="majorBidi" w:hAnsiTheme="majorBidi" w:cstheme="majorBidi"/>
          <w:sz w:val="24"/>
          <w:szCs w:val="24"/>
        </w:rPr>
        <w:t>.</w:t>
      </w:r>
      <w:r>
        <w:rPr>
          <w:rFonts w:asciiTheme="majorBidi" w:hAnsiTheme="majorBidi" w:cstheme="majorBidi"/>
          <w:sz w:val="24"/>
          <w:szCs w:val="24"/>
        </w:rPr>
        <w:t xml:space="preserve"> </w:t>
      </w:r>
    </w:p>
    <w:p w14:paraId="0C0CEB31" w14:textId="2C70263C" w:rsidR="00DC5AE1" w:rsidRDefault="00D772D0" w:rsidP="00AB3F9D">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Motivated by the </w:t>
      </w:r>
      <w:r w:rsidR="006E36F6">
        <w:rPr>
          <w:rFonts w:asciiTheme="majorBidi" w:hAnsiTheme="majorBidi" w:cstheme="majorBidi"/>
          <w:sz w:val="24"/>
          <w:szCs w:val="24"/>
        </w:rPr>
        <w:t xml:space="preserve">connection </w:t>
      </w:r>
      <w:r>
        <w:rPr>
          <w:rFonts w:asciiTheme="majorBidi" w:hAnsiTheme="majorBidi" w:cstheme="majorBidi"/>
          <w:sz w:val="24"/>
          <w:szCs w:val="24"/>
        </w:rPr>
        <w:t xml:space="preserve">between MC composition and </w:t>
      </w:r>
      <w:r w:rsidR="006E36F6">
        <w:rPr>
          <w:rFonts w:asciiTheme="majorBidi" w:hAnsiTheme="majorBidi" w:cstheme="majorBidi"/>
          <w:sz w:val="24"/>
          <w:szCs w:val="24"/>
        </w:rPr>
        <w:t xml:space="preserve">breast </w:t>
      </w:r>
      <w:r>
        <w:rPr>
          <w:rFonts w:asciiTheme="majorBidi" w:hAnsiTheme="majorBidi" w:cstheme="majorBidi"/>
          <w:sz w:val="24"/>
          <w:szCs w:val="24"/>
        </w:rPr>
        <w:t xml:space="preserve">tissue malignancy, several </w:t>
      </w:r>
      <w:r w:rsidR="003E26A4">
        <w:rPr>
          <w:rFonts w:asciiTheme="majorBidi" w:hAnsiTheme="majorBidi" w:cstheme="majorBidi"/>
          <w:sz w:val="24"/>
          <w:szCs w:val="24"/>
        </w:rPr>
        <w:t xml:space="preserve">previous </w:t>
      </w:r>
      <w:r>
        <w:rPr>
          <w:rFonts w:asciiTheme="majorBidi" w:hAnsiTheme="majorBidi" w:cstheme="majorBidi"/>
          <w:sz w:val="24"/>
          <w:szCs w:val="24"/>
        </w:rPr>
        <w:t>studies</w:t>
      </w:r>
      <w:r w:rsidR="003E26A4">
        <w:rPr>
          <w:rFonts w:asciiTheme="majorBidi" w:hAnsiTheme="majorBidi" w:cstheme="majorBidi"/>
          <w:sz w:val="24"/>
          <w:szCs w:val="24"/>
        </w:rPr>
        <w:t xml:space="preserve"> have</w:t>
      </w:r>
      <w:r>
        <w:rPr>
          <w:rFonts w:asciiTheme="majorBidi" w:hAnsiTheme="majorBidi" w:cstheme="majorBidi"/>
          <w:sz w:val="24"/>
          <w:szCs w:val="24"/>
        </w:rPr>
        <w:t xml:space="preserve"> focused on characterizing </w:t>
      </w:r>
      <w:r w:rsidR="006E36F6">
        <w:rPr>
          <w:rFonts w:asciiTheme="majorBidi" w:hAnsiTheme="majorBidi" w:cstheme="majorBidi"/>
          <w:sz w:val="24"/>
          <w:szCs w:val="24"/>
        </w:rPr>
        <w:t xml:space="preserve">the composition of </w:t>
      </w:r>
      <w:r>
        <w:rPr>
          <w:rFonts w:asciiTheme="majorBidi" w:hAnsiTheme="majorBidi" w:cstheme="majorBidi"/>
          <w:sz w:val="24"/>
          <w:szCs w:val="24"/>
        </w:rPr>
        <w:t>thyroid MC</w:t>
      </w:r>
      <w:r w:rsidR="006E36F6">
        <w:rPr>
          <w:rFonts w:asciiTheme="majorBidi" w:hAnsiTheme="majorBidi" w:cstheme="majorBidi"/>
          <w:sz w:val="24"/>
          <w:szCs w:val="24"/>
        </w:rPr>
        <w:t>s.</w:t>
      </w:r>
      <w:r>
        <w:rPr>
          <w:rFonts w:asciiTheme="majorBidi" w:hAnsiTheme="majorBidi" w:cstheme="majorBidi"/>
          <w:sz w:val="24"/>
          <w:szCs w:val="24"/>
        </w:rPr>
        <w:t xml:space="preserve"> </w:t>
      </w:r>
      <w:r w:rsidR="00DA5AB3">
        <w:rPr>
          <w:rFonts w:asciiTheme="majorBidi" w:hAnsiTheme="majorBidi" w:cstheme="majorBidi"/>
          <w:sz w:val="24"/>
          <w:szCs w:val="24"/>
        </w:rPr>
        <w:t>T</w:t>
      </w:r>
      <w:r w:rsidR="006E36F6">
        <w:rPr>
          <w:rFonts w:asciiTheme="majorBidi" w:hAnsiTheme="majorBidi" w:cstheme="majorBidi"/>
          <w:sz w:val="24"/>
          <w:szCs w:val="24"/>
        </w:rPr>
        <w:t>he underlying hypothesis</w:t>
      </w:r>
      <w:r>
        <w:rPr>
          <w:rFonts w:asciiTheme="majorBidi" w:hAnsiTheme="majorBidi" w:cstheme="majorBidi"/>
          <w:sz w:val="24"/>
          <w:szCs w:val="24"/>
        </w:rPr>
        <w:t xml:space="preserve"> </w:t>
      </w:r>
      <w:r w:rsidR="00DA5AB3">
        <w:rPr>
          <w:rFonts w:asciiTheme="majorBidi" w:hAnsiTheme="majorBidi" w:cstheme="majorBidi"/>
          <w:sz w:val="24"/>
          <w:szCs w:val="24"/>
        </w:rPr>
        <w:t xml:space="preserve">was that thyroid MC composition could potentially offer valuable insights to clinicians regarding the malignancy of thyroid nodules. </w:t>
      </w:r>
      <w:r>
        <w:rPr>
          <w:rFonts w:asciiTheme="majorBidi" w:hAnsiTheme="majorBidi" w:cstheme="majorBidi"/>
          <w:sz w:val="24"/>
          <w:szCs w:val="24"/>
        </w:rPr>
        <w:t xml:space="preserve">This is </w:t>
      </w:r>
      <w:r w:rsidR="00344EC5">
        <w:rPr>
          <w:rFonts w:asciiTheme="majorBidi" w:hAnsiTheme="majorBidi" w:cstheme="majorBidi"/>
          <w:sz w:val="24"/>
          <w:szCs w:val="24"/>
        </w:rPr>
        <w:t>highly important due to the current diagnostic protocols for thyroid nodules,</w:t>
      </w:r>
      <w:r w:rsidR="003E26A4">
        <w:rPr>
          <w:rFonts w:asciiTheme="majorBidi" w:hAnsiTheme="majorBidi" w:cstheme="majorBidi"/>
          <w:sz w:val="24"/>
          <w:szCs w:val="24"/>
        </w:rPr>
        <w:t xml:space="preserve"> which</w:t>
      </w:r>
      <w:r w:rsidR="00344EC5">
        <w:rPr>
          <w:rFonts w:asciiTheme="majorBidi" w:hAnsiTheme="majorBidi" w:cstheme="majorBidi"/>
          <w:sz w:val="24"/>
          <w:szCs w:val="24"/>
        </w:rPr>
        <w:t xml:space="preserve"> </w:t>
      </w:r>
      <w:r w:rsidR="003E26A4">
        <w:rPr>
          <w:rFonts w:asciiTheme="majorBidi" w:hAnsiTheme="majorBidi" w:cstheme="majorBidi"/>
          <w:sz w:val="24"/>
          <w:szCs w:val="24"/>
        </w:rPr>
        <w:t>rely</w:t>
      </w:r>
      <w:r w:rsidR="00344EC5">
        <w:rPr>
          <w:rFonts w:asciiTheme="majorBidi" w:hAnsiTheme="majorBidi" w:cstheme="majorBidi"/>
          <w:sz w:val="24"/>
          <w:szCs w:val="24"/>
        </w:rPr>
        <w:t xml:space="preserve"> on ultrasonography and fine needle aspiration</w:t>
      </w:r>
      <w:r w:rsidR="00D16A6F">
        <w:rPr>
          <w:rFonts w:asciiTheme="majorBidi" w:hAnsiTheme="majorBidi" w:cstheme="majorBidi"/>
          <w:sz w:val="24"/>
          <w:szCs w:val="24"/>
        </w:rPr>
        <w:t xml:space="preserve"> for</w:t>
      </w:r>
      <w:r w:rsidR="00344EC5">
        <w:rPr>
          <w:rFonts w:asciiTheme="majorBidi" w:hAnsiTheme="majorBidi" w:cstheme="majorBidi"/>
          <w:sz w:val="24"/>
          <w:szCs w:val="24"/>
        </w:rPr>
        <w:t xml:space="preserve"> cytology (FNAC), yielding</w:t>
      </w:r>
      <w:r w:rsidR="00F90B53">
        <w:rPr>
          <w:rFonts w:asciiTheme="majorBidi" w:hAnsiTheme="majorBidi" w:cstheme="majorBidi"/>
          <w:sz w:val="24"/>
          <w:szCs w:val="24"/>
        </w:rPr>
        <w:t xml:space="preserve"> </w:t>
      </w:r>
      <w:r w:rsidRPr="005524C6">
        <w:rPr>
          <w:rFonts w:asciiTheme="majorBidi" w:hAnsiTheme="majorBidi" w:cstheme="majorBidi"/>
          <w:sz w:val="24"/>
          <w:szCs w:val="24"/>
        </w:rPr>
        <w:t xml:space="preserve">up to 30% indeterminate </w:t>
      </w:r>
      <w:r w:rsidR="00D46D9B">
        <w:rPr>
          <w:rFonts w:asciiTheme="majorBidi" w:hAnsiTheme="majorBidi" w:cstheme="majorBidi"/>
          <w:sz w:val="24"/>
          <w:szCs w:val="24"/>
        </w:rPr>
        <w:t>results</w:t>
      </w:r>
      <w:r w:rsidR="008531BC">
        <w:rPr>
          <w:rFonts w:asciiTheme="majorBidi" w:hAnsiTheme="majorBidi" w:cstheme="majorBidi"/>
          <w:sz w:val="24"/>
          <w:szCs w:val="24"/>
        </w:rPr>
        <w:t xml:space="preserve"> </w:t>
      </w:r>
      <w:r w:rsidR="00A61BE0">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{"citationItems":[{"id":"ITEM-1","itemData":{"DOI":"10.1089/thy.2015.0020","ISSN":"15579077","PMID":"26462967","abstract":"Background: Thyroid nodules are a common clinical problem, and differentiated thyroid cancer is becoming increasingly prevalent. Since the American Thyroid Association's (ATA's) guidelines for the management of these disorders were revised in 2009, significant scientific advances have occurred in the field. The aim of these guidelines is to inform clinicians, patients, researchers, and health policy makers on published evidence relating to the diagnosis and management of thyroid nodules and differentiated thyroid cancer. Methods: The specific clinical questions addressed in these guidelines were based on prior versions of the guidelines, stakeholder input, and input of task force members. Task force panel members were educated on knowledge synthesis methods, including electronic database searching, review and selection of relevant citations, and critical appraisal of selected studies. Published English language articles on adults were eligible for inclusion. The American College of Physicians Guideline Grading System was used for critical appraisal of evidence and grading strength of recommendations for therapeutic interventions. We developed a similarly formatted system to appraise the quality of such studies and resultant recommendations. The guideline panel had complete editorial independence from the ATA. Competing interests of guideline task force members were regularly updated, managed, and communicated to the ATA and task force members. Results: The revised guidelines for the management of thyroid nodules include recommendations regarding initial evaluation, clinical and ultrasound criteria for fine-needle aspiration biopsy, interpretation of fine-needle aspiration biopsy results, use of molecular markers, and management of benign thyroid nodules. Recommendations regarding the initial management of thyroid cancer include those relating to screening for thyroid cancer, staging and risk assessment, surgical management, radioiodine remnant ablation and therapy, and thyrotropin suppression therapy using levothyroxine. Recommendations related to long-term management of differentiated thyroid cancer include those related to surveillance for recurrent disease using imaging and serum thyroglobulin, thyroid hormone therapy, management of recurrent and metastatic disease, consideration for clinical trials and targeted therapy, as well as directions for future research. Conclusions: We have developed evidence-based recommendations to inform clinical decisio…","author":[{"dropping-particle":"","family":"Haugen","given":"Bryan R.","non-dropping-particle":"","parse-names":false,"suffix":""},{"dropping-particle":"","family":"Alexander","given":"Erik K.","non-dropping-particle":"","parse-names":false,"suffix":""},{"dropping-particle":"","family":"Bible","given":"Keith C.","non-dropping-particle":"","parse-names":false,"suffix":""},{"dropping-particle":"","family":"Doherty","given":"Gerard M.","non-dropping-particle":"","parse-names":false,"suffix":""},{"dropping-particle":"","family":"Mandel","given":"Susan J.","non-dropping-particle":"","parse-names":false,"suffix":""},{"dropping-particle":"","family":"Nikiforov","given":"Yuri E.","non-dropping-particle":"","parse-names":false,"suffix":""},{"dropping-particle":"","family":"Pacini","given":"Furio","non-dropping-particle":"","parse-names":false,"suffix":""},{"dropping-particle":"","family":"Randolph","given":"Gregory W.","non-dropping-particle":"","parse-names":false,"suffix":""},{"dropping-particle":"","family":"Sawka","given":"Anna M.","non-dropping-particle":"","parse-names":false,"suffix":""},{"dropping-particle":"","family":"Schlumberger","given":"Martin","non-dropping-particle":"","parse-names":false,"suffix":""},{"dropping-particle":"","family":"Schuff","given":"Kathryn G.","non-dropping-particle":"","parse-names":false,"suffix":""},{"dropping-particle":"","family":"Sherman","given":"Steven I.","non-dropping-particle":"","parse-names":false,"suffix":""},{"dropping-particle":"","family":"Sosa","given":"Julie Ann","non-dropping-particle":"","parse-names":false,"suffix":""},{"dropping-particle":"","family":"Steward","given":"David L.","non-dropping-particle":"","parse-names":false,"suffix":""},{"dropping-particle":"","family":"Tuttle","given":"R. Michael","non-dropping-particle":"","parse-names":false,"suffix":""},{"dropping-particle":"","family":"Wartofsky","given":"Leonard","non-dropping-particle":"","parse-names":false,"suffix":""}],"container-title":"Thyroid","id":"ITEM-1","issue":"1","issued":{"date-parts":[["2016","1"]]},"page":"1-133","publisher":"Mary Ann Liebert Inc.","title":"2015 american thyroid association management guidelines for adult patients with thyroid nodules and differentiated thyroid cancer","type":"article-journal","volume":"26"},"uris":["http://www.mendeley.com/documents/?uuid=45d1d9b2-5dcb-4296-91c6-8b42d4acc084"]}],"mendeley":{"formattedCitation":"[16]","plainTextFormattedCitation":"[16]","previouslyFormattedCitation":"[16]"},"properties":{"noteIndex":0},"schema":"https://github.com/citation-style-language/schema/raw/master/csl-citation.json"}</w:instrText>
      </w:r>
      <w:r w:rsidR="00A61BE0">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[16]</w:t>
      </w:r>
      <w:r w:rsidR="00A61BE0">
        <w:rPr>
          <w:rFonts w:asciiTheme="majorBidi" w:hAnsiTheme="majorBidi" w:cstheme="majorBidi"/>
          <w:sz w:val="24"/>
          <w:szCs w:val="24"/>
        </w:rPr>
        <w:fldChar w:fldCharType="end"/>
      </w:r>
      <w:r w:rsidRPr="005524C6">
        <w:rPr>
          <w:rFonts w:asciiTheme="majorBidi" w:hAnsiTheme="majorBidi" w:cstheme="majorBidi"/>
          <w:sz w:val="24"/>
          <w:szCs w:val="24"/>
        </w:rPr>
        <w:t xml:space="preserve">. </w:t>
      </w:r>
      <w:r w:rsidR="002E4645">
        <w:rPr>
          <w:rFonts w:asciiTheme="majorBidi" w:hAnsiTheme="majorBidi" w:cstheme="majorBidi"/>
          <w:sz w:val="24"/>
          <w:szCs w:val="24"/>
        </w:rPr>
        <w:t>However, i</w:t>
      </w:r>
      <w:r>
        <w:rPr>
          <w:rFonts w:asciiTheme="majorBidi" w:hAnsiTheme="majorBidi" w:cstheme="majorBidi"/>
          <w:sz w:val="24"/>
          <w:szCs w:val="24"/>
        </w:rPr>
        <w:t xml:space="preserve">n </w:t>
      </w:r>
      <w:r w:rsidRPr="005524C6">
        <w:rPr>
          <w:rFonts w:asciiTheme="majorBidi" w:hAnsiTheme="majorBidi" w:cstheme="majorBidi"/>
          <w:i/>
          <w:iCs/>
          <w:sz w:val="24"/>
          <w:szCs w:val="24"/>
        </w:rPr>
        <w:t>ex vivo</w:t>
      </w:r>
      <w:r>
        <w:rPr>
          <w:rFonts w:asciiTheme="majorBidi" w:hAnsiTheme="majorBidi" w:cstheme="majorBidi"/>
          <w:sz w:val="24"/>
          <w:szCs w:val="24"/>
        </w:rPr>
        <w:t xml:space="preserve"> studies </w:t>
      </w:r>
      <w:r w:rsidR="002E4645">
        <w:rPr>
          <w:rFonts w:asciiTheme="majorBidi" w:hAnsiTheme="majorBidi" w:cstheme="majorBidi"/>
          <w:sz w:val="24"/>
          <w:szCs w:val="24"/>
        </w:rPr>
        <w:t xml:space="preserve">involving </w:t>
      </w:r>
      <w:r>
        <w:rPr>
          <w:rFonts w:asciiTheme="majorBidi" w:hAnsiTheme="majorBidi" w:cstheme="majorBidi"/>
          <w:sz w:val="24"/>
          <w:szCs w:val="24"/>
        </w:rPr>
        <w:t xml:space="preserve">surgically removed thyroid nodules, no </w:t>
      </w:r>
      <w:r w:rsidR="00747310">
        <w:rPr>
          <w:rFonts w:asciiTheme="majorBidi" w:hAnsiTheme="majorBidi" w:cstheme="majorBidi"/>
          <w:sz w:val="24"/>
          <w:szCs w:val="24"/>
        </w:rPr>
        <w:t xml:space="preserve">discernible </w:t>
      </w:r>
      <w:r>
        <w:rPr>
          <w:rFonts w:asciiTheme="majorBidi" w:hAnsiTheme="majorBidi" w:cstheme="majorBidi"/>
          <w:sz w:val="24"/>
          <w:szCs w:val="24"/>
        </w:rPr>
        <w:t xml:space="preserve">correlation </w:t>
      </w:r>
      <w:r w:rsidR="00747310">
        <w:rPr>
          <w:rFonts w:asciiTheme="majorBidi" w:hAnsiTheme="majorBidi" w:cstheme="majorBidi"/>
          <w:sz w:val="24"/>
          <w:szCs w:val="24"/>
        </w:rPr>
        <w:t xml:space="preserve">was found </w:t>
      </w:r>
      <w:r>
        <w:rPr>
          <w:rFonts w:asciiTheme="majorBidi" w:hAnsiTheme="majorBidi" w:cstheme="majorBidi"/>
          <w:sz w:val="24"/>
          <w:szCs w:val="24"/>
        </w:rPr>
        <w:t xml:space="preserve">between the crystal composition </w:t>
      </w:r>
      <w:r w:rsidR="00747310">
        <w:rPr>
          <w:rFonts w:asciiTheme="majorBidi" w:hAnsiTheme="majorBidi" w:cstheme="majorBidi"/>
          <w:sz w:val="24"/>
          <w:szCs w:val="24"/>
        </w:rPr>
        <w:t xml:space="preserve">of MCs </w:t>
      </w:r>
      <w:r>
        <w:rPr>
          <w:rFonts w:asciiTheme="majorBidi" w:hAnsiTheme="majorBidi" w:cstheme="majorBidi"/>
          <w:sz w:val="24"/>
          <w:szCs w:val="24"/>
        </w:rPr>
        <w:t>and tissue malignancy</w:t>
      </w:r>
      <w:r w:rsidR="008531BC">
        <w:rPr>
          <w:rFonts w:asciiTheme="majorBidi" w:hAnsiTheme="majorBidi" w:cstheme="majorBidi"/>
          <w:sz w:val="24"/>
          <w:szCs w:val="24"/>
        </w:rPr>
        <w:t xml:space="preserve"> </w:t>
      </w:r>
      <w:r w:rsidR="00A61BE0">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{"citationItems":[{"id":"ITEM-1","itemData":{"DOI":"10.1016/j.crci.2015.02.008","ISSN":"16310748","abstract":"Even though calcifications in thyroid nodules constitute a common finding in imaging and histopathology, and also may occur in both benign and malignant thyroid disease, their clinical importance remains unclear. A way to establish a possible relationship between their presence and the associated pathology may be given through a precise description of their chemical composition. In order to attain this goal, last generation Field Effect Scanning Electron Microscopy (FE-SEM) and classical Fourier Transform Infra Red (FTIR) experiments have been performed on thyroid calcifications. Calcifications corresponding to different pathologies have been considered, including Graves' disease, papillary carcinoma or multinodular goiter. The complete set of experiments shows for the first time a chemical diversity of pathological calcifications but no correlation between the chemical composition of the pathological calcifications and the disease.","author":[{"dropping-particle":"","family":"Mathonnet","given":"Muriel","non-dropping-particle":"","parse-names":false,"suffix":""},{"dropping-particle":"","family":"Dessombz","given":"Arnaud","non-dropping-particle":"","parse-names":false,"suffix":""},{"dropping-particle":"","family":"Bazin","given":"Dominique","non-dropping-particle":"","parse-names":false,"suffix":""},{"dropping-particle":"","family":"Weil","given":"Raphael","non-dropping-particle":"","parse-names":false,"suffix":""},{"dropping-particle":"","family":"Frédéric","given":"Triponez","non-dropping-particle":"","parse-names":false,"suffix":""},{"dropping-particle":"","family":"Pusztaszeri","given":"Marc","non-dropping-particle":"","parse-names":false,"suffix":""},{"dropping-particle":"","family":"Daudon","given":"Michel","non-dropping-particle":"","parse-names":false,"suffix":""}],"container-title":"Comptes Rendus Chimie","id":"ITEM-1","issue":"11-12","issued":{"date-parts":[["2016"]]},"page":"1672-1678","title":"Chemical diversity of calcifications in thyroid and hypothetical link to disease","type":"article-journal","volume":"19"},"uris":["http://www.mendeley.com/documents/?uuid=8d874637-9af8-4011-92f5-1a521810e3c3"]},{"id":"ITEM-2","itemData":{"DOI":"10.1016/j.jpba.2020.113534","ISSN":"1873264X","PMID":"32841781","abstract":"Recently the knowledge of chemical composition of pathological mineralizations is an important topic extensively studied because it could give more in-depth information to understand pathologies themselves and to improve prevention methods. In this work, psammoma bodies (PBs) microcalcifications in thyroid cancer tissue are investigated by different and complementary analytical methods as: micro-Fourier transformed spectroscopy, X-ray fluorescence spectroscopy, Inductively Coupled plasma Optical Emission Spectroscopy (ICP-OES) and scanning electron microscopy (SEM) with energy dispersive X-ray spectroscopy imaging (EDX). For the first time the micro-FTIR analysis of the only inorganic phase isolated from PBs was reported. Signals of the recorded spectrum showed that the main component of the calcifications is the amorphous carbonated calcium phosphate, and the IR spectrum of thyroid PBs is strongly consistent with that of PBs in human ovarian tumors. The XRF and the ICP analysis detected also the presence of iron ad zinc in thyroid PBs. These results are validated by scanning electron microscopy (SEM) with energy dispersive X-ray spectroscopy imaging (EDX) carried out on tissue samples of the papillary thyroid carcinoma. By these analytical methods magnesium and sodium were detected within PBs while the presence of iron was confirmed by the Perls test. Summarizing the results of applied analytical methods, the main detected elements within the thyroid psammoma bodies are Ca, P, Mg, Na, Fe and Zn. Magnesium and sodium are found in malignant breast cancer microcalcifications, thus they seem correlated to neoplastic transformation. The Fe and Zn elements could give information about the origin of these pathological microcalcifications.","author":[{"dropping-particle":"","family":"Santis","given":"Serena","non-dropping-particle":"De","parse-names":false,"suffix":""},{"dropping-particle":"","family":"Sotgiu","given":"Giovanni","non-dropping-particle":"","parse-names":false,"suffix":""},{"dropping-particle":"","family":"Crescenzi","given":"Anna","non-dropping-particle":"","parse-names":false,"suffix":""},{"dropping-particle":"","family":"Taffon","given":"Chiara","non-dropping-particle":"","parse-names":false,"suffix":""},{"dropping-particle":"","family":"Felici","given":"Anna Candita","non-dropping-particle":"","parse-names":false,"suffix":""},{"dropping-particle":"","family":"Orsini","given":"Monica","non-dropping-particle":"","parse-names":false,"suffix":""}],"container-title":"Journal of Pharmaceutical and Biomedical Analysis","id":"ITEM-2","issued":{"date-parts":[["2020"]]},"page":"113534","publisher":"Elsevier B.V.","title":"On the chemical composition of psammoma bodies microcalcifications in thyroid cancer tissues","type":"article-journal","volume":"190"},"uris":["http://www.mendeley.com/documents/?uuid=38adb431-35bd-4755-8608-7ef01fbcfbbe"]}],"mendeley":{"formattedCitation":"[17,18]","plainTextFormattedCitation":"[17,18]","previouslyFormattedCitation":"[17,18]"},"properties":{"noteIndex":0},"schema":"https://github.com/citation-style-language/schema/raw/master/csl-citation.json"}</w:instrText>
      </w:r>
      <w:r w:rsidR="00A61BE0">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[17,18]</w:t>
      </w:r>
      <w:r w:rsidR="00A61BE0">
        <w:rPr>
          <w:rFonts w:asciiTheme="majorBidi" w:hAnsiTheme="majorBidi" w:cstheme="majorBidi"/>
          <w:sz w:val="24"/>
          <w:szCs w:val="24"/>
        </w:rPr>
        <w:fldChar w:fldCharType="end"/>
      </w:r>
      <w:r w:rsidR="00441C36">
        <w:rPr>
          <w:rFonts w:asciiTheme="majorBidi" w:hAnsiTheme="majorBidi" w:cstheme="majorBidi"/>
          <w:sz w:val="24"/>
          <w:szCs w:val="24"/>
        </w:rPr>
        <w:t>.</w:t>
      </w:r>
      <w:r>
        <w:rPr>
          <w:rFonts w:asciiTheme="majorBidi" w:hAnsiTheme="majorBidi" w:cstheme="majorBidi"/>
          <w:sz w:val="24"/>
          <w:szCs w:val="24"/>
        </w:rPr>
        <w:t xml:space="preserve"> </w:t>
      </w:r>
      <w:r w:rsidR="002A705A">
        <w:rPr>
          <w:rFonts w:asciiTheme="majorBidi" w:hAnsiTheme="majorBidi" w:cstheme="majorBidi"/>
          <w:sz w:val="24"/>
          <w:szCs w:val="24"/>
        </w:rPr>
        <w:t>Recently, our research</w:t>
      </w:r>
      <w:r>
        <w:rPr>
          <w:rFonts w:asciiTheme="majorBidi" w:hAnsiTheme="majorBidi" w:cstheme="majorBidi"/>
          <w:sz w:val="24"/>
          <w:szCs w:val="24"/>
        </w:rPr>
        <w:t xml:space="preserve"> showed that the composition of MCs isolated from </w:t>
      </w:r>
      <w:r w:rsidR="002A705A">
        <w:rPr>
          <w:rFonts w:asciiTheme="majorBidi" w:hAnsiTheme="majorBidi" w:cstheme="majorBidi"/>
          <w:sz w:val="24"/>
          <w:szCs w:val="24"/>
        </w:rPr>
        <w:t>residual</w:t>
      </w:r>
      <w:r>
        <w:rPr>
          <w:rFonts w:asciiTheme="majorBidi" w:hAnsiTheme="majorBidi" w:cstheme="majorBidi"/>
          <w:sz w:val="24"/>
          <w:szCs w:val="24"/>
        </w:rPr>
        <w:t xml:space="preserve"> material </w:t>
      </w:r>
      <w:r w:rsidR="002A705A">
        <w:rPr>
          <w:rFonts w:asciiTheme="majorBidi" w:hAnsiTheme="majorBidi" w:cstheme="majorBidi"/>
          <w:sz w:val="24"/>
          <w:szCs w:val="24"/>
        </w:rPr>
        <w:t xml:space="preserve">following </w:t>
      </w:r>
      <w:r>
        <w:rPr>
          <w:rFonts w:asciiTheme="majorBidi" w:hAnsiTheme="majorBidi" w:cstheme="majorBidi"/>
          <w:sz w:val="24"/>
          <w:szCs w:val="24"/>
        </w:rPr>
        <w:t>FNAC</w:t>
      </w:r>
      <w:r w:rsidR="003E26A4">
        <w:rPr>
          <w:rFonts w:asciiTheme="majorBidi" w:hAnsiTheme="majorBidi" w:cstheme="majorBidi"/>
          <w:sz w:val="24"/>
          <w:szCs w:val="24"/>
        </w:rPr>
        <w:t>,</w:t>
      </w:r>
      <w:r>
        <w:rPr>
          <w:rFonts w:asciiTheme="majorBidi" w:hAnsiTheme="majorBidi" w:cstheme="majorBidi"/>
          <w:sz w:val="24"/>
          <w:szCs w:val="24"/>
        </w:rPr>
        <w:t xml:space="preserve"> correlates with thyroid nodule diagnosis. Specifically, more than 90</w:t>
      </w:r>
      <w:r w:rsidRPr="00E66D94">
        <w:rPr>
          <w:rFonts w:asciiTheme="majorBidi" w:hAnsiTheme="majorBidi" w:cstheme="majorBidi"/>
          <w:sz w:val="24"/>
          <w:szCs w:val="24"/>
        </w:rPr>
        <w:t>% of MCs</w:t>
      </w:r>
      <w:r w:rsidR="00A865D4">
        <w:rPr>
          <w:rFonts w:asciiTheme="majorBidi" w:hAnsiTheme="majorBidi" w:cstheme="majorBidi"/>
          <w:sz w:val="24"/>
          <w:szCs w:val="24"/>
        </w:rPr>
        <w:t xml:space="preserve"> originating</w:t>
      </w:r>
      <w:r w:rsidRPr="00E66D94">
        <w:rPr>
          <w:rFonts w:asciiTheme="majorBidi" w:hAnsiTheme="majorBidi" w:cstheme="majorBidi"/>
          <w:sz w:val="24"/>
          <w:szCs w:val="24"/>
        </w:rPr>
        <w:t xml:space="preserve"> from cancerous nodules contained </w:t>
      </w:r>
      <w:r w:rsidR="00230A25">
        <w:rPr>
          <w:rFonts w:asciiTheme="majorBidi" w:hAnsiTheme="majorBidi" w:cstheme="majorBidi"/>
          <w:sz w:val="24"/>
          <w:szCs w:val="24"/>
        </w:rPr>
        <w:t>Zn</w:t>
      </w:r>
      <w:r w:rsidRPr="00E66D94">
        <w:rPr>
          <w:rFonts w:asciiTheme="majorBidi" w:hAnsiTheme="majorBidi" w:cstheme="majorBidi"/>
          <w:sz w:val="24"/>
          <w:szCs w:val="24"/>
        </w:rPr>
        <w:t xml:space="preserve">, while most MCs from benign nodules </w:t>
      </w:r>
      <w:r w:rsidR="00ED3C99">
        <w:rPr>
          <w:rFonts w:asciiTheme="majorBidi" w:hAnsiTheme="majorBidi" w:cstheme="majorBidi"/>
          <w:sz w:val="24"/>
          <w:szCs w:val="24"/>
        </w:rPr>
        <w:t xml:space="preserve">lacked </w:t>
      </w:r>
      <w:r w:rsidR="00230A25">
        <w:rPr>
          <w:rFonts w:asciiTheme="majorBidi" w:hAnsiTheme="majorBidi" w:cstheme="majorBidi"/>
          <w:sz w:val="24"/>
          <w:szCs w:val="24"/>
        </w:rPr>
        <w:t>Zn</w:t>
      </w:r>
      <w:r w:rsidR="008531BC">
        <w:rPr>
          <w:rFonts w:asciiTheme="majorBidi" w:hAnsiTheme="majorBidi" w:cstheme="majorBidi"/>
          <w:sz w:val="24"/>
          <w:szCs w:val="24"/>
        </w:rPr>
        <w:t xml:space="preserve"> </w:t>
      </w:r>
      <w:r w:rsidR="000A4423">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{"citationItems":[{"id":"ITEM-1","itemData":{"DOI":"10.1016/j.actbio.2023.03.010","abstract":"Thyroid nodules (TNs) are common neck ultrasonography (US) findings, yet only 5-10% of these nodules harbor thyroid cancer (TC). When US characteristics are consistent with an intermediate or high suspicion for TN malignancy, fine needle aspiration for cytology (FNAC) is indicated. The main limitation of FNAC is that cytological results can be indeterminate in up to 30% of cases, necessitating reevaluation through repeated FNAC, expensive molecular testing, or diagnostic thyroid lobe resection. As such, there is a need for further refinement of current diagnostic algorithms for TNs without subjecting patients to additional invasive procedures. As calcifications detected during thyroid US are considered a high-risk feature for malignancy, we used the material remaining following routine thyroid FNAC to isolate microscopic cal-cifications (MCs). We then characterized the elemental composition, morphology, and crystal phases of these MCs, ultimately revealing differences between the MCs from benign and malignant TNs. Specifically , thyroid MCs were identified as calcium phosphate crystals containing varying levels of magnesium, sodium, iron, and zinc. MCs obtained from malignant TNs, mainly papillary thyroid carcinoma, were composed of sub-micrometer spherical particles, whereas MCs from benign TNs consisted of faceted particles. While samples from most patients with a final diagnosis of malignant TNs (50% of them with indeterminate cytology) harbored zinc-containing MCs, zinc was largely absent in MCs from benign TNs (23% with indeterminate or non-diagnostic cytology). Together, these data suggest that the presence of zinc in MCs isolated from samples collected during routine FNAC may potentially offer value as a biomarker of TN malignancy. Statement of significance As up to 40% of patients assessed for thyroid malignancy do not receive a definite diagnosis following thyroid nodule (TN) fine needle aspiration (FNA), there is a pressing need to improve the accuracy of current diagnostic algorithms. Chemical analyses of microscopic calcifications (MCs) may serve as a diagnostic target. We developed a straightforward protocol to chemically characterize MCs from excess material collected from TNs during routine FNA and found that these MCs differed between benign and malignant TNs. Specifically, zinc in TN-derived MCs may indicate a higher nodule malignancy risk, thus increasing the diagnostic accuracy of the FNA procedure, reducing the need for recurrent bio…","author":[{"dropping-particle":"","family":"Gotnayer","given":"L","non-dropping-particle":"","parse-names":false,"suffix":""},{"dropping-particle":"","family":"Aranovich","given":"D","non-dropping-particle":"","parse-names":false,"suffix":""},{"dropping-particle":"","family":"Fraenkel","given":"M","non-dropping-particle":"","parse-names":false,"suffix":""}],"container-title":"Acta Biomaterialia","id":"ITEM-1","issued":{"date-parts":[["2023"]]},"page":"275-284","title":"Zinc in microscopic calcifications isolated from thyroid fine needle aspiration may serve as a biomarker of thyroid nodule malignancy: A promising proof-of-concept","type":"article-journal","volume":"161"},"uris":["http://www.mendeley.com/documents/?uuid=56223c94-6e12-3dfb-a337-5749a3cf9d50"]}],"mendeley":{"formattedCitation":"[19]","plainTextFormattedCitation":"[19]","previouslyFormattedCitation":"[19]"},"properties":{"noteIndex":0},"schema":"https://github.com/citation-style-language/schema/raw/master/csl-citation.json"}</w:instrText>
      </w:r>
      <w:r w:rsidR="000A4423">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[19]</w:t>
      </w:r>
      <w:r w:rsidR="000A4423">
        <w:rPr>
          <w:rFonts w:asciiTheme="majorBidi" w:hAnsiTheme="majorBidi" w:cstheme="majorBidi"/>
          <w:sz w:val="24"/>
          <w:szCs w:val="24"/>
        </w:rPr>
        <w:fldChar w:fldCharType="end"/>
      </w:r>
      <w:r w:rsidRPr="00E66D94">
        <w:rPr>
          <w:rFonts w:asciiTheme="majorBidi" w:hAnsiTheme="majorBidi" w:cstheme="majorBidi"/>
          <w:sz w:val="24"/>
          <w:szCs w:val="24"/>
        </w:rPr>
        <w:t>.</w:t>
      </w:r>
    </w:p>
    <w:p w14:paraId="79351360" w14:textId="3A28467E" w:rsidR="00D772D0" w:rsidRDefault="00230A25" w:rsidP="00AB3F9D">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rPr>
        <w:t>Zn</w:t>
      </w:r>
      <w:r w:rsidR="00D772D0" w:rsidRPr="00E66D94">
        <w:rPr>
          <w:rFonts w:asciiTheme="majorBidi" w:hAnsiTheme="majorBidi" w:cstheme="majorBidi"/>
          <w:sz w:val="24"/>
        </w:rPr>
        <w:t xml:space="preserve"> is involved in many cellular </w:t>
      </w:r>
      <w:r w:rsidR="001948C4">
        <w:rPr>
          <w:rFonts w:asciiTheme="majorBidi" w:hAnsiTheme="majorBidi" w:cstheme="majorBidi"/>
          <w:sz w:val="24"/>
        </w:rPr>
        <w:t>processes</w:t>
      </w:r>
      <w:r w:rsidR="00D772D0" w:rsidRPr="00E66D94">
        <w:rPr>
          <w:rFonts w:asciiTheme="majorBidi" w:hAnsiTheme="majorBidi" w:cstheme="majorBidi"/>
          <w:sz w:val="24"/>
        </w:rPr>
        <w:t>, including cell signaling, proliferation, invasion, apoptosis</w:t>
      </w:r>
      <w:r w:rsidR="00D772D0">
        <w:rPr>
          <w:rFonts w:asciiTheme="majorBidi" w:hAnsiTheme="majorBidi" w:cstheme="majorBidi"/>
          <w:sz w:val="24"/>
        </w:rPr>
        <w:t xml:space="preserve">, </w:t>
      </w:r>
      <w:r w:rsidR="00D772D0" w:rsidRPr="00E66D94">
        <w:rPr>
          <w:rFonts w:asciiTheme="majorBidi" w:hAnsiTheme="majorBidi" w:cstheme="majorBidi"/>
          <w:sz w:val="24"/>
        </w:rPr>
        <w:t>immune responses</w:t>
      </w:r>
      <w:r w:rsidR="00D772D0">
        <w:rPr>
          <w:rFonts w:asciiTheme="majorBidi" w:hAnsiTheme="majorBidi" w:cstheme="majorBidi"/>
          <w:sz w:val="24"/>
        </w:rPr>
        <w:t>,</w:t>
      </w:r>
      <w:r w:rsidR="00D772D0" w:rsidRPr="00E66D94">
        <w:rPr>
          <w:rFonts w:asciiTheme="majorBidi" w:hAnsiTheme="majorBidi" w:cstheme="majorBidi"/>
          <w:sz w:val="24"/>
        </w:rPr>
        <w:t xml:space="preserve"> and inflammation</w:t>
      </w:r>
      <w:r w:rsidR="008531BC">
        <w:rPr>
          <w:rFonts w:asciiTheme="majorBidi" w:hAnsiTheme="majorBidi" w:cstheme="majorBidi"/>
          <w:sz w:val="24"/>
        </w:rPr>
        <w:t xml:space="preserve"> </w:t>
      </w:r>
      <w:r w:rsidR="00A61BE0">
        <w:rPr>
          <w:rFonts w:asciiTheme="majorBidi" w:hAnsiTheme="majorBidi" w:cstheme="majorBidi"/>
          <w:sz w:val="24"/>
        </w:rPr>
        <w:fldChar w:fldCharType="begin" w:fldLock="1"/>
      </w:r>
      <w:r w:rsidR="002562A5">
        <w:rPr>
          <w:rFonts w:asciiTheme="majorBidi" w:hAnsiTheme="majorBidi" w:cstheme="majorBidi"/>
          <w:sz w:val="24"/>
        </w:rPr>
        <w:instrText>ADDIN CSL_CITATION {"citationItems":[{"id":"ITEM-1","itemData":{"DOI":"10.1002/jcb.22049","abstract":"Zinc is a trace element that is essential for the normal function of cells. It is a cofactor for the structure and function of a wide range of cellular proteins including enzymes, transcription factors, and structural proteins. Recent studies have shown that zinc plays a role in the development of various cancers. Unfortunately no established common relationships of zinc with cancer development and progression have been identified. Zinc is known to have systemic effects such as regulation of the immune system as well as direct cellular effects resulting in regulation of gene expression, bioenergetics, metabolic pathways, signal transduction and cell invasion. Zinc is also reported to regulate cell proliferation and growth. In this review presentation we focus on the effects of zinc that are involved in the regulation of apoptosis in malignant cells. We selected the apoptotic effects of zinc because zinc is reported to both induce apoptosis in some cancers and to protect other cancer cells against apoptosis induced by other factors. The effects of zinc in the regulation of apoptosis appear to be cell type specific. More importantly the reported effects of zinc on cancer cells must be viewed from the perspective of the physiological regulation of zinc homeostasis. Thus one must be mindful of the experimental conditions under which zinc effects are investigated relative to the physiological and pathological conditions of cellular zinc distribution and concentrations that can exist in situ.","author":[{"dropping-particle":"","family":"Franklin","given":"Renty B","non-dropping-particle":"","parse-names":false,"suffix":""},{"dropping-particle":"","family":"Costello","given":"Leslie C","non-dropping-particle":"","parse-names":false,"suffix":""}],"container-title":"J. Cell. Biochem","id":"ITEM-1","issued":{"date-parts":[["2009"]]},"page":"750-757","title":"The Important Role of the Apoptotic Effects of Zinc in the Development of Cancers","type":"article-journal","volume":"106"},"uris":["http://www.mendeley.com/documents/?uuid=5fcb4609-1f60-31ad-8c4e-93200f503bcc"]},{"id":"ITEM-2","itemData":{"DOI":"10.1016/j.autrev.2014.11.008","ISSN":"18730183","PMID":"25462582","abstract":"Zinc (Zn) nutritional importance has been known for a long time, but in the last decades its importance in immune modulation has arisen. This review aims at describing the mechanisms involved in the regulation of Zn homeostasis and their effects on the immune response focusing on those which are implicated in the physiopathology of rheumatoid arthritis. Zn functions as a modulator of the immune response through its availability, which is tightly regulated by several transporters and regulators. When this mechanism is disturbed, Zn availability is reduced, altering survival, proliferation and differentiation of the cells of different organs and systems and, in particular, cells of the immune system. Zn deficiency affects cells involved in both innate and adaptive immunity at the survival, proliferation and maturation levels. These cells include monocytes, polymorphonuclear-, natural killer-, T-, and B-cells. T cell functions and the balance between the different T helper cell subsets are particularly susceptible to changes in Zn status. While acute Zn deficiency causes a decrease in innate and adaptive immunity, chronic deficiency increases inflammation. During chronic deficiency, the production of pro-inflammatory cytokines increases, influencing the outcome of a large number of inflammatory diseases, including rheumatoid arthritis.","author":[{"dropping-particle":"","family":"Bonaventura","given":"Paola","non-dropping-particle":"","parse-names":false,"suffix":""},{"dropping-particle":"","family":"Benedetti","given":"Giulia","non-dropping-particle":"","parse-names":false,"suffix":""},{"dropping-particle":"","family":"Albarède","given":"Francis","non-dropping-particle":"","parse-names":false,"suffix":""},{"dropping-particle":"","family":"Miossec","given":"Pierre","non-dropping-particle":"","parse-names":false,"suffix":""}],"container-title":"Autoimmunity Reviews","id":"ITEM-2","issue":"4","issued":{"date-parts":[["2015"]]},"page":"277-285","title":"Zinc and its role in immunity and inflammation","type":"article-journal","volume":"14"},"uris":["http://www.mendeley.com/documents/?uuid=926e1f4c-953b-4c1f-b297-1444ca8bfbf1"]},{"id":"ITEM-3","itemData":{"DOI":"10.3390/nu9060624","ISSN":"20726643","PMID":"28629136","abstract":"Micronutrient homeostasis is a key factor in maintaining a healthy immune system. Zinc is an essential micronutrient that is involved in the regulation of the innate and adaptive immune responses. The main cause of zinc deficiency is malnutrition. Zinc deficiency leads to cell-mediated immune dysfunctions among other manifestations. Consequently, such dysfunctions lead to a worse outcome in the response towards bacterial infection and sepsis. For instance, zinc is an essential component of the pathogen-eliminating signal transduction pathways leading to neutrophil extracellular traps (NET) formation, as well as inducing cell-mediated immunity over humoral immunity by regulating specific factors of differentiation. Additionally, zinc deficiency plays a role in inflammation, mainly elevating inflammatory response as well as damage to host tissue. Zinc is involved in the modulation of the proinflammatory response by targeting Nuclear Factor Kappa B (NF-κB), a transcription factor that is the master regulator of proinflammatory responses. It is also involved in controlling oxidative stress and regulating inflammatory cytokines. Zinc plays an intricate function during an immune response and its homeostasis is critical for sustaining proper immune function. This review will summarize the latest findings concerning the role of this micronutrient during the course of infections and inflammatory response and how the immune system modulates zinc depending on different stimuli.","author":[{"dropping-particle":"","family":"Gammoh","given":"Nour Zahi","non-dropping-particle":"","parse-names":false,"suffix":""},{"dropping-particle":"","family":"Rink","given":"Lothar","non-dropping-particle":"","parse-names":false,"suffix":""}],"container-title":"Nutrients","id":"ITEM-3","issued":{"date-parts":[["2017"]]},"page":"624","title":"Zinc in infection and inflammation","type":"article-journal","volume":"9(6)"},"uris":["http://www.mendeley.com/documents/?uuid=fb72aa65-4aa0-4cb7-9e4e-50d90c167854"]}],"mendeley":{"formattedCitation":"[20–22]","plainTextFormattedCitation":"[20–22]","previouslyFormattedCitation":"[20–22]"},"properties":{"noteIndex":0},"schema":"https://github.com/citation-style-language/schema/raw/master/csl-citation.json"}</w:instrText>
      </w:r>
      <w:r w:rsidR="00A61BE0">
        <w:rPr>
          <w:rFonts w:asciiTheme="majorBidi" w:hAnsiTheme="majorBidi" w:cstheme="majorBidi"/>
          <w:sz w:val="24"/>
        </w:rPr>
        <w:fldChar w:fldCharType="separate"/>
      </w:r>
      <w:r w:rsidR="009D5330" w:rsidRPr="009D5330">
        <w:rPr>
          <w:rFonts w:asciiTheme="majorBidi" w:hAnsiTheme="majorBidi" w:cstheme="majorBidi"/>
          <w:noProof/>
          <w:sz w:val="24"/>
        </w:rPr>
        <w:t>[20–22]</w:t>
      </w:r>
      <w:r w:rsidR="00A61BE0">
        <w:rPr>
          <w:rFonts w:asciiTheme="majorBidi" w:hAnsiTheme="majorBidi" w:cstheme="majorBidi"/>
          <w:sz w:val="24"/>
        </w:rPr>
        <w:fldChar w:fldCharType="end"/>
      </w:r>
      <w:r w:rsidR="00D772D0">
        <w:rPr>
          <w:rFonts w:asciiTheme="majorBidi" w:hAnsiTheme="majorBidi" w:cstheme="majorBidi"/>
          <w:sz w:val="24"/>
        </w:rPr>
        <w:t>.</w:t>
      </w:r>
      <w:r w:rsidR="00D772D0" w:rsidRPr="006965AA">
        <w:rPr>
          <w:rFonts w:asciiTheme="majorBidi" w:hAnsiTheme="majorBidi" w:cstheme="majorBidi"/>
          <w:sz w:val="24"/>
        </w:rPr>
        <w:t xml:space="preserve"> </w:t>
      </w:r>
      <w:r w:rsidR="00244F5A">
        <w:rPr>
          <w:rFonts w:asciiTheme="majorBidi" w:hAnsiTheme="majorBidi" w:cstheme="majorBidi"/>
          <w:sz w:val="24"/>
          <w:szCs w:val="24"/>
        </w:rPr>
        <w:t>T</w:t>
      </w:r>
      <w:r w:rsidR="00D772D0">
        <w:rPr>
          <w:rFonts w:asciiTheme="majorBidi" w:hAnsiTheme="majorBidi" w:cstheme="majorBidi"/>
          <w:sz w:val="24"/>
          <w:szCs w:val="24"/>
        </w:rPr>
        <w:t>he</w:t>
      </w:r>
      <w:r w:rsidR="00D772D0" w:rsidRPr="006965AA">
        <w:rPr>
          <w:rFonts w:asciiTheme="majorBidi" w:hAnsiTheme="majorBidi" w:cstheme="majorBidi"/>
          <w:sz w:val="24"/>
          <w:szCs w:val="24"/>
        </w:rPr>
        <w:t xml:space="preserve"> correlation</w:t>
      </w:r>
      <w:r w:rsidR="00D772D0">
        <w:rPr>
          <w:rFonts w:asciiTheme="majorBidi" w:hAnsiTheme="majorBidi" w:cstheme="majorBidi"/>
          <w:sz w:val="24"/>
          <w:szCs w:val="24"/>
        </w:rPr>
        <w:t xml:space="preserve"> between the presence of </w:t>
      </w:r>
      <w:r>
        <w:rPr>
          <w:rFonts w:asciiTheme="majorBidi" w:hAnsiTheme="majorBidi" w:cstheme="majorBidi"/>
          <w:sz w:val="24"/>
          <w:szCs w:val="24"/>
        </w:rPr>
        <w:t>Zn</w:t>
      </w:r>
      <w:r w:rsidR="00D772D0">
        <w:rPr>
          <w:rFonts w:asciiTheme="majorBidi" w:hAnsiTheme="majorBidi" w:cstheme="majorBidi"/>
          <w:sz w:val="24"/>
          <w:szCs w:val="24"/>
        </w:rPr>
        <w:t xml:space="preserve"> </w:t>
      </w:r>
      <w:r w:rsidR="00244F5A">
        <w:rPr>
          <w:rFonts w:asciiTheme="majorBidi" w:hAnsiTheme="majorBidi" w:cstheme="majorBidi"/>
          <w:sz w:val="24"/>
          <w:szCs w:val="24"/>
        </w:rPr>
        <w:t xml:space="preserve">within </w:t>
      </w:r>
      <w:r w:rsidR="00D772D0">
        <w:rPr>
          <w:rFonts w:asciiTheme="majorBidi" w:hAnsiTheme="majorBidi" w:cstheme="majorBidi"/>
          <w:sz w:val="24"/>
          <w:szCs w:val="24"/>
        </w:rPr>
        <w:t xml:space="preserve">thyroid </w:t>
      </w:r>
      <w:r w:rsidR="00A21485">
        <w:rPr>
          <w:rFonts w:asciiTheme="majorBidi" w:hAnsiTheme="majorBidi" w:cstheme="majorBidi"/>
          <w:sz w:val="24"/>
          <w:szCs w:val="24"/>
        </w:rPr>
        <w:t xml:space="preserve">FNA </w:t>
      </w:r>
      <w:r w:rsidR="00D772D0">
        <w:rPr>
          <w:rFonts w:asciiTheme="majorBidi" w:hAnsiTheme="majorBidi" w:cstheme="majorBidi"/>
          <w:sz w:val="24"/>
          <w:szCs w:val="24"/>
        </w:rPr>
        <w:t>MCs and thyroid nodule malignancy</w:t>
      </w:r>
      <w:r w:rsidR="00244F5A">
        <w:rPr>
          <w:rFonts w:asciiTheme="majorBidi" w:hAnsiTheme="majorBidi" w:cstheme="majorBidi"/>
          <w:sz w:val="24"/>
          <w:szCs w:val="24"/>
        </w:rPr>
        <w:t xml:space="preserve"> can be inter</w:t>
      </w:r>
      <w:r w:rsidR="007717E5">
        <w:rPr>
          <w:rFonts w:asciiTheme="majorBidi" w:hAnsiTheme="majorBidi" w:cstheme="majorBidi"/>
          <w:sz w:val="24"/>
          <w:szCs w:val="24"/>
        </w:rPr>
        <w:t>preted through a few plausible avenues</w:t>
      </w:r>
      <w:r w:rsidR="00D772D0" w:rsidRPr="006965AA">
        <w:rPr>
          <w:rFonts w:asciiTheme="majorBidi" w:hAnsiTheme="majorBidi" w:cstheme="majorBidi"/>
          <w:sz w:val="24"/>
          <w:szCs w:val="24"/>
        </w:rPr>
        <w:t>.</w:t>
      </w:r>
      <w:r w:rsidR="00344EC5">
        <w:rPr>
          <w:rFonts w:asciiTheme="majorBidi" w:hAnsiTheme="majorBidi" w:cstheme="majorBidi" w:hint="cs"/>
          <w:sz w:val="24"/>
          <w:szCs w:val="24"/>
          <w:rtl/>
        </w:rPr>
        <w:t xml:space="preserve"> </w:t>
      </w:r>
      <w:r w:rsidR="00D772D0">
        <w:rPr>
          <w:rFonts w:asciiTheme="majorBidi" w:hAnsiTheme="majorBidi" w:cstheme="majorBidi"/>
          <w:sz w:val="24"/>
          <w:szCs w:val="24"/>
        </w:rPr>
        <w:t>C</w:t>
      </w:r>
      <w:r w:rsidR="00D772D0" w:rsidRPr="006965AA">
        <w:rPr>
          <w:rFonts w:asciiTheme="majorBidi" w:hAnsiTheme="majorBidi" w:cstheme="majorBidi"/>
          <w:sz w:val="24"/>
          <w:szCs w:val="24"/>
        </w:rPr>
        <w:t xml:space="preserve">ancerous thyroid nodules </w:t>
      </w:r>
      <w:r w:rsidR="00A15605">
        <w:rPr>
          <w:rFonts w:asciiTheme="majorBidi" w:hAnsiTheme="majorBidi" w:cstheme="majorBidi"/>
          <w:sz w:val="24"/>
          <w:szCs w:val="24"/>
        </w:rPr>
        <w:t xml:space="preserve">could </w:t>
      </w:r>
      <w:r w:rsidR="00D772D0">
        <w:rPr>
          <w:rFonts w:asciiTheme="majorBidi" w:hAnsiTheme="majorBidi" w:cstheme="majorBidi"/>
          <w:sz w:val="24"/>
          <w:szCs w:val="24"/>
        </w:rPr>
        <w:t xml:space="preserve">induce the deposition of </w:t>
      </w:r>
      <w:r>
        <w:rPr>
          <w:rFonts w:asciiTheme="majorBidi" w:hAnsiTheme="majorBidi" w:cstheme="majorBidi"/>
          <w:sz w:val="24"/>
          <w:szCs w:val="24"/>
        </w:rPr>
        <w:t>Zn</w:t>
      </w:r>
      <w:r w:rsidR="00D772D0">
        <w:rPr>
          <w:rFonts w:asciiTheme="majorBidi" w:hAnsiTheme="majorBidi" w:cstheme="majorBidi"/>
          <w:sz w:val="24"/>
          <w:szCs w:val="24"/>
        </w:rPr>
        <w:t>-</w:t>
      </w:r>
      <w:r w:rsidR="00A15605">
        <w:rPr>
          <w:rFonts w:asciiTheme="majorBidi" w:hAnsiTheme="majorBidi" w:cstheme="majorBidi"/>
          <w:sz w:val="24"/>
          <w:szCs w:val="24"/>
        </w:rPr>
        <w:t>en</w:t>
      </w:r>
      <w:r w:rsidR="00D772D0">
        <w:rPr>
          <w:rFonts w:asciiTheme="majorBidi" w:hAnsiTheme="majorBidi" w:cstheme="majorBidi"/>
          <w:sz w:val="24"/>
          <w:szCs w:val="24"/>
        </w:rPr>
        <w:t>rich</w:t>
      </w:r>
      <w:r w:rsidR="00A15605">
        <w:rPr>
          <w:rFonts w:asciiTheme="majorBidi" w:hAnsiTheme="majorBidi" w:cstheme="majorBidi"/>
          <w:sz w:val="24"/>
          <w:szCs w:val="24"/>
        </w:rPr>
        <w:t>ed</w:t>
      </w:r>
      <w:r w:rsidR="00D772D0">
        <w:rPr>
          <w:rFonts w:asciiTheme="majorBidi" w:hAnsiTheme="majorBidi" w:cstheme="majorBidi"/>
          <w:sz w:val="24"/>
          <w:szCs w:val="24"/>
        </w:rPr>
        <w:t xml:space="preserve"> MCs, possibly </w:t>
      </w:r>
      <w:r w:rsidR="00FD5A40">
        <w:rPr>
          <w:rFonts w:asciiTheme="majorBidi" w:hAnsiTheme="majorBidi" w:cstheme="majorBidi"/>
          <w:sz w:val="24"/>
          <w:szCs w:val="24"/>
        </w:rPr>
        <w:t xml:space="preserve">facilitated by an elevated </w:t>
      </w:r>
      <w:r>
        <w:rPr>
          <w:rFonts w:asciiTheme="majorBidi" w:hAnsiTheme="majorBidi" w:cstheme="majorBidi"/>
          <w:sz w:val="24"/>
          <w:szCs w:val="24"/>
        </w:rPr>
        <w:t>Zn</w:t>
      </w:r>
      <w:r w:rsidR="00D772D0">
        <w:rPr>
          <w:rFonts w:asciiTheme="majorBidi" w:hAnsiTheme="majorBidi" w:cstheme="majorBidi"/>
          <w:sz w:val="24"/>
          <w:szCs w:val="24"/>
        </w:rPr>
        <w:t xml:space="preserve"> concentration </w:t>
      </w:r>
      <w:r w:rsidR="00FD5A40">
        <w:rPr>
          <w:rFonts w:asciiTheme="majorBidi" w:hAnsiTheme="majorBidi" w:cstheme="majorBidi"/>
          <w:sz w:val="24"/>
          <w:szCs w:val="24"/>
        </w:rPr>
        <w:t>with</w:t>
      </w:r>
      <w:r w:rsidR="00D772D0">
        <w:rPr>
          <w:rFonts w:asciiTheme="majorBidi" w:hAnsiTheme="majorBidi" w:cstheme="majorBidi"/>
          <w:sz w:val="24"/>
          <w:szCs w:val="24"/>
        </w:rPr>
        <w:t>in the nodule</w:t>
      </w:r>
      <w:r w:rsidR="00E61E2B">
        <w:rPr>
          <w:rFonts w:asciiTheme="majorBidi" w:hAnsiTheme="majorBidi" w:cstheme="majorBidi"/>
          <w:sz w:val="24"/>
          <w:szCs w:val="24"/>
        </w:rPr>
        <w:t>, stemming from</w:t>
      </w:r>
      <w:r w:rsidR="00D772D0">
        <w:rPr>
          <w:rFonts w:asciiTheme="majorBidi" w:hAnsiTheme="majorBidi" w:cstheme="majorBidi"/>
          <w:sz w:val="24"/>
          <w:szCs w:val="24"/>
        </w:rPr>
        <w:t xml:space="preserve"> </w:t>
      </w:r>
      <w:r w:rsidR="00D772D0" w:rsidRPr="006965AA">
        <w:rPr>
          <w:rFonts w:asciiTheme="majorBidi" w:hAnsiTheme="majorBidi" w:cstheme="majorBidi"/>
          <w:sz w:val="24"/>
        </w:rPr>
        <w:t xml:space="preserve">disease-related dysfunctional </w:t>
      </w:r>
      <w:r>
        <w:rPr>
          <w:rFonts w:asciiTheme="majorBidi" w:hAnsiTheme="majorBidi" w:cstheme="majorBidi"/>
          <w:sz w:val="24"/>
        </w:rPr>
        <w:t>Zn</w:t>
      </w:r>
      <w:r w:rsidR="00D772D0">
        <w:rPr>
          <w:rFonts w:asciiTheme="majorBidi" w:hAnsiTheme="majorBidi" w:cstheme="majorBidi"/>
          <w:sz w:val="24"/>
        </w:rPr>
        <w:t xml:space="preserve"> </w:t>
      </w:r>
      <w:r w:rsidR="00D772D0" w:rsidRPr="006965AA">
        <w:rPr>
          <w:rFonts w:asciiTheme="majorBidi" w:hAnsiTheme="majorBidi" w:cstheme="majorBidi"/>
          <w:sz w:val="24"/>
        </w:rPr>
        <w:t>transport</w:t>
      </w:r>
      <w:r w:rsidR="00D772D0">
        <w:rPr>
          <w:rFonts w:asciiTheme="majorBidi" w:hAnsiTheme="majorBidi" w:cstheme="majorBidi"/>
          <w:sz w:val="24"/>
          <w:szCs w:val="24"/>
        </w:rPr>
        <w:t xml:space="preserve">. </w:t>
      </w:r>
      <w:r w:rsidR="00E61E2B">
        <w:rPr>
          <w:rFonts w:asciiTheme="majorBidi" w:hAnsiTheme="majorBidi" w:cstheme="majorBidi"/>
          <w:sz w:val="24"/>
          <w:szCs w:val="24"/>
        </w:rPr>
        <w:t xml:space="preserve">Alternatively, </w:t>
      </w:r>
      <w:r>
        <w:rPr>
          <w:rFonts w:asciiTheme="majorBidi" w:hAnsiTheme="majorBidi" w:cstheme="majorBidi"/>
          <w:sz w:val="24"/>
          <w:szCs w:val="24"/>
        </w:rPr>
        <w:t>Zn</w:t>
      </w:r>
      <w:r w:rsidR="00D772D0">
        <w:rPr>
          <w:rFonts w:asciiTheme="majorBidi" w:hAnsiTheme="majorBidi" w:cstheme="majorBidi"/>
          <w:sz w:val="24"/>
          <w:szCs w:val="24"/>
        </w:rPr>
        <w:t>-</w:t>
      </w:r>
      <w:r w:rsidR="00E23FAD">
        <w:rPr>
          <w:rFonts w:asciiTheme="majorBidi" w:hAnsiTheme="majorBidi" w:cstheme="majorBidi"/>
          <w:sz w:val="24"/>
          <w:szCs w:val="24"/>
        </w:rPr>
        <w:t>en</w:t>
      </w:r>
      <w:r w:rsidR="00D772D0">
        <w:rPr>
          <w:rFonts w:asciiTheme="majorBidi" w:hAnsiTheme="majorBidi" w:cstheme="majorBidi"/>
          <w:sz w:val="24"/>
          <w:szCs w:val="24"/>
        </w:rPr>
        <w:t>rich</w:t>
      </w:r>
      <w:r w:rsidR="00E23FAD">
        <w:rPr>
          <w:rFonts w:asciiTheme="majorBidi" w:hAnsiTheme="majorBidi" w:cstheme="majorBidi"/>
          <w:sz w:val="24"/>
          <w:szCs w:val="24"/>
        </w:rPr>
        <w:t>ed</w:t>
      </w:r>
      <w:r w:rsidR="00D772D0">
        <w:rPr>
          <w:rFonts w:asciiTheme="majorBidi" w:hAnsiTheme="majorBidi" w:cstheme="majorBidi"/>
          <w:sz w:val="24"/>
          <w:szCs w:val="24"/>
        </w:rPr>
        <w:t xml:space="preserve"> MCs </w:t>
      </w:r>
      <w:r w:rsidR="00630517">
        <w:rPr>
          <w:rFonts w:asciiTheme="majorBidi" w:hAnsiTheme="majorBidi" w:cstheme="majorBidi"/>
          <w:sz w:val="24"/>
          <w:szCs w:val="24"/>
        </w:rPr>
        <w:t>forming</w:t>
      </w:r>
      <w:r w:rsidR="00D772D0">
        <w:rPr>
          <w:rFonts w:asciiTheme="majorBidi" w:hAnsiTheme="majorBidi" w:cstheme="majorBidi"/>
          <w:sz w:val="24"/>
          <w:szCs w:val="24"/>
        </w:rPr>
        <w:t xml:space="preserve"> in</w:t>
      </w:r>
      <w:r w:rsidR="00FA11C5">
        <w:rPr>
          <w:rFonts w:asciiTheme="majorBidi" w:hAnsiTheme="majorBidi" w:cstheme="majorBidi"/>
          <w:sz w:val="24"/>
          <w:szCs w:val="24"/>
        </w:rPr>
        <w:t xml:space="preserve"> </w:t>
      </w:r>
      <w:r w:rsidR="00D772D0">
        <w:rPr>
          <w:rFonts w:asciiTheme="majorBidi" w:hAnsiTheme="majorBidi" w:cstheme="majorBidi"/>
          <w:sz w:val="24"/>
          <w:szCs w:val="24"/>
        </w:rPr>
        <w:t xml:space="preserve">nodules </w:t>
      </w:r>
      <w:r w:rsidR="00630517">
        <w:rPr>
          <w:rFonts w:asciiTheme="majorBidi" w:hAnsiTheme="majorBidi" w:cstheme="majorBidi"/>
          <w:sz w:val="24"/>
          <w:szCs w:val="24"/>
        </w:rPr>
        <w:lastRenderedPageBreak/>
        <w:t xml:space="preserve">could contribute to </w:t>
      </w:r>
      <w:r w:rsidR="00D772D0">
        <w:rPr>
          <w:rFonts w:asciiTheme="majorBidi" w:hAnsiTheme="majorBidi" w:cstheme="majorBidi"/>
          <w:sz w:val="24"/>
          <w:szCs w:val="24"/>
        </w:rPr>
        <w:t xml:space="preserve">cancer progression. </w:t>
      </w:r>
      <w:r w:rsidR="00FA11C5">
        <w:rPr>
          <w:rFonts w:asciiTheme="majorBidi" w:hAnsiTheme="majorBidi" w:cstheme="majorBidi"/>
          <w:sz w:val="24"/>
          <w:szCs w:val="24"/>
        </w:rPr>
        <w:t>Moreover, a</w:t>
      </w:r>
      <w:r w:rsidR="00D772D0">
        <w:rPr>
          <w:rFonts w:asciiTheme="majorBidi" w:hAnsiTheme="majorBidi" w:cstheme="majorBidi"/>
          <w:sz w:val="24"/>
          <w:szCs w:val="24"/>
        </w:rPr>
        <w:t xml:space="preserve"> combination of these mechanisms is also possible, i.e., a vicious cycle in which cancerous nodules cause </w:t>
      </w:r>
      <w:r w:rsidR="00FA11C5">
        <w:rPr>
          <w:rFonts w:asciiTheme="majorBidi" w:hAnsiTheme="majorBidi" w:cstheme="majorBidi"/>
          <w:sz w:val="24"/>
          <w:szCs w:val="24"/>
        </w:rPr>
        <w:t xml:space="preserve">the deposition of </w:t>
      </w:r>
      <w:r>
        <w:rPr>
          <w:rFonts w:asciiTheme="majorBidi" w:hAnsiTheme="majorBidi" w:cstheme="majorBidi"/>
          <w:sz w:val="24"/>
          <w:szCs w:val="24"/>
        </w:rPr>
        <w:t>Zn</w:t>
      </w:r>
      <w:r w:rsidR="00D772D0">
        <w:rPr>
          <w:rFonts w:asciiTheme="majorBidi" w:hAnsiTheme="majorBidi" w:cstheme="majorBidi"/>
          <w:sz w:val="24"/>
          <w:szCs w:val="24"/>
        </w:rPr>
        <w:t>-</w:t>
      </w:r>
      <w:r w:rsidR="00E23FAD">
        <w:rPr>
          <w:rFonts w:asciiTheme="majorBidi" w:hAnsiTheme="majorBidi" w:cstheme="majorBidi"/>
          <w:sz w:val="24"/>
          <w:szCs w:val="24"/>
        </w:rPr>
        <w:t>en</w:t>
      </w:r>
      <w:r w:rsidR="00D772D0">
        <w:rPr>
          <w:rFonts w:asciiTheme="majorBidi" w:hAnsiTheme="majorBidi" w:cstheme="majorBidi"/>
          <w:sz w:val="24"/>
          <w:szCs w:val="24"/>
        </w:rPr>
        <w:t>rich</w:t>
      </w:r>
      <w:r w:rsidR="00E23FAD">
        <w:rPr>
          <w:rFonts w:asciiTheme="majorBidi" w:hAnsiTheme="majorBidi" w:cstheme="majorBidi"/>
          <w:sz w:val="24"/>
          <w:szCs w:val="24"/>
        </w:rPr>
        <w:t>ed</w:t>
      </w:r>
      <w:r w:rsidR="00D772D0">
        <w:rPr>
          <w:rFonts w:asciiTheme="majorBidi" w:hAnsiTheme="majorBidi" w:cstheme="majorBidi"/>
          <w:sz w:val="24"/>
          <w:szCs w:val="24"/>
        </w:rPr>
        <w:t xml:space="preserve"> MC</w:t>
      </w:r>
      <w:r w:rsidR="00FA11C5">
        <w:rPr>
          <w:rFonts w:asciiTheme="majorBidi" w:hAnsiTheme="majorBidi" w:cstheme="majorBidi"/>
          <w:sz w:val="24"/>
          <w:szCs w:val="24"/>
        </w:rPr>
        <w:t>s</w:t>
      </w:r>
      <w:r w:rsidR="00D772D0">
        <w:rPr>
          <w:rFonts w:asciiTheme="majorBidi" w:hAnsiTheme="majorBidi" w:cstheme="majorBidi"/>
          <w:sz w:val="24"/>
          <w:szCs w:val="24"/>
        </w:rPr>
        <w:t xml:space="preserve">, </w:t>
      </w:r>
      <w:r w:rsidR="00147699">
        <w:rPr>
          <w:rFonts w:asciiTheme="majorBidi" w:hAnsiTheme="majorBidi" w:cstheme="majorBidi"/>
          <w:sz w:val="24"/>
          <w:szCs w:val="24"/>
        </w:rPr>
        <w:t xml:space="preserve">subsequently </w:t>
      </w:r>
      <w:r w:rsidR="00D772D0">
        <w:rPr>
          <w:rFonts w:asciiTheme="majorBidi" w:hAnsiTheme="majorBidi" w:cstheme="majorBidi"/>
          <w:sz w:val="24"/>
          <w:szCs w:val="24"/>
        </w:rPr>
        <w:t xml:space="preserve">generating more cancerous cell behavior. </w:t>
      </w:r>
    </w:p>
    <w:p w14:paraId="5C2D6E44" w14:textId="28F27108" w:rsidR="00C16E71" w:rsidRDefault="00D772D0" w:rsidP="00AB3F9D">
      <w:pPr>
        <w:spacing w:after="0" w:line="360" w:lineRule="auto"/>
        <w:jc w:val="both"/>
        <w:rPr>
          <w:rStyle w:val="cf01"/>
          <w:rFonts w:asciiTheme="majorBidi" w:hAnsiTheme="majorBidi" w:cstheme="majorBidi"/>
          <w:sz w:val="24"/>
          <w:szCs w:val="24"/>
        </w:rPr>
      </w:pPr>
      <w:r>
        <w:rPr>
          <w:rFonts w:asciiTheme="majorBidi" w:hAnsiTheme="majorBidi" w:cstheme="majorBidi"/>
          <w:sz w:val="24"/>
          <w:szCs w:val="24"/>
        </w:rPr>
        <w:t xml:space="preserve">In that light, a possible mechanism </w:t>
      </w:r>
      <w:r w:rsidR="0053224E">
        <w:rPr>
          <w:rFonts w:asciiTheme="majorBidi" w:hAnsiTheme="majorBidi" w:cstheme="majorBidi"/>
          <w:sz w:val="24"/>
          <w:szCs w:val="24"/>
        </w:rPr>
        <w:t xml:space="preserve">through </w:t>
      </w:r>
      <w:r>
        <w:rPr>
          <w:rFonts w:asciiTheme="majorBidi" w:hAnsiTheme="majorBidi" w:cstheme="majorBidi"/>
          <w:sz w:val="24"/>
          <w:szCs w:val="24"/>
        </w:rPr>
        <w:t xml:space="preserve">which </w:t>
      </w:r>
      <w:r w:rsidR="00230A25">
        <w:rPr>
          <w:rFonts w:asciiTheme="majorBidi" w:hAnsiTheme="majorBidi" w:cstheme="majorBidi"/>
          <w:sz w:val="24"/>
          <w:szCs w:val="24"/>
        </w:rPr>
        <w:t>Zn</w:t>
      </w:r>
      <w:r>
        <w:rPr>
          <w:rFonts w:asciiTheme="majorBidi" w:hAnsiTheme="majorBidi" w:cstheme="majorBidi"/>
          <w:sz w:val="24"/>
          <w:szCs w:val="24"/>
        </w:rPr>
        <w:t xml:space="preserve"> incorporation into the MCs </w:t>
      </w:r>
      <w:r w:rsidR="006D4151">
        <w:rPr>
          <w:rFonts w:asciiTheme="majorBidi" w:hAnsiTheme="majorBidi" w:cstheme="majorBidi"/>
          <w:sz w:val="24"/>
          <w:szCs w:val="24"/>
        </w:rPr>
        <w:t xml:space="preserve">might trigger </w:t>
      </w:r>
      <w:r>
        <w:rPr>
          <w:rFonts w:asciiTheme="majorBidi" w:hAnsiTheme="majorBidi" w:cstheme="majorBidi"/>
          <w:sz w:val="24"/>
          <w:szCs w:val="24"/>
        </w:rPr>
        <w:t>cancerous cell</w:t>
      </w:r>
      <w:r w:rsidR="006D4151">
        <w:rPr>
          <w:rFonts w:asciiTheme="majorBidi" w:hAnsiTheme="majorBidi" w:cstheme="majorBidi"/>
          <w:sz w:val="24"/>
          <w:szCs w:val="24"/>
        </w:rPr>
        <w:t>ular</w:t>
      </w:r>
      <w:r>
        <w:rPr>
          <w:rFonts w:asciiTheme="majorBidi" w:hAnsiTheme="majorBidi" w:cstheme="majorBidi"/>
          <w:sz w:val="24"/>
          <w:szCs w:val="24"/>
        </w:rPr>
        <w:t xml:space="preserve"> behavior is through changes in </w:t>
      </w:r>
      <w:r w:rsidR="00512B12">
        <w:rPr>
          <w:rFonts w:asciiTheme="majorBidi" w:hAnsiTheme="majorBidi" w:cstheme="majorBidi"/>
          <w:sz w:val="24"/>
          <w:szCs w:val="24"/>
        </w:rPr>
        <w:t xml:space="preserve">the properties of </w:t>
      </w:r>
      <w:r w:rsidR="00E027EB">
        <w:rPr>
          <w:rFonts w:asciiTheme="majorBidi" w:hAnsiTheme="majorBidi" w:cstheme="majorBidi"/>
          <w:sz w:val="24"/>
          <w:szCs w:val="24"/>
        </w:rPr>
        <w:t xml:space="preserve">MC </w:t>
      </w:r>
      <w:r>
        <w:rPr>
          <w:rFonts w:asciiTheme="majorBidi" w:hAnsiTheme="majorBidi" w:cstheme="majorBidi"/>
          <w:sz w:val="24"/>
          <w:szCs w:val="24"/>
        </w:rPr>
        <w:t>crystal</w:t>
      </w:r>
      <w:r w:rsidR="00512B12">
        <w:rPr>
          <w:rFonts w:asciiTheme="majorBidi" w:hAnsiTheme="majorBidi" w:cstheme="majorBidi"/>
          <w:sz w:val="24"/>
          <w:szCs w:val="24"/>
        </w:rPr>
        <w:t>s</w:t>
      </w:r>
      <w:r>
        <w:rPr>
          <w:rFonts w:asciiTheme="majorBidi" w:hAnsiTheme="majorBidi" w:cstheme="majorBidi"/>
          <w:sz w:val="24"/>
          <w:szCs w:val="24"/>
        </w:rPr>
        <w:t>. C</w:t>
      </w:r>
      <w:r w:rsidRPr="00582814">
        <w:rPr>
          <w:rFonts w:asciiTheme="majorBidi" w:hAnsiTheme="majorBidi" w:cstheme="majorBidi"/>
          <w:sz w:val="24"/>
        </w:rPr>
        <w:t>a</w:t>
      </w:r>
      <w:r>
        <w:rPr>
          <w:rFonts w:asciiTheme="majorBidi" w:hAnsiTheme="majorBidi" w:cstheme="majorBidi"/>
          <w:sz w:val="24"/>
        </w:rPr>
        <w:t>lcium</w:t>
      </w:r>
      <w:r w:rsidRPr="00582814">
        <w:rPr>
          <w:rFonts w:asciiTheme="majorBidi" w:hAnsiTheme="majorBidi" w:cstheme="majorBidi"/>
          <w:sz w:val="24"/>
        </w:rPr>
        <w:t xml:space="preserve"> substitution </w:t>
      </w:r>
      <w:r w:rsidR="004E01A0">
        <w:rPr>
          <w:rFonts w:asciiTheme="majorBidi" w:hAnsiTheme="majorBidi" w:cstheme="majorBidi"/>
          <w:sz w:val="24"/>
        </w:rPr>
        <w:t>with</w:t>
      </w:r>
      <w:r w:rsidR="004E01A0" w:rsidRPr="00582814">
        <w:rPr>
          <w:rFonts w:asciiTheme="majorBidi" w:hAnsiTheme="majorBidi" w:cstheme="majorBidi"/>
          <w:sz w:val="24"/>
        </w:rPr>
        <w:t xml:space="preserve"> </w:t>
      </w:r>
      <w:r w:rsidR="00230A25">
        <w:rPr>
          <w:rFonts w:asciiTheme="majorBidi" w:hAnsiTheme="majorBidi" w:cstheme="majorBidi"/>
          <w:sz w:val="24"/>
        </w:rPr>
        <w:t>Zn</w:t>
      </w:r>
      <w:r w:rsidRPr="00582814">
        <w:rPr>
          <w:rFonts w:asciiTheme="majorBidi" w:hAnsiTheme="majorBidi" w:cstheme="majorBidi"/>
          <w:sz w:val="24"/>
        </w:rPr>
        <w:t xml:space="preserve"> can </w:t>
      </w:r>
      <w:r w:rsidR="00514818">
        <w:rPr>
          <w:rFonts w:asciiTheme="majorBidi" w:hAnsiTheme="majorBidi" w:cstheme="majorBidi"/>
          <w:sz w:val="24"/>
        </w:rPr>
        <w:t>change</w:t>
      </w:r>
      <w:r w:rsidRPr="00582814">
        <w:rPr>
          <w:rFonts w:asciiTheme="majorBidi" w:hAnsiTheme="majorBidi" w:cstheme="majorBidi"/>
          <w:sz w:val="24"/>
        </w:rPr>
        <w:t xml:space="preserve"> crystal</w:t>
      </w:r>
      <w:r>
        <w:rPr>
          <w:rFonts w:asciiTheme="majorBidi" w:hAnsiTheme="majorBidi" w:cstheme="majorBidi"/>
          <w:sz w:val="24"/>
        </w:rPr>
        <w:t xml:space="preserve"> </w:t>
      </w:r>
      <w:r w:rsidRPr="00582814">
        <w:rPr>
          <w:rFonts w:asciiTheme="majorBidi" w:hAnsiTheme="majorBidi" w:cstheme="majorBidi"/>
          <w:sz w:val="24"/>
        </w:rPr>
        <w:t xml:space="preserve">phase, crystallinity, </w:t>
      </w:r>
      <w:r>
        <w:rPr>
          <w:rFonts w:asciiTheme="majorBidi" w:hAnsiTheme="majorBidi" w:cstheme="majorBidi"/>
          <w:sz w:val="24"/>
        </w:rPr>
        <w:t xml:space="preserve">particle </w:t>
      </w:r>
      <w:r w:rsidRPr="00582814">
        <w:rPr>
          <w:rFonts w:asciiTheme="majorBidi" w:hAnsiTheme="majorBidi" w:cstheme="majorBidi"/>
          <w:sz w:val="24"/>
        </w:rPr>
        <w:t>sizes</w:t>
      </w:r>
      <w:r>
        <w:rPr>
          <w:rFonts w:asciiTheme="majorBidi" w:hAnsiTheme="majorBidi" w:cstheme="majorBidi"/>
          <w:sz w:val="24"/>
        </w:rPr>
        <w:t xml:space="preserve">, zeta potential, specific surface area, porosity, </w:t>
      </w:r>
      <w:r w:rsidR="005178BC">
        <w:rPr>
          <w:rFonts w:asciiTheme="majorBidi" w:hAnsiTheme="majorBidi" w:cstheme="majorBidi"/>
          <w:sz w:val="24"/>
        </w:rPr>
        <w:t xml:space="preserve">solubility, </w:t>
      </w:r>
      <w:r>
        <w:rPr>
          <w:rFonts w:asciiTheme="majorBidi" w:hAnsiTheme="majorBidi" w:cstheme="majorBidi"/>
          <w:sz w:val="24"/>
        </w:rPr>
        <w:t>and morphology</w:t>
      </w:r>
      <w:r w:rsidRPr="00582814">
        <w:rPr>
          <w:rFonts w:asciiTheme="majorBidi" w:hAnsiTheme="majorBidi" w:cstheme="majorBidi"/>
          <w:sz w:val="24"/>
        </w:rPr>
        <w:t xml:space="preserve"> compared to stoichiometric </w:t>
      </w:r>
      <w:r w:rsidR="00DC5405">
        <w:rPr>
          <w:rFonts w:asciiTheme="majorBidi" w:hAnsiTheme="majorBidi" w:cstheme="majorBidi"/>
          <w:sz w:val="24"/>
        </w:rPr>
        <w:t xml:space="preserve">HA </w:t>
      </w:r>
      <w:r w:rsidR="00A61BE0">
        <w:rPr>
          <w:rFonts w:asciiTheme="majorBidi" w:hAnsiTheme="majorBidi" w:cstheme="majorBidi"/>
          <w:sz w:val="24"/>
        </w:rPr>
        <w:fldChar w:fldCharType="begin" w:fldLock="1"/>
      </w:r>
      <w:r w:rsidR="002562A5">
        <w:rPr>
          <w:rFonts w:asciiTheme="majorBidi" w:hAnsiTheme="majorBidi" w:cstheme="majorBidi"/>
          <w:sz w:val="24"/>
        </w:rPr>
        <w:instrText>ADDIN CSL_CITATION {"citationItems":[{"id":"ITEM-1","itemData":{"DOI":"10.1016/j.actbio.2005.09.002","ISSN":"17427061","PMID":"16701860","abstract":"Nano-crystalline Zn-containing hydroxyapatite (ZnHAp) was prepared by the wet-chemical method and the selective adsorption of essential proteins was examined, taking bovine serum albumin (BSA) and pathogenic protein such as β2-microglobulin (β2-MG) as model proteins. Transmission electron microscopy observation and X-ray diffraction analysis indicated that the increase of Zn content led to smaller crystallites and their specific surface area of ZnHAps increased with increasing Zn content, accordingly. Furthermore, the amounts of BSA adsorption on ZnHAp particles decreased with increasing Zn content in spite of the increase in the specific surface area. It is thus concluded that nano-crystalline ZnHAps had a highly selective adsorption property with regard to β2-MG. © 2005 Acta Materialia Inc. Published by Elsevier Ltd. All rights reserved.","author":[{"dropping-particle":"","family":"Fujii","given":"Eiji","non-dropping-particle":"","parse-names":false,"suffix":""},{"dropping-particle":"","family":"Ohkubo","given":"Mizuk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dropping-particle":"","family":"Kawabata","given":"Koji","non-dropping-particle":"","parse-names":false,"suffix":""},{"dropping-particle":"","family":"Bonhomme","given":"Christian","non-dropping-particle":"","parse-names":false,"suffix":""},{"dropping-particle":"","family":"Babonneau","given":"Florence","non-dropping-particle":"","parse-names":false,"suffix":""}],"container-title":"Acta Biomaterialia","id":"ITEM-1","issue":"1","issued":{"date-parts":[["2006"]]},"page":"69-74","title":"Selective protein adsorption property and characterization of nano-crystalline zinc-containing hydroxyapatite","type":"article-journal","volume":"2"},"uris":["http://www.mendeley.com/documents/?uuid=75e17ba6-2a17-429c-bd22-6495f866f6c5"]},{"id":"ITEM-2","itemData":{"DOI":"10.1016/j.biomaterials.2009.01.043","abstract":"By theoretical modeling and X-ray absorption spectroscopy, the local coordination structure of Zn incorporated into hydroxylapatite was examined. Density function theory (DFT) calculations show that Zn favors the Ca2 site over the Ca1 site, and favors tetrahedral coordination. X-ray absorption near edge structure (XANES) spectroscopy results suggest one dominant coordination environment for the incorporated Zn, and no evidence was observed for other Zn-containing phases. Extended X-ray absorption fine structure (EXAFS) fitting of the synthetic samples confirms that Zn occurs in tetrahedral coordination , with two P shells at w2.85-3.07 Å, and two higher Ca shells at w3.71-4.02 Å. These fit results are consistent with the most favored DFT model for Zn substitution in the Ca2 site.","author":[{"dropping-particle":"","family":"Tang","given":"Yuanzhi","non-dropping-particle":"","parse-names":false,"suffix":""},{"dropping-particle":"","family":"Chappell","given":"Helen F","non-dropping-particle":"","parse-names":false,"suffix":""},{"dropping-particle":"","family":"Dove","given":"Martin T","non-dropping-particle":"","parse-names":false,"suffix":""},{"dropping-particle":"","family":"Reeder","given":"Richard J","non-dropping-particle":"","parse-names":false,"suffix":""},{"dropping-particle":"","family":"Lee","given":"Young J","non-dropping-particle":"","parse-names":false,"suffix":""}],"container-title":"Biomaterials","id":"ITEM-2","issued":{"date-parts":[["2009"]]},"page":"2864-2872","title":"Zinc incorporation into hydroxylapatite","type":"article-journal"},"uris":["http://www.mendeley.com/documents/?uuid=1d42e019-eda7-3035-b1d9-93c9c6286644"]},{"id":"ITEM-3","itemData":{"DOI":"10.1016/j.ceramint.2020.02.192","abstract":"Ionic substituted calcium phosphates have received much attention for their use as implant materials because of their ability to mimic natural hard tissues. In this work, the properties of hydroxyapatite ceramic doped with small amounts of zinc ions (5, 10, and 15 mol%) by using a wet chemical precipitation route were studied. XRD spectra revealed that adding zinc led to the development of a biphasic mixture composed of hydroxyapatite (HA) and β-TCP phases, which affected the morphology, crystallinity, and crystallite size of the precipitates. With increasing zinc ion substitution in the HA lattices, the degree of crystallinity of the powders reduces due to the additional formation of β-TCP phase. Slender, elongated, and highly agglomerated particles were observed for all synthesized powders. However, calcination at 700 °C caused the particles to become more spherical, having diameters ranging from 30 to 37 nm. An increase in the concentration of zinc ions promoted the β-TCP phase, which ultimately altered the lattice parameters of the HA structure and suppressed the growth of particles.","author":[{"dropping-particle":"","family":"Mardziah","given":"C M","non-dropping-particle":"","parse-names":false,"suffix":""},{"dropping-particle":"","family":"Ramesh","given":"S","non-dropping-particle":"","parse-names":false,"suffix":""},{"dropping-particle":"","family":"Wahid","given":"M F Abdul","non-dropping-particle":"","parse-names":false,"suffix":""},{"dropping-particle":"","family":"Chandran","given":"Hari","non-dropping-particle":"","parse-names":false,"suffix":""},{"dropping-particle":"","family":"Sidhu","given":"Amritpal","non-dropping-particle":"","parse-names":false,"suffix":""},{"dropping-particle":"","family":"Krishnasamy","given":"S","non-dropping-particle":"","parse-names":false,"suffix":""},{"dropping-particle":"","family":"Purbolaksono","given":"J","non-dropping-particle":"","parse-names":false,"suffix":""}],"container-title":"Ceramics International","id":"ITEM-3","issue":"9","issued":{"date-parts":[["2020"]]},"page":"13945-13952.","title":"Effect of zinc ions on the structural characteristics of hydroxyapatite bioceramics","type":"article-journal","volume":"46"},"uris":["http://www.mendeley.com/documents/?uuid=0fcd69fa-734c-3c28-811f-00ceffa6c662"]},{"id":"ITEM-4","itemData":{"DOI":"10.1016/j.materresbull.2004.10.020","ISSN":"00255408","abstract":"Zn-substituted Ca hydroxyapatites were synthesized by precipitation method under the specific conditions (pH 8, 90°C) and their structural properties were investigated. The substituting limit of Zn was estimated at about 15 mol%. The lattice parameter a decreased up to 5 mol% Zn, and started to increase over 5 mol% Zn. The lattice parameter c monotonously decreased with increase in Zn fraction. The increase in lattice parameter a for higher Zn fraction was ascribed to increasing amount of lattice H2O which substituted for OH sites in the apatite structure. The lattice H2O in the Zn-substituted apatites was lost by the heat treatment at 400°C. As a result, both the lattice parameters a and c of the heat-treated apatites decreased with increasing Zn fraction. Only the difference in ionic radius between Zn2+ (0.074 nm) and Ca2+ (0.099 nm) was decisive to the change in both lattice parameters after the heat treatment at 400°C. © 2004 Elsevier Ltd. All rights reserved.","author":[{"dropping-particle":"","family":"Miyaji","given":"Fumiaki","non-dropping-particle":"","parse-names":false,"suffix":""},{"dropping-particle":"","family":"Kono","given":"Yoshiteru","non-dropping-particle":"","parse-names":false,"suffix":""},{"dropping-particle":"","family":"Suyama","given":"Yoko","non-dropping-particle":"","parse-names":false,"suffix":""}],"container-title":"Materials Research Bulletin","id":"ITEM-4","issue":"2","issued":{"date-parts":[["2005"]]},"page":"209-220","title":"Formation and structure of zinc-substituted calcium hydroxyapatite","type":"article-journal","volume":"40"},"uris":["http://www.mendeley.com/documents/?uuid=c03ccc34-9abc-4928-99b7-c2f43d5effd8"]},{"id":"ITEM-5","itemData":{"DOI":"10.1016/j.actbio.2009.04.014","ISSN":"17427061","PMID":"19446055","abstract":"The substitution of Zn in hydroxyapatite (HA) crystals was examined via comprehensive characterization techniques. Nanosized HA crystals were synthesized by the wet chemical method in aqueous solutions including various amounts of Zn ions. X-ray fluorescent spectroscopy was used to examine the amount of Zn in the HA precipitates. Scanning electron microscopy and high-resolution transmission electron microscopy were employed to examine the effects of Zn on the morphology and crystal size of the precipitates. Conventional powder X-ray diffraction and the Rietveld refinement method revealed the apatite lattice parameters and phase changes with the inclusion of Zn. The results indicated that Zn ions partially substituted for Ca ions in the apatite structure. They were not simply adsorbed on the apatite surface or in the amorphous phase. The precipitates maintained the apatite phase up to a Zn:(Zn + Ca) ratio of 15-20 mol.% in the solution. Pure HA was well crystallized and the crystals had regular shapes, whereas the Zn-substituted apatite crystals became irregular and formed agglomerates. The lattice parameters, a and c, decreased at a Zn:(Zn + Ca) ratio of 10 mol.%. © 2009 Acta Materialia Inc.","author":[{"dropping-particle":"","family":"Ren","given":"Fuzeng","non-dropping-particle":"","parse-names":false,"suffix":""},{"dropping-particle":"","family":"Xin","given":"Renlong","non-dropping-particle":"","parse-names":false,"suffix":""},{"dropping-particle":"","family":"Ge","given":"Xiang","non-dropping-particle":"","parse-names":false,"suffix":""},{"dropping-particle":"","family":"Leng","given":"Yang","non-dropping-particle":"","parse-names":false,"suffix":""}],"container-title":"Acta Biomaterialia","id":"ITEM-5","issue":"8","issued":{"date-parts":[["2009"]]},"page":"3141-3149","publisher":"Acta Materialia Inc.","title":"Characterization and structural analysis of zinc-substituted hydroxyapatites","type":"article-journal","volume":"5"},"uris":["http://www.mendeley.com/documents/?uuid=bc52df63-5efd-47ca-bb52-808c2bd21e6f"]}],"mendeley":{"formattedCitation":"[23–27]","plainTextFormattedCitation":"[23–27]","previouslyFormattedCitation":"[23–27]"},"properties":{"noteIndex":0},"schema":"https://github.com/citation-style-language/schema/raw/master/csl-citation.json"}</w:instrText>
      </w:r>
      <w:r w:rsidR="00A61BE0">
        <w:rPr>
          <w:rFonts w:asciiTheme="majorBidi" w:hAnsiTheme="majorBidi" w:cstheme="majorBidi"/>
          <w:sz w:val="24"/>
        </w:rPr>
        <w:fldChar w:fldCharType="separate"/>
      </w:r>
      <w:r w:rsidR="009D5330" w:rsidRPr="009D5330">
        <w:rPr>
          <w:rFonts w:asciiTheme="majorBidi" w:hAnsiTheme="majorBidi" w:cstheme="majorBidi"/>
          <w:noProof/>
          <w:sz w:val="24"/>
        </w:rPr>
        <w:t>[23–27]</w:t>
      </w:r>
      <w:r w:rsidR="00A61BE0">
        <w:rPr>
          <w:rFonts w:asciiTheme="majorBidi" w:hAnsiTheme="majorBidi" w:cstheme="majorBidi"/>
          <w:sz w:val="24"/>
        </w:rPr>
        <w:fldChar w:fldCharType="end"/>
      </w:r>
      <w:r w:rsidR="00441C36">
        <w:rPr>
          <w:rFonts w:asciiTheme="majorBidi" w:hAnsiTheme="majorBidi" w:cstheme="majorBidi"/>
          <w:sz w:val="24"/>
        </w:rPr>
        <w:t xml:space="preserve">. </w:t>
      </w:r>
      <w:r w:rsidR="002D141A">
        <w:rPr>
          <w:rFonts w:asciiTheme="majorBidi" w:hAnsiTheme="majorBidi" w:cstheme="majorBidi"/>
          <w:sz w:val="24"/>
        </w:rPr>
        <w:t xml:space="preserve">The extent to which </w:t>
      </w:r>
      <w:r w:rsidR="00230A25">
        <w:rPr>
          <w:rFonts w:asciiTheme="majorBidi" w:hAnsiTheme="majorBidi" w:cstheme="majorBidi"/>
          <w:sz w:val="24"/>
        </w:rPr>
        <w:t>Zn</w:t>
      </w:r>
      <w:r w:rsidR="002D141A">
        <w:rPr>
          <w:rFonts w:asciiTheme="majorBidi" w:hAnsiTheme="majorBidi" w:cstheme="majorBidi"/>
          <w:sz w:val="24"/>
        </w:rPr>
        <w:t xml:space="preserve"> is inc</w:t>
      </w:r>
      <w:r w:rsidR="0014500A">
        <w:rPr>
          <w:rFonts w:asciiTheme="majorBidi" w:hAnsiTheme="majorBidi" w:cstheme="majorBidi"/>
          <w:sz w:val="24"/>
        </w:rPr>
        <w:t xml:space="preserve">orporated into the </w:t>
      </w:r>
      <w:r>
        <w:rPr>
          <w:rStyle w:val="cf01"/>
          <w:rFonts w:asciiTheme="majorBidi" w:hAnsiTheme="majorBidi" w:cstheme="majorBidi"/>
          <w:sz w:val="24"/>
          <w:szCs w:val="24"/>
        </w:rPr>
        <w:t>hexagonal apatite crystal</w:t>
      </w:r>
      <w:r w:rsidR="0014500A">
        <w:rPr>
          <w:rStyle w:val="cf01"/>
          <w:rFonts w:asciiTheme="majorBidi" w:hAnsiTheme="majorBidi" w:cstheme="majorBidi"/>
          <w:sz w:val="24"/>
          <w:szCs w:val="24"/>
        </w:rPr>
        <w:t xml:space="preserve"> is inversely related to both crystallinity and the lattice </w:t>
      </w:r>
      <w:r w:rsidR="00DE3FB2">
        <w:rPr>
          <w:rStyle w:val="cf01"/>
          <w:rFonts w:asciiTheme="majorBidi" w:hAnsiTheme="majorBidi" w:cstheme="majorBidi"/>
          <w:sz w:val="24"/>
          <w:szCs w:val="24"/>
        </w:rPr>
        <w:t>parameters</w:t>
      </w:r>
      <w:r w:rsidR="0014500A">
        <w:rPr>
          <w:rStyle w:val="cf01"/>
          <w:rFonts w:asciiTheme="majorBidi" w:hAnsiTheme="majorBidi" w:cstheme="majorBidi"/>
          <w:sz w:val="24"/>
          <w:szCs w:val="24"/>
        </w:rPr>
        <w:t xml:space="preserve"> </w:t>
      </w:r>
      <w:r w:rsidR="002F54F7">
        <w:rPr>
          <w:rStyle w:val="cf01"/>
          <w:rFonts w:asciiTheme="majorBidi" w:hAnsiTheme="majorBidi" w:cstheme="majorBidi"/>
          <w:sz w:val="24"/>
          <w:szCs w:val="24"/>
        </w:rPr>
        <w:t>‘</w:t>
      </w:r>
      <w:r w:rsidR="0014500A">
        <w:rPr>
          <w:rStyle w:val="cf01"/>
          <w:rFonts w:asciiTheme="majorBidi" w:hAnsiTheme="majorBidi" w:cstheme="majorBidi"/>
          <w:sz w:val="24"/>
          <w:szCs w:val="24"/>
        </w:rPr>
        <w:t>a</w:t>
      </w:r>
      <w:r w:rsidR="002F54F7">
        <w:rPr>
          <w:rStyle w:val="cf01"/>
          <w:rFonts w:asciiTheme="majorBidi" w:hAnsiTheme="majorBidi" w:cstheme="majorBidi"/>
          <w:sz w:val="24"/>
          <w:szCs w:val="24"/>
        </w:rPr>
        <w:t>’</w:t>
      </w:r>
      <w:r w:rsidR="0014500A">
        <w:rPr>
          <w:rStyle w:val="cf01"/>
          <w:rFonts w:asciiTheme="majorBidi" w:hAnsiTheme="majorBidi" w:cstheme="majorBidi"/>
          <w:sz w:val="24"/>
          <w:szCs w:val="24"/>
        </w:rPr>
        <w:t xml:space="preserve"> and </w:t>
      </w:r>
      <w:r w:rsidR="002F54F7">
        <w:rPr>
          <w:rStyle w:val="cf01"/>
          <w:rFonts w:asciiTheme="majorBidi" w:hAnsiTheme="majorBidi" w:cstheme="majorBidi"/>
          <w:sz w:val="24"/>
          <w:szCs w:val="24"/>
        </w:rPr>
        <w:t>‘</w:t>
      </w:r>
      <w:r w:rsidR="0014500A">
        <w:rPr>
          <w:rStyle w:val="cf01"/>
          <w:rFonts w:asciiTheme="majorBidi" w:hAnsiTheme="majorBidi" w:cstheme="majorBidi"/>
          <w:sz w:val="24"/>
          <w:szCs w:val="24"/>
        </w:rPr>
        <w:t>c</w:t>
      </w:r>
      <w:r w:rsidR="002F54F7">
        <w:rPr>
          <w:rStyle w:val="cf01"/>
          <w:rFonts w:asciiTheme="majorBidi" w:hAnsiTheme="majorBidi" w:cstheme="majorBidi"/>
          <w:sz w:val="24"/>
          <w:szCs w:val="24"/>
        </w:rPr>
        <w:t>’</w:t>
      </w:r>
      <w:r>
        <w:rPr>
          <w:rStyle w:val="cf01"/>
          <w:rFonts w:asciiTheme="majorBidi" w:hAnsiTheme="majorBidi" w:cstheme="majorBidi"/>
          <w:sz w:val="24"/>
          <w:szCs w:val="24"/>
        </w:rPr>
        <w:t>, because the ionic radius of Zn</w:t>
      </w:r>
      <w:r w:rsidRPr="007956DB">
        <w:rPr>
          <w:rStyle w:val="cf01"/>
          <w:rFonts w:asciiTheme="majorBidi" w:hAnsiTheme="majorBidi" w:cstheme="majorBidi"/>
          <w:sz w:val="24"/>
          <w:szCs w:val="24"/>
          <w:vertAlign w:val="superscript"/>
        </w:rPr>
        <w:t>2+</w:t>
      </w:r>
      <w:r>
        <w:rPr>
          <w:rStyle w:val="cf01"/>
          <w:rFonts w:asciiTheme="majorBidi" w:hAnsiTheme="majorBidi" w:cstheme="majorBidi"/>
          <w:sz w:val="24"/>
          <w:szCs w:val="24"/>
        </w:rPr>
        <w:t xml:space="preserve"> is smaller than that of</w:t>
      </w:r>
      <w:r w:rsidR="00DE3FB2">
        <w:rPr>
          <w:rStyle w:val="cf01"/>
          <w:rFonts w:asciiTheme="majorBidi" w:hAnsiTheme="majorBidi" w:cstheme="majorBidi"/>
          <w:sz w:val="24"/>
          <w:szCs w:val="24"/>
        </w:rPr>
        <w:t xml:space="preserve"> the</w:t>
      </w:r>
      <w:r>
        <w:rPr>
          <w:rStyle w:val="cf01"/>
          <w:rFonts w:asciiTheme="majorBidi" w:hAnsiTheme="majorBidi" w:cstheme="majorBidi"/>
          <w:sz w:val="24"/>
          <w:szCs w:val="24"/>
        </w:rPr>
        <w:t xml:space="preserve"> Ca</w:t>
      </w:r>
      <w:r w:rsidRPr="007956DB">
        <w:rPr>
          <w:rStyle w:val="cf01"/>
          <w:rFonts w:asciiTheme="majorBidi" w:hAnsiTheme="majorBidi" w:cstheme="majorBidi"/>
          <w:sz w:val="24"/>
          <w:szCs w:val="24"/>
          <w:vertAlign w:val="superscript"/>
        </w:rPr>
        <w:t>2+</w:t>
      </w:r>
      <w:r>
        <w:rPr>
          <w:rStyle w:val="cf01"/>
          <w:rFonts w:asciiTheme="majorBidi" w:hAnsiTheme="majorBidi" w:cstheme="majorBidi"/>
          <w:sz w:val="24"/>
          <w:szCs w:val="24"/>
          <w:vertAlign w:val="superscript"/>
        </w:rPr>
        <w:t xml:space="preserve"> </w:t>
      </w:r>
      <w:r w:rsidR="00E027EB">
        <w:rPr>
          <w:rStyle w:val="cf01"/>
          <w:rFonts w:asciiTheme="majorBidi" w:hAnsiTheme="majorBidi" w:cstheme="majorBidi"/>
          <w:sz w:val="24"/>
          <w:szCs w:val="24"/>
        </w:rPr>
        <w:t>catio</w:t>
      </w:r>
      <w:r w:rsidRPr="008B4D05">
        <w:rPr>
          <w:rStyle w:val="cf01"/>
          <w:rFonts w:asciiTheme="majorBidi" w:hAnsiTheme="majorBidi" w:cstheme="majorBidi"/>
          <w:sz w:val="24"/>
          <w:szCs w:val="24"/>
        </w:rPr>
        <w:t>n</w:t>
      </w:r>
      <w:r w:rsidR="008531BC">
        <w:rPr>
          <w:rStyle w:val="cf01"/>
          <w:rFonts w:asciiTheme="majorBidi" w:hAnsiTheme="majorBidi" w:cstheme="majorBidi"/>
          <w:sz w:val="24"/>
          <w:szCs w:val="24"/>
        </w:rPr>
        <w:t xml:space="preserve"> </w:t>
      </w:r>
      <w:r w:rsidR="000A4423">
        <w:rPr>
          <w:rStyle w:val="cf01"/>
          <w:rFonts w:asciiTheme="majorBidi" w:hAnsiTheme="majorBidi" w:cstheme="majorBidi"/>
          <w:sz w:val="24"/>
          <w:szCs w:val="24"/>
        </w:rPr>
        <w:fldChar w:fldCharType="begin" w:fldLock="1"/>
      </w:r>
      <w:r w:rsidR="002562A5">
        <w:rPr>
          <w:rStyle w:val="cf01"/>
          <w:rFonts w:asciiTheme="majorBidi" w:hAnsiTheme="majorBidi" w:cstheme="majorBidi"/>
          <w:sz w:val="24"/>
          <w:szCs w:val="24"/>
        </w:rPr>
        <w:instrText>ADDIN CSL_CITATION {"citationItems":[{"id":"ITEM-1","itemData":{"DOI":"10.1016/j.materresbull.2004.10.020","ISSN":"00255408","abstract":"Zn-substituted Ca hydroxyapatites were synthesized by precipitation method under the specific conditions (pH 8, 90°C) and their structural properties were investigated. The substituting limit of Zn was estimated at about 15 mol%. The lattice parameter a decreased up to 5 mol% Zn, and started to increase over 5 mol% Zn. The lattice parameter c monotonously decreased with increase in Zn fraction. The increase in lattice parameter a for higher Zn fraction was ascribed to increasing amount of lattice H2O which substituted for OH sites in the apatite structure. The lattice H2O in the Zn-substituted apatites was lost by the heat treatment at 400°C. As a result, both the lattice parameters a and c of the heat-treated apatites decreased with increasing Zn fraction. Only the difference in ionic radius between Zn2+ (0.074 nm) and Ca2+ (0.099 nm) was decisive to the change in both lattice parameters after the heat treatment at 400°C. © 2004 Elsevier Ltd. All rights reserved.","author":[{"dropping-particle":"","family":"Miyaji","given":"Fumiaki","non-dropping-particle":"","parse-names":false,"suffix":""},{"dropping-particle":"","family":"Kono","given":"Yoshiteru","non-dropping-particle":"","parse-names":false,"suffix":""},{"dropping-particle":"","family":"Suyama","given":"Yoko","non-dropping-particle":"","parse-names":false,"suffix":""}],"container-title":"Materials Research Bulletin","id":"ITEM-1","issue":"2","issued":{"date-parts":[["2005"]]},"page":"209-220","title":"Formation and structure of zinc-substituted calcium hydroxyapatite","type":"article-journal","volume":"40"},"uris":["http://www.mendeley.com/documents/?uuid=c03ccc34-9abc-4928-99b7-c2f43d5effd8"]},{"id":"ITEM-2","itemData":{"DOI":"10.1016/j.actbio.2009.04.014","ISSN":"17427061","PMID":"19446055","abstract":"The substitution of Zn in hydroxyapatite (HA) crystals was examined via comprehensive characterization techniques. Nanosized HA crystals were synthesized by the wet chemical method in aqueous solutions including various amounts of Zn ions. X-ray fluorescent spectroscopy was used to examine the amount of Zn in the HA precipitates. Scanning electron microscopy and high-resolution transmission electron microscopy were employed to examine the effects of Zn on the morphology and crystal size of the precipitates. Conventional powder X-ray diffraction and the Rietveld refinement method revealed the apatite lattice parameters and phase changes with the inclusion of Zn. The results indicated that Zn ions partially substituted for Ca ions in the apatite structure. They were not simply adsorbed on the apatite surface or in the amorphous phase. The precipitates maintained the apatite phase up to a Zn:(Zn + Ca) ratio of 15-20 mol.% in the solution. Pure HA was well crystallized and the crystals had regular shapes, whereas the Zn-substituted apatite crystals became irregular and formed agglomerates. The lattice parameters, a and c, decreased at a Zn:(Zn + Ca) ratio of 10 mol.%. © 2009 Acta Materialia Inc.","author":[{"dropping-particle":"","family":"Ren","given":"Fuzeng","non-dropping-particle":"","parse-names":false,"suffix":""},{"dropping-particle":"","family":"Xin","given":"Renlong","non-dropping-particle":"","parse-names":false,"suffix":""},{"dropping-particle":"","family":"Ge","given":"Xiang","non-dropping-particle":"","parse-names":false,"suffix":""},{"dropping-particle":"","family":"Leng","given":"Yang","non-dropping-particle":"","parse-names":false,"suffix":""}],"container-title":"Acta Biomaterialia","id":"ITEM-2","issue":"8","issued":{"date-parts":[["2009"]]},"page":"3141-3149","publisher":"Acta Materialia Inc.","title":"Characterization and structural analysis of zinc-substituted hydroxyapatites","type":"article-journal","volume":"5"},"uris":["http://www.mendeley.com/documents/?uuid=bc52df63-5efd-47ca-bb52-808c2bd21e6f"]}],"mendeley":{"formattedCitation":"[26,27]","plainTextFormattedCitation":"[26,27]","previouslyFormattedCitation":"[26,27]"},"properties":{"noteIndex":0},"schema":"https://github.com/citation-style-language/schema/raw/master/csl-citation.json"}</w:instrText>
      </w:r>
      <w:r w:rsidR="000A4423">
        <w:rPr>
          <w:rStyle w:val="cf01"/>
          <w:rFonts w:asciiTheme="majorBidi" w:hAnsiTheme="majorBidi" w:cstheme="majorBidi"/>
          <w:sz w:val="24"/>
          <w:szCs w:val="24"/>
        </w:rPr>
        <w:fldChar w:fldCharType="separate"/>
      </w:r>
      <w:r w:rsidR="009D5330" w:rsidRPr="009D5330">
        <w:rPr>
          <w:rStyle w:val="cf01"/>
          <w:rFonts w:asciiTheme="majorBidi" w:hAnsiTheme="majorBidi" w:cstheme="majorBidi"/>
          <w:noProof/>
          <w:sz w:val="24"/>
          <w:szCs w:val="24"/>
        </w:rPr>
        <w:t>[26,27]</w:t>
      </w:r>
      <w:r w:rsidR="000A4423">
        <w:rPr>
          <w:rStyle w:val="cf01"/>
          <w:rFonts w:asciiTheme="majorBidi" w:hAnsiTheme="majorBidi" w:cstheme="majorBidi"/>
          <w:sz w:val="24"/>
          <w:szCs w:val="24"/>
        </w:rPr>
        <w:fldChar w:fldCharType="end"/>
      </w:r>
      <w:r w:rsidR="00441C36">
        <w:rPr>
          <w:rStyle w:val="cf01"/>
          <w:rFonts w:asciiTheme="majorBidi" w:hAnsiTheme="majorBidi" w:cstheme="majorBidi"/>
          <w:sz w:val="24"/>
          <w:szCs w:val="24"/>
        </w:rPr>
        <w:t>.</w:t>
      </w:r>
      <w:r>
        <w:rPr>
          <w:rStyle w:val="cf01"/>
          <w:rFonts w:asciiTheme="majorBidi" w:hAnsiTheme="majorBidi" w:cstheme="majorBidi"/>
          <w:sz w:val="24"/>
          <w:szCs w:val="24"/>
        </w:rPr>
        <w:t xml:space="preserve"> The morphology of stoichiometric </w:t>
      </w:r>
      <w:r w:rsidR="00B76E07">
        <w:rPr>
          <w:rStyle w:val="cf01"/>
          <w:rFonts w:asciiTheme="majorBidi" w:hAnsiTheme="majorBidi" w:cstheme="majorBidi"/>
          <w:sz w:val="24"/>
          <w:szCs w:val="24"/>
        </w:rPr>
        <w:t xml:space="preserve">HA </w:t>
      </w:r>
      <w:r>
        <w:rPr>
          <w:rStyle w:val="cf01"/>
          <w:rFonts w:asciiTheme="majorBidi" w:hAnsiTheme="majorBidi" w:cstheme="majorBidi"/>
          <w:sz w:val="24"/>
          <w:szCs w:val="24"/>
        </w:rPr>
        <w:t xml:space="preserve">is of non-faceted particle aggregates, and the particle size either remains constant or changes with an </w:t>
      </w:r>
      <w:r w:rsidR="006E78BC">
        <w:rPr>
          <w:rStyle w:val="cf01"/>
          <w:rFonts w:asciiTheme="majorBidi" w:hAnsiTheme="majorBidi" w:cstheme="majorBidi"/>
          <w:sz w:val="24"/>
          <w:szCs w:val="24"/>
        </w:rPr>
        <w:t>i</w:t>
      </w:r>
      <w:r>
        <w:rPr>
          <w:rStyle w:val="cf01"/>
          <w:rFonts w:asciiTheme="majorBidi" w:hAnsiTheme="majorBidi" w:cstheme="majorBidi"/>
          <w:sz w:val="24"/>
          <w:szCs w:val="24"/>
        </w:rPr>
        <w:t xml:space="preserve">ncrease in </w:t>
      </w:r>
      <w:r w:rsidR="00230A25">
        <w:rPr>
          <w:rStyle w:val="cf01"/>
          <w:rFonts w:asciiTheme="majorBidi" w:hAnsiTheme="majorBidi" w:cstheme="majorBidi"/>
          <w:sz w:val="24"/>
          <w:szCs w:val="24"/>
        </w:rPr>
        <w:t>Zn</w:t>
      </w:r>
      <w:r>
        <w:rPr>
          <w:rStyle w:val="cf01"/>
          <w:rFonts w:asciiTheme="majorBidi" w:hAnsiTheme="majorBidi" w:cstheme="majorBidi"/>
          <w:sz w:val="24"/>
          <w:szCs w:val="24"/>
        </w:rPr>
        <w:t xml:space="preserve"> fraction depending on the crystallization protocol</w:t>
      </w:r>
      <w:r w:rsidR="008531BC">
        <w:rPr>
          <w:rStyle w:val="cf01"/>
          <w:rFonts w:asciiTheme="majorBidi" w:hAnsiTheme="majorBidi" w:cstheme="majorBidi"/>
          <w:sz w:val="24"/>
          <w:szCs w:val="24"/>
        </w:rPr>
        <w:t xml:space="preserve"> </w:t>
      </w:r>
      <w:r w:rsidR="000A4423">
        <w:rPr>
          <w:rStyle w:val="cf01"/>
          <w:rFonts w:asciiTheme="majorBidi" w:hAnsiTheme="majorBidi" w:cstheme="majorBidi"/>
          <w:sz w:val="24"/>
          <w:szCs w:val="24"/>
        </w:rPr>
        <w:fldChar w:fldCharType="begin" w:fldLock="1"/>
      </w:r>
      <w:r w:rsidR="002562A5">
        <w:rPr>
          <w:rStyle w:val="cf01"/>
          <w:rFonts w:asciiTheme="majorBidi" w:hAnsiTheme="majorBidi" w:cstheme="majorBidi"/>
          <w:sz w:val="24"/>
          <w:szCs w:val="24"/>
        </w:rPr>
        <w:instrText>ADDIN CSL_CITATION {"citationItems":[{"id":"ITEM-1","itemData":{"DOI":"10.1016/j.materresbull.2004.10.020","ISSN":"00255408","abstract":"Zn-substituted Ca hydroxyapatites were synthesized by precipitation method under the specific conditions (pH 8, 90°C) and their structural properties were investigated. The substituting limit of Zn was estimated at about 15 mol%. The lattice parameter a decreased up to 5 mol% Zn, and started to increase over 5 mol% Zn. The lattice parameter c monotonously decreased with increase in Zn fraction. The increase in lattice parameter a for higher Zn fraction was ascribed to increasing amount of lattice H2O which substituted for OH sites in the apatite structure. The lattice H2O in the Zn-substituted apatites was lost by the heat treatment at 400°C. As a result, both the lattice parameters a and c of the heat-treated apatites decreased with increasing Zn fraction. Only the difference in ionic radius between Zn2+ (0.074 nm) and Ca2+ (0.099 nm) was decisive to the change in both lattice parameters after the heat treatment at 400°C. © 2004 Elsevier Ltd. All rights reserved.","author":[{"dropping-particle":"","family":"Miyaji","given":"Fumiaki","non-dropping-particle":"","parse-names":false,"suffix":""},{"dropping-particle":"","family":"Kono","given":"Yoshiteru","non-dropping-particle":"","parse-names":false,"suffix":""},{"dropping-particle":"","family":"Suyama","given":"Yoko","non-dropping-particle":"","parse-names":false,"suffix":""}],"container-title":"Materials Research Bulletin","id":"ITEM-1","issue":"2","issued":{"date-parts":[["2005"]]},"page":"209-220","title":"Formation and structure of zinc-substituted calcium hydroxyapatite","type":"article-journal","volume":"40"},"uris":["http://www.mendeley.com/documents/?uuid=c03ccc34-9abc-4928-99b7-c2f43d5effd8"]},{"id":"ITEM-2","itemData":{"DOI":"10.1016/j.actbio.2009.04.014","ISSN":"17427061","PMID":"19446055","abstract":"The substitution of Zn in hydroxyapatite (HA) crystals was examined via comprehensive characterization techniques. Nanosized HA crystals were synthesized by the wet chemical method in aqueous solutions including various amounts of Zn ions. X-ray fluorescent spectroscopy was used to examine the amount of Zn in the HA precipitates. Scanning electron microscopy and high-resolution transmission electron microscopy were employed to examine the effects of Zn on the morphology and crystal size of the precipitates. Conventional powder X-ray diffraction and the Rietveld refinement method revealed the apatite lattice parameters and phase changes with the inclusion of Zn. The results indicated that Zn ions partially substituted for Ca ions in the apatite structure. They were not simply adsorbed on the apatite surface or in the amorphous phase. The precipitates maintained the apatite phase up to a Zn:(Zn + Ca) ratio of 15-20 mol.% in the solution. Pure HA was well crystallized and the crystals had regular shapes, whereas the Zn-substituted apatite crystals became irregular and formed agglomerates. The lattice parameters, a and c, decreased at a Zn:(Zn + Ca) ratio of 10 mol.%. © 2009 Acta Materialia Inc.","author":[{"dropping-particle":"","family":"Ren","given":"Fuzeng","non-dropping-particle":"","parse-names":false,"suffix":""},{"dropping-particle":"","family":"Xin","given":"Renlong","non-dropping-particle":"","parse-names":false,"suffix":""},{"dropping-particle":"","family":"Ge","given":"Xiang","non-dropping-particle":"","parse-names":false,"suffix":""},{"dropping-particle":"","family":"Leng","given":"Yang","non-dropping-particle":"","parse-names":false,"suffix":""}],"container-title":"Acta Biomaterialia","id":"ITEM-2","issue":"8","issued":{"date-parts":[["2009"]]},"page":"3141-3149","publisher":"Acta Materialia Inc.","title":"Characterization and structural analysis of zinc-substituted hydroxyapatites","type":"article-journal","volume":"5"},"uris":["http://www.mendeley.com/documents/?uuid=bc52df63-5efd-47ca-bb52-808c2bd21e6f"]},{"id":"ITEM-3","itemData":{"DOI":"10.1016/j.ceramint.2020.02.192","abstract":"Ionic substituted calcium phosphates have received much attention for their use as implant materials because of their ability to mimic natural hard tissues. In this work, the properties of hydroxyapatite ceramic doped with small amounts of zinc ions (5, 10, and 15 mol%) by using a wet chemical precipitation route were studied. XRD spectra revealed that adding zinc led to the development of a biphasic mixture composed of hydroxyapatite (HA) and β-TCP phases, which affected the morphology, crystallinity, and crystallite size of the precipitates. With increasing zinc ion substitution in the HA lattices, the degree of crystallinity of the powders reduces due to the additional formation of β-TCP phase. Slender, elongated, and highly agglomerated particles were observed for all synthesized powders. However, calcination at 700 °C caused the particles to become more spherical, having diameters ranging from 30 to 37 nm. An increase in the concentration of zinc ions promoted the β-TCP phase, which ultimately altered the lattice parameters of the HA structure and suppressed the growth of particles.","author":[{"dropping-particle":"","family":"Mardziah","given":"C M","non-dropping-particle":"","parse-names":false,"suffix":""},{"dropping-particle":"","family":"Ramesh","given":"S","non-dropping-particle":"","parse-names":false,"suffix":""},{"dropping-particle":"","family":"Wahid","given":"M F Abdul","non-dropping-particle":"","parse-names":false,"suffix":""},{"dropping-particle":"","family":"Chandran","given":"Hari","non-dropping-particle":"","parse-names":false,"suffix":""},{"dropping-particle":"","family":"Sidhu","given":"Amritpal","non-dropping-particle":"","parse-names":false,"suffix":""},{"dropping-particle":"","family":"Krishnasamy","given":"S","non-dropping-particle":"","parse-names":false,"suffix":""},{"dropping-particle":"","family":"Purbolaksono","given":"J","non-dropping-particle":"","parse-names":false,"suffix":""}],"container-title":"Ceramics International","id":"ITEM-3","issue":"9","issued":{"date-parts":[["2020"]]},"page":"13945-13952.","title":"Effect of zinc ions on the structural characteristics of hydroxyapatite bioceramics","type":"article-journal","volume":"46"},"uris":["http://www.mendeley.com/documents/?uuid=0fcd69fa-734c-3c28-811f-00ceffa6c662"]}],"mendeley":{"formattedCitation":"[25–27]","plainTextFormattedCitation":"[25–27]","previouslyFormattedCitation":"[25–27]"},"properties":{"noteIndex":0},"schema":"https://github.com/citation-style-language/schema/raw/master/csl-citation.json"}</w:instrText>
      </w:r>
      <w:r w:rsidR="000A4423">
        <w:rPr>
          <w:rStyle w:val="cf01"/>
          <w:rFonts w:asciiTheme="majorBidi" w:hAnsiTheme="majorBidi" w:cstheme="majorBidi"/>
          <w:sz w:val="24"/>
          <w:szCs w:val="24"/>
        </w:rPr>
        <w:fldChar w:fldCharType="separate"/>
      </w:r>
      <w:r w:rsidR="009D5330" w:rsidRPr="009D5330">
        <w:rPr>
          <w:rStyle w:val="cf01"/>
          <w:rFonts w:asciiTheme="majorBidi" w:hAnsiTheme="majorBidi" w:cstheme="majorBidi"/>
          <w:noProof/>
          <w:sz w:val="24"/>
          <w:szCs w:val="24"/>
        </w:rPr>
        <w:t>[25–27]</w:t>
      </w:r>
      <w:r w:rsidR="000A4423">
        <w:rPr>
          <w:rStyle w:val="cf01"/>
          <w:rFonts w:asciiTheme="majorBidi" w:hAnsiTheme="majorBidi" w:cstheme="majorBidi"/>
          <w:sz w:val="24"/>
          <w:szCs w:val="24"/>
        </w:rPr>
        <w:fldChar w:fldCharType="end"/>
      </w:r>
      <w:r>
        <w:rPr>
          <w:rStyle w:val="cf01"/>
          <w:rFonts w:asciiTheme="majorBidi" w:hAnsiTheme="majorBidi" w:cstheme="majorBidi"/>
          <w:sz w:val="24"/>
          <w:szCs w:val="24"/>
        </w:rPr>
        <w:t xml:space="preserve">. </w:t>
      </w:r>
    </w:p>
    <w:p w14:paraId="09BE4628" w14:textId="13F00649" w:rsidR="00D772D0" w:rsidRDefault="00D772D0" w:rsidP="00AB3F9D">
      <w:pPr>
        <w:spacing w:after="0" w:line="360" w:lineRule="auto"/>
        <w:jc w:val="both"/>
        <w:rPr>
          <w:rFonts w:asciiTheme="majorBidi" w:hAnsiTheme="majorBidi" w:cstheme="majorBidi"/>
          <w:sz w:val="24"/>
          <w:szCs w:val="24"/>
        </w:rPr>
      </w:pPr>
      <w:r w:rsidRPr="005233B1">
        <w:rPr>
          <w:rStyle w:val="cf01"/>
          <w:rFonts w:asciiTheme="majorBidi" w:hAnsiTheme="majorBidi" w:cstheme="majorBidi"/>
          <w:sz w:val="24"/>
          <w:szCs w:val="24"/>
        </w:rPr>
        <w:t xml:space="preserve">Such changes in particle </w:t>
      </w:r>
      <w:r w:rsidR="009E3E32" w:rsidRPr="005233B1">
        <w:rPr>
          <w:rStyle w:val="cf01"/>
          <w:rFonts w:asciiTheme="majorBidi" w:hAnsiTheme="majorBidi" w:cstheme="majorBidi"/>
          <w:sz w:val="24"/>
          <w:szCs w:val="24"/>
        </w:rPr>
        <w:t>dimensions</w:t>
      </w:r>
      <w:r w:rsidR="00DB7830" w:rsidRPr="005233B1">
        <w:rPr>
          <w:rStyle w:val="cf01"/>
          <w:rFonts w:asciiTheme="majorBidi" w:hAnsiTheme="majorBidi" w:cstheme="majorBidi"/>
          <w:sz w:val="24"/>
          <w:szCs w:val="24"/>
        </w:rPr>
        <w:t xml:space="preserve"> </w:t>
      </w:r>
      <w:r w:rsidRPr="005233B1">
        <w:rPr>
          <w:rStyle w:val="cf01"/>
          <w:rFonts w:asciiTheme="majorBidi" w:hAnsiTheme="majorBidi" w:cstheme="majorBidi"/>
          <w:sz w:val="24"/>
          <w:szCs w:val="24"/>
        </w:rPr>
        <w:t xml:space="preserve">and crystal </w:t>
      </w:r>
      <w:r w:rsidRPr="005233B1">
        <w:rPr>
          <w:rFonts w:asciiTheme="majorBidi" w:hAnsiTheme="majorBidi" w:cstheme="majorBidi"/>
          <w:sz w:val="24"/>
          <w:szCs w:val="24"/>
        </w:rPr>
        <w:t xml:space="preserve">morphology </w:t>
      </w:r>
      <w:r w:rsidRPr="005233B1">
        <w:rPr>
          <w:rFonts w:asciiTheme="majorBidi" w:hAnsiTheme="majorBidi" w:cstheme="majorBidi"/>
          <w:sz w:val="24"/>
        </w:rPr>
        <w:t xml:space="preserve">can affect </w:t>
      </w:r>
      <w:r w:rsidR="00514818" w:rsidRPr="005233B1">
        <w:rPr>
          <w:rFonts w:asciiTheme="majorBidi" w:hAnsiTheme="majorBidi" w:cstheme="majorBidi"/>
          <w:sz w:val="24"/>
        </w:rPr>
        <w:t xml:space="preserve">the </w:t>
      </w:r>
      <w:r w:rsidR="009E3E32" w:rsidRPr="005233B1">
        <w:rPr>
          <w:rFonts w:asciiTheme="majorBidi" w:hAnsiTheme="majorBidi" w:cstheme="majorBidi"/>
          <w:sz w:val="24"/>
        </w:rPr>
        <w:t xml:space="preserve">attachment of </w:t>
      </w:r>
      <w:r w:rsidRPr="005233B1">
        <w:rPr>
          <w:rFonts w:asciiTheme="majorBidi" w:hAnsiTheme="majorBidi" w:cstheme="majorBidi"/>
          <w:sz w:val="24"/>
        </w:rPr>
        <w:t>protein</w:t>
      </w:r>
      <w:r w:rsidR="009E3E32" w:rsidRPr="005233B1">
        <w:rPr>
          <w:rFonts w:asciiTheme="majorBidi" w:hAnsiTheme="majorBidi" w:cstheme="majorBidi"/>
          <w:sz w:val="24"/>
        </w:rPr>
        <w:t>s</w:t>
      </w:r>
      <w:r w:rsidRPr="005233B1">
        <w:rPr>
          <w:rFonts w:asciiTheme="majorBidi" w:hAnsiTheme="majorBidi" w:cstheme="majorBidi"/>
          <w:sz w:val="24"/>
        </w:rPr>
        <w:t xml:space="preserve"> and cell</w:t>
      </w:r>
      <w:r w:rsidR="009E3E32" w:rsidRPr="005233B1">
        <w:rPr>
          <w:rFonts w:asciiTheme="majorBidi" w:hAnsiTheme="majorBidi" w:cstheme="majorBidi"/>
          <w:sz w:val="24"/>
        </w:rPr>
        <w:t>s</w:t>
      </w:r>
      <w:r w:rsidRPr="005233B1">
        <w:rPr>
          <w:rFonts w:asciiTheme="majorBidi" w:hAnsiTheme="majorBidi" w:cstheme="majorBidi"/>
          <w:sz w:val="24"/>
        </w:rPr>
        <w:t xml:space="preserve"> to the mineral</w:t>
      </w:r>
      <w:r w:rsidR="00074F89" w:rsidRPr="005233B1">
        <w:rPr>
          <w:rFonts w:asciiTheme="majorBidi" w:hAnsiTheme="majorBidi" w:cstheme="majorBidi"/>
          <w:sz w:val="24"/>
        </w:rPr>
        <w:t xml:space="preserve"> </w:t>
      </w:r>
      <w:r w:rsidR="0035655B" w:rsidRPr="005233B1">
        <w:rPr>
          <w:rFonts w:asciiTheme="majorBidi" w:hAnsiTheme="majorBidi" w:cstheme="majorBidi"/>
          <w:sz w:val="24"/>
        </w:rPr>
        <w:fldChar w:fldCharType="begin" w:fldLock="1"/>
      </w:r>
      <w:r w:rsidR="002562A5">
        <w:rPr>
          <w:rFonts w:asciiTheme="majorBidi" w:hAnsiTheme="majorBidi" w:cstheme="majorBidi"/>
          <w:sz w:val="24"/>
        </w:rPr>
        <w:instrText>ADDIN CSL_CITATION {"citationItems":[{"id":"ITEM-1","itemData":{"DOI":"10.1016/j.colsurfb.2014.07.029","abstract":"Calcium phosphates (CaPs) are ideal biomaterials for bone repair because of the similarities between their chemical structure and the mineral phase of hard biological tissues (e.g., bones and teeth). Since CaP bone grafts exhibit superior biocompatibility and strong osseointegration properties, they have been widely investigated for use as an in situ carrier for delivery of anti-resorptive and osteogenic drugs. The surface properties of CaP govern the affinity and the binding mechanisms between biological macromolecules (e.g., proteins) and the CaP surface, which indirectly determines the interactions between bone cells and implanted CaP biomaterials. These surface properties ultimately play a pivotal role in determining the success of CaP as bone implants and/or drug carriers. This review provides an in-depth discussion of the current methodologies used to regulate the surface chemistry of CaP and their subsequent effects in regards to protein adsorption and delivery, as well as cell/materials interactions.","author":[{"dropping-particle":"","family":"Lee","given":"Wing-Hin","non-dropping-particle":"","parse-names":false,"suffix":""},{"dropping-particle":"","family":"Loo","given":"Ching-Yee","non-dropping-particle":"","parse-names":false,"suffix":""},{"dropping-particle":"","family":"Rohanizadeh","given":"Ramin","non-dropping-particle":"","parse-names":false,"suffix":""}],"container-title":"Colloids and Surfaces B: Biointerfaces","id":"ITEM-1","issued":{"date-parts":[["2014"]]},"page":"823-834","title":"A review of chemical surface modification of bioceramics: Effects on protein adsorption and cellular response","type":"article-journal","volume":"122"},"uris":["http://www.mendeley.com/documents/?uuid=1e2e0226-9192-3ccb-b9af-12ec25a49459"]}],"mendeley":{"formattedCitation":"[28]","plainTextFormattedCitation":"[28]","previouslyFormattedCitation":"[28]"},"properties":{"noteIndex":0},"schema":"https://github.com/citation-style-language/schema/raw/master/csl-citation.json"}</w:instrText>
      </w:r>
      <w:r w:rsidR="0035655B" w:rsidRPr="005233B1">
        <w:rPr>
          <w:rFonts w:asciiTheme="majorBidi" w:hAnsiTheme="majorBidi" w:cstheme="majorBidi"/>
          <w:sz w:val="24"/>
        </w:rPr>
        <w:fldChar w:fldCharType="separate"/>
      </w:r>
      <w:r w:rsidR="009D5330" w:rsidRPr="009D5330">
        <w:rPr>
          <w:rFonts w:asciiTheme="majorBidi" w:hAnsiTheme="majorBidi" w:cstheme="majorBidi"/>
          <w:noProof/>
          <w:sz w:val="24"/>
        </w:rPr>
        <w:t>[28]</w:t>
      </w:r>
      <w:r w:rsidR="0035655B" w:rsidRPr="005233B1">
        <w:rPr>
          <w:rFonts w:asciiTheme="majorBidi" w:hAnsiTheme="majorBidi" w:cstheme="majorBidi"/>
          <w:sz w:val="24"/>
        </w:rPr>
        <w:fldChar w:fldCharType="end"/>
      </w:r>
      <w:r w:rsidRPr="005233B1">
        <w:rPr>
          <w:rFonts w:asciiTheme="majorBidi" w:hAnsiTheme="majorBidi" w:cstheme="majorBidi"/>
          <w:sz w:val="24"/>
        </w:rPr>
        <w:t xml:space="preserve"> and potentially </w:t>
      </w:r>
      <w:r w:rsidR="00514818" w:rsidRPr="005233B1">
        <w:rPr>
          <w:rFonts w:asciiTheme="majorBidi" w:hAnsiTheme="majorBidi" w:cstheme="majorBidi"/>
          <w:sz w:val="24"/>
        </w:rPr>
        <w:t xml:space="preserve">affect </w:t>
      </w:r>
      <w:r w:rsidRPr="005233B1">
        <w:rPr>
          <w:rFonts w:asciiTheme="majorBidi" w:hAnsiTheme="majorBidi" w:cstheme="majorBidi"/>
          <w:sz w:val="24"/>
        </w:rPr>
        <w:t>disease progression</w:t>
      </w:r>
      <w:r w:rsidRPr="0035655B">
        <w:rPr>
          <w:rFonts w:asciiTheme="majorBidi" w:hAnsiTheme="majorBidi" w:cstheme="majorBidi"/>
          <w:sz w:val="24"/>
        </w:rPr>
        <w:t>.</w:t>
      </w:r>
      <w:r w:rsidRPr="00CC3DBC">
        <w:rPr>
          <w:rFonts w:asciiTheme="majorBidi" w:hAnsiTheme="majorBidi" w:cstheme="majorBidi"/>
          <w:sz w:val="24"/>
        </w:rPr>
        <w:t xml:space="preserve"> </w:t>
      </w:r>
      <w:r w:rsidR="00C50969">
        <w:rPr>
          <w:rFonts w:asciiTheme="majorBidi" w:hAnsiTheme="majorBidi" w:cstheme="majorBidi"/>
          <w:sz w:val="24"/>
        </w:rPr>
        <w:t>The adhesion of p</w:t>
      </w:r>
      <w:r>
        <w:rPr>
          <w:rFonts w:asciiTheme="majorBidi" w:hAnsiTheme="majorBidi" w:cstheme="majorBidi"/>
          <w:sz w:val="24"/>
        </w:rPr>
        <w:t>rotein</w:t>
      </w:r>
      <w:r w:rsidR="00C50969">
        <w:rPr>
          <w:rFonts w:asciiTheme="majorBidi" w:hAnsiTheme="majorBidi" w:cstheme="majorBidi"/>
          <w:sz w:val="24"/>
        </w:rPr>
        <w:t>s</w:t>
      </w:r>
      <w:r>
        <w:rPr>
          <w:rFonts w:asciiTheme="majorBidi" w:hAnsiTheme="majorBidi" w:cstheme="majorBidi"/>
          <w:sz w:val="24"/>
        </w:rPr>
        <w:t xml:space="preserve"> to apatite crystals depends on the </w:t>
      </w:r>
      <w:r w:rsidRPr="009A4827">
        <w:rPr>
          <w:rStyle w:val="cf01"/>
          <w:rFonts w:asciiTheme="majorBidi" w:hAnsiTheme="majorBidi" w:cstheme="majorBidi"/>
          <w:sz w:val="24"/>
          <w:szCs w:val="24"/>
        </w:rPr>
        <w:t>protein conformation</w:t>
      </w:r>
      <w:r>
        <w:rPr>
          <w:rStyle w:val="cf01"/>
          <w:rFonts w:asciiTheme="majorBidi" w:hAnsiTheme="majorBidi" w:cstheme="majorBidi"/>
          <w:sz w:val="24"/>
          <w:szCs w:val="24"/>
        </w:rPr>
        <w:t xml:space="preserve"> as well as </w:t>
      </w:r>
      <w:r w:rsidR="00C50969">
        <w:rPr>
          <w:rStyle w:val="cf01"/>
          <w:rFonts w:asciiTheme="majorBidi" w:hAnsiTheme="majorBidi" w:cstheme="majorBidi"/>
          <w:sz w:val="24"/>
          <w:szCs w:val="24"/>
        </w:rPr>
        <w:t xml:space="preserve">an interplay of </w:t>
      </w:r>
      <w:r>
        <w:rPr>
          <w:rStyle w:val="cf01"/>
          <w:rFonts w:asciiTheme="majorBidi" w:hAnsiTheme="majorBidi" w:cstheme="majorBidi"/>
          <w:sz w:val="24"/>
          <w:szCs w:val="24"/>
        </w:rPr>
        <w:t>crystal</w:t>
      </w:r>
      <w:r>
        <w:rPr>
          <w:rFonts w:asciiTheme="majorBidi" w:hAnsiTheme="majorBidi" w:cstheme="majorBidi"/>
          <w:sz w:val="24"/>
        </w:rPr>
        <w:t xml:space="preserve"> </w:t>
      </w:r>
      <w:r w:rsidRPr="009A4827">
        <w:rPr>
          <w:rStyle w:val="cf01"/>
          <w:rFonts w:asciiTheme="majorBidi" w:hAnsiTheme="majorBidi" w:cstheme="majorBidi"/>
          <w:sz w:val="24"/>
          <w:szCs w:val="24"/>
        </w:rPr>
        <w:t>particle size</w:t>
      </w:r>
      <w:r>
        <w:rPr>
          <w:rStyle w:val="cf01"/>
          <w:rFonts w:asciiTheme="majorBidi" w:hAnsiTheme="majorBidi" w:cstheme="majorBidi"/>
          <w:sz w:val="24"/>
          <w:szCs w:val="24"/>
        </w:rPr>
        <w:t>s</w:t>
      </w:r>
      <w:r w:rsidRPr="009A4827">
        <w:rPr>
          <w:rStyle w:val="cf01"/>
          <w:rFonts w:asciiTheme="majorBidi" w:hAnsiTheme="majorBidi" w:cstheme="majorBidi"/>
          <w:sz w:val="24"/>
          <w:szCs w:val="24"/>
        </w:rPr>
        <w:t>, surface topography, roughness, porosity, pore size, charge,</w:t>
      </w:r>
      <w:r>
        <w:rPr>
          <w:rStyle w:val="cf01"/>
          <w:rFonts w:asciiTheme="majorBidi" w:hAnsiTheme="majorBidi" w:cstheme="majorBidi"/>
          <w:sz w:val="24"/>
          <w:szCs w:val="24"/>
        </w:rPr>
        <w:t xml:space="preserve"> and</w:t>
      </w:r>
      <w:r w:rsidRPr="009A4827">
        <w:rPr>
          <w:rStyle w:val="cf01"/>
          <w:rFonts w:asciiTheme="majorBidi" w:hAnsiTheme="majorBidi" w:cstheme="majorBidi"/>
          <w:sz w:val="24"/>
          <w:szCs w:val="24"/>
        </w:rPr>
        <w:t xml:space="preserve"> functional groups</w:t>
      </w:r>
      <w:r w:rsidR="008531BC">
        <w:rPr>
          <w:rStyle w:val="cf01"/>
          <w:rFonts w:asciiTheme="majorBidi" w:hAnsiTheme="majorBidi" w:cstheme="majorBidi"/>
          <w:sz w:val="24"/>
          <w:szCs w:val="24"/>
        </w:rPr>
        <w:t xml:space="preserve"> </w:t>
      </w:r>
      <w:r w:rsidR="000A4423">
        <w:rPr>
          <w:rStyle w:val="cf01"/>
          <w:rFonts w:asciiTheme="majorBidi" w:hAnsiTheme="majorBidi" w:cstheme="majorBidi"/>
          <w:sz w:val="24"/>
          <w:szCs w:val="24"/>
        </w:rPr>
        <w:fldChar w:fldCharType="begin" w:fldLock="1"/>
      </w:r>
      <w:r w:rsidR="002562A5">
        <w:rPr>
          <w:rStyle w:val="cf01"/>
          <w:rFonts w:asciiTheme="majorBidi" w:hAnsiTheme="majorBidi" w:cstheme="majorBidi"/>
          <w:sz w:val="24"/>
          <w:szCs w:val="24"/>
        </w:rPr>
        <w:instrText>ADDIN CSL_CITATION {"citationItems":[{"id":"ITEM-1","itemData":{"DOI":"10.1016/j.colsurfb.2014.07.029","abstract":"Calcium phosphates (CaPs) are ideal biomaterials for bone repair because of the similarities between their chemical structure and the mineral phase of hard biological tissues (e.g., bones and teeth). Since CaP bone grafts exhibit superior biocompatibility and strong osseointegration properties, they have been widely investigated for use as an in situ carrier for delivery of anti-resorptive and osteogenic drugs. The surface properties of CaP govern the affinity and the binding mechanisms between biological macromolecules (e.g., proteins) and the CaP surface, which indirectly determines the interactions between bone cells and implanted CaP biomaterials. These surface properties ultimately play a pivotal role in determining the success of CaP as bone implants and/or drug carriers. This review provides an in-depth discussion of the current methodologies used to regulate the surface chemistry of CaP and their subsequent effects in regards to protein adsorption and delivery, as well as cell/materials interactions.","author":[{"dropping-particle":"","family":"Lee","given":"Wing-Hin","non-dropping-particle":"","parse-names":false,"suffix":""},{"dropping-particle":"","family":"Loo","given":"Ching-Yee","non-dropping-particle":"","parse-names":false,"suffix":""},{"dropping-particle":"","family":"Rohanizadeh","given":"Ramin","non-dropping-particle":"","parse-names":false,"suffix":""}],"container-title":"Colloids and Surfaces B: Biointerfaces","id":"ITEM-1","issued":{"date-parts":[["2014"]]},"page":"823-834","title":"A review of chemical surface modification of bioceramics: Effects on protein adsorption and cellular response","type":"article-journal","volume":"122"},"uris":["http://www.mendeley.com/documents/?uuid=1e2e0226-9192-3ccb-b9af-12ec25a49459"]}],"mendeley":{"formattedCitation":"[28]","plainTextFormattedCitation":"[28]","previouslyFormattedCitation":"[28]"},"properties":{"noteIndex":0},"schema":"https://github.com/citation-style-language/schema/raw/master/csl-citation.json"}</w:instrText>
      </w:r>
      <w:r w:rsidR="000A4423">
        <w:rPr>
          <w:rStyle w:val="cf01"/>
          <w:rFonts w:asciiTheme="majorBidi" w:hAnsiTheme="majorBidi" w:cstheme="majorBidi"/>
          <w:sz w:val="24"/>
          <w:szCs w:val="24"/>
        </w:rPr>
        <w:fldChar w:fldCharType="separate"/>
      </w:r>
      <w:r w:rsidR="009D5330" w:rsidRPr="009D5330">
        <w:rPr>
          <w:rStyle w:val="cf01"/>
          <w:rFonts w:asciiTheme="majorBidi" w:hAnsiTheme="majorBidi" w:cstheme="majorBidi"/>
          <w:noProof/>
          <w:sz w:val="24"/>
          <w:szCs w:val="24"/>
        </w:rPr>
        <w:t>[28]</w:t>
      </w:r>
      <w:r w:rsidR="000A4423">
        <w:rPr>
          <w:rStyle w:val="cf01"/>
          <w:rFonts w:asciiTheme="majorBidi" w:hAnsiTheme="majorBidi" w:cstheme="majorBidi"/>
          <w:sz w:val="24"/>
          <w:szCs w:val="24"/>
        </w:rPr>
        <w:fldChar w:fldCharType="end"/>
      </w:r>
      <w:r w:rsidRPr="009A4827">
        <w:rPr>
          <w:rStyle w:val="cf01"/>
          <w:rFonts w:asciiTheme="majorBidi" w:hAnsiTheme="majorBidi" w:cstheme="majorBidi"/>
          <w:sz w:val="24"/>
          <w:szCs w:val="24"/>
        </w:rPr>
        <w:t>. </w:t>
      </w:r>
      <w:r>
        <w:rPr>
          <w:rStyle w:val="cf01"/>
          <w:rFonts w:asciiTheme="majorBidi" w:hAnsiTheme="majorBidi" w:cstheme="majorBidi"/>
          <w:sz w:val="24"/>
          <w:szCs w:val="24"/>
        </w:rPr>
        <w:t xml:space="preserve">Conditions </w:t>
      </w:r>
      <w:r w:rsidR="002A77EC">
        <w:rPr>
          <w:rStyle w:val="cf01"/>
          <w:rFonts w:asciiTheme="majorBidi" w:hAnsiTheme="majorBidi" w:cstheme="majorBidi"/>
          <w:sz w:val="24"/>
          <w:szCs w:val="24"/>
        </w:rPr>
        <w:t xml:space="preserve">that promote </w:t>
      </w:r>
      <w:r>
        <w:rPr>
          <w:rStyle w:val="cf01"/>
          <w:rFonts w:asciiTheme="majorBidi" w:hAnsiTheme="majorBidi" w:cstheme="majorBidi"/>
          <w:sz w:val="24"/>
          <w:szCs w:val="24"/>
        </w:rPr>
        <w:t xml:space="preserve">increased protein adsorption </w:t>
      </w:r>
      <w:r w:rsidR="002A77EC">
        <w:rPr>
          <w:rStyle w:val="cf01"/>
          <w:rFonts w:asciiTheme="majorBidi" w:hAnsiTheme="majorBidi" w:cstheme="majorBidi"/>
          <w:sz w:val="24"/>
          <w:szCs w:val="24"/>
        </w:rPr>
        <w:t xml:space="preserve">are linked </w:t>
      </w:r>
      <w:r>
        <w:rPr>
          <w:rStyle w:val="cf01"/>
          <w:rFonts w:asciiTheme="majorBidi" w:hAnsiTheme="majorBidi" w:cstheme="majorBidi"/>
          <w:sz w:val="24"/>
          <w:szCs w:val="24"/>
        </w:rPr>
        <w:t xml:space="preserve">with </w:t>
      </w:r>
      <w:r w:rsidR="002A77EC">
        <w:rPr>
          <w:rStyle w:val="cf01"/>
          <w:rFonts w:asciiTheme="majorBidi" w:hAnsiTheme="majorBidi" w:cstheme="majorBidi"/>
          <w:sz w:val="24"/>
          <w:szCs w:val="24"/>
        </w:rPr>
        <w:t xml:space="preserve">a </w:t>
      </w:r>
      <w:r>
        <w:rPr>
          <w:rStyle w:val="cf01"/>
          <w:rFonts w:asciiTheme="majorBidi" w:hAnsiTheme="majorBidi" w:cstheme="majorBidi"/>
          <w:sz w:val="24"/>
          <w:szCs w:val="24"/>
        </w:rPr>
        <w:t>favorable cell</w:t>
      </w:r>
      <w:r w:rsidR="002A77EC">
        <w:rPr>
          <w:rStyle w:val="cf01"/>
          <w:rFonts w:asciiTheme="majorBidi" w:hAnsiTheme="majorBidi" w:cstheme="majorBidi"/>
          <w:sz w:val="24"/>
          <w:szCs w:val="24"/>
        </w:rPr>
        <w:t>ular</w:t>
      </w:r>
      <w:r>
        <w:rPr>
          <w:rStyle w:val="cf01"/>
          <w:rFonts w:asciiTheme="majorBidi" w:hAnsiTheme="majorBidi" w:cstheme="majorBidi"/>
          <w:sz w:val="24"/>
          <w:szCs w:val="24"/>
        </w:rPr>
        <w:t xml:space="preserve"> attachment </w:t>
      </w:r>
      <w:r w:rsidR="008A243F">
        <w:rPr>
          <w:rStyle w:val="cf01"/>
          <w:rFonts w:asciiTheme="majorBidi" w:hAnsiTheme="majorBidi" w:cstheme="majorBidi"/>
          <w:sz w:val="24"/>
          <w:szCs w:val="24"/>
        </w:rPr>
        <w:t>on</w:t>
      </w:r>
      <w:r>
        <w:rPr>
          <w:rStyle w:val="cf01"/>
          <w:rFonts w:asciiTheme="majorBidi" w:hAnsiTheme="majorBidi" w:cstheme="majorBidi"/>
          <w:sz w:val="24"/>
          <w:szCs w:val="24"/>
        </w:rPr>
        <w:t>to the crystal surface</w:t>
      </w:r>
      <w:r w:rsidR="008A243F">
        <w:rPr>
          <w:rStyle w:val="cf01"/>
          <w:rFonts w:asciiTheme="majorBidi" w:hAnsiTheme="majorBidi" w:cstheme="majorBidi"/>
          <w:sz w:val="24"/>
          <w:szCs w:val="24"/>
        </w:rPr>
        <w:t>. This can be attributed</w:t>
      </w:r>
      <w:r>
        <w:rPr>
          <w:rStyle w:val="cf01"/>
          <w:rFonts w:asciiTheme="majorBidi" w:hAnsiTheme="majorBidi" w:cstheme="majorBidi"/>
          <w:sz w:val="24"/>
          <w:szCs w:val="24"/>
        </w:rPr>
        <w:t xml:space="preserve"> </w:t>
      </w:r>
      <w:r w:rsidR="00BF663C">
        <w:rPr>
          <w:rStyle w:val="cf01"/>
          <w:rFonts w:asciiTheme="majorBidi" w:hAnsiTheme="majorBidi" w:cstheme="majorBidi"/>
          <w:sz w:val="24"/>
          <w:szCs w:val="24"/>
        </w:rPr>
        <w:t xml:space="preserve">to </w:t>
      </w:r>
      <w:r>
        <w:rPr>
          <w:rStyle w:val="cf01"/>
          <w:rFonts w:asciiTheme="majorBidi" w:hAnsiTheme="majorBidi" w:cstheme="majorBidi"/>
          <w:sz w:val="24"/>
          <w:szCs w:val="24"/>
        </w:rPr>
        <w:t xml:space="preserve">the </w:t>
      </w:r>
      <w:r w:rsidRPr="0035655B">
        <w:rPr>
          <w:rStyle w:val="cf01"/>
          <w:rFonts w:asciiTheme="majorBidi" w:hAnsiTheme="majorBidi" w:cstheme="majorBidi"/>
          <w:sz w:val="24"/>
          <w:szCs w:val="24"/>
        </w:rPr>
        <w:t xml:space="preserve">binding of cell adhesion proteins to the crystal. </w:t>
      </w:r>
      <w:r>
        <w:rPr>
          <w:rFonts w:asciiTheme="majorBidi" w:hAnsiTheme="majorBidi" w:cstheme="majorBidi"/>
          <w:sz w:val="24"/>
        </w:rPr>
        <w:t xml:space="preserve">Carbonated apatite crystals selectively adsorb </w:t>
      </w:r>
      <w:r w:rsidR="00137C6E">
        <w:rPr>
          <w:rFonts w:asciiTheme="majorBidi" w:hAnsiTheme="majorBidi" w:cstheme="majorBidi"/>
          <w:sz w:val="24"/>
        </w:rPr>
        <w:t>specific</w:t>
      </w:r>
      <w:r>
        <w:rPr>
          <w:rFonts w:asciiTheme="majorBidi" w:hAnsiTheme="majorBidi" w:cstheme="majorBidi"/>
          <w:sz w:val="24"/>
        </w:rPr>
        <w:t xml:space="preserve"> pathogenic proteins, and </w:t>
      </w:r>
      <w:r w:rsidR="00137C6E">
        <w:rPr>
          <w:rFonts w:asciiTheme="majorBidi" w:hAnsiTheme="majorBidi" w:cstheme="majorBidi"/>
          <w:sz w:val="24"/>
        </w:rPr>
        <w:t xml:space="preserve">a </w:t>
      </w:r>
      <w:r>
        <w:rPr>
          <w:rFonts w:asciiTheme="majorBidi" w:hAnsiTheme="majorBidi" w:cstheme="majorBidi"/>
          <w:sz w:val="24"/>
        </w:rPr>
        <w:t xml:space="preserve">higher </w:t>
      </w:r>
      <w:r w:rsidR="00230A25">
        <w:rPr>
          <w:rFonts w:asciiTheme="majorBidi" w:hAnsiTheme="majorBidi" w:cstheme="majorBidi"/>
          <w:sz w:val="24"/>
        </w:rPr>
        <w:t>Zn</w:t>
      </w:r>
      <w:r>
        <w:rPr>
          <w:rFonts w:asciiTheme="majorBidi" w:hAnsiTheme="majorBidi" w:cstheme="majorBidi"/>
          <w:sz w:val="24"/>
        </w:rPr>
        <w:t xml:space="preserve"> fraction in apatite crystals leads to a decrease in the adsorption of the </w:t>
      </w:r>
      <w:r w:rsidRPr="00D10E6A">
        <w:rPr>
          <w:rFonts w:asciiTheme="majorBidi" w:hAnsiTheme="majorBidi" w:cstheme="majorBidi"/>
          <w:sz w:val="24"/>
        </w:rPr>
        <w:t>model acidic protein</w:t>
      </w:r>
      <w:r>
        <w:rPr>
          <w:rFonts w:asciiTheme="majorBidi" w:hAnsiTheme="majorBidi" w:cstheme="majorBidi"/>
          <w:sz w:val="24"/>
        </w:rPr>
        <w:t xml:space="preserve"> b</w:t>
      </w:r>
      <w:r w:rsidRPr="0022373A">
        <w:rPr>
          <w:rFonts w:asciiTheme="majorBidi" w:hAnsiTheme="majorBidi" w:cstheme="majorBidi"/>
          <w:sz w:val="24"/>
        </w:rPr>
        <w:t xml:space="preserve">ovine serum albumin </w:t>
      </w:r>
      <w:r>
        <w:rPr>
          <w:rFonts w:asciiTheme="majorBidi" w:hAnsiTheme="majorBidi" w:cstheme="majorBidi"/>
          <w:sz w:val="24"/>
        </w:rPr>
        <w:t xml:space="preserve">(BSA), even though the specific surface area increases with </w:t>
      </w:r>
      <w:r w:rsidR="00230A25">
        <w:rPr>
          <w:rFonts w:asciiTheme="majorBidi" w:hAnsiTheme="majorBidi" w:cstheme="majorBidi"/>
          <w:sz w:val="24"/>
        </w:rPr>
        <w:t>Zn</w:t>
      </w:r>
      <w:r>
        <w:rPr>
          <w:rFonts w:asciiTheme="majorBidi" w:hAnsiTheme="majorBidi" w:cstheme="majorBidi"/>
          <w:sz w:val="24"/>
        </w:rPr>
        <w:t xml:space="preserve"> content</w:t>
      </w:r>
      <w:r w:rsidR="00326E39">
        <w:rPr>
          <w:rFonts w:asciiTheme="majorBidi" w:hAnsiTheme="majorBidi" w:cstheme="majorBidi"/>
          <w:sz w:val="24"/>
        </w:rPr>
        <w:t xml:space="preserve"> </w:t>
      </w:r>
      <w:r w:rsidR="000A4423">
        <w:rPr>
          <w:rFonts w:asciiTheme="majorBidi" w:hAnsiTheme="majorBidi" w:cstheme="majorBidi"/>
          <w:sz w:val="24"/>
        </w:rPr>
        <w:fldChar w:fldCharType="begin" w:fldLock="1"/>
      </w:r>
      <w:r w:rsidR="002562A5">
        <w:rPr>
          <w:rFonts w:asciiTheme="majorBidi" w:hAnsiTheme="majorBidi" w:cstheme="majorBidi"/>
          <w:sz w:val="24"/>
        </w:rPr>
        <w:instrText>ADDIN CSL_CITATION {"citationItems":[{"id":"ITEM-1","itemData":{"DOI":"10.1016/j.actbio.2005.09.002","ISSN":"17427061","PMID":"16701860","abstract":"Nano-crystalline Zn-containing hydroxyapatite (ZnHAp) was prepared by the wet-chemical method and the selective adsorption of essential proteins was examined, taking bovine serum albumin (BSA) and pathogenic protein such as β2-microglobulin (β2-MG) as model proteins. Transmission electron microscopy observation and X-ray diffraction analysis indicated that the increase of Zn content led to smaller crystallites and their specific surface area of ZnHAps increased with increasing Zn content, accordingly. Furthermore, the amounts of BSA adsorption on ZnHAp particles decreased with increasing Zn content in spite of the increase in the specific surface area. It is thus concluded that nano-crystalline ZnHAps had a highly selective adsorption property with regard to β2-MG. © 2005 Acta Materialia Inc. Published by Elsevier Ltd. All rights reserved.","author":[{"dropping-particle":"","family":"Fujii","given":"Eiji","non-dropping-particle":"","parse-names":false,"suffix":""},{"dropping-particle":"","family":"Ohkubo","given":"Mizuk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dropping-particle":"","family":"Kawabata","given":"Koji","non-dropping-particle":"","parse-names":false,"suffix":""},{"dropping-particle":"","family":"Bonhomme","given":"Christian","non-dropping-particle":"","parse-names":false,"suffix":""},{"dropping-particle":"","family":"Babonneau","given":"Florence","non-dropping-particle":"","parse-names":false,"suffix":""}],"container-title":"Acta Biomaterialia","id":"ITEM-1","issue":"1","issued":{"date-parts":[["2006"]]},"page":"69-74","title":"Selective protein adsorption property and characterization of nano-crystalline zinc-containing hydroxyapatite","type":"article-journal","volume":"2"},"uris":["http://www.mendeley.com/documents/?uuid=75e17ba6-2a17-429c-bd22-6495f866f6c5"]}],"mendeley":{"formattedCitation":"[23]","plainTextFormattedCitation":"[23]","previouslyFormattedCitation":"[23]"},"properties":{"noteIndex":0},"schema":"https://github.com/citation-style-language/schema/raw/master/csl-citation.json"}</w:instrText>
      </w:r>
      <w:r w:rsidR="000A4423">
        <w:rPr>
          <w:rFonts w:asciiTheme="majorBidi" w:hAnsiTheme="majorBidi" w:cstheme="majorBidi"/>
          <w:sz w:val="24"/>
        </w:rPr>
        <w:fldChar w:fldCharType="separate"/>
      </w:r>
      <w:r w:rsidR="009D5330" w:rsidRPr="009D5330">
        <w:rPr>
          <w:rFonts w:asciiTheme="majorBidi" w:hAnsiTheme="majorBidi" w:cstheme="majorBidi"/>
          <w:noProof/>
          <w:sz w:val="24"/>
        </w:rPr>
        <w:t>[23]</w:t>
      </w:r>
      <w:r w:rsidR="000A4423">
        <w:rPr>
          <w:rFonts w:asciiTheme="majorBidi" w:hAnsiTheme="majorBidi" w:cstheme="majorBidi"/>
          <w:sz w:val="24"/>
        </w:rPr>
        <w:fldChar w:fldCharType="end"/>
      </w:r>
      <w:r>
        <w:rPr>
          <w:rFonts w:asciiTheme="majorBidi" w:hAnsiTheme="majorBidi" w:cstheme="majorBidi"/>
          <w:sz w:val="24"/>
        </w:rPr>
        <w:t>. The surface roughness of the apatite crystal, which depends on the crystallinity and particle sizes, affects protein adhesion and cell attachment to the crystal surface</w:t>
      </w:r>
      <w:r w:rsidR="00326E39">
        <w:rPr>
          <w:rFonts w:asciiTheme="majorBidi" w:hAnsiTheme="majorBidi" w:cstheme="majorBidi"/>
          <w:sz w:val="24"/>
        </w:rPr>
        <w:t xml:space="preserve"> </w:t>
      </w:r>
      <w:r w:rsidR="000A4423">
        <w:rPr>
          <w:rFonts w:asciiTheme="majorBidi" w:hAnsiTheme="majorBidi" w:cstheme="majorBidi"/>
          <w:sz w:val="24"/>
        </w:rPr>
        <w:fldChar w:fldCharType="begin" w:fldLock="1"/>
      </w:r>
      <w:r w:rsidR="002562A5">
        <w:rPr>
          <w:rFonts w:asciiTheme="majorBidi" w:hAnsiTheme="majorBidi" w:cstheme="majorBidi"/>
          <w:sz w:val="24"/>
        </w:rPr>
        <w:instrText>ADDIN CSL_CITATION {"citationItems":[{"id":"ITEM-1","itemData":{"DOI":"10.1186/S40824-018-0149-3","ISSN":"2055-7124","abstract":"Bone regeneration involves various complex biological processes. Many experiments have been performed using biomaterials in vivo and in vitro to promote and understand bone regeneration. Among the many biomaterials, calcium phosphates which exist in the natural bone have been conducted a number of studies because of its bone regenerative property. It can be directly contributed to bone regeneration process or assist in the use of other biomaterials. Therefore, it is widely used in many applications and has been continuously studied. Calcium phosphate has been widely used in bone regeneration applications because it shows osteoconductive and in some cases osteoinductive features. The release of calcium and phosphorus ions regulates the activation of osteoblasts and osteoclasts to facilitate bone regeneration. The control of surface properties and porosity of calcium phosphate affects cell/protein adhesion and growth and regulates bone mineral formation. Properties affecting bioactivity vary depending on the types of calcium phosphates such as HAP, TCP and can be utilized in various applications because of differences in ion release, solubility, stability, and mechanical strength. In order to make use of these properties, different calcium phosphates have been used together or mixed with other materials to complement their disadvantages and to highlight their advantages. Calcium phosphate has been utilized to improve bone regeneration in ways such as increasing osteoconductivity for bone ingrowth, enhancing osteoinductivity for bone mineralization with ion release control, and encapsulating drugs or growth factors. Calcium phosphate has been used for bone regeneration in various forms such as coating, cement and scaffold based on its unique bioactive properties and bone regeneration effectiveness. Additionally, several studies have been actively carried out to improve the efficacy of calcium phosphate in combination with various healing agents. By summarizing the properties of calcium phosphate and its research direction, we hope that calcium phosphate can contribute to the clinical treatment approach for bone defect and disease.","author":[{"dropping-particle":"","family":"Jeong","given":"Jiwoon","non-dropping-particle":"","parse-names":false,"suffix":""},{"dropping-particle":"","family":"Kim","given":"Jung Hun","non-dropping-particle":"","parse-names":false,"suffix":""},{"dropping-particle":"","family":"Shim","given":"Jung Hee","non-dropping-particle":"","parse-names":false,"suffix":""},{"dropping-particle":"","family":"Hwang","given":"Nathaniel S.","non-dropping-particle":"","parse-names":false,"suffix":""},{"dropping-particle":"","family":"Heo","given":"Chan Yeong","non-dropping-particle":"","parse-names":false,"suffix":""}],"container-title":"Biomaterials Research 2019 23:1","id":"ITEM-1","issue":"1","issued":{"date-parts":[["2019","1","14"]]},"page":"1-11","publisher":"BioMed Central","title":"Bioactive calcium phosphate materials and applications in bone regeneration","type":"article-journal","volume":"23"},"uris":["http://www.mendeley.com/documents/?uuid=866f568d-577f-3bf0-b717-03d6798f0138"]}],"mendeley":{"formattedCitation":"[29]","plainTextFormattedCitation":"[29]","previouslyFormattedCitation":"[29]"},"properties":{"noteIndex":0},"schema":"https://github.com/citation-style-language/schema/raw/master/csl-citation.json"}</w:instrText>
      </w:r>
      <w:r w:rsidR="000A4423">
        <w:rPr>
          <w:rFonts w:asciiTheme="majorBidi" w:hAnsiTheme="majorBidi" w:cstheme="majorBidi"/>
          <w:sz w:val="24"/>
        </w:rPr>
        <w:fldChar w:fldCharType="separate"/>
      </w:r>
      <w:r w:rsidR="009D5330" w:rsidRPr="009D5330">
        <w:rPr>
          <w:rFonts w:asciiTheme="majorBidi" w:hAnsiTheme="majorBidi" w:cstheme="majorBidi"/>
          <w:noProof/>
          <w:sz w:val="24"/>
        </w:rPr>
        <w:t>[29]</w:t>
      </w:r>
      <w:r w:rsidR="000A4423">
        <w:rPr>
          <w:rFonts w:asciiTheme="majorBidi" w:hAnsiTheme="majorBidi" w:cstheme="majorBidi"/>
          <w:sz w:val="24"/>
        </w:rPr>
        <w:fldChar w:fldCharType="end"/>
      </w:r>
      <w:r>
        <w:rPr>
          <w:rFonts w:asciiTheme="majorBidi" w:hAnsiTheme="majorBidi" w:cstheme="majorBidi"/>
          <w:sz w:val="24"/>
        </w:rPr>
        <w:t xml:space="preserve"> even more than the surface chemistry</w:t>
      </w:r>
      <w:r w:rsidR="00326E39">
        <w:rPr>
          <w:rFonts w:asciiTheme="majorBidi" w:hAnsiTheme="majorBidi" w:cstheme="majorBidi"/>
          <w:sz w:val="24"/>
        </w:rPr>
        <w:t xml:space="preserve"> </w:t>
      </w:r>
      <w:r w:rsidR="000A4423">
        <w:rPr>
          <w:rFonts w:asciiTheme="majorBidi" w:hAnsiTheme="majorBidi" w:cstheme="majorBidi"/>
          <w:sz w:val="24"/>
        </w:rPr>
        <w:fldChar w:fldCharType="begin" w:fldLock="1"/>
      </w:r>
      <w:r w:rsidR="002562A5">
        <w:rPr>
          <w:rFonts w:asciiTheme="majorBidi" w:hAnsiTheme="majorBidi" w:cstheme="majorBidi"/>
          <w:sz w:val="24"/>
        </w:rPr>
        <w:instrText>ADDIN CSL_CITATION {"citationItems":[{"id":"ITEM-1","itemData":{"DOI":"10.1007/S10856-007-3347-4","ISSN":"09574530","PMID":"18157507","abstract":"The main objective of this work was to evaluate the specific role of calcium phosphates surface energy on serum protein adsorption and human osteoblast adhesion, by isolating chemical effects from those caused by topography. Highly dense phosphate ceramics (single-phase hydroxyapatite HA and β-tricalcium phosphates β-TCP) presenting two distinct nano roughnesses were produced. Some samples were gold-sputter coated in order to conveniently mask the surface chemical effects (without modification of the original roughness) and to study the isolated effect of surface topography on cellular behavior. The results indicated that the nano topography of calcium phosphates strongly affected the protein adsorption process, being more important than surface chemistry. The seeding efficacy of osteoblasts was not affected nor by the topography neither by the calcium phosphate chemistries but the β-TCP chemistry negatively influenced cell spreading. We observed that surface hydrophobicity is another way to change protein adsorption on surfaces. The decrease of the polar component of surface energy on gold-coated samples leaded to a decreased albumin and fibronectin adsorption but to an increased cell adhesion. Overall, this work contributes to better understand the role of topography and surface chemistry of calcium phosphates in serum protein adsorption and osteoblast adhesion. © 2007 Springer Science+Business Media, LLC.","author":[{"dropping-particle":"","family":"Santos","given":"E. A.","non-dropping-particle":"Dos","parse-names":false,"suffix":""},{"dropping-particle":"","family":"Farina","given":"M.","non-dropping-particle":"","parse-names":false,"suffix":""},{"dropping-particle":"","family":"Soares","given":"G. A.","non-dropping-particle":"","parse-names":false,"suffix":""},{"dropping-particle":"","family":"Anselme","given":"K.","non-dropping-particle":"","parse-names":false,"suffix":""}],"container-title":"Journal of Materials Science: Materials in Medicine","id":"ITEM-1","issue":"6","issued":{"date-parts":[["2008","6"]]},"page":"2307-2316","title":"Surface energy of hydroxyapatite and β-tricalcium phosphate ceramics driving serum protein adsorption and osteoblast adhesion","type":"article-journal","volume":"19"},"uris":["http://www.mendeley.com/documents/?uuid=f116f939-0133-3ec8-9481-67b3d6cff6ce"]}],"mendeley":{"formattedCitation":"[30]","plainTextFormattedCitation":"[30]","previouslyFormattedCitation":"[30]"},"properties":{"noteIndex":0},"schema":"https://github.com/citation-style-language/schema/raw/master/csl-citation.json"}</w:instrText>
      </w:r>
      <w:r w:rsidR="000A4423">
        <w:rPr>
          <w:rFonts w:asciiTheme="majorBidi" w:hAnsiTheme="majorBidi" w:cstheme="majorBidi"/>
          <w:sz w:val="24"/>
        </w:rPr>
        <w:fldChar w:fldCharType="separate"/>
      </w:r>
      <w:r w:rsidR="009D5330" w:rsidRPr="009D5330">
        <w:rPr>
          <w:rFonts w:asciiTheme="majorBidi" w:hAnsiTheme="majorBidi" w:cstheme="majorBidi"/>
          <w:noProof/>
          <w:sz w:val="24"/>
        </w:rPr>
        <w:t>[30]</w:t>
      </w:r>
      <w:r w:rsidR="000A4423">
        <w:rPr>
          <w:rFonts w:asciiTheme="majorBidi" w:hAnsiTheme="majorBidi" w:cstheme="majorBidi"/>
          <w:sz w:val="24"/>
        </w:rPr>
        <w:fldChar w:fldCharType="end"/>
      </w:r>
      <w:r>
        <w:rPr>
          <w:rFonts w:asciiTheme="majorBidi" w:hAnsiTheme="majorBidi" w:cstheme="majorBidi"/>
          <w:sz w:val="24"/>
        </w:rPr>
        <w:t>. For example, bone marrow cell adhesion and proliferation on apatite crystals increase with the crystal surface roughness</w:t>
      </w:r>
      <w:r w:rsidR="00326E39">
        <w:rPr>
          <w:rFonts w:asciiTheme="majorBidi" w:hAnsiTheme="majorBidi" w:cstheme="majorBidi"/>
          <w:sz w:val="24"/>
        </w:rPr>
        <w:t xml:space="preserve"> </w:t>
      </w:r>
      <w:r w:rsidR="000A4423">
        <w:rPr>
          <w:rFonts w:asciiTheme="majorBidi" w:hAnsiTheme="majorBidi" w:cstheme="majorBidi"/>
          <w:sz w:val="24"/>
        </w:rPr>
        <w:fldChar w:fldCharType="begin" w:fldLock="1"/>
      </w:r>
      <w:r w:rsidR="002562A5">
        <w:rPr>
          <w:rFonts w:asciiTheme="majorBidi" w:hAnsiTheme="majorBidi" w:cstheme="majorBidi"/>
          <w:sz w:val="24"/>
        </w:rPr>
        <w:instrText>ADDIN CSL_CITATION {"citationItems":[{"id":"ITEM-1","itemData":{"DOI":"10.1016/S0142-9612(00)00174-5","abstract":"Initial attachment of osteoblast cells and mineralization phenomena are generally enhanced on rough, sandblasted substrata. In the present work the e!ect of surface roughness of hydroxyapatite (HA) on human bone marrow cell response was investigated. Human bone marrow cells were plated onto HA disc-shaped pellets, prepared from synthetic HA powder. The pellets were sintered and polished with SiC paper 180-, 600-and 1200-grit, resulting in three surface roughness grades. Cell adhesion, proliferation and di!erentiation (evaluated with the expression of ALP activity) were determined following various incubation periods. Cell detachment strength was determined as the shear stress required to detach a given quantity of the adherent cells from the di!erent substrata, using a rotating disc device that applied a linear range of shear stresses to the cells. The cells attached and grew faster on culture plastic in comparison with HA. No statistically signi\"cant di!erences were observed in the expression of ALP activity on all three HA surfaces and culture plastic. Cell adhesion, proliferation and detachment strength were surface roughness sensitive and increased as the roughness of HA increased. The percentage of the adherent cells decreased in a sigmoidal mode as a function of the applied shear stress. In conclusion, surface roughness of HA generally improved the short-and longer-term response of bone marrow cells in vitro. This behavior could be explained by the selective adsorption of serum proteins.","author":[{"dropping-particle":"","family":"Deligianni","given":"Despina D","non-dropping-particle":"","parse-names":false,"suffix":""},{"dropping-particle":"","family":"Katsala","given":"Nikoleta D","non-dropping-particle":"","parse-names":false,"suffix":""},{"dropping-particle":"","family":"Koutsoukos","given":"Petros G","non-dropping-particle":"","parse-names":false,"suffix":""},{"dropping-particle":"","family":"Missirlis","given":"Yiannis F","non-dropping-particle":"","parse-names":false,"suffix":""}],"container-title":"Biomaterials","id":"ITEM-1","issued":{"date-parts":[["2000"]]},"page":"87-96","title":"Effect of surface roughness of hydroxyapatite on human bone marrow cell adhesion, proliferation, differentiation and detachment strength","type":"article-journal","volume":"22"},"uris":["http://www.mendeley.com/documents/?uuid=56f0f33d-a374-3b4e-a26b-8730bf4df146"]}],"mendeley":{"formattedCitation":"[31]","plainTextFormattedCitation":"[31]","previouslyFormattedCitation":"[31]"},"properties":{"noteIndex":0},"schema":"https://github.com/citation-style-language/schema/raw/master/csl-citation.json"}</w:instrText>
      </w:r>
      <w:r w:rsidR="000A4423">
        <w:rPr>
          <w:rFonts w:asciiTheme="majorBidi" w:hAnsiTheme="majorBidi" w:cstheme="majorBidi"/>
          <w:sz w:val="24"/>
        </w:rPr>
        <w:fldChar w:fldCharType="separate"/>
      </w:r>
      <w:r w:rsidR="009D5330" w:rsidRPr="009D5330">
        <w:rPr>
          <w:rFonts w:asciiTheme="majorBidi" w:hAnsiTheme="majorBidi" w:cstheme="majorBidi"/>
          <w:noProof/>
          <w:sz w:val="24"/>
        </w:rPr>
        <w:t>[31]</w:t>
      </w:r>
      <w:r w:rsidR="000A4423">
        <w:rPr>
          <w:rFonts w:asciiTheme="majorBidi" w:hAnsiTheme="majorBidi" w:cstheme="majorBidi"/>
          <w:sz w:val="24"/>
        </w:rPr>
        <w:fldChar w:fldCharType="end"/>
      </w:r>
      <w:r>
        <w:rPr>
          <w:rFonts w:asciiTheme="majorBidi" w:hAnsiTheme="majorBidi" w:cstheme="majorBidi"/>
          <w:sz w:val="24"/>
        </w:rPr>
        <w:t xml:space="preserve">. </w:t>
      </w:r>
    </w:p>
    <w:p w14:paraId="26C8D63E" w14:textId="584E16C8" w:rsidR="00565E86" w:rsidRDefault="00D772D0" w:rsidP="00AB3F9D">
      <w:pPr>
        <w:spacing w:after="0" w:line="360" w:lineRule="auto"/>
        <w:jc w:val="both"/>
        <w:rPr>
          <w:rFonts w:asciiTheme="majorBidi" w:hAnsiTheme="majorBidi" w:cstheme="majorBidi"/>
          <w:sz w:val="24"/>
          <w:szCs w:val="24"/>
        </w:rPr>
      </w:pPr>
      <w:r w:rsidRPr="00CC3DBC">
        <w:rPr>
          <w:rFonts w:asciiTheme="majorBidi" w:hAnsiTheme="majorBidi" w:cstheme="majorBidi"/>
          <w:sz w:val="24"/>
          <w:szCs w:val="24"/>
        </w:rPr>
        <w:t xml:space="preserve">MCs </w:t>
      </w:r>
      <w:r w:rsidR="003067F1">
        <w:rPr>
          <w:rFonts w:asciiTheme="majorBidi" w:hAnsiTheme="majorBidi" w:cstheme="majorBidi"/>
          <w:sz w:val="24"/>
          <w:szCs w:val="24"/>
        </w:rPr>
        <w:t>isolated through</w:t>
      </w:r>
      <w:r w:rsidR="003067F1" w:rsidRPr="00CC3DBC">
        <w:rPr>
          <w:rFonts w:asciiTheme="majorBidi" w:hAnsiTheme="majorBidi" w:cstheme="majorBidi"/>
          <w:sz w:val="24"/>
          <w:szCs w:val="24"/>
        </w:rPr>
        <w:t xml:space="preserve"> </w:t>
      </w:r>
      <w:r w:rsidRPr="00CC3DBC">
        <w:rPr>
          <w:rFonts w:asciiTheme="majorBidi" w:hAnsiTheme="majorBidi" w:cstheme="majorBidi"/>
          <w:sz w:val="24"/>
          <w:szCs w:val="24"/>
        </w:rPr>
        <w:t xml:space="preserve">FNA </w:t>
      </w:r>
      <w:r w:rsidR="003067F1">
        <w:rPr>
          <w:rFonts w:asciiTheme="majorBidi" w:hAnsiTheme="majorBidi" w:cstheme="majorBidi"/>
          <w:sz w:val="24"/>
          <w:szCs w:val="24"/>
        </w:rPr>
        <w:t>from</w:t>
      </w:r>
      <w:r w:rsidR="003067F1" w:rsidRPr="00CC3DBC">
        <w:rPr>
          <w:rFonts w:asciiTheme="majorBidi" w:hAnsiTheme="majorBidi" w:cstheme="majorBidi"/>
          <w:sz w:val="24"/>
          <w:szCs w:val="24"/>
        </w:rPr>
        <w:t xml:space="preserve"> </w:t>
      </w:r>
      <w:r w:rsidRPr="00CC3DBC">
        <w:rPr>
          <w:rFonts w:asciiTheme="majorBidi" w:hAnsiTheme="majorBidi" w:cstheme="majorBidi"/>
          <w:sz w:val="24"/>
          <w:szCs w:val="24"/>
        </w:rPr>
        <w:t xml:space="preserve">malignant </w:t>
      </w:r>
      <w:r>
        <w:rPr>
          <w:rFonts w:asciiTheme="majorBidi" w:hAnsiTheme="majorBidi" w:cstheme="majorBidi"/>
          <w:sz w:val="24"/>
          <w:szCs w:val="24"/>
        </w:rPr>
        <w:t xml:space="preserve">thyroid </w:t>
      </w:r>
      <w:r w:rsidRPr="00CC3DBC">
        <w:rPr>
          <w:rFonts w:asciiTheme="majorBidi" w:hAnsiTheme="majorBidi" w:cstheme="majorBidi"/>
          <w:sz w:val="24"/>
          <w:szCs w:val="24"/>
        </w:rPr>
        <w:t xml:space="preserve">nodules </w:t>
      </w:r>
      <w:r w:rsidRPr="001F4B50">
        <w:rPr>
          <w:rFonts w:asciiTheme="majorBidi" w:hAnsiTheme="majorBidi" w:cstheme="majorBidi"/>
          <w:sz w:val="24"/>
          <w:szCs w:val="24"/>
        </w:rPr>
        <w:t>contain</w:t>
      </w:r>
      <w:r w:rsidR="00C05D7E" w:rsidRPr="001F4B50">
        <w:rPr>
          <w:rFonts w:asciiTheme="majorBidi" w:hAnsiTheme="majorBidi" w:cstheme="majorBidi"/>
          <w:sz w:val="24"/>
          <w:szCs w:val="24"/>
        </w:rPr>
        <w:t xml:space="preserve"> </w:t>
      </w:r>
      <w:r w:rsidR="001F4B50" w:rsidRPr="00A42310">
        <w:rPr>
          <w:rFonts w:asciiTheme="majorBidi" w:hAnsiTheme="majorBidi" w:cstheme="majorBidi"/>
          <w:sz w:val="24"/>
          <w:szCs w:val="24"/>
        </w:rPr>
        <w:t>0.</w:t>
      </w:r>
      <w:r w:rsidR="00B14D37">
        <w:rPr>
          <w:rFonts w:asciiTheme="majorBidi" w:hAnsiTheme="majorBidi" w:cstheme="majorBidi"/>
          <w:sz w:val="24"/>
          <w:szCs w:val="24"/>
        </w:rPr>
        <w:t>5</w:t>
      </w:r>
      <w:r w:rsidR="001F4B50" w:rsidRPr="00A42310">
        <w:rPr>
          <w:rFonts w:asciiTheme="majorBidi" w:hAnsiTheme="majorBidi" w:cstheme="majorBidi"/>
          <w:sz w:val="24"/>
          <w:szCs w:val="24"/>
        </w:rPr>
        <w:t>-2.</w:t>
      </w:r>
      <w:r w:rsidR="00B14D37">
        <w:rPr>
          <w:rFonts w:asciiTheme="majorBidi" w:hAnsiTheme="majorBidi" w:cstheme="majorBidi"/>
          <w:sz w:val="24"/>
          <w:szCs w:val="24"/>
        </w:rPr>
        <w:t>7</w:t>
      </w:r>
      <w:r w:rsidR="00C05D7E" w:rsidRPr="001F4B50">
        <w:rPr>
          <w:rFonts w:asciiTheme="majorBidi" w:hAnsiTheme="majorBidi" w:cstheme="majorBidi"/>
          <w:sz w:val="24"/>
          <w:szCs w:val="24"/>
        </w:rPr>
        <w:t xml:space="preserve"> wt%</w:t>
      </w:r>
      <w:r w:rsidRPr="001F4B50">
        <w:rPr>
          <w:rFonts w:asciiTheme="majorBidi" w:hAnsiTheme="majorBidi" w:cstheme="majorBidi"/>
          <w:sz w:val="24"/>
          <w:szCs w:val="24"/>
        </w:rPr>
        <w:t xml:space="preserve"> </w:t>
      </w:r>
      <w:r w:rsidR="00230A25">
        <w:rPr>
          <w:rFonts w:asciiTheme="majorBidi" w:hAnsiTheme="majorBidi" w:cstheme="majorBidi"/>
          <w:sz w:val="24"/>
          <w:szCs w:val="24"/>
        </w:rPr>
        <w:t>Zn</w:t>
      </w:r>
      <w:r>
        <w:rPr>
          <w:rFonts w:asciiTheme="majorBidi" w:hAnsiTheme="majorBidi" w:cstheme="majorBidi"/>
          <w:sz w:val="24"/>
          <w:szCs w:val="24"/>
        </w:rPr>
        <w:t xml:space="preserve"> and </w:t>
      </w:r>
      <w:r w:rsidR="003067F1">
        <w:rPr>
          <w:rFonts w:asciiTheme="majorBidi" w:hAnsiTheme="majorBidi" w:cstheme="majorBidi"/>
          <w:sz w:val="24"/>
          <w:szCs w:val="24"/>
        </w:rPr>
        <w:t xml:space="preserve">are composed </w:t>
      </w:r>
      <w:r>
        <w:rPr>
          <w:rFonts w:asciiTheme="majorBidi" w:hAnsiTheme="majorBidi" w:cstheme="majorBidi"/>
          <w:sz w:val="24"/>
          <w:szCs w:val="24"/>
        </w:rPr>
        <w:t xml:space="preserve">of </w:t>
      </w:r>
      <w:r w:rsidR="006C0636">
        <w:rPr>
          <w:rFonts w:asciiTheme="majorBidi" w:hAnsiTheme="majorBidi" w:cstheme="majorBidi"/>
          <w:sz w:val="24"/>
          <w:szCs w:val="24"/>
        </w:rPr>
        <w:t xml:space="preserve">aggregated </w:t>
      </w:r>
      <w:r>
        <w:rPr>
          <w:rFonts w:asciiTheme="majorBidi" w:hAnsiTheme="majorBidi" w:cstheme="majorBidi"/>
          <w:sz w:val="24"/>
          <w:szCs w:val="24"/>
        </w:rPr>
        <w:t>particles</w:t>
      </w:r>
      <w:r w:rsidR="00326E39">
        <w:rPr>
          <w:rFonts w:asciiTheme="majorBidi" w:hAnsiTheme="majorBidi" w:cstheme="majorBidi"/>
          <w:sz w:val="24"/>
          <w:szCs w:val="24"/>
        </w:rPr>
        <w:t xml:space="preserve"> </w:t>
      </w:r>
      <w:r w:rsidR="003845E4">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{"citationItems":[{"id":"ITEM-1","itemData":{"DOI":"10.1016/j.actbio.2023.03.010","abstract":"Thyroid nodules (TNs) are common neck ultrasonography (US) findings, yet only 5-10% of these nodules harbor thyroid cancer (TC). When US characteristics are consistent with an intermediate or high suspicion for TN malignancy, fine needle aspiration for cytology (FNAC) is indicated. The main limitation of FNAC is that cytological results can be indeterminate in up to 30% of cases, necessitating reevaluation through repeated FNAC, expensive molecular testing, or diagnostic thyroid lobe resection. As such, there is a need for further refinement of current diagnostic algorithms for TNs without subjecting patients to additional invasive procedures. As calcifications detected during thyroid US are considered a high-risk feature for malignancy, we used the material remaining following routine thyroid FNAC to isolate microscopic cal-cifications (MCs). We then characterized the elemental composition, morphology, and crystal phases of these MCs, ultimately revealing differences between the MCs from benign and malignant TNs. Specifically , thyroid MCs were identified as calcium phosphate crystals containing varying levels of magnesium, sodium, iron, and zinc. MCs obtained from malignant TNs, mainly papillary thyroid carcinoma, were composed of sub-micrometer spherical particles, whereas MCs from benign TNs consisted of faceted particles. While samples from most patients with a final diagnosis of malignant TNs (50% of them with indeterminate cytology) harbored zinc-containing MCs, zinc was largely absent in MCs from benign TNs (23% with indeterminate or non-diagnostic cytology). Together, these data suggest that the presence of zinc in MCs isolated from samples collected during routine FNAC may potentially offer value as a biomarker of TN malignancy. Statement of significance As up to 40% of patients assessed for thyroid malignancy do not receive a definite diagnosis following thyroid nodule (TN) fine needle aspiration (FNA), there is a pressing need to improve the accuracy of current diagnostic algorithms. Chemical analyses of microscopic calcifications (MCs) may serve as a diagnostic target. We developed a straightforward protocol to chemically characterize MCs from excess material collected from TNs during routine FNA and found that these MCs differed between benign and malignant TNs. Specifically, zinc in TN-derived MCs may indicate a higher nodule malignancy risk, thus increasing the diagnostic accuracy of the FNA procedure, reducing the need for recurrent bio…","author":[{"dropping-particle":"","family":"Gotnayer","given":"L","non-dropping-particle":"","parse-names":false,"suffix":""},{"dropping-particle":"","family":"Aranovich","given":"D","non-dropping-particle":"","parse-names":false,"suffix":""},{"dropping-particle":"","family":"Fraenkel","given":"M","non-dropping-particle":"","parse-names":false,"suffix":""}],"container-title":"Acta Biomaterialia","id":"ITEM-1","issued":{"date-parts":[["2023"]]},"page":"275-284","title":"Zinc in microscopic calcifications isolated from thyroid fine needle aspiration may serve as a biomarker of thyroid nodule malignancy: A promising proof-of-concept","type":"article-journal","volume":"161"},"uris":["http://www.mendeley.com/documents/?uuid=56223c94-6e12-3dfb-a337-5749a3cf9d50"]}],"mendeley":{"formattedCitation":"[19]","plainTextFormattedCitation":"[19]","previouslyFormattedCitation":"[19]"},"properties":{"noteIndex":0},"schema":"https://github.com/citation-style-language/schema/raw/master/csl-citation.json"}</w:instrText>
      </w:r>
      <w:r w:rsidR="003845E4">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[19]</w:t>
      </w:r>
      <w:r w:rsidR="003845E4">
        <w:rPr>
          <w:rFonts w:asciiTheme="majorBidi" w:hAnsiTheme="majorBidi" w:cstheme="majorBidi"/>
          <w:sz w:val="24"/>
          <w:szCs w:val="24"/>
        </w:rPr>
        <w:fldChar w:fldCharType="end"/>
      </w:r>
      <w:r>
        <w:rPr>
          <w:rFonts w:asciiTheme="majorBidi" w:hAnsiTheme="majorBidi" w:cstheme="majorBidi"/>
          <w:sz w:val="24"/>
          <w:szCs w:val="24"/>
        </w:rPr>
        <w:t xml:space="preserve">. </w:t>
      </w:r>
      <w:r w:rsidR="003067F1">
        <w:rPr>
          <w:rFonts w:asciiTheme="majorBidi" w:hAnsiTheme="majorBidi" w:cstheme="majorBidi"/>
          <w:sz w:val="24"/>
          <w:szCs w:val="24"/>
        </w:rPr>
        <w:t>In order to</w:t>
      </w:r>
      <w:r w:rsidRPr="009921C3">
        <w:rPr>
          <w:rFonts w:asciiTheme="majorBidi" w:hAnsiTheme="majorBidi" w:cstheme="majorBidi"/>
          <w:sz w:val="24"/>
        </w:rPr>
        <w:t xml:space="preserve"> </w:t>
      </w:r>
      <w:r w:rsidR="003067F1">
        <w:rPr>
          <w:rFonts w:asciiTheme="majorBidi" w:hAnsiTheme="majorBidi" w:cstheme="majorBidi"/>
          <w:sz w:val="24"/>
        </w:rPr>
        <w:t>examine</w:t>
      </w:r>
      <w:r w:rsidR="003067F1" w:rsidRPr="009921C3">
        <w:rPr>
          <w:rFonts w:asciiTheme="majorBidi" w:hAnsiTheme="majorBidi" w:cstheme="majorBidi"/>
          <w:sz w:val="24"/>
        </w:rPr>
        <w:t xml:space="preserve"> </w:t>
      </w:r>
      <w:r w:rsidR="00326E39">
        <w:rPr>
          <w:rFonts w:asciiTheme="majorBidi" w:hAnsiTheme="majorBidi" w:cstheme="majorBidi"/>
          <w:sz w:val="24"/>
        </w:rPr>
        <w:t>how the</w:t>
      </w:r>
      <w:r w:rsidRPr="009921C3">
        <w:rPr>
          <w:rFonts w:asciiTheme="majorBidi" w:hAnsiTheme="majorBidi" w:cstheme="majorBidi"/>
          <w:sz w:val="24"/>
        </w:rPr>
        <w:t xml:space="preserve"> </w:t>
      </w:r>
      <w:r w:rsidR="00230A25">
        <w:rPr>
          <w:rFonts w:asciiTheme="majorBidi" w:hAnsiTheme="majorBidi" w:cstheme="majorBidi"/>
          <w:sz w:val="24"/>
        </w:rPr>
        <w:t>Zn</w:t>
      </w:r>
      <w:r w:rsidRPr="009921C3">
        <w:rPr>
          <w:rFonts w:asciiTheme="majorBidi" w:hAnsiTheme="majorBidi" w:cstheme="majorBidi"/>
          <w:sz w:val="24"/>
        </w:rPr>
        <w:t xml:space="preserve"> </w:t>
      </w:r>
      <w:r w:rsidR="00F945C0">
        <w:rPr>
          <w:rFonts w:asciiTheme="majorBidi" w:hAnsiTheme="majorBidi" w:cstheme="majorBidi"/>
          <w:sz w:val="24"/>
        </w:rPr>
        <w:t>content</w:t>
      </w:r>
      <w:r w:rsidR="00F945C0" w:rsidRPr="009921C3">
        <w:rPr>
          <w:rFonts w:asciiTheme="majorBidi" w:hAnsiTheme="majorBidi" w:cstheme="majorBidi"/>
          <w:sz w:val="24"/>
        </w:rPr>
        <w:t xml:space="preserve"> </w:t>
      </w:r>
      <w:r w:rsidR="003067F1">
        <w:rPr>
          <w:rFonts w:asciiTheme="majorBidi" w:hAnsiTheme="majorBidi" w:cstheme="majorBidi"/>
          <w:sz w:val="24"/>
        </w:rPr>
        <w:t>within</w:t>
      </w:r>
      <w:r w:rsidR="003067F1" w:rsidRPr="009921C3">
        <w:rPr>
          <w:rFonts w:asciiTheme="majorBidi" w:hAnsiTheme="majorBidi" w:cstheme="majorBidi"/>
          <w:sz w:val="24"/>
        </w:rPr>
        <w:t xml:space="preserve"> </w:t>
      </w:r>
      <w:r w:rsidRPr="009921C3">
        <w:rPr>
          <w:rFonts w:asciiTheme="majorBidi" w:hAnsiTheme="majorBidi" w:cstheme="majorBidi"/>
          <w:sz w:val="24"/>
        </w:rPr>
        <w:t xml:space="preserve">thyroid nodule MCs </w:t>
      </w:r>
      <w:r w:rsidR="00753CF1">
        <w:rPr>
          <w:rFonts w:asciiTheme="majorBidi" w:hAnsiTheme="majorBidi" w:cstheme="majorBidi"/>
          <w:sz w:val="24"/>
        </w:rPr>
        <w:t>impacts</w:t>
      </w:r>
      <w:r w:rsidRPr="009921C3">
        <w:rPr>
          <w:rFonts w:asciiTheme="majorBidi" w:hAnsiTheme="majorBidi" w:cstheme="majorBidi"/>
          <w:sz w:val="24"/>
        </w:rPr>
        <w:t xml:space="preserve"> cancer progression, the current </w:t>
      </w:r>
      <w:r w:rsidRPr="009921C3">
        <w:rPr>
          <w:rFonts w:asciiTheme="majorBidi" w:hAnsiTheme="majorBidi" w:cstheme="majorBidi"/>
          <w:i/>
          <w:iCs/>
          <w:sz w:val="24"/>
        </w:rPr>
        <w:t>in vitro</w:t>
      </w:r>
      <w:r w:rsidRPr="009921C3">
        <w:rPr>
          <w:rFonts w:asciiTheme="majorBidi" w:hAnsiTheme="majorBidi" w:cstheme="majorBidi"/>
          <w:sz w:val="24"/>
        </w:rPr>
        <w:t xml:space="preserve"> study evaluate</w:t>
      </w:r>
      <w:r w:rsidR="003067F1">
        <w:rPr>
          <w:rFonts w:asciiTheme="majorBidi" w:hAnsiTheme="majorBidi" w:cstheme="majorBidi"/>
          <w:sz w:val="24"/>
        </w:rPr>
        <w:t>s</w:t>
      </w:r>
      <w:r>
        <w:rPr>
          <w:rFonts w:asciiTheme="majorBidi" w:hAnsiTheme="majorBidi" w:cstheme="majorBidi"/>
          <w:sz w:val="24"/>
        </w:rPr>
        <w:t xml:space="preserve"> the response of human thyroid cancer cells </w:t>
      </w:r>
      <w:r w:rsidR="003067F1">
        <w:rPr>
          <w:rFonts w:asciiTheme="majorBidi" w:hAnsiTheme="majorBidi" w:cstheme="majorBidi"/>
          <w:sz w:val="24"/>
        </w:rPr>
        <w:t xml:space="preserve">when exposed </w:t>
      </w:r>
      <w:r>
        <w:rPr>
          <w:rFonts w:asciiTheme="majorBidi" w:hAnsiTheme="majorBidi" w:cstheme="majorBidi"/>
          <w:sz w:val="24"/>
        </w:rPr>
        <w:t xml:space="preserve">to synthetic MC analogs with varying </w:t>
      </w:r>
      <w:r w:rsidR="00230A25">
        <w:rPr>
          <w:rFonts w:asciiTheme="majorBidi" w:hAnsiTheme="majorBidi" w:cstheme="majorBidi"/>
          <w:sz w:val="24"/>
        </w:rPr>
        <w:t>Zn</w:t>
      </w:r>
      <w:r>
        <w:rPr>
          <w:rFonts w:asciiTheme="majorBidi" w:hAnsiTheme="majorBidi" w:cstheme="majorBidi"/>
          <w:sz w:val="24"/>
        </w:rPr>
        <w:t xml:space="preserve"> </w:t>
      </w:r>
      <w:r w:rsidR="003528ED">
        <w:rPr>
          <w:rFonts w:asciiTheme="majorBidi" w:hAnsiTheme="majorBidi" w:cstheme="majorBidi"/>
          <w:sz w:val="24"/>
        </w:rPr>
        <w:t xml:space="preserve">and carbonate </w:t>
      </w:r>
      <w:r>
        <w:rPr>
          <w:rFonts w:asciiTheme="majorBidi" w:hAnsiTheme="majorBidi" w:cstheme="majorBidi"/>
          <w:sz w:val="24"/>
        </w:rPr>
        <w:t>fractions</w:t>
      </w:r>
      <w:r w:rsidR="009D4FFB">
        <w:rPr>
          <w:rFonts w:asciiTheme="majorBidi" w:hAnsiTheme="majorBidi" w:cstheme="majorBidi"/>
          <w:sz w:val="24"/>
        </w:rPr>
        <w:t xml:space="preserve">, </w:t>
      </w:r>
      <w:r w:rsidR="003528ED">
        <w:rPr>
          <w:rFonts w:asciiTheme="majorBidi" w:hAnsiTheme="majorBidi" w:cstheme="majorBidi"/>
          <w:sz w:val="24"/>
        </w:rPr>
        <w:t>zeta potentials</w:t>
      </w:r>
      <w:r w:rsidR="009D4FFB">
        <w:rPr>
          <w:rFonts w:asciiTheme="majorBidi" w:hAnsiTheme="majorBidi" w:cstheme="majorBidi"/>
          <w:sz w:val="24"/>
        </w:rPr>
        <w:t>,</w:t>
      </w:r>
      <w:r w:rsidR="005954D9">
        <w:rPr>
          <w:rFonts w:asciiTheme="majorBidi" w:hAnsiTheme="majorBidi" w:cstheme="majorBidi"/>
          <w:sz w:val="24"/>
        </w:rPr>
        <w:t xml:space="preserve"> surface roughness,</w:t>
      </w:r>
      <w:r w:rsidR="009D4FFB">
        <w:rPr>
          <w:rFonts w:asciiTheme="majorBidi" w:hAnsiTheme="majorBidi" w:cstheme="majorBidi"/>
          <w:sz w:val="24"/>
        </w:rPr>
        <w:t xml:space="preserve"> </w:t>
      </w:r>
      <w:r w:rsidR="00753CF1">
        <w:rPr>
          <w:rFonts w:asciiTheme="majorBidi" w:hAnsiTheme="majorBidi" w:cstheme="majorBidi"/>
          <w:sz w:val="24"/>
        </w:rPr>
        <w:t>and crystallite sizes</w:t>
      </w:r>
      <w:r>
        <w:rPr>
          <w:rFonts w:asciiTheme="majorBidi" w:hAnsiTheme="majorBidi" w:cstheme="majorBidi"/>
          <w:sz w:val="24"/>
        </w:rPr>
        <w:t>.</w:t>
      </w:r>
      <w:r w:rsidR="00B424EA">
        <w:rPr>
          <w:rFonts w:asciiTheme="majorBidi" w:hAnsiTheme="majorBidi" w:cstheme="majorBidi"/>
          <w:sz w:val="24"/>
        </w:rPr>
        <w:t xml:space="preserve"> </w:t>
      </w:r>
      <w:r w:rsidR="00B424EA" w:rsidRPr="00186FFE">
        <w:rPr>
          <w:rFonts w:asciiTheme="majorBidi" w:hAnsiTheme="majorBidi" w:cstheme="majorBidi"/>
          <w:sz w:val="24"/>
          <w:szCs w:val="24"/>
        </w:rPr>
        <w:t xml:space="preserve">The </w:t>
      </w:r>
      <w:r w:rsidR="00B424EA" w:rsidRPr="00186FFE">
        <w:rPr>
          <w:rFonts w:asciiTheme="majorBidi" w:hAnsiTheme="majorBidi" w:cstheme="majorBidi"/>
          <w:color w:val="231F20"/>
          <w:sz w:val="24"/>
          <w:szCs w:val="24"/>
        </w:rPr>
        <w:t xml:space="preserve">MDA-T32 </w:t>
      </w:r>
      <w:r w:rsidR="007F0226">
        <w:rPr>
          <w:rFonts w:asciiTheme="majorBidi" w:hAnsiTheme="majorBidi" w:cstheme="majorBidi"/>
          <w:sz w:val="24"/>
        </w:rPr>
        <w:t>cell</w:t>
      </w:r>
      <w:r w:rsidR="00D93C0D">
        <w:rPr>
          <w:rFonts w:asciiTheme="majorBidi" w:hAnsiTheme="majorBidi" w:cstheme="majorBidi"/>
          <w:sz w:val="24"/>
        </w:rPr>
        <w:t xml:space="preserve"> </w:t>
      </w:r>
      <w:r w:rsidR="007F0226">
        <w:rPr>
          <w:rFonts w:asciiTheme="majorBidi" w:hAnsiTheme="majorBidi" w:cstheme="majorBidi"/>
          <w:sz w:val="24"/>
        </w:rPr>
        <w:t xml:space="preserve">line obtained </w:t>
      </w:r>
      <w:r w:rsidR="006A5830">
        <w:rPr>
          <w:rFonts w:asciiTheme="majorBidi" w:hAnsiTheme="majorBidi" w:cstheme="majorBidi"/>
          <w:sz w:val="24"/>
        </w:rPr>
        <w:t>from the</w:t>
      </w:r>
      <w:r w:rsidR="003E26A4">
        <w:rPr>
          <w:rFonts w:asciiTheme="majorBidi" w:hAnsiTheme="majorBidi" w:cstheme="majorBidi"/>
          <w:sz w:val="24"/>
        </w:rPr>
        <w:t xml:space="preserve"> </w:t>
      </w:r>
      <w:r w:rsidR="007F0226">
        <w:rPr>
          <w:rFonts w:asciiTheme="majorBidi" w:hAnsiTheme="majorBidi" w:cstheme="majorBidi"/>
          <w:sz w:val="24"/>
        </w:rPr>
        <w:t xml:space="preserve">malignant thyroid tissue of a 74-year-old male with papillary thyroid carcinoma (PTC), </w:t>
      </w:r>
      <w:r w:rsidR="007F0226">
        <w:rPr>
          <w:rFonts w:asciiTheme="majorBidi" w:hAnsiTheme="majorBidi" w:cstheme="majorBidi"/>
          <w:sz w:val="24"/>
          <w:szCs w:val="24"/>
        </w:rPr>
        <w:t xml:space="preserve">the most common </w:t>
      </w:r>
      <w:r w:rsidR="00D26C56">
        <w:rPr>
          <w:rFonts w:asciiTheme="majorBidi" w:hAnsiTheme="majorBidi" w:cstheme="majorBidi"/>
          <w:sz w:val="24"/>
          <w:szCs w:val="24"/>
        </w:rPr>
        <w:t xml:space="preserve">histological </w:t>
      </w:r>
      <w:r w:rsidR="007F0226">
        <w:rPr>
          <w:rFonts w:asciiTheme="majorBidi" w:hAnsiTheme="majorBidi" w:cstheme="majorBidi"/>
          <w:sz w:val="24"/>
          <w:szCs w:val="24"/>
        </w:rPr>
        <w:t>subtype of TC,</w:t>
      </w:r>
      <w:r w:rsidR="007F0226">
        <w:rPr>
          <w:rFonts w:asciiTheme="majorBidi" w:hAnsiTheme="majorBidi" w:cstheme="majorBidi"/>
          <w:sz w:val="24"/>
        </w:rPr>
        <w:t xml:space="preserve"> </w:t>
      </w:r>
      <w:r w:rsidR="007F0226">
        <w:rPr>
          <w:rFonts w:asciiTheme="majorBidi" w:hAnsiTheme="majorBidi" w:cstheme="majorBidi"/>
          <w:sz w:val="24"/>
          <w:szCs w:val="24"/>
        </w:rPr>
        <w:t>provide</w:t>
      </w:r>
      <w:r w:rsidR="00565E86">
        <w:rPr>
          <w:rFonts w:asciiTheme="majorBidi" w:hAnsiTheme="majorBidi" w:cstheme="majorBidi"/>
          <w:sz w:val="24"/>
          <w:szCs w:val="24"/>
        </w:rPr>
        <w:t>s</w:t>
      </w:r>
      <w:r w:rsidR="007F0226">
        <w:rPr>
          <w:rFonts w:asciiTheme="majorBidi" w:hAnsiTheme="majorBidi" w:cstheme="majorBidi"/>
          <w:sz w:val="24"/>
          <w:szCs w:val="24"/>
        </w:rPr>
        <w:t xml:space="preserve"> a robust </w:t>
      </w:r>
      <w:r w:rsidR="007F0226" w:rsidRPr="0073639B">
        <w:rPr>
          <w:rFonts w:asciiTheme="majorBidi" w:hAnsiTheme="majorBidi" w:cstheme="majorBidi"/>
          <w:i/>
          <w:iCs/>
          <w:sz w:val="24"/>
          <w:szCs w:val="24"/>
        </w:rPr>
        <w:t>in vitro</w:t>
      </w:r>
      <w:r w:rsidR="007F0226">
        <w:rPr>
          <w:rFonts w:asciiTheme="majorBidi" w:hAnsiTheme="majorBidi" w:cstheme="majorBidi"/>
          <w:sz w:val="24"/>
          <w:szCs w:val="24"/>
        </w:rPr>
        <w:t xml:space="preserve"> framework for investigating mineral-cell interactions</w:t>
      </w:r>
      <w:r w:rsidR="007F0226" w:rsidRPr="003322D3">
        <w:rPr>
          <w:rFonts w:asciiTheme="majorBidi" w:hAnsiTheme="majorBidi" w:cstheme="majorBidi"/>
          <w:sz w:val="24"/>
          <w:szCs w:val="24"/>
        </w:rPr>
        <w:t>.</w:t>
      </w:r>
      <w:r w:rsidR="007F0226">
        <w:rPr>
          <w:rFonts w:asciiTheme="majorBidi" w:hAnsiTheme="majorBidi" w:cstheme="majorBidi"/>
          <w:sz w:val="24"/>
          <w:szCs w:val="24"/>
        </w:rPr>
        <w:t xml:space="preserve"> </w:t>
      </w:r>
      <w:r w:rsidR="00705B3B">
        <w:rPr>
          <w:rFonts w:asciiTheme="majorBidi" w:hAnsiTheme="majorBidi" w:cstheme="majorBidi"/>
          <w:sz w:val="24"/>
          <w:szCs w:val="24"/>
        </w:rPr>
        <w:t xml:space="preserve">By treating MDA-T32 cells with MC </w:t>
      </w:r>
      <w:r w:rsidR="00705B3B">
        <w:rPr>
          <w:rFonts w:asciiTheme="majorBidi" w:hAnsiTheme="majorBidi" w:cstheme="majorBidi"/>
          <w:sz w:val="24"/>
          <w:szCs w:val="24"/>
        </w:rPr>
        <w:lastRenderedPageBreak/>
        <w:t xml:space="preserve">analogs, we </w:t>
      </w:r>
      <w:r w:rsidR="009C3873">
        <w:rPr>
          <w:rFonts w:asciiTheme="majorBidi" w:hAnsiTheme="majorBidi" w:cstheme="majorBidi"/>
          <w:sz w:val="24"/>
          <w:szCs w:val="24"/>
        </w:rPr>
        <w:t>ai</w:t>
      </w:r>
      <w:r w:rsidR="00186FFE">
        <w:rPr>
          <w:rFonts w:asciiTheme="majorBidi" w:hAnsiTheme="majorBidi" w:cstheme="majorBidi"/>
          <w:sz w:val="24"/>
          <w:szCs w:val="24"/>
        </w:rPr>
        <w:t>m</w:t>
      </w:r>
      <w:r w:rsidR="009C3873">
        <w:rPr>
          <w:rFonts w:asciiTheme="majorBidi" w:hAnsiTheme="majorBidi" w:cstheme="majorBidi"/>
          <w:sz w:val="24"/>
          <w:szCs w:val="24"/>
        </w:rPr>
        <w:t xml:space="preserve"> to improve our </w:t>
      </w:r>
      <w:r w:rsidR="00B918F4">
        <w:rPr>
          <w:rFonts w:asciiTheme="majorBidi" w:hAnsiTheme="majorBidi" w:cstheme="majorBidi"/>
          <w:sz w:val="24"/>
          <w:szCs w:val="24"/>
        </w:rPr>
        <w:t>understand</w:t>
      </w:r>
      <w:r w:rsidR="009C3873">
        <w:rPr>
          <w:rFonts w:asciiTheme="majorBidi" w:hAnsiTheme="majorBidi" w:cstheme="majorBidi"/>
          <w:sz w:val="24"/>
          <w:szCs w:val="24"/>
        </w:rPr>
        <w:t>ing of</w:t>
      </w:r>
      <w:r w:rsidR="00E520EF" w:rsidRPr="00A42310">
        <w:rPr>
          <w:rFonts w:asciiTheme="majorBidi" w:hAnsiTheme="majorBidi" w:cstheme="majorBidi"/>
          <w:sz w:val="24"/>
          <w:szCs w:val="24"/>
        </w:rPr>
        <w:t xml:space="preserve"> the impact of </w:t>
      </w:r>
      <w:r w:rsidR="00230A25">
        <w:rPr>
          <w:rFonts w:asciiTheme="majorBidi" w:hAnsiTheme="majorBidi" w:cstheme="majorBidi"/>
          <w:sz w:val="24"/>
          <w:szCs w:val="24"/>
        </w:rPr>
        <w:t>Zn</w:t>
      </w:r>
      <w:r w:rsidR="00754691">
        <w:rPr>
          <w:rFonts w:asciiTheme="majorBidi" w:hAnsiTheme="majorBidi" w:cstheme="majorBidi"/>
          <w:sz w:val="24"/>
          <w:szCs w:val="24"/>
        </w:rPr>
        <w:t xml:space="preserve"> content</w:t>
      </w:r>
      <w:r w:rsidR="00565E86">
        <w:rPr>
          <w:rFonts w:asciiTheme="majorBidi" w:hAnsiTheme="majorBidi" w:cstheme="majorBidi"/>
          <w:sz w:val="24"/>
          <w:szCs w:val="24"/>
        </w:rPr>
        <w:t xml:space="preserve"> on</w:t>
      </w:r>
      <w:r w:rsidR="00754691">
        <w:rPr>
          <w:rFonts w:asciiTheme="majorBidi" w:hAnsiTheme="majorBidi" w:cstheme="majorBidi"/>
          <w:sz w:val="24"/>
          <w:szCs w:val="24"/>
        </w:rPr>
        <w:t xml:space="preserve"> </w:t>
      </w:r>
      <w:r w:rsidR="00565E86">
        <w:rPr>
          <w:rFonts w:asciiTheme="majorBidi" w:hAnsiTheme="majorBidi" w:cstheme="majorBidi"/>
          <w:sz w:val="24"/>
          <w:szCs w:val="24"/>
        </w:rPr>
        <w:t xml:space="preserve">TC aggressiveness. </w:t>
      </w:r>
    </w:p>
    <w:p w14:paraId="73DD798B" w14:textId="255F0943" w:rsidR="005112BF" w:rsidRPr="005F4A5A" w:rsidRDefault="00D772D0" w:rsidP="00AB3F9D">
      <w:pPr>
        <w:spacing w:after="0" w:line="360" w:lineRule="auto"/>
        <w:jc w:val="both"/>
        <w:rPr>
          <w:rFonts w:asciiTheme="majorBidi" w:hAnsiTheme="majorBidi" w:cstheme="majorBidi"/>
          <w:b/>
          <w:bCs/>
          <w:sz w:val="24"/>
          <w:szCs w:val="24"/>
        </w:rPr>
      </w:pPr>
      <w:r w:rsidRPr="0082216A">
        <w:rPr>
          <w:rFonts w:asciiTheme="majorBidi" w:hAnsiTheme="majorBidi" w:cstheme="majorBidi"/>
          <w:b/>
          <w:bCs/>
          <w:sz w:val="24"/>
          <w:szCs w:val="24"/>
        </w:rPr>
        <w:t>Materials and Methods</w:t>
      </w:r>
    </w:p>
    <w:p w14:paraId="6048F976" w14:textId="77CF5437" w:rsidR="00EB6017" w:rsidRDefault="00EB6017" w:rsidP="00AB3F9D">
      <w:pPr>
        <w:pStyle w:val="ListParagraph"/>
        <w:numPr>
          <w:ilvl w:val="1"/>
          <w:numId w:val="1"/>
        </w:numPr>
        <w:spacing w:after="0" w:line="360" w:lineRule="auto"/>
        <w:rPr>
          <w:rFonts w:asciiTheme="majorBidi" w:hAnsiTheme="majorBidi" w:cstheme="majorBidi"/>
          <w:b/>
          <w:bCs/>
          <w:sz w:val="24"/>
          <w:szCs w:val="24"/>
        </w:rPr>
      </w:pPr>
      <w:r>
        <w:rPr>
          <w:rFonts w:asciiTheme="majorBidi" w:hAnsiTheme="majorBidi" w:cstheme="majorBidi"/>
          <w:b/>
          <w:bCs/>
          <w:sz w:val="24"/>
          <w:szCs w:val="24"/>
        </w:rPr>
        <w:t>Clinical samples</w:t>
      </w:r>
      <w:r w:rsidR="00C947EB">
        <w:rPr>
          <w:rFonts w:asciiTheme="majorBidi" w:hAnsiTheme="majorBidi" w:cstheme="majorBidi"/>
          <w:b/>
          <w:bCs/>
          <w:sz w:val="24"/>
          <w:szCs w:val="24"/>
        </w:rPr>
        <w:t xml:space="preserve"> and </w:t>
      </w:r>
      <w:r w:rsidR="00C947EB" w:rsidRPr="005112BF">
        <w:rPr>
          <w:rFonts w:asciiTheme="majorBidi" w:hAnsiTheme="majorBidi" w:cstheme="majorBidi"/>
          <w:b/>
          <w:bCs/>
          <w:sz w:val="24"/>
          <w:szCs w:val="24"/>
        </w:rPr>
        <w:t>MC isolation from FNA material</w:t>
      </w:r>
    </w:p>
    <w:p w14:paraId="748D883A" w14:textId="0AFBE43B" w:rsidR="00F43361" w:rsidRDefault="00C947EB" w:rsidP="00AB3F9D">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w:t>
      </w:r>
      <w:r w:rsidR="002F54F7">
        <w:rPr>
          <w:rFonts w:ascii="Times New Roman" w:hAnsi="Times New Roman" w:cs="Times New Roman"/>
          <w:sz w:val="24"/>
          <w:szCs w:val="24"/>
        </w:rPr>
        <w:t>clinical sample collection and analysis protocol</w:t>
      </w:r>
      <w:r>
        <w:rPr>
          <w:rFonts w:ascii="Times New Roman" w:hAnsi="Times New Roman" w:cs="Times New Roman"/>
          <w:sz w:val="24"/>
          <w:szCs w:val="24"/>
        </w:rPr>
        <w:t xml:space="preserve"> was reported elsewhere</w:t>
      </w:r>
      <w:r w:rsidR="008531BC">
        <w:rPr>
          <w:rFonts w:ascii="Times New Roman" w:hAnsi="Times New Roman" w:cs="Times New Roman"/>
          <w:sz w:val="24"/>
          <w:szCs w:val="24"/>
        </w:rPr>
        <w:t xml:space="preserve"> </w:t>
      </w:r>
      <w:r w:rsidR="008531BC">
        <w:rPr>
          <w:rFonts w:ascii="Times New Roman" w:hAnsi="Times New Roman" w:cs="Times New Roman"/>
          <w:sz w:val="24"/>
          <w:szCs w:val="24"/>
        </w:rPr>
        <w:fldChar w:fldCharType="begin" w:fldLock="1"/>
      </w:r>
      <w:r w:rsidR="002562A5">
        <w:rPr>
          <w:rFonts w:ascii="Times New Roman" w:hAnsi="Times New Roman" w:cs="Times New Roman"/>
          <w:sz w:val="24"/>
          <w:szCs w:val="24"/>
        </w:rPr>
        <w:instrText>ADDIN CSL_CITATION {"citationItems":[{"id":"ITEM-1","itemData":{"DOI":"10.1016/j.actbio.2023.03.010","abstract":"Thyroid nodules (TNs) are common neck ultrasonography (US) findings, yet only 5-10% of these nodules harbor thyroid cancer (TC). When US characteristics are consistent with an intermediate or high suspicion for TN malignancy, fine needle aspiration for cytology (FNAC) is indicated. The main limitation of FNAC is that cytological results can be indeterminate in up to 30% of cases, necessitating reevaluation through repeated FNAC, expensive molecular testing, or diagnostic thyroid lobe resection. As such, there is a need for further refinement of current diagnostic algorithms for TNs without subjecting patients to additional invasive procedures. As calcifications detected during thyroid US are considered a high-risk feature for malignancy, we used the material remaining following routine thyroid FNAC to isolate microscopic cal-cifications (MCs). We then characterized the elemental composition, morphology, and crystal phases of these MCs, ultimately revealing differences between the MCs from benign and malignant TNs. Specifically , thyroid MCs were identified as calcium phosphate crystals containing varying levels of magnesium, sodium, iron, and zinc. MCs obtained from malignant TNs, mainly papillary thyroid carcinoma, were composed of sub-micrometer spherical particles, whereas MCs from benign TNs consisted of faceted particles. While samples from most patients with a final diagnosis of malignant TNs (50% of them with indeterminate cytology) harbored zinc-containing MCs, zinc was largely absent in MCs from benign TNs (23% with indeterminate or non-diagnostic cytology). Together, these data suggest that the presence of zinc in MCs isolated from samples collected during routine FNAC may potentially offer value as a biomarker of TN malignancy. Statement of significance As up to 40% of patients assessed for thyroid malignancy do not receive a definite diagnosis following thyroid nodule (TN) fine needle aspiration (FNA), there is a pressing need to improve the accuracy of current diagnostic algorithms. Chemical analyses of microscopic calcifications (MCs) may serve as a diagnostic target. We developed a straightforward protocol to chemically characterize MCs from excess material collected from TNs during routine FNA and found that these MCs differed between benign and malignant TNs. Specifically, zinc in TN-derived MCs may indicate a higher nodule malignancy risk, thus increasing the diagnostic accuracy of the FNA procedure, reducing the need for recurrent bio…","author":[{"dropping-particle":"","family":"Gotnayer","given":"L","non-dropping-particle":"","parse-names":false,"suffix":""},{"dropping-particle":"","family":"Aranovich","given":"D","non-dropping-particle":"","parse-names":false,"suffix":""},{"dropping-particle":"","family":"Fraenkel","given":"M","non-dropping-particle":"","parse-names":false,"suffix":""}],"container-title":"Acta Biomaterialia","id":"ITEM-1","issued":{"date-parts":[["2023"]]},"page":"275-284","title":"Zinc in microscopic calcifications isolated from thyroid fine needle aspiration may serve as a biomarker of thyroid nodule malignancy: A promising proof-of-concept","type":"article-journal","volume":"161"},"uris":["http://www.mendeley.com/documents/?uuid=56223c94-6e12-3dfb-a337-5749a3cf9d50"]}],"mendeley":{"formattedCitation":"[19]","plainTextFormattedCitation":"[19]","previouslyFormattedCitation":"[19]"},"properties":{"noteIndex":0},"schema":"https://github.com/citation-style-language/schema/raw/master/csl-citation.json"}</w:instrText>
      </w:r>
      <w:r w:rsidR="008531BC">
        <w:rPr>
          <w:rFonts w:ascii="Times New Roman" w:hAnsi="Times New Roman" w:cs="Times New Roman"/>
          <w:sz w:val="24"/>
          <w:szCs w:val="24"/>
        </w:rPr>
        <w:fldChar w:fldCharType="separate"/>
      </w:r>
      <w:r w:rsidR="009D5330" w:rsidRPr="009D5330">
        <w:rPr>
          <w:rFonts w:ascii="Times New Roman" w:hAnsi="Times New Roman" w:cs="Times New Roman"/>
          <w:noProof/>
          <w:sz w:val="24"/>
          <w:szCs w:val="24"/>
        </w:rPr>
        <w:t>[19]</w:t>
      </w:r>
      <w:r w:rsidR="008531BC">
        <w:rPr>
          <w:rFonts w:ascii="Times New Roman" w:hAnsi="Times New Roman" w:cs="Times New Roman"/>
          <w:sz w:val="24"/>
          <w:szCs w:val="24"/>
        </w:rPr>
        <w:fldChar w:fldCharType="end"/>
      </w:r>
      <w:r>
        <w:rPr>
          <w:rFonts w:ascii="Times New Roman" w:hAnsi="Times New Roman" w:cs="Times New Roman"/>
          <w:sz w:val="24"/>
          <w:szCs w:val="24"/>
        </w:rPr>
        <w:t>. Briefly, a</w:t>
      </w:r>
      <w:r w:rsidR="005C1850" w:rsidRPr="00A42310">
        <w:rPr>
          <w:rFonts w:ascii="Times New Roman" w:hAnsi="Times New Roman" w:cs="Times New Roman"/>
          <w:sz w:val="24"/>
          <w:szCs w:val="24"/>
        </w:rPr>
        <w:t xml:space="preserve">s part of </w:t>
      </w:r>
      <w:r w:rsidR="00EB6017" w:rsidRPr="002262AD">
        <w:rPr>
          <w:rFonts w:ascii="Times New Roman" w:hAnsi="Times New Roman" w:cs="Times New Roman"/>
          <w:sz w:val="24"/>
          <w:szCs w:val="24"/>
        </w:rPr>
        <w:t>routine FNAC procedures, MCs were</w:t>
      </w:r>
      <w:r w:rsidR="00565E86">
        <w:rPr>
          <w:rFonts w:ascii="Times New Roman" w:hAnsi="Times New Roman" w:cs="Times New Roman"/>
          <w:sz w:val="24"/>
          <w:szCs w:val="24"/>
        </w:rPr>
        <w:t xml:space="preserve"> isolated from the material</w:t>
      </w:r>
      <w:r w:rsidR="00EB6017" w:rsidRPr="002262AD">
        <w:rPr>
          <w:rFonts w:ascii="Times New Roman" w:hAnsi="Times New Roman" w:cs="Times New Roman"/>
          <w:sz w:val="24"/>
          <w:szCs w:val="24"/>
        </w:rPr>
        <w:t xml:space="preserve"> aspirated from </w:t>
      </w:r>
      <w:r w:rsidR="00D83B98">
        <w:rPr>
          <w:rFonts w:ascii="Times New Roman" w:hAnsi="Times New Roman" w:cs="Times New Roman"/>
          <w:sz w:val="24"/>
          <w:szCs w:val="24"/>
        </w:rPr>
        <w:t>thyroid nodules</w:t>
      </w:r>
      <w:r w:rsidR="00EB6017" w:rsidRPr="002262AD">
        <w:rPr>
          <w:rFonts w:ascii="Times New Roman" w:hAnsi="Times New Roman" w:cs="Times New Roman"/>
          <w:sz w:val="24"/>
          <w:szCs w:val="24"/>
        </w:rPr>
        <w:t xml:space="preserve">. </w:t>
      </w:r>
      <w:r w:rsidR="00C8153E">
        <w:rPr>
          <w:rFonts w:ascii="Times New Roman" w:hAnsi="Times New Roman" w:cs="Times New Roman"/>
          <w:sz w:val="24"/>
          <w:szCs w:val="24"/>
        </w:rPr>
        <w:t>The FNA</w:t>
      </w:r>
      <w:r w:rsidR="00C8153E" w:rsidRPr="002262AD">
        <w:rPr>
          <w:rFonts w:ascii="Times New Roman" w:hAnsi="Times New Roman" w:cs="Times New Roman"/>
          <w:sz w:val="24"/>
          <w:szCs w:val="24"/>
        </w:rPr>
        <w:t xml:space="preserve"> </w:t>
      </w:r>
      <w:r w:rsidR="00EB6017" w:rsidRPr="002262AD">
        <w:rPr>
          <w:rFonts w:ascii="Times New Roman" w:hAnsi="Times New Roman" w:cs="Times New Roman"/>
          <w:sz w:val="24"/>
          <w:szCs w:val="24"/>
        </w:rPr>
        <w:t>p</w:t>
      </w:r>
      <w:r w:rsidR="00CA2903">
        <w:rPr>
          <w:rFonts w:ascii="Times New Roman" w:hAnsi="Times New Roman" w:cs="Times New Roman"/>
          <w:sz w:val="24"/>
          <w:szCs w:val="24"/>
        </w:rPr>
        <w:t>rocedure was</w:t>
      </w:r>
      <w:r w:rsidR="00EB6017" w:rsidRPr="002262AD">
        <w:rPr>
          <w:rFonts w:ascii="Times New Roman" w:hAnsi="Times New Roman" w:cs="Times New Roman"/>
          <w:sz w:val="24"/>
          <w:szCs w:val="24"/>
        </w:rPr>
        <w:t xml:space="preserve"> </w:t>
      </w:r>
      <w:r w:rsidR="00C8153E">
        <w:rPr>
          <w:rFonts w:ascii="Times New Roman" w:hAnsi="Times New Roman" w:cs="Times New Roman"/>
          <w:sz w:val="24"/>
          <w:szCs w:val="24"/>
        </w:rPr>
        <w:t>carried out</w:t>
      </w:r>
      <w:r w:rsidR="00C8153E" w:rsidRPr="002262AD">
        <w:rPr>
          <w:rFonts w:ascii="Times New Roman" w:hAnsi="Times New Roman" w:cs="Times New Roman"/>
          <w:sz w:val="24"/>
          <w:szCs w:val="24"/>
        </w:rPr>
        <w:t xml:space="preserve"> </w:t>
      </w:r>
      <w:r w:rsidR="00EB6017" w:rsidRPr="002262AD">
        <w:rPr>
          <w:rFonts w:ascii="Times New Roman" w:hAnsi="Times New Roman" w:cs="Times New Roman"/>
          <w:sz w:val="24"/>
          <w:szCs w:val="24"/>
        </w:rPr>
        <w:t>at the endocrine unit of Soroka University Medical Center (SUMC</w:t>
      </w:r>
      <w:r w:rsidR="00CA2903" w:rsidRPr="002262AD">
        <w:rPr>
          <w:rFonts w:ascii="Times New Roman" w:hAnsi="Times New Roman" w:cs="Times New Roman"/>
          <w:sz w:val="24"/>
          <w:szCs w:val="24"/>
        </w:rPr>
        <w:t xml:space="preserve">). </w:t>
      </w:r>
      <w:r>
        <w:rPr>
          <w:rFonts w:ascii="Times New Roman" w:hAnsi="Times New Roman" w:cs="Times New Roman"/>
          <w:sz w:val="24"/>
          <w:szCs w:val="24"/>
        </w:rPr>
        <w:t>P</w:t>
      </w:r>
      <w:r w:rsidR="004B4B7F">
        <w:rPr>
          <w:rFonts w:ascii="Times New Roman" w:hAnsi="Times New Roman" w:cs="Times New Roman"/>
          <w:sz w:val="24"/>
          <w:szCs w:val="24"/>
        </w:rPr>
        <w:t>atient</w:t>
      </w:r>
      <w:r w:rsidR="00D83B98">
        <w:rPr>
          <w:rFonts w:ascii="Times New Roman" w:hAnsi="Times New Roman" w:cs="Times New Roman"/>
          <w:sz w:val="24"/>
          <w:szCs w:val="24"/>
        </w:rPr>
        <w:t>s</w:t>
      </w:r>
      <w:r w:rsidR="00EB6017" w:rsidRPr="002262AD">
        <w:rPr>
          <w:rFonts w:ascii="Times New Roman" w:hAnsi="Times New Roman" w:cs="Times New Roman"/>
          <w:sz w:val="24"/>
          <w:szCs w:val="24"/>
        </w:rPr>
        <w:t xml:space="preserve"> with </w:t>
      </w:r>
      <w:r w:rsidR="00D83B98">
        <w:rPr>
          <w:rFonts w:ascii="Times New Roman" w:hAnsi="Times New Roman" w:cs="Times New Roman"/>
          <w:sz w:val="24"/>
          <w:szCs w:val="24"/>
        </w:rPr>
        <w:t>thyroid nodules</w:t>
      </w:r>
      <w:r w:rsidR="00D83B98" w:rsidRPr="002262AD">
        <w:rPr>
          <w:rFonts w:ascii="Times New Roman" w:hAnsi="Times New Roman" w:cs="Times New Roman"/>
          <w:sz w:val="24"/>
          <w:szCs w:val="24"/>
        </w:rPr>
        <w:t xml:space="preserve"> </w:t>
      </w:r>
      <w:r w:rsidR="00EB6017" w:rsidRPr="002262AD">
        <w:rPr>
          <w:rFonts w:ascii="Times New Roman" w:hAnsi="Times New Roman" w:cs="Times New Roman"/>
          <w:sz w:val="24"/>
          <w:szCs w:val="24"/>
        </w:rPr>
        <w:t xml:space="preserve">and an indication for </w:t>
      </w:r>
      <w:r w:rsidR="004B4B7F" w:rsidRPr="002262AD">
        <w:rPr>
          <w:rFonts w:ascii="Times New Roman" w:hAnsi="Times New Roman" w:cs="Times New Roman"/>
          <w:sz w:val="24"/>
          <w:szCs w:val="24"/>
        </w:rPr>
        <w:t>FNA</w:t>
      </w:r>
      <w:r w:rsidR="0022312E">
        <w:rPr>
          <w:rFonts w:ascii="Times New Roman" w:hAnsi="Times New Roman" w:cs="Times New Roman"/>
          <w:sz w:val="24"/>
          <w:szCs w:val="24"/>
        </w:rPr>
        <w:t>C, aged</w:t>
      </w:r>
      <w:r w:rsidR="004B4B7F" w:rsidRPr="002262AD">
        <w:rPr>
          <w:rFonts w:ascii="Times New Roman" w:hAnsi="Times New Roman" w:cs="Times New Roman"/>
          <w:sz w:val="24"/>
          <w:szCs w:val="24"/>
        </w:rPr>
        <w:t xml:space="preserve"> </w:t>
      </w:r>
      <w:r w:rsidR="00EB6017" w:rsidRPr="002262AD">
        <w:rPr>
          <w:rFonts w:ascii="Times New Roman" w:hAnsi="Times New Roman" w:cs="Times New Roman"/>
          <w:sz w:val="24"/>
          <w:szCs w:val="24"/>
        </w:rPr>
        <w:t xml:space="preserve">18 years </w:t>
      </w:r>
      <w:r w:rsidR="0022312E">
        <w:rPr>
          <w:rFonts w:ascii="Times New Roman" w:hAnsi="Times New Roman" w:cs="Times New Roman"/>
          <w:sz w:val="24"/>
          <w:szCs w:val="24"/>
        </w:rPr>
        <w:t>or older,</w:t>
      </w:r>
      <w:r w:rsidR="00EB6017" w:rsidRPr="002262AD">
        <w:rPr>
          <w:rFonts w:ascii="Times New Roman" w:hAnsi="Times New Roman" w:cs="Times New Roman"/>
          <w:sz w:val="24"/>
          <w:szCs w:val="24"/>
        </w:rPr>
        <w:t xml:space="preserve"> who </w:t>
      </w:r>
      <w:r w:rsidR="0022312E">
        <w:rPr>
          <w:rFonts w:ascii="Times New Roman" w:hAnsi="Times New Roman" w:cs="Times New Roman"/>
          <w:sz w:val="24"/>
          <w:szCs w:val="24"/>
        </w:rPr>
        <w:t>provided</w:t>
      </w:r>
      <w:r w:rsidR="00EB6017" w:rsidRPr="002262AD">
        <w:rPr>
          <w:rFonts w:ascii="Times New Roman" w:hAnsi="Times New Roman" w:cs="Times New Roman"/>
          <w:sz w:val="24"/>
          <w:szCs w:val="24"/>
        </w:rPr>
        <w:t xml:space="preserve"> informed consent</w:t>
      </w:r>
      <w:r w:rsidR="00565E86">
        <w:rPr>
          <w:rFonts w:ascii="Times New Roman" w:hAnsi="Times New Roman" w:cs="Times New Roman"/>
          <w:sz w:val="24"/>
          <w:szCs w:val="24"/>
        </w:rPr>
        <w:t>, were enrolled</w:t>
      </w:r>
      <w:r w:rsidR="00EB6017" w:rsidRPr="002262AD">
        <w:rPr>
          <w:rFonts w:ascii="Times New Roman" w:hAnsi="Times New Roman" w:cs="Times New Roman"/>
          <w:sz w:val="24"/>
          <w:szCs w:val="24"/>
        </w:rPr>
        <w:t xml:space="preserve">. </w:t>
      </w:r>
      <w:r w:rsidR="0022312E" w:rsidRPr="00A42310">
        <w:rPr>
          <w:rFonts w:ascii="Times New Roman" w:hAnsi="Times New Roman" w:cs="Times New Roman"/>
          <w:sz w:val="24"/>
          <w:szCs w:val="24"/>
        </w:rPr>
        <w:t xml:space="preserve">Patient information was anonymized and assigned codes for analysis. Clinical </w:t>
      </w:r>
      <w:r w:rsidR="0022312E" w:rsidRPr="0022312E">
        <w:rPr>
          <w:rFonts w:ascii="Times New Roman" w:hAnsi="Times New Roman" w:cs="Times New Roman"/>
          <w:sz w:val="24"/>
          <w:szCs w:val="24"/>
        </w:rPr>
        <w:t>decisions</w:t>
      </w:r>
      <w:r w:rsidR="0022312E" w:rsidRPr="00A42310">
        <w:rPr>
          <w:rFonts w:ascii="Times New Roman" w:hAnsi="Times New Roman" w:cs="Times New Roman"/>
          <w:sz w:val="24"/>
          <w:szCs w:val="24"/>
        </w:rPr>
        <w:t xml:space="preserve"> were established based on thyroid ultrasound and cytological findings. </w:t>
      </w:r>
      <w:r w:rsidR="00EB6017" w:rsidRPr="002262AD">
        <w:rPr>
          <w:rFonts w:ascii="Times New Roman" w:hAnsi="Times New Roman" w:cs="Times New Roman"/>
          <w:sz w:val="24"/>
          <w:szCs w:val="24"/>
        </w:rPr>
        <w:t xml:space="preserve">This study was </w:t>
      </w:r>
      <w:r w:rsidR="0022312E">
        <w:rPr>
          <w:rFonts w:ascii="Times New Roman" w:hAnsi="Times New Roman" w:cs="Times New Roman"/>
          <w:sz w:val="24"/>
          <w:szCs w:val="24"/>
        </w:rPr>
        <w:t>pre-</w:t>
      </w:r>
      <w:r w:rsidR="00EB6017" w:rsidRPr="002262AD">
        <w:rPr>
          <w:rFonts w:ascii="Times New Roman" w:hAnsi="Times New Roman" w:cs="Times New Roman"/>
          <w:sz w:val="24"/>
          <w:szCs w:val="24"/>
        </w:rPr>
        <w:t>approved by the institutional review committee (approval number 190-17-SOR, 27 Sep 2017).</w:t>
      </w:r>
      <w:r>
        <w:rPr>
          <w:rFonts w:ascii="Times New Roman" w:hAnsi="Times New Roman" w:cs="Times New Roman"/>
          <w:sz w:val="24"/>
          <w:szCs w:val="24"/>
        </w:rPr>
        <w:t xml:space="preserve"> </w:t>
      </w:r>
      <w:r w:rsidR="00F43361">
        <w:rPr>
          <w:rFonts w:ascii="Times New Roman" w:hAnsi="Times New Roman" w:cs="Times New Roman"/>
          <w:sz w:val="24"/>
          <w:szCs w:val="24"/>
        </w:rPr>
        <w:t>T</w:t>
      </w:r>
      <w:r w:rsidR="004B4B7F" w:rsidRPr="004B4B7F">
        <w:rPr>
          <w:rFonts w:ascii="Times New Roman" w:hAnsi="Times New Roman" w:cs="Times New Roman"/>
          <w:sz w:val="24"/>
          <w:szCs w:val="24"/>
        </w:rPr>
        <w:t>he fixed FNA material</w:t>
      </w:r>
      <w:r w:rsidR="000D760C">
        <w:rPr>
          <w:rFonts w:ascii="Times New Roman" w:hAnsi="Times New Roman" w:cs="Times New Roman"/>
          <w:sz w:val="24"/>
          <w:szCs w:val="24"/>
        </w:rPr>
        <w:t xml:space="preserve"> was treated with </w:t>
      </w:r>
      <w:r w:rsidR="004B4B7F" w:rsidRPr="004B4B7F">
        <w:rPr>
          <w:rFonts w:ascii="Times New Roman" w:hAnsi="Times New Roman" w:cs="Times New Roman"/>
          <w:sz w:val="24"/>
          <w:szCs w:val="24"/>
        </w:rPr>
        <w:t>2 mL of 70% ethanol (Bio-Lab Ltd)</w:t>
      </w:r>
      <w:r w:rsidR="00F43361">
        <w:rPr>
          <w:rFonts w:ascii="Times New Roman" w:hAnsi="Times New Roman" w:cs="Times New Roman"/>
          <w:sz w:val="24"/>
          <w:szCs w:val="24"/>
        </w:rPr>
        <w:t xml:space="preserve">, </w:t>
      </w:r>
      <w:r w:rsidR="004B4B7F" w:rsidRPr="004B4B7F">
        <w:rPr>
          <w:rFonts w:ascii="Times New Roman" w:hAnsi="Times New Roman" w:cs="Times New Roman"/>
          <w:sz w:val="24"/>
          <w:szCs w:val="24"/>
        </w:rPr>
        <w:t>centrifug</w:t>
      </w:r>
      <w:r w:rsidR="00F43361">
        <w:rPr>
          <w:rFonts w:ascii="Times New Roman" w:hAnsi="Times New Roman" w:cs="Times New Roman"/>
          <w:sz w:val="24"/>
          <w:szCs w:val="24"/>
        </w:rPr>
        <w:t xml:space="preserve">ed </w:t>
      </w:r>
      <w:r w:rsidR="004B4B7F" w:rsidRPr="004B4B7F">
        <w:rPr>
          <w:rFonts w:ascii="Times New Roman" w:hAnsi="Times New Roman" w:cs="Times New Roman"/>
          <w:sz w:val="24"/>
          <w:szCs w:val="24"/>
        </w:rPr>
        <w:t xml:space="preserve">at 4,000 rpm for </w:t>
      </w:r>
      <w:r w:rsidR="00F0601E">
        <w:rPr>
          <w:rFonts w:ascii="Times New Roman" w:hAnsi="Times New Roman" w:cs="Times New Roman" w:hint="cs"/>
          <w:sz w:val="24"/>
          <w:szCs w:val="24"/>
          <w:rtl/>
        </w:rPr>
        <w:t>5</w:t>
      </w:r>
      <w:r w:rsidR="00F0601E" w:rsidRPr="004B4B7F">
        <w:rPr>
          <w:rFonts w:ascii="Times New Roman" w:hAnsi="Times New Roman" w:cs="Times New Roman"/>
          <w:sz w:val="24"/>
          <w:szCs w:val="24"/>
        </w:rPr>
        <w:t xml:space="preserve"> </w:t>
      </w:r>
      <w:r w:rsidR="004B4B7F" w:rsidRPr="004B4B7F">
        <w:rPr>
          <w:rFonts w:ascii="Times New Roman" w:hAnsi="Times New Roman" w:cs="Times New Roman"/>
          <w:sz w:val="24"/>
          <w:szCs w:val="24"/>
        </w:rPr>
        <w:t>minutes</w:t>
      </w:r>
      <w:r w:rsidR="00F43361">
        <w:rPr>
          <w:rFonts w:ascii="Times New Roman" w:hAnsi="Times New Roman" w:cs="Times New Roman"/>
          <w:sz w:val="24"/>
          <w:szCs w:val="24"/>
        </w:rPr>
        <w:t xml:space="preserve"> three times, and </w:t>
      </w:r>
      <w:r w:rsidR="000D760C">
        <w:rPr>
          <w:rFonts w:ascii="Times New Roman" w:hAnsi="Times New Roman" w:cs="Times New Roman"/>
          <w:sz w:val="24"/>
          <w:szCs w:val="24"/>
        </w:rPr>
        <w:t>immers</w:t>
      </w:r>
      <w:r w:rsidR="00F43361">
        <w:rPr>
          <w:rFonts w:ascii="Times New Roman" w:hAnsi="Times New Roman" w:cs="Times New Roman"/>
          <w:sz w:val="24"/>
          <w:szCs w:val="24"/>
        </w:rPr>
        <w:t>ed</w:t>
      </w:r>
      <w:r w:rsidR="004B4B7F" w:rsidRPr="004B4B7F">
        <w:rPr>
          <w:rFonts w:ascii="Times New Roman" w:hAnsi="Times New Roman" w:cs="Times New Roman"/>
          <w:sz w:val="24"/>
          <w:szCs w:val="24"/>
        </w:rPr>
        <w:t xml:space="preserve"> in deionized water for two hours at 37°C. After centrifugation at 20,000 rpm for 10 minutes, the supernatant was removed, and a solution </w:t>
      </w:r>
      <w:r w:rsidR="00EC4F33">
        <w:rPr>
          <w:rFonts w:ascii="Times New Roman" w:hAnsi="Times New Roman" w:cs="Times New Roman"/>
          <w:sz w:val="24"/>
          <w:szCs w:val="24"/>
        </w:rPr>
        <w:t>containing</w:t>
      </w:r>
      <w:r w:rsidR="000D760C" w:rsidRPr="004B4B7F">
        <w:rPr>
          <w:rFonts w:ascii="Times New Roman" w:hAnsi="Times New Roman" w:cs="Times New Roman"/>
          <w:sz w:val="24"/>
          <w:szCs w:val="24"/>
        </w:rPr>
        <w:t xml:space="preserve"> </w:t>
      </w:r>
      <w:r w:rsidR="004B4B7F" w:rsidRPr="004B4B7F">
        <w:rPr>
          <w:rFonts w:ascii="Times New Roman" w:hAnsi="Times New Roman" w:cs="Times New Roman"/>
          <w:sz w:val="24"/>
          <w:szCs w:val="24"/>
        </w:rPr>
        <w:t>1.</w:t>
      </w:r>
      <w:r w:rsidR="0016235E">
        <w:rPr>
          <w:rFonts w:ascii="Times New Roman" w:hAnsi="Times New Roman" w:cs="Times New Roman"/>
          <w:sz w:val="24"/>
          <w:szCs w:val="24"/>
        </w:rPr>
        <w:t>2 wt%</w:t>
      </w:r>
      <w:r w:rsidR="004B4B7F" w:rsidRPr="004B4B7F">
        <w:rPr>
          <w:rFonts w:ascii="Times New Roman" w:hAnsi="Times New Roman" w:cs="Times New Roman"/>
          <w:sz w:val="24"/>
          <w:szCs w:val="24"/>
        </w:rPr>
        <w:t xml:space="preserve"> sodium hypochlorite (Liel POWER) in deionized water was added to the pellet </w:t>
      </w:r>
      <w:r w:rsidR="00EC4F33">
        <w:rPr>
          <w:rFonts w:ascii="Times New Roman" w:hAnsi="Times New Roman" w:cs="Times New Roman"/>
          <w:sz w:val="24"/>
          <w:szCs w:val="24"/>
        </w:rPr>
        <w:t xml:space="preserve">for </w:t>
      </w:r>
      <w:r w:rsidR="004B4B7F" w:rsidRPr="004B4B7F">
        <w:rPr>
          <w:rFonts w:ascii="Times New Roman" w:hAnsi="Times New Roman" w:cs="Times New Roman"/>
          <w:sz w:val="24"/>
          <w:szCs w:val="24"/>
        </w:rPr>
        <w:t>overnight</w:t>
      </w:r>
      <w:r w:rsidR="00EC4F33">
        <w:rPr>
          <w:rFonts w:ascii="Times New Roman" w:hAnsi="Times New Roman" w:cs="Times New Roman"/>
          <w:sz w:val="24"/>
          <w:szCs w:val="24"/>
        </w:rPr>
        <w:t xml:space="preserve"> incubation</w:t>
      </w:r>
      <w:r w:rsidR="004B4B7F" w:rsidRPr="004B4B7F">
        <w:rPr>
          <w:rFonts w:ascii="Times New Roman" w:hAnsi="Times New Roman" w:cs="Times New Roman"/>
          <w:sz w:val="24"/>
          <w:szCs w:val="24"/>
        </w:rPr>
        <w:t>. The pellet</w:t>
      </w:r>
      <w:r w:rsidR="00EC4F33">
        <w:rPr>
          <w:rFonts w:ascii="Times New Roman" w:hAnsi="Times New Roman" w:cs="Times New Roman"/>
          <w:sz w:val="24"/>
          <w:szCs w:val="24"/>
        </w:rPr>
        <w:t xml:space="preserve"> </w:t>
      </w:r>
      <w:r w:rsidR="004B4B7F" w:rsidRPr="004B4B7F">
        <w:rPr>
          <w:rFonts w:ascii="Times New Roman" w:hAnsi="Times New Roman" w:cs="Times New Roman"/>
          <w:sz w:val="24"/>
          <w:szCs w:val="24"/>
        </w:rPr>
        <w:t xml:space="preserve">underwent three washes with deionized water </w:t>
      </w:r>
      <w:r w:rsidR="00EC4F33">
        <w:rPr>
          <w:rFonts w:ascii="Times New Roman" w:hAnsi="Times New Roman" w:cs="Times New Roman"/>
          <w:sz w:val="24"/>
          <w:szCs w:val="24"/>
        </w:rPr>
        <w:t>before being</w:t>
      </w:r>
      <w:r w:rsidR="004B4B7F" w:rsidRPr="004B4B7F">
        <w:rPr>
          <w:rFonts w:ascii="Times New Roman" w:hAnsi="Times New Roman" w:cs="Times New Roman"/>
          <w:sz w:val="24"/>
          <w:szCs w:val="24"/>
        </w:rPr>
        <w:t xml:space="preserve"> preserved in absolute ethanol (Bio-Lab Ltd).</w:t>
      </w:r>
      <w:r w:rsidR="004B4B7F">
        <w:rPr>
          <w:rFonts w:ascii="Times New Roman" w:hAnsi="Times New Roman" w:cs="Times New Roman"/>
          <w:sz w:val="24"/>
          <w:szCs w:val="24"/>
        </w:rPr>
        <w:t xml:space="preserve"> </w:t>
      </w:r>
    </w:p>
    <w:p w14:paraId="6FA16CE9" w14:textId="77777777" w:rsidR="00536E84" w:rsidRPr="00285746" w:rsidRDefault="00536E84" w:rsidP="00AB3F9D">
      <w:pPr>
        <w:pStyle w:val="ListParagraph"/>
        <w:numPr>
          <w:ilvl w:val="1"/>
          <w:numId w:val="1"/>
        </w:numPr>
        <w:spacing w:after="0" w:line="360" w:lineRule="auto"/>
        <w:jc w:val="both"/>
        <w:rPr>
          <w:rFonts w:asciiTheme="majorBidi" w:hAnsiTheme="majorBidi" w:cstheme="majorBidi"/>
          <w:b/>
          <w:bCs/>
          <w:sz w:val="24"/>
          <w:szCs w:val="24"/>
        </w:rPr>
      </w:pPr>
      <w:r w:rsidRPr="00285746">
        <w:rPr>
          <w:rFonts w:asciiTheme="majorBidi" w:hAnsiTheme="majorBidi" w:cstheme="majorBidi"/>
          <w:b/>
          <w:bCs/>
          <w:sz w:val="24"/>
          <w:szCs w:val="24"/>
        </w:rPr>
        <w:t>Cell culture</w:t>
      </w:r>
    </w:p>
    <w:p w14:paraId="3D447FB4" w14:textId="0A874F64" w:rsidR="00536E84" w:rsidRDefault="00536E84" w:rsidP="00AB3F9D">
      <w:pPr>
        <w:pStyle w:val="pb-2"/>
        <w:spacing w:before="0" w:beforeAutospacing="0" w:after="0" w:afterAutospacing="0" w:line="360" w:lineRule="auto"/>
        <w:ind w:left="360"/>
        <w:jc w:val="both"/>
        <w:rPr>
          <w:rFonts w:eastAsiaTheme="minorHAnsi"/>
          <w:rtl/>
        </w:rPr>
      </w:pPr>
      <w:r w:rsidRPr="00FC3552">
        <w:rPr>
          <w:rFonts w:asciiTheme="majorBidi" w:eastAsiaTheme="minorHAnsi" w:hAnsiTheme="majorBidi" w:cstheme="majorBidi"/>
        </w:rPr>
        <w:t xml:space="preserve">The </w:t>
      </w:r>
      <w:r w:rsidRPr="00FC3552">
        <w:rPr>
          <w:rStyle w:val="cf01"/>
          <w:rFonts w:asciiTheme="majorBidi" w:hAnsiTheme="majorBidi" w:cstheme="majorBidi"/>
          <w:sz w:val="24"/>
          <w:szCs w:val="24"/>
        </w:rPr>
        <w:t>MDA-T32 (ATCC® CRL-3351™)</w:t>
      </w:r>
      <w:r w:rsidRPr="00FC3552">
        <w:rPr>
          <w:rFonts w:asciiTheme="majorBidi" w:eastAsiaTheme="minorHAnsi" w:hAnsiTheme="majorBidi" w:cstheme="majorBidi"/>
        </w:rPr>
        <w:t xml:space="preserve"> human</w:t>
      </w:r>
      <w:r w:rsidRPr="005308C2">
        <w:rPr>
          <w:rFonts w:eastAsiaTheme="minorHAnsi"/>
        </w:rPr>
        <w:t xml:space="preserve"> </w:t>
      </w:r>
      <w:r>
        <w:rPr>
          <w:rFonts w:eastAsiaTheme="minorHAnsi"/>
        </w:rPr>
        <w:t xml:space="preserve">thyroid </w:t>
      </w:r>
      <w:r w:rsidRPr="005308C2">
        <w:rPr>
          <w:rFonts w:eastAsiaTheme="minorHAnsi"/>
        </w:rPr>
        <w:t>cancer</w:t>
      </w:r>
      <w:r>
        <w:rPr>
          <w:rFonts w:eastAsiaTheme="minorHAnsi"/>
        </w:rPr>
        <w:t xml:space="preserve"> cell line was </w:t>
      </w:r>
      <w:r w:rsidRPr="00FC3552">
        <w:rPr>
          <w:rFonts w:asciiTheme="majorBidi" w:eastAsiaTheme="minorHAnsi" w:hAnsiTheme="majorBidi" w:cstheme="majorBidi"/>
        </w:rPr>
        <w:t xml:space="preserve">used. </w:t>
      </w:r>
      <w:r w:rsidRPr="003308D6">
        <w:rPr>
          <w:rFonts w:asciiTheme="majorBidi" w:eastAsiaTheme="minorHAnsi" w:hAnsiTheme="majorBidi" w:cstheme="majorBidi"/>
          <w:shd w:val="clear" w:color="auto" w:fill="FFFFFF"/>
        </w:rPr>
        <w:t xml:space="preserve">MDA-T32 is a cell line exhibiting epithelial-like morphology </w:t>
      </w:r>
      <w:r w:rsidR="003308D6">
        <w:rPr>
          <w:rFonts w:asciiTheme="majorBidi" w:eastAsiaTheme="minorHAnsi" w:hAnsiTheme="majorBidi" w:cstheme="majorBidi"/>
          <w:shd w:val="clear" w:color="auto" w:fill="FFFFFF"/>
        </w:rPr>
        <w:t>isolated from the thyroid of a 74-year-old white</w:t>
      </w:r>
      <w:r w:rsidRPr="003308D6">
        <w:rPr>
          <w:rFonts w:asciiTheme="majorBidi" w:eastAsiaTheme="minorHAnsi" w:hAnsiTheme="majorBidi" w:cstheme="majorBidi"/>
          <w:shd w:val="clear" w:color="auto" w:fill="FFFFFF"/>
        </w:rPr>
        <w:t xml:space="preserve"> male patient with PTC</w:t>
      </w:r>
      <w:r w:rsidRPr="00FC3552">
        <w:rPr>
          <w:rFonts w:asciiTheme="majorBidi" w:eastAsiaTheme="minorHAnsi" w:hAnsiTheme="majorBidi" w:cstheme="majorBidi"/>
          <w:color w:val="4A4A4A"/>
          <w:shd w:val="clear" w:color="auto" w:fill="FFFFFF"/>
        </w:rPr>
        <w:t>.</w:t>
      </w:r>
      <w:r w:rsidRPr="005308C2">
        <w:rPr>
          <w:rFonts w:eastAsiaTheme="minorHAnsi"/>
        </w:rPr>
        <w:t xml:space="preserve"> The cells were cultured in RPMI-1640 media (1% Penicillin/Streptomycin, 5% Fetal Bovine Serum</w:t>
      </w:r>
      <w:r>
        <w:rPr>
          <w:rFonts w:eastAsiaTheme="minorHAnsi"/>
        </w:rPr>
        <w:t>, ATCC</w:t>
      </w:r>
      <w:r w:rsidRPr="005308C2">
        <w:rPr>
          <w:rFonts w:eastAsiaTheme="minorHAnsi"/>
        </w:rPr>
        <w:t>) at 37 °C and 5% CO</w:t>
      </w:r>
      <w:r w:rsidRPr="005308C2">
        <w:rPr>
          <w:rFonts w:eastAsiaTheme="minorHAnsi"/>
          <w:vertAlign w:val="subscript"/>
        </w:rPr>
        <w:t>2</w:t>
      </w:r>
      <w:r w:rsidRPr="005308C2">
        <w:rPr>
          <w:rFonts w:eastAsiaTheme="minorHAnsi"/>
        </w:rPr>
        <w:t xml:space="preserve"> with refreshing media twice a week. The cells were regularly tested for mycoplasma contamination.</w:t>
      </w:r>
      <w:r>
        <w:rPr>
          <w:rFonts w:eastAsiaTheme="minorHAnsi"/>
        </w:rPr>
        <w:t xml:space="preserve"> </w:t>
      </w:r>
      <w:r w:rsidRPr="00285746">
        <w:rPr>
          <w:rFonts w:eastAsiaTheme="minorHAnsi"/>
        </w:rPr>
        <w:t xml:space="preserve">To prepare the stock solutions with media and different </w:t>
      </w:r>
      <w:r>
        <w:rPr>
          <w:rFonts w:eastAsiaTheme="minorHAnsi"/>
        </w:rPr>
        <w:t>MCs</w:t>
      </w:r>
      <w:r w:rsidRPr="00285746">
        <w:rPr>
          <w:rFonts w:eastAsiaTheme="minorHAnsi"/>
        </w:rPr>
        <w:t xml:space="preserve">, the crystals were ground using a pipette tip in 70% ethanol and then sonicated with an ultrasonic cleaning apparatus (SONO SWISS) for 15 minutes to minimize their size. Subsequently, the particles were sterilized by immersing them in 70% </w:t>
      </w:r>
      <w:r>
        <w:rPr>
          <w:rFonts w:eastAsiaTheme="minorHAnsi"/>
        </w:rPr>
        <w:t>ethanol</w:t>
      </w:r>
      <w:r w:rsidRPr="00285746">
        <w:rPr>
          <w:rFonts w:eastAsiaTheme="minorHAnsi"/>
        </w:rPr>
        <w:t xml:space="preserve"> and dried under UV light in a biosafety cabinet for at least 20 minutes until </w:t>
      </w:r>
      <w:r>
        <w:rPr>
          <w:rFonts w:eastAsiaTheme="minorHAnsi"/>
        </w:rPr>
        <w:t xml:space="preserve">they were </w:t>
      </w:r>
      <w:r w:rsidRPr="00285746">
        <w:rPr>
          <w:rFonts w:eastAsiaTheme="minorHAnsi"/>
        </w:rPr>
        <w:t>completely dry.</w:t>
      </w:r>
      <w:r>
        <w:rPr>
          <w:rFonts w:eastAsiaTheme="minorHAnsi"/>
        </w:rPr>
        <w:t xml:space="preserve"> </w:t>
      </w:r>
      <w:r w:rsidR="00D518B2" w:rsidRPr="00406556">
        <w:rPr>
          <w:rFonts w:eastAsiaTheme="minorHAnsi"/>
          <w:highlight w:val="green"/>
        </w:rPr>
        <w:t>For cytotoxicity, cell migration, proliferation, multicellular spheroids formation and cancer marker expression</w:t>
      </w:r>
      <w:r w:rsidR="00030E0D" w:rsidRPr="00406556">
        <w:rPr>
          <w:rFonts w:eastAsiaTheme="minorHAnsi"/>
          <w:highlight w:val="green"/>
        </w:rPr>
        <w:t xml:space="preserve"> experiments</w:t>
      </w:r>
      <w:r w:rsidR="00D518B2" w:rsidRPr="00406556">
        <w:rPr>
          <w:rFonts w:eastAsiaTheme="minorHAnsi"/>
          <w:highlight w:val="green"/>
        </w:rPr>
        <w:t>, t</w:t>
      </w:r>
      <w:r w:rsidRPr="00406556">
        <w:rPr>
          <w:rFonts w:eastAsiaTheme="minorHAnsi"/>
          <w:highlight w:val="green"/>
        </w:rPr>
        <w:t>he MDA-T32 cells were cultured in RPMI-1640 media supplemented with MC analogs with varying fractions of Zn.</w:t>
      </w:r>
      <w:r w:rsidRPr="00285746">
        <w:rPr>
          <w:rFonts w:eastAsiaTheme="minorHAnsi"/>
        </w:rPr>
        <w:t xml:space="preserve"> </w:t>
      </w:r>
    </w:p>
    <w:p w14:paraId="730377EB" w14:textId="77777777" w:rsidR="00F34B57" w:rsidRDefault="00F34B57" w:rsidP="00AB3F9D">
      <w:pPr>
        <w:pStyle w:val="pb-2"/>
        <w:spacing w:before="0" w:beforeAutospacing="0" w:after="0" w:afterAutospacing="0" w:line="360" w:lineRule="auto"/>
        <w:ind w:left="360"/>
        <w:jc w:val="both"/>
      </w:pPr>
    </w:p>
    <w:p w14:paraId="7E3262BC" w14:textId="6002E3BF" w:rsidR="00D772D0" w:rsidRDefault="00D772D0" w:rsidP="00AB3F9D">
      <w:pPr>
        <w:pStyle w:val="ListParagraph"/>
        <w:numPr>
          <w:ilvl w:val="1"/>
          <w:numId w:val="1"/>
        </w:numPr>
        <w:spacing w:after="0" w:line="360" w:lineRule="auto"/>
        <w:rPr>
          <w:rFonts w:asciiTheme="majorBidi" w:hAnsiTheme="majorBidi" w:cstheme="majorBidi"/>
          <w:b/>
          <w:bCs/>
          <w:sz w:val="24"/>
          <w:szCs w:val="24"/>
        </w:rPr>
      </w:pPr>
      <w:r w:rsidRPr="0082216A">
        <w:rPr>
          <w:rFonts w:asciiTheme="majorBidi" w:hAnsiTheme="majorBidi" w:cstheme="majorBidi"/>
          <w:b/>
          <w:bCs/>
          <w:sz w:val="24"/>
          <w:szCs w:val="24"/>
        </w:rPr>
        <w:lastRenderedPageBreak/>
        <w:t>Synthesis of Zn-containing hydroxyapatite crystals</w:t>
      </w:r>
    </w:p>
    <w:p w14:paraId="3228B6BC" w14:textId="288AE852" w:rsidR="005112BF" w:rsidRPr="005112BF" w:rsidRDefault="00406556" w:rsidP="00AB3F9D">
      <w:pPr>
        <w:spacing w:after="0" w:line="360" w:lineRule="auto"/>
        <w:ind w:left="360"/>
        <w:jc w:val="both"/>
        <w:rPr>
          <w:rFonts w:ascii="Times New Roman" w:hAnsi="Times New Roman" w:cs="Times New Roman"/>
          <w:sz w:val="24"/>
          <w:szCs w:val="24"/>
        </w:rPr>
      </w:pPr>
      <w:bookmarkStart w:id="0" w:name="_Hlk143248286"/>
      <w:r>
        <w:rPr>
          <w:rFonts w:ascii="Times New Roman" w:hAnsi="Times New Roman" w:cs="Times New Roman"/>
          <w:sz w:val="24"/>
          <w:szCs w:val="24"/>
        </w:rPr>
        <w:t>MC analogs</w:t>
      </w:r>
      <w:r w:rsidR="005112BF" w:rsidRPr="005112BF">
        <w:rPr>
          <w:rFonts w:ascii="Times New Roman" w:hAnsi="Times New Roman" w:cs="Times New Roman"/>
          <w:sz w:val="24"/>
          <w:szCs w:val="24"/>
        </w:rPr>
        <w:t xml:space="preserve"> were </w:t>
      </w:r>
      <w:r>
        <w:rPr>
          <w:rFonts w:ascii="Times New Roman" w:hAnsi="Times New Roman" w:cs="Times New Roman"/>
          <w:sz w:val="24"/>
          <w:szCs w:val="24"/>
        </w:rPr>
        <w:t xml:space="preserve">HA crystals </w:t>
      </w:r>
      <w:r w:rsidR="005112BF" w:rsidRPr="005112BF">
        <w:rPr>
          <w:rFonts w:ascii="Times New Roman" w:hAnsi="Times New Roman" w:cs="Times New Roman"/>
          <w:sz w:val="24"/>
          <w:szCs w:val="24"/>
        </w:rPr>
        <w:t>synthesized via an aqueous precipitation reaction of calcium nitrate (Ca(NO</w:t>
      </w:r>
      <w:r w:rsidR="005112BF" w:rsidRPr="005112BF">
        <w:rPr>
          <w:rFonts w:ascii="Times New Roman" w:hAnsi="Times New Roman" w:cs="Times New Roman"/>
          <w:sz w:val="24"/>
          <w:szCs w:val="24"/>
          <w:vertAlign w:val="subscript"/>
        </w:rPr>
        <w:t>3</w:t>
      </w:r>
      <w:r w:rsidR="005112BF" w:rsidRPr="005112BF">
        <w:rPr>
          <w:rFonts w:ascii="Times New Roman" w:hAnsi="Times New Roman" w:cs="Times New Roman"/>
          <w:sz w:val="24"/>
          <w:szCs w:val="24"/>
        </w:rPr>
        <w:t>)</w:t>
      </w:r>
      <w:r w:rsidR="005112BF" w:rsidRPr="005112BF">
        <w:rPr>
          <w:rFonts w:ascii="Times New Roman" w:hAnsi="Times New Roman" w:cs="Times New Roman"/>
          <w:sz w:val="24"/>
          <w:szCs w:val="24"/>
          <w:vertAlign w:val="subscript"/>
        </w:rPr>
        <w:t>2</w:t>
      </w:r>
      <w:r w:rsidR="005112BF" w:rsidRPr="005112BF">
        <w:rPr>
          <w:rFonts w:ascii="Times New Roman" w:hAnsi="Times New Roman" w:cs="Times New Roman"/>
          <w:sz w:val="24"/>
          <w:szCs w:val="24"/>
        </w:rPr>
        <w:t>∙4H</w:t>
      </w:r>
      <w:r w:rsidR="005112BF" w:rsidRPr="005112BF">
        <w:rPr>
          <w:rFonts w:ascii="Times New Roman" w:hAnsi="Times New Roman" w:cs="Times New Roman"/>
          <w:sz w:val="24"/>
          <w:szCs w:val="24"/>
          <w:vertAlign w:val="subscript"/>
        </w:rPr>
        <w:t>2</w:t>
      </w:r>
      <w:r w:rsidR="005112BF" w:rsidRPr="005112BF">
        <w:rPr>
          <w:rFonts w:ascii="Times New Roman" w:hAnsi="Times New Roman" w:cs="Times New Roman"/>
          <w:sz w:val="24"/>
          <w:szCs w:val="24"/>
        </w:rPr>
        <w:t>O), ammonium phosphate ((NH</w:t>
      </w:r>
      <w:r w:rsidR="005112BF" w:rsidRPr="005112BF">
        <w:rPr>
          <w:rFonts w:ascii="Times New Roman" w:hAnsi="Times New Roman" w:cs="Times New Roman"/>
          <w:sz w:val="24"/>
          <w:szCs w:val="24"/>
          <w:vertAlign w:val="subscript"/>
        </w:rPr>
        <w:t>4</w:t>
      </w:r>
      <w:r w:rsidR="005112BF" w:rsidRPr="005112BF">
        <w:rPr>
          <w:rFonts w:ascii="Times New Roman" w:hAnsi="Times New Roman" w:cs="Times New Roman"/>
          <w:sz w:val="24"/>
          <w:szCs w:val="24"/>
        </w:rPr>
        <w:t>)</w:t>
      </w:r>
      <w:r w:rsidR="005112BF" w:rsidRPr="005112BF">
        <w:rPr>
          <w:rFonts w:ascii="Times New Roman" w:hAnsi="Times New Roman" w:cs="Times New Roman"/>
          <w:sz w:val="24"/>
          <w:szCs w:val="24"/>
          <w:vertAlign w:val="subscript"/>
        </w:rPr>
        <w:t>2</w:t>
      </w:r>
      <w:r w:rsidR="005112BF" w:rsidRPr="005112BF">
        <w:rPr>
          <w:rFonts w:ascii="Times New Roman" w:hAnsi="Times New Roman" w:cs="Times New Roman"/>
          <w:sz w:val="24"/>
          <w:szCs w:val="24"/>
        </w:rPr>
        <w:t>HPO</w:t>
      </w:r>
      <w:r w:rsidR="005112BF" w:rsidRPr="005112BF">
        <w:rPr>
          <w:rFonts w:ascii="Times New Roman" w:hAnsi="Times New Roman" w:cs="Times New Roman"/>
          <w:sz w:val="24"/>
          <w:szCs w:val="24"/>
          <w:vertAlign w:val="subscript"/>
        </w:rPr>
        <w:t>4</w:t>
      </w:r>
      <w:r w:rsidR="005112BF" w:rsidRPr="005112BF">
        <w:rPr>
          <w:rFonts w:ascii="Times New Roman" w:hAnsi="Times New Roman" w:cs="Times New Roman"/>
          <w:sz w:val="24"/>
          <w:szCs w:val="24"/>
        </w:rPr>
        <w:t xml:space="preserve">), and </w:t>
      </w:r>
      <w:r w:rsidR="001632B1">
        <w:rPr>
          <w:rFonts w:ascii="Times New Roman" w:hAnsi="Times New Roman" w:cs="Times New Roman"/>
          <w:sz w:val="24"/>
          <w:szCs w:val="24"/>
        </w:rPr>
        <w:t>zinc</w:t>
      </w:r>
      <w:r w:rsidR="005112BF" w:rsidRPr="005112BF">
        <w:rPr>
          <w:rFonts w:ascii="Times New Roman" w:hAnsi="Times New Roman" w:cs="Times New Roman"/>
          <w:sz w:val="24"/>
          <w:szCs w:val="24"/>
        </w:rPr>
        <w:t xml:space="preserve"> nitrate (Zn(NO</w:t>
      </w:r>
      <w:r w:rsidR="005112BF" w:rsidRPr="005112BF">
        <w:rPr>
          <w:rFonts w:ascii="Times New Roman" w:hAnsi="Times New Roman" w:cs="Times New Roman"/>
          <w:sz w:val="24"/>
          <w:szCs w:val="24"/>
          <w:vertAlign w:val="subscript"/>
        </w:rPr>
        <w:t>3</w:t>
      </w:r>
      <w:r w:rsidR="005112BF" w:rsidRPr="005112BF">
        <w:rPr>
          <w:rFonts w:ascii="Times New Roman" w:hAnsi="Times New Roman" w:cs="Times New Roman"/>
          <w:sz w:val="24"/>
          <w:szCs w:val="24"/>
        </w:rPr>
        <w:t>)</w:t>
      </w:r>
      <w:r w:rsidR="005112BF" w:rsidRPr="005112BF">
        <w:rPr>
          <w:rFonts w:ascii="Times New Roman" w:hAnsi="Times New Roman" w:cs="Times New Roman"/>
          <w:sz w:val="24"/>
          <w:szCs w:val="24"/>
          <w:vertAlign w:val="subscript"/>
        </w:rPr>
        <w:t>2</w:t>
      </w:r>
      <w:r w:rsidR="005112BF" w:rsidRPr="005112BF">
        <w:rPr>
          <w:rFonts w:ascii="Times New Roman" w:hAnsi="Times New Roman" w:cs="Times New Roman"/>
          <w:sz w:val="24"/>
          <w:szCs w:val="24"/>
        </w:rPr>
        <w:t>∙4H</w:t>
      </w:r>
      <w:r w:rsidR="005112BF" w:rsidRPr="005112BF">
        <w:rPr>
          <w:rFonts w:ascii="Times New Roman" w:hAnsi="Times New Roman" w:cs="Times New Roman"/>
          <w:sz w:val="24"/>
          <w:szCs w:val="24"/>
          <w:vertAlign w:val="subscript"/>
        </w:rPr>
        <w:t>2</w:t>
      </w:r>
      <w:r w:rsidR="005112BF" w:rsidRPr="005112BF">
        <w:rPr>
          <w:rFonts w:ascii="Times New Roman" w:hAnsi="Times New Roman" w:cs="Times New Roman"/>
          <w:sz w:val="24"/>
          <w:szCs w:val="24"/>
        </w:rPr>
        <w:t>O) purchased from Sigma Aldrich (</w:t>
      </w:r>
      <w:r w:rsidR="005112BF" w:rsidRPr="005112BF">
        <w:rPr>
          <w:rFonts w:ascii="Times New Roman" w:eastAsia="Times New Roman" w:hAnsi="Times New Roman" w:cs="Times New Roman"/>
          <w:sz w:val="24"/>
          <w:szCs w:val="24"/>
        </w:rPr>
        <w:t>St. Louis, MO,</w:t>
      </w:r>
      <w:r w:rsidR="005112BF" w:rsidRPr="005112BF">
        <w:rPr>
          <w:rFonts w:ascii="Times New Roman" w:hAnsi="Times New Roman" w:cs="Times New Roman"/>
          <w:sz w:val="24"/>
          <w:szCs w:val="24"/>
        </w:rPr>
        <w:t xml:space="preserve"> USA). Deionized water (18.2 MΩ) w</w:t>
      </w:r>
      <w:r w:rsidR="00A73E95">
        <w:rPr>
          <w:rFonts w:ascii="Times New Roman" w:hAnsi="Times New Roman" w:cs="Times New Roman"/>
          <w:sz w:val="24"/>
          <w:szCs w:val="24"/>
        </w:rPr>
        <w:t>as</w:t>
      </w:r>
      <w:r w:rsidR="005112BF" w:rsidRPr="005112BF">
        <w:rPr>
          <w:rFonts w:ascii="Times New Roman" w:hAnsi="Times New Roman" w:cs="Times New Roman"/>
          <w:sz w:val="24"/>
          <w:szCs w:val="24"/>
        </w:rPr>
        <w:t xml:space="preserve"> used for all aqueous solutions.</w:t>
      </w:r>
    </w:p>
    <w:p w14:paraId="580EBFD0" w14:textId="44EE3006" w:rsidR="005112BF" w:rsidRPr="00EB6017" w:rsidRDefault="005112BF" w:rsidP="00AB3F9D">
      <w:pPr>
        <w:spacing w:after="0" w:line="360" w:lineRule="auto"/>
        <w:ind w:left="360"/>
        <w:jc w:val="both"/>
        <w:rPr>
          <w:rFonts w:ascii="Times New Roman" w:hAnsi="Times New Roman" w:cs="Times New Roman"/>
          <w:sz w:val="24"/>
          <w:szCs w:val="24"/>
        </w:rPr>
      </w:pPr>
      <w:bookmarkStart w:id="1" w:name="_Hlk143248368"/>
      <w:r w:rsidRPr="005112BF">
        <w:rPr>
          <w:rFonts w:ascii="Times New Roman" w:hAnsi="Times New Roman" w:cs="Times New Roman"/>
          <w:sz w:val="24"/>
          <w:szCs w:val="24"/>
        </w:rPr>
        <w:t xml:space="preserve">To synthesize the </w:t>
      </w:r>
      <w:r w:rsidR="00E00C8E" w:rsidRPr="005112BF">
        <w:rPr>
          <w:rFonts w:ascii="Times New Roman" w:hAnsi="Times New Roman" w:cs="Times New Roman"/>
          <w:sz w:val="24"/>
          <w:szCs w:val="24"/>
        </w:rPr>
        <w:t>0% Zn</w:t>
      </w:r>
      <w:r w:rsidR="00E00C8E" w:rsidRPr="005112BF" w:rsidDel="00E00C8E">
        <w:rPr>
          <w:rFonts w:ascii="Times New Roman" w:hAnsi="Times New Roman" w:cs="Times New Roman"/>
          <w:sz w:val="24"/>
          <w:szCs w:val="24"/>
        </w:rPr>
        <w:t xml:space="preserve"> </w:t>
      </w:r>
      <w:r w:rsidR="00837E1C">
        <w:rPr>
          <w:rFonts w:ascii="Times New Roman" w:hAnsi="Times New Roman" w:cs="Times New Roman"/>
          <w:sz w:val="24"/>
          <w:szCs w:val="24"/>
        </w:rPr>
        <w:t xml:space="preserve">HA </w:t>
      </w:r>
      <w:r w:rsidRPr="005112BF">
        <w:rPr>
          <w:rFonts w:ascii="Times New Roman" w:hAnsi="Times New Roman" w:cs="Times New Roman"/>
          <w:sz w:val="24"/>
          <w:szCs w:val="24"/>
        </w:rPr>
        <w:t>crystals, 50 mL</w:t>
      </w:r>
      <w:r w:rsidR="00F81B81">
        <w:rPr>
          <w:rFonts w:ascii="Times New Roman" w:hAnsi="Times New Roman" w:cs="Times New Roman"/>
          <w:sz w:val="24"/>
          <w:szCs w:val="24"/>
        </w:rPr>
        <w:t xml:space="preserve"> of a </w:t>
      </w:r>
      <w:r w:rsidR="006849BA">
        <w:rPr>
          <w:rFonts w:ascii="Times New Roman" w:hAnsi="Times New Roman" w:cs="Times New Roman"/>
          <w:sz w:val="24"/>
          <w:szCs w:val="24"/>
        </w:rPr>
        <w:t>4</w:t>
      </w:r>
      <w:r w:rsidR="000429B1">
        <w:rPr>
          <w:rFonts w:ascii="Times New Roman" w:hAnsi="Times New Roman" w:cs="Times New Roman"/>
          <w:sz w:val="24"/>
          <w:szCs w:val="24"/>
        </w:rPr>
        <w:t>0</w:t>
      </w:r>
      <w:r w:rsidR="00F81B81">
        <w:rPr>
          <w:rFonts w:ascii="Times New Roman" w:hAnsi="Times New Roman" w:cs="Times New Roman"/>
          <w:sz w:val="24"/>
          <w:szCs w:val="24"/>
        </w:rPr>
        <w:t xml:space="preserve"> mM</w:t>
      </w:r>
      <w:r w:rsidRPr="005112BF">
        <w:rPr>
          <w:rFonts w:ascii="Times New Roman" w:hAnsi="Times New Roman" w:cs="Times New Roman"/>
          <w:sz w:val="24"/>
          <w:szCs w:val="24"/>
        </w:rPr>
        <w:t xml:space="preserve"> </w:t>
      </w:r>
      <w:r w:rsidR="001632B1" w:rsidRPr="005112BF">
        <w:rPr>
          <w:rFonts w:ascii="Times New Roman" w:hAnsi="Times New Roman" w:cs="Times New Roman"/>
          <w:sz w:val="24"/>
          <w:szCs w:val="24"/>
        </w:rPr>
        <w:t>ammonium phosphate</w:t>
      </w:r>
      <w:r w:rsidR="00F81B81">
        <w:rPr>
          <w:rFonts w:ascii="Times New Roman" w:hAnsi="Times New Roman" w:cs="Times New Roman"/>
          <w:sz w:val="24"/>
          <w:szCs w:val="24"/>
        </w:rPr>
        <w:t xml:space="preserve"> solution</w:t>
      </w:r>
      <w:r w:rsidR="001632B1" w:rsidRPr="005112BF">
        <w:rPr>
          <w:rFonts w:ascii="Times New Roman" w:hAnsi="Times New Roman" w:cs="Times New Roman"/>
          <w:sz w:val="24"/>
          <w:szCs w:val="24"/>
        </w:rPr>
        <w:t xml:space="preserve"> </w:t>
      </w:r>
      <w:r w:rsidR="007019E1">
        <w:rPr>
          <w:rFonts w:ascii="Times New Roman" w:hAnsi="Times New Roman" w:cs="Times New Roman"/>
          <w:sz w:val="24"/>
          <w:szCs w:val="24"/>
        </w:rPr>
        <w:t>was</w:t>
      </w:r>
      <w:r w:rsidRPr="005112BF">
        <w:rPr>
          <w:rFonts w:ascii="Times New Roman" w:hAnsi="Times New Roman" w:cs="Times New Roman"/>
          <w:sz w:val="24"/>
          <w:szCs w:val="24"/>
        </w:rPr>
        <w:t xml:space="preserve"> added drop-wise into </w:t>
      </w:r>
      <w:r>
        <w:rPr>
          <w:rFonts w:ascii="Times New Roman" w:hAnsi="Times New Roman" w:cs="Times New Roman"/>
          <w:sz w:val="24"/>
          <w:szCs w:val="24"/>
        </w:rPr>
        <w:t xml:space="preserve">150 mL of </w:t>
      </w:r>
      <w:r w:rsidR="000429B1">
        <w:rPr>
          <w:rFonts w:ascii="Times New Roman" w:hAnsi="Times New Roman" w:cs="Times New Roman"/>
          <w:sz w:val="24"/>
          <w:szCs w:val="24"/>
        </w:rPr>
        <w:t>1</w:t>
      </w:r>
      <w:r w:rsidR="006849BA">
        <w:rPr>
          <w:rFonts w:ascii="Times New Roman" w:hAnsi="Times New Roman" w:cs="Times New Roman"/>
          <w:sz w:val="24"/>
          <w:szCs w:val="24"/>
        </w:rPr>
        <w:t>3.3</w:t>
      </w:r>
      <w:r w:rsidR="00E6503A">
        <w:rPr>
          <w:rFonts w:ascii="Times New Roman" w:hAnsi="Times New Roman" w:cs="Times New Roman"/>
          <w:sz w:val="24"/>
          <w:szCs w:val="24"/>
        </w:rPr>
        <w:t xml:space="preserve"> mM </w:t>
      </w:r>
      <w:r w:rsidR="001632B1" w:rsidRPr="005112BF">
        <w:rPr>
          <w:rFonts w:ascii="Times New Roman" w:hAnsi="Times New Roman" w:cs="Times New Roman"/>
          <w:sz w:val="24"/>
          <w:szCs w:val="24"/>
        </w:rPr>
        <w:t>calcium nitrate</w:t>
      </w:r>
      <w:r w:rsidR="00E6503A">
        <w:rPr>
          <w:rFonts w:ascii="Times New Roman" w:hAnsi="Times New Roman" w:cs="Times New Roman"/>
          <w:sz w:val="24"/>
          <w:szCs w:val="24"/>
        </w:rPr>
        <w:t xml:space="preserve"> solution</w:t>
      </w:r>
      <w:r w:rsidR="001632B1" w:rsidRPr="005112BF">
        <w:rPr>
          <w:rFonts w:ascii="Times New Roman" w:hAnsi="Times New Roman" w:cs="Times New Roman"/>
          <w:sz w:val="24"/>
          <w:szCs w:val="24"/>
        </w:rPr>
        <w:t xml:space="preserve"> </w:t>
      </w:r>
      <w:r w:rsidR="00161042">
        <w:rPr>
          <w:rFonts w:ascii="Times New Roman" w:hAnsi="Times New Roman" w:cs="Times New Roman"/>
          <w:sz w:val="24"/>
          <w:szCs w:val="24"/>
        </w:rPr>
        <w:t xml:space="preserve">for a </w:t>
      </w:r>
      <w:r w:rsidR="00CA2FB7">
        <w:rPr>
          <w:rFonts w:ascii="Times New Roman" w:hAnsi="Times New Roman" w:cs="Times New Roman"/>
          <w:sz w:val="24"/>
          <w:szCs w:val="24"/>
        </w:rPr>
        <w:t xml:space="preserve">final </w:t>
      </w:r>
      <w:r w:rsidR="00161042">
        <w:rPr>
          <w:rFonts w:ascii="Times New Roman" w:hAnsi="Times New Roman" w:cs="Times New Roman"/>
          <w:sz w:val="24"/>
          <w:szCs w:val="24"/>
        </w:rPr>
        <w:t xml:space="preserve">concentration of 10 mM, </w:t>
      </w:r>
      <w:r w:rsidR="00CA2FB7">
        <w:rPr>
          <w:rFonts w:ascii="Times New Roman" w:hAnsi="Times New Roman" w:cs="Times New Roman"/>
          <w:sz w:val="24"/>
          <w:szCs w:val="24"/>
        </w:rPr>
        <w:t>and was</w:t>
      </w:r>
      <w:r w:rsidR="00161042">
        <w:rPr>
          <w:rFonts w:ascii="Times New Roman" w:hAnsi="Times New Roman" w:cs="Times New Roman"/>
          <w:sz w:val="24"/>
          <w:szCs w:val="24"/>
        </w:rPr>
        <w:t xml:space="preserve"> stirred at</w:t>
      </w:r>
      <w:r w:rsidRPr="005112BF">
        <w:rPr>
          <w:rFonts w:ascii="Times New Roman" w:hAnsi="Times New Roman" w:cs="Times New Roman"/>
          <w:sz w:val="24"/>
          <w:szCs w:val="24"/>
        </w:rPr>
        <w:t xml:space="preserve"> </w:t>
      </w:r>
      <w:r w:rsidR="00161042">
        <w:rPr>
          <w:rFonts w:ascii="Times New Roman" w:hAnsi="Times New Roman" w:cs="Times New Roman"/>
          <w:sz w:val="24"/>
          <w:szCs w:val="24"/>
        </w:rPr>
        <w:t xml:space="preserve">300 RPM in </w:t>
      </w:r>
      <w:r w:rsidR="00EA7BC7">
        <w:rPr>
          <w:rFonts w:ascii="Times New Roman" w:hAnsi="Times New Roman" w:cs="Times New Roman"/>
          <w:sz w:val="24"/>
          <w:szCs w:val="24"/>
        </w:rPr>
        <w:t>room temperature</w:t>
      </w:r>
      <w:r w:rsidRPr="005112BF">
        <w:rPr>
          <w:rFonts w:ascii="Times New Roman" w:hAnsi="Times New Roman" w:cs="Times New Roman"/>
          <w:sz w:val="24"/>
          <w:szCs w:val="24"/>
        </w:rPr>
        <w:t xml:space="preserve"> for 24 hours. The pH of the starting solutions was adjusted to 9.5–10 using </w:t>
      </w:r>
      <w:r w:rsidR="00161042">
        <w:rPr>
          <w:rFonts w:ascii="Times New Roman" w:hAnsi="Times New Roman" w:cs="Times New Roman"/>
          <w:sz w:val="24"/>
          <w:szCs w:val="24"/>
        </w:rPr>
        <w:t>25</w:t>
      </w:r>
      <w:r w:rsidR="00AC300E">
        <w:rPr>
          <w:rFonts w:ascii="Times New Roman" w:hAnsi="Times New Roman" w:cs="Times New Roman"/>
          <w:sz w:val="24"/>
          <w:szCs w:val="24"/>
        </w:rPr>
        <w:t xml:space="preserve"> wt</w:t>
      </w:r>
      <w:r w:rsidR="00CA2FB7">
        <w:rPr>
          <w:rFonts w:ascii="Times New Roman" w:hAnsi="Times New Roman" w:cs="Times New Roman"/>
          <w:sz w:val="24"/>
          <w:szCs w:val="24"/>
        </w:rPr>
        <w:t xml:space="preserve">% </w:t>
      </w:r>
      <w:r w:rsidR="00CA2FB7" w:rsidRPr="005112BF">
        <w:rPr>
          <w:rFonts w:ascii="Times New Roman" w:hAnsi="Times New Roman" w:cs="Times New Roman"/>
          <w:sz w:val="24"/>
          <w:szCs w:val="24"/>
        </w:rPr>
        <w:t>NH</w:t>
      </w:r>
      <w:r w:rsidRPr="005112BF">
        <w:rPr>
          <w:rFonts w:ascii="Times New Roman" w:hAnsi="Times New Roman" w:cs="Times New Roman"/>
          <w:sz w:val="24"/>
          <w:szCs w:val="24"/>
          <w:vertAlign w:val="subscript"/>
        </w:rPr>
        <w:t>4</w:t>
      </w:r>
      <w:r w:rsidRPr="005112BF">
        <w:rPr>
          <w:rFonts w:ascii="Times New Roman" w:hAnsi="Times New Roman" w:cs="Times New Roman"/>
          <w:sz w:val="24"/>
          <w:szCs w:val="24"/>
        </w:rPr>
        <w:t xml:space="preserve">OH </w:t>
      </w:r>
      <w:r w:rsidR="00AA1AF1">
        <w:rPr>
          <w:rFonts w:ascii="Times New Roman" w:hAnsi="Times New Roman" w:cs="Times New Roman"/>
          <w:sz w:val="24"/>
          <w:szCs w:val="24"/>
        </w:rPr>
        <w:t>(</w:t>
      </w:r>
      <w:r w:rsidRPr="005112BF">
        <w:rPr>
          <w:rFonts w:ascii="Times New Roman" w:hAnsi="Times New Roman" w:cs="Times New Roman"/>
          <w:sz w:val="24"/>
          <w:szCs w:val="24"/>
        </w:rPr>
        <w:t xml:space="preserve">Bio-Lab </w:t>
      </w:r>
      <w:r w:rsidR="00C6793B">
        <w:rPr>
          <w:rFonts w:ascii="Times New Roman" w:hAnsi="Times New Roman" w:cs="Times New Roman"/>
          <w:sz w:val="24"/>
          <w:szCs w:val="24"/>
        </w:rPr>
        <w:t>L</w:t>
      </w:r>
      <w:r w:rsidRPr="005112BF">
        <w:rPr>
          <w:rFonts w:ascii="Times New Roman" w:hAnsi="Times New Roman" w:cs="Times New Roman"/>
          <w:sz w:val="24"/>
          <w:szCs w:val="24"/>
        </w:rPr>
        <w:t>td</w:t>
      </w:r>
      <w:r w:rsidR="00AA1AF1">
        <w:rPr>
          <w:rFonts w:ascii="Times New Roman" w:hAnsi="Times New Roman" w:cs="Times New Roman"/>
          <w:sz w:val="24"/>
          <w:szCs w:val="24"/>
        </w:rPr>
        <w:t>)</w:t>
      </w:r>
      <w:r w:rsidRPr="005112BF">
        <w:rPr>
          <w:rFonts w:ascii="Times New Roman" w:hAnsi="Times New Roman" w:cs="Times New Roman"/>
          <w:sz w:val="24"/>
          <w:szCs w:val="24"/>
        </w:rPr>
        <w:t>.</w:t>
      </w:r>
      <w:r w:rsidR="00135D45">
        <w:rPr>
          <w:rFonts w:ascii="Times New Roman" w:hAnsi="Times New Roman" w:cs="Times New Roman"/>
          <w:sz w:val="24"/>
          <w:szCs w:val="24"/>
        </w:rPr>
        <w:t xml:space="preserve"> </w:t>
      </w:r>
      <w:r w:rsidRPr="005112BF">
        <w:rPr>
          <w:rFonts w:ascii="Times New Roman" w:hAnsi="Times New Roman" w:cs="Times New Roman"/>
          <w:sz w:val="24"/>
          <w:szCs w:val="24"/>
        </w:rPr>
        <w:t xml:space="preserve">To synthesize </w:t>
      </w:r>
      <w:r w:rsidR="00AA1AF1">
        <w:rPr>
          <w:rFonts w:ascii="Times New Roman" w:hAnsi="Times New Roman" w:cs="Times New Roman"/>
          <w:sz w:val="24"/>
          <w:szCs w:val="24"/>
        </w:rPr>
        <w:t>HA</w:t>
      </w:r>
      <w:r w:rsidR="00AA1AF1" w:rsidRPr="005112BF">
        <w:rPr>
          <w:rFonts w:ascii="Times New Roman" w:hAnsi="Times New Roman" w:cs="Times New Roman"/>
          <w:sz w:val="24"/>
          <w:szCs w:val="24"/>
        </w:rPr>
        <w:t xml:space="preserve"> </w:t>
      </w:r>
      <w:r w:rsidRPr="005112BF">
        <w:rPr>
          <w:rFonts w:ascii="Times New Roman" w:hAnsi="Times New Roman" w:cs="Times New Roman"/>
          <w:sz w:val="24"/>
          <w:szCs w:val="24"/>
        </w:rPr>
        <w:t xml:space="preserve">crystals with varying Zn fractions, </w:t>
      </w:r>
      <w:r w:rsidR="001632B1">
        <w:rPr>
          <w:rFonts w:ascii="Times New Roman" w:hAnsi="Times New Roman" w:cs="Times New Roman"/>
          <w:sz w:val="24"/>
          <w:szCs w:val="24"/>
        </w:rPr>
        <w:t>zinc</w:t>
      </w:r>
      <w:r w:rsidR="001632B1" w:rsidRPr="005112BF">
        <w:rPr>
          <w:rFonts w:ascii="Times New Roman" w:hAnsi="Times New Roman" w:cs="Times New Roman"/>
          <w:sz w:val="24"/>
          <w:szCs w:val="24"/>
        </w:rPr>
        <w:t xml:space="preserve"> nitrate </w:t>
      </w:r>
      <w:r w:rsidR="00161042">
        <w:rPr>
          <w:rFonts w:ascii="Times New Roman" w:hAnsi="Times New Roman" w:cs="Times New Roman"/>
          <w:sz w:val="24"/>
          <w:szCs w:val="24"/>
        </w:rPr>
        <w:t xml:space="preserve">was </w:t>
      </w:r>
      <w:r w:rsidR="0047073D">
        <w:rPr>
          <w:rFonts w:ascii="Times New Roman" w:hAnsi="Times New Roman" w:cs="Times New Roman"/>
          <w:sz w:val="24"/>
          <w:szCs w:val="24"/>
        </w:rPr>
        <w:t>added</w:t>
      </w:r>
      <w:r w:rsidR="00161042">
        <w:rPr>
          <w:rFonts w:ascii="Times New Roman" w:hAnsi="Times New Roman" w:cs="Times New Roman"/>
          <w:sz w:val="24"/>
          <w:szCs w:val="24"/>
        </w:rPr>
        <w:t xml:space="preserve"> to </w:t>
      </w:r>
      <w:r w:rsidR="00425A13">
        <w:rPr>
          <w:rFonts w:ascii="Times New Roman" w:hAnsi="Times New Roman" w:cs="Times New Roman"/>
          <w:sz w:val="24"/>
          <w:szCs w:val="24"/>
        </w:rPr>
        <w:t xml:space="preserve">a </w:t>
      </w:r>
      <w:r w:rsidR="006849BA">
        <w:rPr>
          <w:rFonts w:ascii="Times New Roman" w:hAnsi="Times New Roman" w:cs="Times New Roman"/>
          <w:sz w:val="24"/>
          <w:szCs w:val="24"/>
        </w:rPr>
        <w:t>13.3</w:t>
      </w:r>
      <w:r w:rsidR="00E6503A">
        <w:rPr>
          <w:rFonts w:ascii="Times New Roman" w:hAnsi="Times New Roman" w:cs="Times New Roman"/>
          <w:sz w:val="24"/>
          <w:szCs w:val="24"/>
        </w:rPr>
        <w:t xml:space="preserve"> mM </w:t>
      </w:r>
      <w:r w:rsidR="001632B1" w:rsidRPr="005112BF">
        <w:rPr>
          <w:rFonts w:ascii="Times New Roman" w:hAnsi="Times New Roman" w:cs="Times New Roman"/>
          <w:sz w:val="24"/>
          <w:szCs w:val="24"/>
        </w:rPr>
        <w:t xml:space="preserve">calcium nitrate </w:t>
      </w:r>
      <w:r w:rsidR="00135D45">
        <w:rPr>
          <w:rFonts w:ascii="Times New Roman" w:hAnsi="Times New Roman" w:cs="Times New Roman"/>
          <w:sz w:val="24"/>
          <w:szCs w:val="24"/>
        </w:rPr>
        <w:t>solution</w:t>
      </w:r>
      <w:r w:rsidR="00161042" w:rsidRPr="005112BF">
        <w:rPr>
          <w:rFonts w:ascii="Times New Roman" w:hAnsi="Times New Roman" w:cs="Times New Roman"/>
          <w:sz w:val="24"/>
          <w:szCs w:val="24"/>
        </w:rPr>
        <w:t xml:space="preserve"> </w:t>
      </w:r>
      <w:r w:rsidR="00161042">
        <w:rPr>
          <w:rFonts w:ascii="Times New Roman" w:hAnsi="Times New Roman" w:cs="Times New Roman"/>
          <w:sz w:val="24"/>
          <w:szCs w:val="24"/>
        </w:rPr>
        <w:t xml:space="preserve">prior to mixing for </w:t>
      </w:r>
      <w:r w:rsidR="00CA2FB7">
        <w:rPr>
          <w:rFonts w:ascii="Times New Roman" w:hAnsi="Times New Roman" w:cs="Times New Roman"/>
          <w:sz w:val="24"/>
          <w:szCs w:val="24"/>
        </w:rPr>
        <w:t>a final zinc concentration</w:t>
      </w:r>
      <w:r>
        <w:rPr>
          <w:rFonts w:ascii="Times New Roman" w:hAnsi="Times New Roman" w:cs="Times New Roman"/>
          <w:sz w:val="24"/>
          <w:szCs w:val="24"/>
        </w:rPr>
        <w:t xml:space="preserve"> of 0.1</w:t>
      </w:r>
      <w:r w:rsidR="00C6793B">
        <w:rPr>
          <w:rFonts w:ascii="Times New Roman" w:hAnsi="Times New Roman" w:cs="Times New Roman"/>
          <w:sz w:val="24"/>
          <w:szCs w:val="24"/>
        </w:rPr>
        <w:t xml:space="preserve"> </w:t>
      </w:r>
      <w:r>
        <w:rPr>
          <w:rFonts w:ascii="Times New Roman" w:hAnsi="Times New Roman" w:cs="Times New Roman"/>
          <w:sz w:val="24"/>
          <w:szCs w:val="24"/>
        </w:rPr>
        <w:t>mM, 0.2</w:t>
      </w:r>
      <w:r w:rsidR="00AA1AF1">
        <w:rPr>
          <w:rFonts w:ascii="Times New Roman" w:hAnsi="Times New Roman" w:cs="Times New Roman"/>
          <w:sz w:val="24"/>
          <w:szCs w:val="24"/>
        </w:rPr>
        <w:t xml:space="preserve"> </w:t>
      </w:r>
      <w:r>
        <w:rPr>
          <w:rFonts w:ascii="Times New Roman" w:hAnsi="Times New Roman" w:cs="Times New Roman"/>
          <w:sz w:val="24"/>
          <w:szCs w:val="24"/>
        </w:rPr>
        <w:t>mM, 0.5</w:t>
      </w:r>
      <w:r w:rsidR="00AA1AF1">
        <w:rPr>
          <w:rFonts w:ascii="Times New Roman" w:hAnsi="Times New Roman" w:cs="Times New Roman"/>
          <w:sz w:val="24"/>
          <w:szCs w:val="24"/>
        </w:rPr>
        <w:t xml:space="preserve"> </w:t>
      </w:r>
      <w:r>
        <w:rPr>
          <w:rFonts w:ascii="Times New Roman" w:hAnsi="Times New Roman" w:cs="Times New Roman"/>
          <w:sz w:val="24"/>
          <w:szCs w:val="24"/>
        </w:rPr>
        <w:t>mM, and 1</w:t>
      </w:r>
      <w:r w:rsidR="00C6793B">
        <w:rPr>
          <w:rFonts w:ascii="Times New Roman" w:hAnsi="Times New Roman" w:cs="Times New Roman"/>
          <w:sz w:val="24"/>
          <w:szCs w:val="24"/>
        </w:rPr>
        <w:t xml:space="preserve"> </w:t>
      </w:r>
      <w:r w:rsidRPr="005112BF">
        <w:rPr>
          <w:rFonts w:ascii="Times New Roman" w:hAnsi="Times New Roman" w:cs="Times New Roman"/>
          <w:sz w:val="24"/>
          <w:szCs w:val="24"/>
        </w:rPr>
        <w:t>mM.</w:t>
      </w:r>
      <w:bookmarkEnd w:id="1"/>
      <w:r w:rsidRPr="005112BF">
        <w:rPr>
          <w:rFonts w:ascii="Times New Roman" w:hAnsi="Times New Roman" w:cs="Times New Roman"/>
          <w:sz w:val="24"/>
          <w:szCs w:val="24"/>
        </w:rPr>
        <w:t xml:space="preserve"> The resulting opaque suspensions were </w:t>
      </w:r>
      <w:r w:rsidR="00EA19C4">
        <w:rPr>
          <w:rFonts w:ascii="Times New Roman" w:hAnsi="Times New Roman" w:cs="Times New Roman"/>
          <w:sz w:val="24"/>
          <w:szCs w:val="24"/>
        </w:rPr>
        <w:t>centrifuged</w:t>
      </w:r>
      <w:r w:rsidRPr="005112BF">
        <w:rPr>
          <w:rFonts w:ascii="Times New Roman" w:hAnsi="Times New Roman" w:cs="Times New Roman"/>
          <w:sz w:val="24"/>
          <w:szCs w:val="24"/>
        </w:rPr>
        <w:t xml:space="preserve"> (4000 RPM, 5 min). To remove soluble salts, the remaining </w:t>
      </w:r>
      <w:r w:rsidR="006F2D7A">
        <w:rPr>
          <w:rFonts w:ascii="Times New Roman" w:hAnsi="Times New Roman" w:cs="Times New Roman"/>
          <w:sz w:val="24"/>
          <w:szCs w:val="24"/>
        </w:rPr>
        <w:t>material</w:t>
      </w:r>
      <w:r w:rsidRPr="005112BF">
        <w:rPr>
          <w:rFonts w:ascii="Times New Roman" w:hAnsi="Times New Roman" w:cs="Times New Roman"/>
          <w:sz w:val="24"/>
          <w:szCs w:val="24"/>
        </w:rPr>
        <w:t xml:space="preserve"> was washed with</w:t>
      </w:r>
      <w:r w:rsidR="00E6503A">
        <w:rPr>
          <w:rFonts w:ascii="Times New Roman" w:hAnsi="Times New Roman" w:cs="Times New Roman"/>
          <w:sz w:val="24"/>
          <w:szCs w:val="24"/>
        </w:rPr>
        <w:t xml:space="preserve"> 15 mL of a 100 mM</w:t>
      </w:r>
      <w:r w:rsidRPr="005112BF">
        <w:rPr>
          <w:rFonts w:ascii="Times New Roman" w:hAnsi="Times New Roman" w:cs="Times New Roman"/>
          <w:sz w:val="24"/>
          <w:szCs w:val="24"/>
        </w:rPr>
        <w:t xml:space="preserve"> NH</w:t>
      </w:r>
      <w:r w:rsidRPr="005112BF">
        <w:rPr>
          <w:rFonts w:ascii="Times New Roman" w:hAnsi="Times New Roman" w:cs="Times New Roman"/>
          <w:sz w:val="24"/>
          <w:szCs w:val="24"/>
          <w:vertAlign w:val="subscript"/>
        </w:rPr>
        <w:t>4</w:t>
      </w:r>
      <w:r w:rsidRPr="005112BF">
        <w:rPr>
          <w:rFonts w:ascii="Times New Roman" w:hAnsi="Times New Roman" w:cs="Times New Roman"/>
          <w:sz w:val="24"/>
          <w:szCs w:val="24"/>
        </w:rPr>
        <w:t xml:space="preserve">OH </w:t>
      </w:r>
      <w:r w:rsidR="00E6503A">
        <w:rPr>
          <w:rFonts w:ascii="Times New Roman" w:hAnsi="Times New Roman" w:cs="Times New Roman"/>
          <w:sz w:val="24"/>
          <w:szCs w:val="24"/>
        </w:rPr>
        <w:t xml:space="preserve">solution </w:t>
      </w:r>
      <w:r w:rsidRPr="005112BF">
        <w:rPr>
          <w:rFonts w:ascii="Times New Roman" w:hAnsi="Times New Roman" w:cs="Times New Roman"/>
          <w:sz w:val="24"/>
          <w:szCs w:val="24"/>
        </w:rPr>
        <w:t xml:space="preserve">and deionized water, rinsed </w:t>
      </w:r>
      <w:r w:rsidR="001A4754">
        <w:rPr>
          <w:rFonts w:ascii="Times New Roman" w:hAnsi="Times New Roman" w:cs="Times New Roman"/>
          <w:sz w:val="24"/>
          <w:szCs w:val="24"/>
        </w:rPr>
        <w:t xml:space="preserve">in </w:t>
      </w:r>
      <w:r w:rsidRPr="005112BF">
        <w:rPr>
          <w:rFonts w:ascii="Times New Roman" w:hAnsi="Times New Roman" w:cs="Times New Roman"/>
          <w:sz w:val="24"/>
          <w:szCs w:val="24"/>
        </w:rPr>
        <w:t xml:space="preserve">absolute ethanol (Bio-Lab </w:t>
      </w:r>
      <w:r w:rsidR="00C6793B">
        <w:rPr>
          <w:rFonts w:ascii="Times New Roman" w:hAnsi="Times New Roman" w:cs="Times New Roman"/>
          <w:sz w:val="24"/>
          <w:szCs w:val="24"/>
        </w:rPr>
        <w:t>L</w:t>
      </w:r>
      <w:r w:rsidRPr="005112BF">
        <w:rPr>
          <w:rFonts w:ascii="Times New Roman" w:hAnsi="Times New Roman" w:cs="Times New Roman"/>
          <w:sz w:val="24"/>
          <w:szCs w:val="24"/>
        </w:rPr>
        <w:t>td), and dried overnight at 50°C.</w:t>
      </w:r>
    </w:p>
    <w:bookmarkEnd w:id="0"/>
    <w:p w14:paraId="62BDEAD9" w14:textId="77777777" w:rsidR="00D772D0" w:rsidRDefault="00D772D0" w:rsidP="00AB3F9D">
      <w:pPr>
        <w:pStyle w:val="ListParagraph"/>
        <w:numPr>
          <w:ilvl w:val="1"/>
          <w:numId w:val="1"/>
        </w:numPr>
        <w:spacing w:after="0" w:line="360" w:lineRule="auto"/>
        <w:rPr>
          <w:rFonts w:asciiTheme="majorBidi" w:hAnsiTheme="majorBidi" w:cstheme="majorBidi"/>
          <w:b/>
          <w:bCs/>
          <w:sz w:val="24"/>
          <w:szCs w:val="24"/>
        </w:rPr>
      </w:pPr>
      <w:r w:rsidRPr="0082216A">
        <w:rPr>
          <w:rFonts w:asciiTheme="majorBidi" w:hAnsiTheme="majorBidi" w:cstheme="majorBidi"/>
          <w:b/>
          <w:bCs/>
          <w:sz w:val="24"/>
          <w:szCs w:val="24"/>
        </w:rPr>
        <w:t>XRD and FTIR crystal phase characterization</w:t>
      </w:r>
    </w:p>
    <w:p w14:paraId="1F2E319E" w14:textId="24EC592B" w:rsidR="00DC713B" w:rsidRPr="00DC713B" w:rsidRDefault="005C3F80" w:rsidP="00AB3F9D">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X-ray diffractometry (XRD)</w:t>
      </w:r>
      <w:r w:rsidR="000E5EDF">
        <w:rPr>
          <w:rFonts w:ascii="Times New Roman" w:hAnsi="Times New Roman" w:cs="Times New Roman"/>
          <w:sz w:val="24"/>
          <w:szCs w:val="24"/>
        </w:rPr>
        <w:t xml:space="preserve"> was performed </w:t>
      </w:r>
      <w:r w:rsidR="000E5EDF" w:rsidRPr="00C47C08">
        <w:rPr>
          <w:rFonts w:ascii="Times New Roman" w:eastAsia="Times New Roman" w:hAnsi="Times New Roman" w:cs="Times New Roman"/>
          <w:sz w:val="24"/>
          <w:szCs w:val="24"/>
        </w:rPr>
        <w:t>on a Panalytical Empyrean</w:t>
      </w:r>
      <w:r w:rsidR="000E5EDF">
        <w:rPr>
          <w:rFonts w:ascii="Times New Roman" w:eastAsia="Times New Roman" w:hAnsi="Times New Roman" w:cs="Times New Roman"/>
          <w:sz w:val="24"/>
          <w:szCs w:val="24"/>
        </w:rPr>
        <w:t>II</w:t>
      </w:r>
      <w:r w:rsidR="000E5EDF" w:rsidRPr="00C47C08">
        <w:rPr>
          <w:rFonts w:ascii="Times New Roman" w:eastAsia="Times New Roman" w:hAnsi="Times New Roman" w:cs="Times New Roman"/>
          <w:sz w:val="24"/>
          <w:szCs w:val="24"/>
        </w:rPr>
        <w:t xml:space="preserve"> powder diffractometer (K</w:t>
      </w:r>
      <w:r w:rsidR="000E5EDF" w:rsidRPr="00C47C08">
        <w:rPr>
          <w:rFonts w:ascii="Symbol" w:eastAsia="Times New Roman" w:hAnsi="Symbol" w:cs="Times New Roman"/>
          <w:sz w:val="24"/>
          <w:szCs w:val="24"/>
          <w:vertAlign w:val="subscript"/>
        </w:rPr>
        <w:t></w:t>
      </w:r>
      <w:r w:rsidR="000E5EDF" w:rsidRPr="00C47C08">
        <w:rPr>
          <w:rFonts w:ascii="Times New Roman" w:eastAsia="Times New Roman" w:hAnsi="Times New Roman" w:cs="Times New Roman"/>
          <w:sz w:val="24"/>
          <w:szCs w:val="24"/>
        </w:rPr>
        <w:t xml:space="preserve"> radiation, </w:t>
      </w:r>
      <w:r w:rsidR="000E5EDF" w:rsidRPr="00C47C08">
        <w:rPr>
          <w:rFonts w:ascii="Symbol" w:eastAsia="Times New Roman" w:hAnsi="Symbol" w:cs="Times New Roman"/>
          <w:sz w:val="24"/>
          <w:szCs w:val="24"/>
        </w:rPr>
        <w:t></w:t>
      </w:r>
      <w:r w:rsidR="000E5EDF" w:rsidRPr="00C47C08">
        <w:rPr>
          <w:rFonts w:ascii="Times New Roman" w:eastAsia="Times New Roman" w:hAnsi="Times New Roman" w:cs="Times New Roman"/>
          <w:sz w:val="24"/>
          <w:szCs w:val="24"/>
        </w:rPr>
        <w:t>=1.54</w:t>
      </w:r>
      <w:r w:rsidR="006849BA" w:rsidRPr="006849BA">
        <w:rPr>
          <w:rFonts w:ascii="Times New Roman" w:hAnsi="Times New Roman" w:cs="Times New Roman"/>
          <w:sz w:val="24"/>
          <w:szCs w:val="24"/>
        </w:rPr>
        <w:t xml:space="preserve"> </w:t>
      </w:r>
      <w:r w:rsidR="006849BA">
        <w:rPr>
          <w:rFonts w:ascii="Times New Roman" w:hAnsi="Times New Roman" w:cs="Times New Roman"/>
          <w:sz w:val="24"/>
          <w:szCs w:val="24"/>
        </w:rPr>
        <w:t>Å</w:t>
      </w:r>
      <w:r w:rsidR="000E5EDF" w:rsidRPr="00C47C08">
        <w:rPr>
          <w:rFonts w:ascii="Times New Roman" w:eastAsia="Times New Roman" w:hAnsi="Times New Roman" w:cs="Times New Roman"/>
          <w:sz w:val="24"/>
          <w:szCs w:val="24"/>
        </w:rPr>
        <w:t xml:space="preserve">) equipped with an X’Celerator detector </w:t>
      </w:r>
      <w:r w:rsidR="000E5EDF">
        <w:rPr>
          <w:rFonts w:ascii="Times New Roman" w:eastAsia="Times New Roman" w:hAnsi="Times New Roman" w:cs="Times New Roman"/>
          <w:sz w:val="24"/>
          <w:szCs w:val="24"/>
        </w:rPr>
        <w:t xml:space="preserve">in 1D linear mode </w:t>
      </w:r>
      <w:r w:rsidR="000E5EDF" w:rsidRPr="00C47C08">
        <w:rPr>
          <w:rFonts w:ascii="Times New Roman" w:eastAsia="Times New Roman" w:hAnsi="Times New Roman" w:cs="Times New Roman"/>
          <w:sz w:val="24"/>
          <w:szCs w:val="24"/>
        </w:rPr>
        <w:t>and operated at v=40 kV, I= 30 mA.</w:t>
      </w:r>
      <w:r w:rsidR="000E5EDF" w:rsidRPr="000E5EDF">
        <w:rPr>
          <w:rFonts w:ascii="Times New Roman" w:eastAsia="Times New Roman" w:hAnsi="Times New Roman" w:cs="Times New Roman"/>
          <w:sz w:val="24"/>
          <w:szCs w:val="24"/>
        </w:rPr>
        <w:t xml:space="preserve"> </w:t>
      </w:r>
      <w:r w:rsidR="000E5EDF">
        <w:rPr>
          <w:rFonts w:ascii="Times New Roman" w:eastAsia="Times New Roman" w:hAnsi="Times New Roman" w:cs="Times New Roman"/>
          <w:sz w:val="24"/>
          <w:szCs w:val="24"/>
        </w:rPr>
        <w:t xml:space="preserve">Samples were mounted for X-ray analysis in a front-loading, </w:t>
      </w:r>
      <w:bookmarkStart w:id="2" w:name="_Hlk146610986"/>
      <w:r w:rsidR="000E5EDF">
        <w:rPr>
          <w:rFonts w:ascii="Times New Roman" w:eastAsia="Times New Roman" w:hAnsi="Times New Roman" w:cs="Times New Roman"/>
          <w:sz w:val="24"/>
          <w:szCs w:val="24"/>
        </w:rPr>
        <w:t xml:space="preserve">zero-background quartz </w:t>
      </w:r>
      <w:r w:rsidR="00BE6857" w:rsidRPr="00BE6857">
        <w:rPr>
          <w:rFonts w:ascii="Times New Roman" w:eastAsia="Times New Roman" w:hAnsi="Times New Roman" w:cs="Times New Roman"/>
          <w:sz w:val="24"/>
          <w:szCs w:val="24"/>
        </w:rPr>
        <w:t xml:space="preserve">X-ray Powder Diffraction </w:t>
      </w:r>
      <w:r w:rsidR="000E5EDF">
        <w:rPr>
          <w:rFonts w:ascii="Times New Roman" w:eastAsia="Times New Roman" w:hAnsi="Times New Roman" w:cs="Times New Roman"/>
          <w:sz w:val="24"/>
          <w:szCs w:val="24"/>
        </w:rPr>
        <w:t xml:space="preserve">sample plate and hand-ground </w:t>
      </w:r>
      <w:bookmarkEnd w:id="2"/>
      <w:r w:rsidR="000E5EDF">
        <w:rPr>
          <w:rFonts w:ascii="Times New Roman" w:eastAsia="Times New Roman" w:hAnsi="Times New Roman" w:cs="Times New Roman"/>
          <w:sz w:val="24"/>
          <w:szCs w:val="24"/>
        </w:rPr>
        <w:t>using an agate mortar and pestle as</w:t>
      </w:r>
      <w:r w:rsidR="002F54F7">
        <w:rPr>
          <w:rFonts w:ascii="Times New Roman" w:eastAsia="Times New Roman" w:hAnsi="Times New Roman" w:cs="Times New Roman"/>
          <w:sz w:val="24"/>
          <w:szCs w:val="24"/>
        </w:rPr>
        <w:t xml:space="preserve"> </w:t>
      </w:r>
      <w:r w:rsidR="000E5EDF">
        <w:rPr>
          <w:rFonts w:ascii="Times New Roman" w:eastAsia="Times New Roman" w:hAnsi="Times New Roman" w:cs="Times New Roman"/>
          <w:sz w:val="24"/>
          <w:szCs w:val="24"/>
        </w:rPr>
        <w:t>needed to improve result statistics.</w:t>
      </w:r>
      <w:r w:rsidR="00A82361">
        <w:rPr>
          <w:rFonts w:ascii="Times New Roman" w:hAnsi="Times New Roman" w:cs="Times New Roman"/>
          <w:sz w:val="24"/>
          <w:szCs w:val="24"/>
        </w:rPr>
        <w:t xml:space="preserve"> </w:t>
      </w:r>
      <w:r w:rsidR="00A82361">
        <w:rPr>
          <w:rFonts w:ascii="Times New Roman" w:eastAsia="Times New Roman" w:hAnsi="Times New Roman" w:cs="Times New Roman"/>
          <w:sz w:val="24"/>
          <w:szCs w:val="24"/>
        </w:rPr>
        <w:t>Data were collected in Bragg-Brentano reflectance geometry from 5-70° 2θ, with a 0.0334° step size and a 40</w:t>
      </w:r>
      <w:r w:rsidR="001632B1">
        <w:rPr>
          <w:rFonts w:ascii="Times New Roman" w:eastAsia="Times New Roman" w:hAnsi="Times New Roman" w:cs="Times New Roman"/>
          <w:sz w:val="24"/>
          <w:szCs w:val="24"/>
        </w:rPr>
        <w:t xml:space="preserve"> </w:t>
      </w:r>
      <w:r w:rsidR="00A82361">
        <w:rPr>
          <w:rFonts w:ascii="Times New Roman" w:eastAsia="Times New Roman" w:hAnsi="Times New Roman" w:cs="Times New Roman"/>
          <w:sz w:val="24"/>
          <w:szCs w:val="24"/>
        </w:rPr>
        <w:t>s count time per step.</w:t>
      </w:r>
      <w:r w:rsidR="00A82361">
        <w:rPr>
          <w:rFonts w:ascii="Times New Roman" w:hAnsi="Times New Roman" w:cs="Times New Roman"/>
          <w:sz w:val="24"/>
          <w:szCs w:val="24"/>
        </w:rPr>
        <w:t xml:space="preserve"> </w:t>
      </w:r>
      <w:r w:rsidR="00A82361">
        <w:rPr>
          <w:rFonts w:ascii="Times New Roman" w:eastAsia="Times New Roman" w:hAnsi="Times New Roman" w:cs="Times New Roman"/>
          <w:sz w:val="24"/>
          <w:szCs w:val="24"/>
        </w:rPr>
        <w:t xml:space="preserve">Initial phase identification analysis was performed using the </w:t>
      </w:r>
      <w:r w:rsidR="00A82361" w:rsidRPr="00326939">
        <w:rPr>
          <w:rFonts w:ascii="Times New Roman" w:eastAsia="Times New Roman" w:hAnsi="Times New Roman" w:cs="Times New Roman"/>
          <w:sz w:val="24"/>
          <w:szCs w:val="24"/>
        </w:rPr>
        <w:t>Match! phase identification software version 2.1.1 in conjunction with the International Center for Diffraction Data (ICDD) Powder Diffraction File (PDF-4+) database (2022 release).</w:t>
      </w:r>
      <w:r w:rsidR="00A82361">
        <w:rPr>
          <w:rFonts w:ascii="Times New Roman" w:hAnsi="Times New Roman" w:cs="Times New Roman"/>
          <w:sz w:val="24"/>
          <w:szCs w:val="24"/>
        </w:rPr>
        <w:t xml:space="preserve"> Further </w:t>
      </w:r>
      <w:r w:rsidR="00D12B9B">
        <w:rPr>
          <w:rFonts w:ascii="Times New Roman" w:hAnsi="Times New Roman" w:cs="Times New Roman"/>
          <w:sz w:val="24"/>
          <w:szCs w:val="24"/>
        </w:rPr>
        <w:t xml:space="preserve">Rietveld </w:t>
      </w:r>
      <w:r w:rsidR="00A82361">
        <w:rPr>
          <w:rFonts w:ascii="Times New Roman" w:hAnsi="Times New Roman" w:cs="Times New Roman"/>
          <w:sz w:val="24"/>
          <w:szCs w:val="24"/>
        </w:rPr>
        <w:t>refinement of the XRD results was performed using the Panalytical HighScore Plus XRD data interpretation software suite, version 5.1</w:t>
      </w:r>
      <w:r w:rsidR="00DC713B">
        <w:rPr>
          <w:rFonts w:ascii="Times New Roman" w:hAnsi="Times New Roman" w:cs="Times New Roman"/>
          <w:sz w:val="24"/>
          <w:szCs w:val="24"/>
        </w:rPr>
        <w:t xml:space="preserve">. Refinement analysis for all samples was applied to the same </w:t>
      </w:r>
      <w:r w:rsidR="00AA1AF1">
        <w:rPr>
          <w:rFonts w:ascii="Times New Roman" w:hAnsi="Times New Roman" w:cs="Times New Roman"/>
          <w:sz w:val="24"/>
          <w:szCs w:val="24"/>
        </w:rPr>
        <w:t xml:space="preserve">HA </w:t>
      </w:r>
      <w:r w:rsidR="00DC713B">
        <w:rPr>
          <w:rFonts w:ascii="Times New Roman" w:hAnsi="Times New Roman" w:cs="Times New Roman"/>
          <w:sz w:val="24"/>
          <w:szCs w:val="24"/>
        </w:rPr>
        <w:t>standard phase (ICDD #: 01-080-7085</w:t>
      </w:r>
      <w:r w:rsidR="00C867A8">
        <w:rPr>
          <w:rFonts w:ascii="Times New Roman" w:hAnsi="Times New Roman" w:cs="Times New Roman"/>
          <w:sz w:val="24"/>
          <w:szCs w:val="24"/>
        </w:rPr>
        <w:t>; a = 9.45 Å and c = 6.90 Å</w:t>
      </w:r>
      <w:r w:rsidR="00DC713B">
        <w:rPr>
          <w:rFonts w:ascii="Times New Roman" w:hAnsi="Times New Roman" w:cs="Times New Roman"/>
          <w:sz w:val="24"/>
          <w:szCs w:val="24"/>
        </w:rPr>
        <w:t>) with a maximum iteration of 400 cycles and a solver tolerance of 1.0 e</w:t>
      </w:r>
      <w:r w:rsidR="00DC713B">
        <w:rPr>
          <w:rFonts w:ascii="Times New Roman" w:hAnsi="Times New Roman" w:cs="Times New Roman"/>
          <w:sz w:val="24"/>
          <w:szCs w:val="24"/>
          <w:vertAlign w:val="superscript"/>
        </w:rPr>
        <w:t>-4</w:t>
      </w:r>
      <w:r w:rsidR="00DC713B">
        <w:rPr>
          <w:rFonts w:ascii="Times New Roman" w:hAnsi="Times New Roman" w:cs="Times New Roman"/>
          <w:sz w:val="24"/>
          <w:szCs w:val="24"/>
        </w:rPr>
        <w:t xml:space="preserve">. Refinement included the hexagonal </w:t>
      </w:r>
      <w:r w:rsidR="00AA1AF1">
        <w:rPr>
          <w:rFonts w:ascii="Times New Roman" w:hAnsi="Times New Roman" w:cs="Times New Roman"/>
          <w:sz w:val="24"/>
          <w:szCs w:val="24"/>
        </w:rPr>
        <w:t xml:space="preserve">HA </w:t>
      </w:r>
      <w:r w:rsidR="00DC713B">
        <w:rPr>
          <w:rFonts w:ascii="Times New Roman" w:hAnsi="Times New Roman" w:cs="Times New Roman"/>
          <w:sz w:val="24"/>
          <w:szCs w:val="24"/>
        </w:rPr>
        <w:t xml:space="preserve">unit cell parameters </w:t>
      </w:r>
      <w:r w:rsidR="003E26A4">
        <w:rPr>
          <w:rFonts w:ascii="Times New Roman" w:hAnsi="Times New Roman" w:cs="Times New Roman" w:hint="cs"/>
          <w:sz w:val="24"/>
          <w:szCs w:val="24"/>
          <w:rtl/>
        </w:rPr>
        <w:t>'</w:t>
      </w:r>
      <w:r w:rsidR="00DC713B">
        <w:rPr>
          <w:rFonts w:ascii="Times New Roman" w:hAnsi="Times New Roman" w:cs="Times New Roman"/>
          <w:sz w:val="24"/>
          <w:szCs w:val="24"/>
        </w:rPr>
        <w:t>a</w:t>
      </w:r>
      <w:r w:rsidR="003E26A4">
        <w:rPr>
          <w:rFonts w:ascii="Times New Roman" w:hAnsi="Times New Roman" w:cs="Times New Roman" w:hint="cs"/>
          <w:sz w:val="24"/>
          <w:szCs w:val="24"/>
          <w:rtl/>
        </w:rPr>
        <w:t>'</w:t>
      </w:r>
      <w:r w:rsidR="00DC713B">
        <w:rPr>
          <w:rFonts w:ascii="Times New Roman" w:hAnsi="Times New Roman" w:cs="Times New Roman"/>
          <w:sz w:val="24"/>
          <w:szCs w:val="24"/>
        </w:rPr>
        <w:t xml:space="preserve"> and </w:t>
      </w:r>
      <w:r w:rsidR="003E26A4">
        <w:rPr>
          <w:rFonts w:ascii="Times New Roman" w:hAnsi="Times New Roman" w:cs="Times New Roman" w:hint="cs"/>
          <w:sz w:val="24"/>
          <w:szCs w:val="24"/>
          <w:rtl/>
        </w:rPr>
        <w:t>'</w:t>
      </w:r>
      <w:r w:rsidR="00DC713B">
        <w:rPr>
          <w:rFonts w:ascii="Times New Roman" w:hAnsi="Times New Roman" w:cs="Times New Roman"/>
          <w:sz w:val="24"/>
          <w:szCs w:val="24"/>
        </w:rPr>
        <w:t>c</w:t>
      </w:r>
      <w:r w:rsidR="003E26A4">
        <w:rPr>
          <w:rFonts w:ascii="Times New Roman" w:hAnsi="Times New Roman" w:cs="Times New Roman" w:hint="cs"/>
          <w:sz w:val="24"/>
          <w:szCs w:val="24"/>
          <w:rtl/>
        </w:rPr>
        <w:t>'</w:t>
      </w:r>
      <w:r w:rsidR="00DC713B">
        <w:rPr>
          <w:rFonts w:ascii="Times New Roman" w:hAnsi="Times New Roman" w:cs="Times New Roman"/>
          <w:sz w:val="24"/>
          <w:szCs w:val="24"/>
        </w:rPr>
        <w:t>, as well as crystallite size</w:t>
      </w:r>
      <w:r w:rsidR="008168F4">
        <w:rPr>
          <w:rFonts w:ascii="Times New Roman" w:hAnsi="Times New Roman" w:cs="Times New Roman"/>
          <w:sz w:val="24"/>
          <w:szCs w:val="24"/>
        </w:rPr>
        <w:t xml:space="preserve"> (X-ray coherence length</w:t>
      </w:r>
      <w:r w:rsidR="004E6077">
        <w:rPr>
          <w:rFonts w:ascii="Times New Roman" w:hAnsi="Times New Roman" w:cs="Times New Roman"/>
          <w:sz w:val="24"/>
          <w:szCs w:val="24"/>
        </w:rPr>
        <w:t>, Å</w:t>
      </w:r>
      <w:r w:rsidR="008168F4">
        <w:rPr>
          <w:rFonts w:ascii="Times New Roman" w:hAnsi="Times New Roman" w:cs="Times New Roman"/>
          <w:sz w:val="24"/>
          <w:szCs w:val="24"/>
        </w:rPr>
        <w:t>)</w:t>
      </w:r>
      <w:r w:rsidR="00DC713B">
        <w:rPr>
          <w:rFonts w:ascii="Times New Roman" w:hAnsi="Times New Roman" w:cs="Times New Roman"/>
          <w:sz w:val="24"/>
          <w:szCs w:val="24"/>
        </w:rPr>
        <w:t>.</w:t>
      </w:r>
      <w:r w:rsidR="00A4300E">
        <w:rPr>
          <w:rFonts w:ascii="Times New Roman" w:hAnsi="Times New Roman" w:cs="Times New Roman"/>
          <w:sz w:val="24"/>
          <w:szCs w:val="24"/>
        </w:rPr>
        <w:t xml:space="preserve"> </w:t>
      </w:r>
      <w:r w:rsidR="007F4604">
        <w:rPr>
          <w:rFonts w:asciiTheme="majorBidi" w:hAnsiTheme="majorBidi" w:cstheme="majorBidi"/>
          <w:sz w:val="24"/>
          <w:szCs w:val="24"/>
        </w:rPr>
        <w:t>N</w:t>
      </w:r>
      <w:r w:rsidR="00A4300E">
        <w:rPr>
          <w:rFonts w:asciiTheme="majorBidi" w:hAnsiTheme="majorBidi" w:cstheme="majorBidi"/>
          <w:sz w:val="24"/>
          <w:szCs w:val="24"/>
        </w:rPr>
        <w:t>o internal standard was added during the XRD measurements</w:t>
      </w:r>
      <w:r w:rsidR="007F4604">
        <w:rPr>
          <w:rFonts w:asciiTheme="majorBidi" w:hAnsiTheme="majorBidi" w:cstheme="majorBidi"/>
          <w:sz w:val="24"/>
          <w:szCs w:val="24"/>
        </w:rPr>
        <w:t xml:space="preserve">. </w:t>
      </w:r>
      <w:r w:rsidR="00E027EB">
        <w:rPr>
          <w:rFonts w:asciiTheme="majorBidi" w:hAnsiTheme="majorBidi" w:cstheme="majorBidi"/>
          <w:sz w:val="24"/>
          <w:szCs w:val="24"/>
        </w:rPr>
        <w:t>T</w:t>
      </w:r>
      <w:r w:rsidR="007F4604">
        <w:rPr>
          <w:rFonts w:asciiTheme="majorBidi" w:hAnsiTheme="majorBidi" w:cstheme="majorBidi"/>
          <w:sz w:val="24"/>
          <w:szCs w:val="24"/>
        </w:rPr>
        <w:t>he</w:t>
      </w:r>
      <w:r w:rsidR="00A4300E">
        <w:rPr>
          <w:rFonts w:asciiTheme="majorBidi" w:hAnsiTheme="majorBidi" w:cstheme="majorBidi"/>
          <w:sz w:val="24"/>
          <w:szCs w:val="24"/>
        </w:rPr>
        <w:t xml:space="preserve"> </w:t>
      </w:r>
      <w:r w:rsidR="007F4604">
        <w:rPr>
          <w:rFonts w:asciiTheme="majorBidi" w:hAnsiTheme="majorBidi" w:cstheme="majorBidi"/>
          <w:sz w:val="24"/>
          <w:szCs w:val="24"/>
        </w:rPr>
        <w:t>c</w:t>
      </w:r>
      <w:r w:rsidR="00A4300E">
        <w:rPr>
          <w:rFonts w:asciiTheme="majorBidi" w:hAnsiTheme="majorBidi" w:cstheme="majorBidi"/>
          <w:sz w:val="24"/>
          <w:szCs w:val="24"/>
        </w:rPr>
        <w:t>rystallite size is reported through an external LaB</w:t>
      </w:r>
      <w:r w:rsidR="00A4300E">
        <w:rPr>
          <w:rFonts w:asciiTheme="majorBidi" w:hAnsiTheme="majorBidi" w:cstheme="majorBidi"/>
          <w:sz w:val="24"/>
          <w:szCs w:val="24"/>
          <w:vertAlign w:val="subscript"/>
        </w:rPr>
        <w:t>6</w:t>
      </w:r>
      <w:r w:rsidR="00A4300E">
        <w:rPr>
          <w:rFonts w:asciiTheme="majorBidi" w:hAnsiTheme="majorBidi" w:cstheme="majorBidi"/>
          <w:sz w:val="24"/>
          <w:szCs w:val="24"/>
        </w:rPr>
        <w:t xml:space="preserve"> instrumental broadening standard, which enables the computation of the instrumental </w:t>
      </w:r>
      <w:r w:rsidR="00A4300E">
        <w:rPr>
          <w:rFonts w:asciiTheme="majorBidi" w:hAnsiTheme="majorBidi" w:cstheme="majorBidi"/>
          <w:sz w:val="24"/>
          <w:szCs w:val="24"/>
        </w:rPr>
        <w:lastRenderedPageBreak/>
        <w:t xml:space="preserve">broadening parameters. Using the instrumental broadening parameters, the sample crystallite size, computed by Rietveld refinement of the complete diffractogram, can be computed without an internal standard and acts as a proxy for sample crystallinity </w:t>
      </w:r>
      <w:r w:rsidR="00A4300E" w:rsidRPr="00747E2F">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{"citationItems":[{"id":"ITEM-1","itemData":{"DOI":"10.1016/j.actbio.2009.04.014","ISSN":"17427061","PMID":"19446055","abstract":"The substitution of Zn in hydroxyapatite (HA) crystals was examined via comprehensive characterization techniques. Nanosized HA crystals were synthesized by the wet chemical method in aqueous solutions including various amounts of Zn ions. X-ray fluorescent spectroscopy was used to examine the amount of Zn in the HA precipitates. Scanning electron microscopy and high-resolution transmission electron microscopy were employed to examine the effects of Zn on the morphology and crystal size of the precipitates. Conventional powder X-ray diffraction and the Rietveld refinement method revealed the apatite lattice parameters and phase changes with the inclusion of Zn. The results indicated that Zn ions partially substituted for Ca ions in the apatite structure. They were not simply adsorbed on the apatite surface or in the amorphous phase. The precipitates maintained the apatite phase up to a Zn:(Zn + Ca) ratio of 15-20 mol.% in the solution. Pure HA was well crystallized and the crystals had regular shapes, whereas the Zn-substituted apatite crystals became irregular and formed agglomerates. The lattice parameters, a and c, decreased at a Zn:(Zn + Ca) ratio of 10 mol.%. © 2009 Acta Materialia Inc.","author":[{"dropping-particle":"","family":"Ren","given":"Fuzeng","non-dropping-particle":"","parse-names":false,"suffix":""},{"dropping-particle":"","family":"Xin","given":"Renlong","non-dropping-particle":"","parse-names":false,"suffix":""},{"dropping-particle":"","family":"Ge","given":"Xiang","non-dropping-particle":"","parse-names":false,"suffix":""},{"dropping-particle":"","family":"Leng","given":"Yang","non-dropping-particle":"","parse-names":false,"suffix":""}],"container-title":"Acta Biomaterialia","id":"ITEM-1","issue":"8","issued":{"date-parts":[["2009"]]},"page":"3141-3149","publisher":"Acta Materialia Inc.","title":"Characterization and structural analysis of zinc-substituted hydroxyapatites","type":"article-journal","volume":"5"},"uris":["http://www.mendeley.com/documents/?uuid=bc52df63-5efd-47ca-bb52-808c2bd21e6f"]}],"mendeley":{"formattedCitation":"[27]","plainTextFormattedCitation":"[27]","previouslyFormattedCitation":"[27]"},"properties":{"noteIndex":0},"schema":"https://github.com/citation-style-language/schema/raw/master/csl-citation.json"}</w:instrText>
      </w:r>
      <w:r w:rsidR="00A4300E" w:rsidRPr="00747E2F">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[27]</w:t>
      </w:r>
      <w:r w:rsidR="00A4300E" w:rsidRPr="00747E2F">
        <w:rPr>
          <w:rFonts w:asciiTheme="majorBidi" w:hAnsiTheme="majorBidi" w:cstheme="majorBidi"/>
          <w:sz w:val="24"/>
          <w:szCs w:val="24"/>
        </w:rPr>
        <w:fldChar w:fldCharType="end"/>
      </w:r>
      <w:r w:rsidR="00A4300E">
        <w:rPr>
          <w:rFonts w:asciiTheme="majorBidi" w:hAnsiTheme="majorBidi" w:cstheme="majorBidi"/>
          <w:sz w:val="24"/>
          <w:szCs w:val="24"/>
        </w:rPr>
        <w:t>.</w:t>
      </w:r>
    </w:p>
    <w:p w14:paraId="2EB94288" w14:textId="0629A849" w:rsidR="00D772D0" w:rsidRPr="007B40BB" w:rsidRDefault="00F062F8" w:rsidP="00AB3F9D">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Fourier transform infrared spectroscopy (</w:t>
      </w:r>
      <w:r w:rsidR="00D772D0">
        <w:rPr>
          <w:rFonts w:ascii="Times New Roman" w:hAnsi="Times New Roman" w:cs="Times New Roman"/>
          <w:sz w:val="24"/>
          <w:szCs w:val="24"/>
        </w:rPr>
        <w:t>FTIR</w:t>
      </w:r>
      <w:r>
        <w:rPr>
          <w:rFonts w:ascii="Times New Roman" w:hAnsi="Times New Roman" w:cs="Times New Roman"/>
          <w:sz w:val="24"/>
          <w:szCs w:val="24"/>
        </w:rPr>
        <w:t>)</w:t>
      </w:r>
      <w:r w:rsidR="00D772D0">
        <w:rPr>
          <w:rFonts w:ascii="Times New Roman" w:hAnsi="Times New Roman" w:cs="Times New Roman"/>
          <w:sz w:val="24"/>
          <w:szCs w:val="24"/>
        </w:rPr>
        <w:t xml:space="preserve"> measurements were carried out using</w:t>
      </w:r>
      <w:r w:rsidR="00E027EB">
        <w:rPr>
          <w:rFonts w:ascii="Times New Roman" w:hAnsi="Times New Roman" w:cs="Times New Roman"/>
          <w:sz w:val="24"/>
          <w:szCs w:val="24"/>
        </w:rPr>
        <w:t xml:space="preserve"> a</w:t>
      </w:r>
      <w:r w:rsidR="00D772D0" w:rsidRPr="003B37EB">
        <w:rPr>
          <w:rFonts w:ascii="Times New Roman" w:hAnsi="Times New Roman" w:cs="Times New Roman"/>
          <w:sz w:val="24"/>
          <w:szCs w:val="24"/>
        </w:rPr>
        <w:t xml:space="preserve"> Nicol</w:t>
      </w:r>
      <w:r w:rsidR="005308C2">
        <w:rPr>
          <w:rFonts w:ascii="Times New Roman" w:hAnsi="Times New Roman" w:cs="Times New Roman"/>
          <w:sz w:val="24"/>
          <w:szCs w:val="24"/>
        </w:rPr>
        <w:t xml:space="preserve">et iS5 FTIR instrument. The </w:t>
      </w:r>
      <w:r w:rsidR="00AA1AF1">
        <w:rPr>
          <w:rFonts w:ascii="Times New Roman" w:hAnsi="Times New Roman" w:cs="Times New Roman"/>
          <w:sz w:val="24"/>
          <w:szCs w:val="24"/>
        </w:rPr>
        <w:t xml:space="preserve">isolated </w:t>
      </w:r>
      <w:r w:rsidR="005308C2">
        <w:rPr>
          <w:rFonts w:ascii="Times New Roman" w:hAnsi="Times New Roman" w:cs="Times New Roman"/>
          <w:sz w:val="24"/>
          <w:szCs w:val="24"/>
        </w:rPr>
        <w:t xml:space="preserve">FNA MCs </w:t>
      </w:r>
      <w:r w:rsidR="00AA1AF1">
        <w:rPr>
          <w:rFonts w:ascii="Times New Roman" w:hAnsi="Times New Roman" w:cs="Times New Roman"/>
          <w:sz w:val="24"/>
          <w:szCs w:val="24"/>
        </w:rPr>
        <w:t>were</w:t>
      </w:r>
      <w:r w:rsidR="005308C2">
        <w:rPr>
          <w:rFonts w:ascii="Times New Roman" w:hAnsi="Times New Roman" w:cs="Times New Roman"/>
          <w:sz w:val="24"/>
          <w:szCs w:val="24"/>
        </w:rPr>
        <w:t xml:space="preserve"> </w:t>
      </w:r>
      <w:r w:rsidR="005308C2" w:rsidRPr="00970E74">
        <w:rPr>
          <w:rFonts w:asciiTheme="majorBidi" w:hAnsiTheme="majorBidi" w:cstheme="majorBidi"/>
          <w:sz w:val="24"/>
        </w:rPr>
        <w:t xml:space="preserve">mixed with 200 mg of KBr (Sigma-Aldrich) to form a homogenous powder that was then pressed into a pellet for analysis. </w:t>
      </w:r>
      <w:r w:rsidR="005308C2">
        <w:rPr>
          <w:rFonts w:asciiTheme="majorBidi" w:hAnsiTheme="majorBidi" w:cstheme="majorBidi"/>
          <w:sz w:val="24"/>
        </w:rPr>
        <w:t>The FTIR</w:t>
      </w:r>
      <w:r w:rsidR="005308C2" w:rsidRPr="00970E74">
        <w:rPr>
          <w:rFonts w:asciiTheme="majorBidi" w:hAnsiTheme="majorBidi" w:cstheme="majorBidi"/>
          <w:sz w:val="24"/>
        </w:rPr>
        <w:t xml:space="preserve"> instrument was operated in the 450–4000 cm</w:t>
      </w:r>
      <w:r w:rsidR="005308C2" w:rsidRPr="00970E74">
        <w:rPr>
          <w:rFonts w:asciiTheme="majorBidi" w:hAnsiTheme="majorBidi" w:cstheme="majorBidi"/>
          <w:sz w:val="24"/>
          <w:vertAlign w:val="superscript"/>
        </w:rPr>
        <w:t>−1</w:t>
      </w:r>
      <w:r w:rsidR="005308C2" w:rsidRPr="00970E74">
        <w:rPr>
          <w:rFonts w:asciiTheme="majorBidi" w:hAnsiTheme="majorBidi" w:cstheme="majorBidi"/>
          <w:sz w:val="24"/>
        </w:rPr>
        <w:t xml:space="preserve"> range, with 32 scans performed at a resolution of 8 cm</w:t>
      </w:r>
      <w:r w:rsidR="005308C2" w:rsidRPr="00970E74">
        <w:rPr>
          <w:rFonts w:asciiTheme="majorBidi" w:hAnsiTheme="majorBidi" w:cstheme="majorBidi"/>
          <w:sz w:val="24"/>
          <w:vertAlign w:val="superscript"/>
        </w:rPr>
        <w:t>−1</w:t>
      </w:r>
      <w:r w:rsidR="005308C2" w:rsidRPr="00970E74">
        <w:rPr>
          <w:rFonts w:asciiTheme="majorBidi" w:hAnsiTheme="majorBidi" w:cstheme="majorBidi"/>
          <w:sz w:val="24"/>
        </w:rPr>
        <w:t xml:space="preserve">. </w:t>
      </w:r>
      <w:r w:rsidR="00441F69">
        <w:rPr>
          <w:rFonts w:asciiTheme="majorBidi" w:hAnsiTheme="majorBidi" w:cstheme="majorBidi"/>
          <w:sz w:val="24"/>
        </w:rPr>
        <w:t>T</w:t>
      </w:r>
      <w:r w:rsidR="005308C2">
        <w:rPr>
          <w:rFonts w:asciiTheme="majorBidi" w:hAnsiTheme="majorBidi" w:cstheme="majorBidi"/>
          <w:sz w:val="24"/>
        </w:rPr>
        <w:t>he synthe</w:t>
      </w:r>
      <w:r w:rsidR="00441F69">
        <w:rPr>
          <w:rFonts w:asciiTheme="majorBidi" w:hAnsiTheme="majorBidi" w:cstheme="majorBidi"/>
          <w:sz w:val="24"/>
        </w:rPr>
        <w:t xml:space="preserve">tic </w:t>
      </w:r>
      <w:r w:rsidR="005308C2">
        <w:rPr>
          <w:rFonts w:asciiTheme="majorBidi" w:hAnsiTheme="majorBidi" w:cstheme="majorBidi"/>
          <w:sz w:val="24"/>
        </w:rPr>
        <w:t>MC</w:t>
      </w:r>
      <w:r w:rsidR="00441F69">
        <w:rPr>
          <w:rFonts w:asciiTheme="majorBidi" w:hAnsiTheme="majorBidi" w:cstheme="majorBidi"/>
          <w:sz w:val="24"/>
        </w:rPr>
        <w:t xml:space="preserve"> analogs </w:t>
      </w:r>
      <w:r w:rsidR="005308C2">
        <w:rPr>
          <w:rFonts w:asciiTheme="majorBidi" w:hAnsiTheme="majorBidi" w:cstheme="majorBidi"/>
          <w:sz w:val="24"/>
        </w:rPr>
        <w:t xml:space="preserve">were </w:t>
      </w:r>
      <w:r w:rsidR="00441F69">
        <w:rPr>
          <w:rFonts w:asciiTheme="majorBidi" w:hAnsiTheme="majorBidi" w:cstheme="majorBidi"/>
          <w:sz w:val="24"/>
        </w:rPr>
        <w:t xml:space="preserve">measured on the same FTIR instrument </w:t>
      </w:r>
      <w:r w:rsidR="005308C2">
        <w:rPr>
          <w:rFonts w:asciiTheme="majorBidi" w:hAnsiTheme="majorBidi" w:cstheme="majorBidi"/>
          <w:sz w:val="24"/>
        </w:rPr>
        <w:t xml:space="preserve">with </w:t>
      </w:r>
      <w:r w:rsidR="00D772D0" w:rsidRPr="003B37EB">
        <w:rPr>
          <w:rFonts w:ascii="Times New Roman" w:hAnsi="Times New Roman" w:cs="Times New Roman"/>
          <w:sz w:val="24"/>
          <w:szCs w:val="24"/>
        </w:rPr>
        <w:t xml:space="preserve">an iD7 attenuated total reflection (ATR) accessory </w:t>
      </w:r>
      <w:r w:rsidR="00EA7BC7">
        <w:rPr>
          <w:rFonts w:ascii="Times New Roman" w:hAnsi="Times New Roman" w:cs="Times New Roman"/>
          <w:sz w:val="24"/>
          <w:szCs w:val="24"/>
        </w:rPr>
        <w:t>with</w:t>
      </w:r>
      <w:r w:rsidR="00D772D0" w:rsidRPr="003B37EB">
        <w:rPr>
          <w:rFonts w:ascii="Times New Roman" w:hAnsi="Times New Roman" w:cs="Times New Roman"/>
          <w:sz w:val="24"/>
          <w:szCs w:val="24"/>
        </w:rPr>
        <w:t xml:space="preserve"> a monolithic diamond ATR crystal (Thermo Fischer). </w:t>
      </w:r>
      <w:r w:rsidR="00441F69">
        <w:rPr>
          <w:rFonts w:ascii="Times New Roman" w:hAnsi="Times New Roman" w:cs="Times New Roman"/>
          <w:sz w:val="24"/>
          <w:szCs w:val="24"/>
        </w:rPr>
        <w:t>For these samples, t</w:t>
      </w:r>
      <w:r w:rsidR="00D772D0" w:rsidRPr="003B37EB">
        <w:rPr>
          <w:rFonts w:ascii="Times New Roman" w:hAnsi="Times New Roman" w:cs="Times New Roman"/>
          <w:sz w:val="24"/>
          <w:szCs w:val="24"/>
        </w:rPr>
        <w:t xml:space="preserve">he FTIR instrument was operated within the </w:t>
      </w:r>
      <w:r w:rsidR="00D772D0">
        <w:rPr>
          <w:rFonts w:ascii="Times New Roman" w:hAnsi="Times New Roman" w:cs="Times New Roman"/>
          <w:sz w:val="24"/>
          <w:szCs w:val="24"/>
        </w:rPr>
        <w:t>520–4000 cm</w:t>
      </w:r>
      <w:r w:rsidR="00D772D0" w:rsidRPr="00F96C9C">
        <w:rPr>
          <w:rFonts w:ascii="Times New Roman" w:hAnsi="Times New Roman" w:cs="Times New Roman"/>
          <w:sz w:val="24"/>
          <w:szCs w:val="24"/>
          <w:vertAlign w:val="superscript"/>
        </w:rPr>
        <w:t>−1</w:t>
      </w:r>
      <w:r w:rsidR="00D772D0">
        <w:rPr>
          <w:rFonts w:ascii="Times New Roman" w:hAnsi="Times New Roman" w:cs="Times New Roman"/>
          <w:sz w:val="24"/>
          <w:szCs w:val="24"/>
        </w:rPr>
        <w:t xml:space="preserve"> spectral range</w:t>
      </w:r>
      <w:r w:rsidR="00D772D0" w:rsidRPr="003B37EB">
        <w:rPr>
          <w:rFonts w:ascii="Times New Roman" w:hAnsi="Times New Roman" w:cs="Times New Roman"/>
          <w:sz w:val="24"/>
          <w:szCs w:val="24"/>
        </w:rPr>
        <w:t>, employing 16 scans at a resolution of 8 cm</w:t>
      </w:r>
      <w:r w:rsidR="00D772D0" w:rsidRPr="00F96C9C">
        <w:rPr>
          <w:rFonts w:ascii="Times New Roman" w:hAnsi="Times New Roman" w:cs="Times New Roman"/>
          <w:sz w:val="24"/>
          <w:szCs w:val="24"/>
          <w:vertAlign w:val="superscript"/>
        </w:rPr>
        <w:t>−1</w:t>
      </w:r>
      <w:r w:rsidR="00D772D0" w:rsidRPr="003B37EB">
        <w:rPr>
          <w:rFonts w:ascii="Times New Roman" w:hAnsi="Times New Roman" w:cs="Times New Roman"/>
          <w:sz w:val="24"/>
          <w:szCs w:val="24"/>
        </w:rPr>
        <w:t>. Plotting and spectral analyses</w:t>
      </w:r>
      <w:r w:rsidR="00341FBC">
        <w:rPr>
          <w:rFonts w:ascii="Times New Roman" w:hAnsi="Times New Roman" w:cs="Times New Roman"/>
          <w:sz w:val="24"/>
          <w:szCs w:val="24"/>
        </w:rPr>
        <w:t xml:space="preserve"> </w:t>
      </w:r>
      <w:r w:rsidR="00D772D0" w:rsidRPr="003B37EB">
        <w:rPr>
          <w:rFonts w:ascii="Times New Roman" w:hAnsi="Times New Roman" w:cs="Times New Roman"/>
          <w:sz w:val="24"/>
          <w:szCs w:val="24"/>
        </w:rPr>
        <w:t>were performed using Origin Pro 2020 software.</w:t>
      </w:r>
      <w:r w:rsidR="0035655B" w:rsidRPr="0035655B">
        <w:t xml:space="preserve"> </w:t>
      </w:r>
      <w:r w:rsidR="0035655B" w:rsidRPr="0035655B">
        <w:rPr>
          <w:rFonts w:ascii="Times New Roman" w:hAnsi="Times New Roman" w:cs="Times New Roman"/>
          <w:sz w:val="24"/>
          <w:szCs w:val="24"/>
        </w:rPr>
        <w:t>The ratio of carbonate to phosphate was determined by integrating the area under the peaks ranging from 850 to 900 cm</w:t>
      </w:r>
      <w:r w:rsidR="0035655B" w:rsidRPr="005233B1">
        <w:rPr>
          <w:rFonts w:ascii="Times New Roman" w:hAnsi="Times New Roman" w:cs="Times New Roman"/>
          <w:sz w:val="24"/>
          <w:szCs w:val="24"/>
          <w:vertAlign w:val="superscript"/>
        </w:rPr>
        <w:t>−1</w:t>
      </w:r>
      <w:r w:rsidR="0035655B" w:rsidRPr="0035655B">
        <w:rPr>
          <w:rFonts w:ascii="Times New Roman" w:hAnsi="Times New Roman" w:cs="Times New Roman"/>
          <w:sz w:val="24"/>
          <w:szCs w:val="24"/>
        </w:rPr>
        <w:t xml:space="preserve"> (</w:t>
      </w:r>
      <w:r w:rsidR="0035655B" w:rsidRPr="005233B1">
        <w:rPr>
          <w:rFonts w:ascii="Times New Roman" w:hAnsi="Times New Roman" w:cs="Times New Roman"/>
          <w:i/>
          <w:iCs/>
          <w:sz w:val="28"/>
          <w:szCs w:val="28"/>
        </w:rPr>
        <w:t>v</w:t>
      </w:r>
      <w:r w:rsidR="0035655B" w:rsidRPr="005233B1">
        <w:rPr>
          <w:rFonts w:ascii="Times New Roman" w:hAnsi="Times New Roman" w:cs="Times New Roman"/>
          <w:sz w:val="24"/>
          <w:szCs w:val="24"/>
          <w:vertAlign w:val="subscript"/>
        </w:rPr>
        <w:t>2</w:t>
      </w:r>
      <w:r w:rsidR="0035655B">
        <w:rPr>
          <w:rFonts w:ascii="Times New Roman" w:hAnsi="Times New Roman" w:cs="Times New Roman"/>
          <w:sz w:val="24"/>
          <w:szCs w:val="24"/>
          <w:vertAlign w:val="subscript"/>
        </w:rPr>
        <w:t xml:space="preserve"> </w:t>
      </w:r>
      <w:r w:rsidR="0035655B" w:rsidRPr="0035655B">
        <w:rPr>
          <w:rFonts w:ascii="Times New Roman" w:hAnsi="Times New Roman" w:cs="Times New Roman"/>
          <w:sz w:val="24"/>
          <w:szCs w:val="24"/>
        </w:rPr>
        <w:t>CO</w:t>
      </w:r>
      <w:r w:rsidR="0035655B" w:rsidRPr="005233B1">
        <w:rPr>
          <w:rFonts w:ascii="Times New Roman" w:hAnsi="Times New Roman" w:cs="Times New Roman"/>
          <w:sz w:val="24"/>
          <w:szCs w:val="24"/>
          <w:vertAlign w:val="subscript"/>
        </w:rPr>
        <w:t>3</w:t>
      </w:r>
      <w:r w:rsidR="0035655B" w:rsidRPr="005233B1">
        <w:rPr>
          <w:rFonts w:ascii="Times New Roman" w:hAnsi="Times New Roman" w:cs="Times New Roman"/>
          <w:sz w:val="24"/>
          <w:szCs w:val="24"/>
          <w:vertAlign w:val="superscript"/>
        </w:rPr>
        <w:t>2-</w:t>
      </w:r>
      <w:r w:rsidR="0035655B" w:rsidRPr="0035655B">
        <w:rPr>
          <w:rFonts w:ascii="Times New Roman" w:hAnsi="Times New Roman" w:cs="Times New Roman"/>
          <w:sz w:val="24"/>
          <w:szCs w:val="24"/>
        </w:rPr>
        <w:t>) and 900 to 1200 cm</w:t>
      </w:r>
      <w:r w:rsidR="0035655B" w:rsidRPr="005233B1">
        <w:rPr>
          <w:rFonts w:ascii="Times New Roman" w:hAnsi="Times New Roman" w:cs="Times New Roman"/>
          <w:sz w:val="24"/>
          <w:szCs w:val="24"/>
          <w:vertAlign w:val="superscript"/>
        </w:rPr>
        <w:t>−1</w:t>
      </w:r>
      <w:r w:rsidR="0035655B" w:rsidRPr="0035655B">
        <w:rPr>
          <w:rFonts w:ascii="Times New Roman" w:hAnsi="Times New Roman" w:cs="Times New Roman"/>
          <w:sz w:val="24"/>
          <w:szCs w:val="24"/>
        </w:rPr>
        <w:t xml:space="preserve"> (</w:t>
      </w:r>
      <w:r w:rsidR="0035655B" w:rsidRPr="005233B1">
        <w:rPr>
          <w:rFonts w:ascii="Times New Roman" w:hAnsi="Times New Roman" w:cs="Times New Roman"/>
          <w:i/>
          <w:iCs/>
          <w:sz w:val="28"/>
          <w:szCs w:val="28"/>
        </w:rPr>
        <w:t>v</w:t>
      </w:r>
      <w:r w:rsidR="0035655B" w:rsidRPr="005233B1">
        <w:rPr>
          <w:rFonts w:ascii="Times New Roman" w:hAnsi="Times New Roman" w:cs="Times New Roman"/>
          <w:sz w:val="24"/>
          <w:szCs w:val="24"/>
          <w:vertAlign w:val="subscript"/>
        </w:rPr>
        <w:t>1</w:t>
      </w:r>
      <w:r w:rsidR="0035655B" w:rsidRPr="0035655B">
        <w:rPr>
          <w:rFonts w:ascii="Times New Roman" w:hAnsi="Times New Roman" w:cs="Times New Roman"/>
          <w:sz w:val="24"/>
          <w:szCs w:val="24"/>
        </w:rPr>
        <w:t>,</w:t>
      </w:r>
      <w:r w:rsidR="0035655B" w:rsidRPr="005233B1">
        <w:rPr>
          <w:rFonts w:ascii="Times New Roman" w:hAnsi="Times New Roman" w:cs="Times New Roman"/>
          <w:sz w:val="24"/>
          <w:szCs w:val="24"/>
          <w:vertAlign w:val="subscript"/>
        </w:rPr>
        <w:t>3</w:t>
      </w:r>
      <w:r w:rsidR="0035655B">
        <w:rPr>
          <w:rFonts w:ascii="Times New Roman" w:hAnsi="Times New Roman" w:cs="Times New Roman"/>
          <w:sz w:val="24"/>
          <w:szCs w:val="24"/>
          <w:vertAlign w:val="subscript"/>
        </w:rPr>
        <w:t xml:space="preserve"> </w:t>
      </w:r>
      <w:r w:rsidR="0035655B" w:rsidRPr="0035655B">
        <w:rPr>
          <w:rFonts w:ascii="Times New Roman" w:hAnsi="Times New Roman" w:cs="Times New Roman"/>
          <w:sz w:val="24"/>
          <w:szCs w:val="24"/>
        </w:rPr>
        <w:t>PO</w:t>
      </w:r>
      <w:r w:rsidR="0035655B" w:rsidRPr="0035655B">
        <w:rPr>
          <w:rFonts w:ascii="Times New Roman" w:hAnsi="Times New Roman" w:cs="Times New Roman"/>
          <w:sz w:val="24"/>
          <w:szCs w:val="24"/>
          <w:vertAlign w:val="subscript"/>
        </w:rPr>
        <w:t>4</w:t>
      </w:r>
      <w:r w:rsidR="00055063" w:rsidRPr="005233B1">
        <w:rPr>
          <w:rFonts w:ascii="Times New Roman" w:hAnsi="Times New Roman" w:cs="Times New Roman"/>
          <w:sz w:val="24"/>
          <w:szCs w:val="24"/>
          <w:vertAlign w:val="superscript"/>
        </w:rPr>
        <w:t>3-</w:t>
      </w:r>
      <w:r w:rsidR="0035655B" w:rsidRPr="0035655B">
        <w:rPr>
          <w:rFonts w:ascii="Times New Roman" w:hAnsi="Times New Roman" w:cs="Times New Roman"/>
          <w:sz w:val="24"/>
          <w:szCs w:val="24"/>
        </w:rPr>
        <w:t>).</w:t>
      </w:r>
    </w:p>
    <w:p w14:paraId="143A3540" w14:textId="77777777" w:rsidR="00D772D0" w:rsidRPr="0082216A" w:rsidRDefault="00D772D0" w:rsidP="00AB3F9D">
      <w:pPr>
        <w:pStyle w:val="ListParagraph"/>
        <w:spacing w:after="0" w:line="360" w:lineRule="auto"/>
        <w:rPr>
          <w:rFonts w:asciiTheme="majorBidi" w:hAnsiTheme="majorBidi" w:cstheme="majorBidi"/>
          <w:b/>
          <w:bCs/>
          <w:sz w:val="24"/>
          <w:szCs w:val="24"/>
        </w:rPr>
      </w:pPr>
    </w:p>
    <w:p w14:paraId="18198390" w14:textId="68900B2E" w:rsidR="00D772D0" w:rsidRDefault="004727DA" w:rsidP="00AB3F9D">
      <w:pPr>
        <w:pStyle w:val="ListParagraph"/>
        <w:numPr>
          <w:ilvl w:val="1"/>
          <w:numId w:val="1"/>
        </w:numPr>
        <w:spacing w:after="0" w:line="360" w:lineRule="auto"/>
        <w:rPr>
          <w:rFonts w:asciiTheme="majorBidi" w:hAnsiTheme="majorBidi" w:cstheme="majorBidi"/>
          <w:b/>
          <w:bCs/>
          <w:sz w:val="24"/>
          <w:szCs w:val="24"/>
        </w:rPr>
      </w:pPr>
      <w:r w:rsidRPr="009E7C3A">
        <w:rPr>
          <w:rFonts w:asciiTheme="majorBidi" w:hAnsiTheme="majorBidi" w:cstheme="majorBidi"/>
          <w:b/>
          <w:bCs/>
          <w:sz w:val="24"/>
          <w:szCs w:val="24"/>
          <w:highlight w:val="green"/>
        </w:rPr>
        <w:t>Surface characterization</w:t>
      </w:r>
      <w:r w:rsidRPr="0082216A">
        <w:rPr>
          <w:rFonts w:asciiTheme="majorBidi" w:hAnsiTheme="majorBidi" w:cstheme="majorBidi"/>
          <w:b/>
          <w:bCs/>
          <w:sz w:val="24"/>
          <w:szCs w:val="24"/>
        </w:rPr>
        <w:t xml:space="preserve"> </w:t>
      </w:r>
      <w:r w:rsidR="00D772D0" w:rsidRPr="0082216A">
        <w:rPr>
          <w:rFonts w:asciiTheme="majorBidi" w:hAnsiTheme="majorBidi" w:cstheme="majorBidi"/>
          <w:b/>
          <w:bCs/>
          <w:sz w:val="24"/>
          <w:szCs w:val="24"/>
        </w:rPr>
        <w:t xml:space="preserve">and elemental analysis of the crystals </w:t>
      </w:r>
    </w:p>
    <w:p w14:paraId="7857358B" w14:textId="22067C0E" w:rsidR="00344C2A" w:rsidRDefault="00D772D0" w:rsidP="00AB3F9D">
      <w:pPr>
        <w:spacing w:after="0" w:line="360" w:lineRule="auto"/>
        <w:ind w:left="360"/>
        <w:jc w:val="both"/>
        <w:rPr>
          <w:rFonts w:ascii="Times New Roman" w:hAnsi="Times New Roman" w:cs="Times New Roman"/>
          <w:sz w:val="24"/>
          <w:szCs w:val="24"/>
        </w:rPr>
      </w:pPr>
      <w:r w:rsidRPr="00B17E94">
        <w:rPr>
          <w:rFonts w:ascii="Times New Roman" w:hAnsi="Times New Roman" w:cs="Times New Roman"/>
          <w:sz w:val="24"/>
          <w:szCs w:val="24"/>
        </w:rPr>
        <w:t xml:space="preserve">To determine the mineral particle size and morphology, </w:t>
      </w:r>
      <w:r>
        <w:rPr>
          <w:rFonts w:ascii="Times New Roman" w:hAnsi="Times New Roman" w:cs="Times New Roman"/>
          <w:sz w:val="24"/>
          <w:szCs w:val="24"/>
        </w:rPr>
        <w:t xml:space="preserve">the crystals were mounted on a </w:t>
      </w:r>
      <w:r w:rsidRPr="00B17E94">
        <w:rPr>
          <w:rFonts w:ascii="Times New Roman" w:hAnsi="Times New Roman" w:cs="Times New Roman"/>
          <w:sz w:val="24"/>
          <w:szCs w:val="24"/>
        </w:rPr>
        <w:t xml:space="preserve">conductive carbon adhesive tape </w:t>
      </w:r>
      <w:r>
        <w:rPr>
          <w:rFonts w:ascii="Times New Roman" w:hAnsi="Times New Roman" w:cs="Times New Roman"/>
          <w:sz w:val="24"/>
          <w:szCs w:val="24"/>
        </w:rPr>
        <w:t xml:space="preserve">that </w:t>
      </w:r>
      <w:r w:rsidRPr="00B17E94">
        <w:rPr>
          <w:rFonts w:ascii="Times New Roman" w:hAnsi="Times New Roman" w:cs="Times New Roman"/>
          <w:sz w:val="24"/>
          <w:szCs w:val="24"/>
        </w:rPr>
        <w:t xml:space="preserve">was applied </w:t>
      </w:r>
      <w:r>
        <w:rPr>
          <w:rFonts w:ascii="Times New Roman" w:hAnsi="Times New Roman" w:cs="Times New Roman"/>
          <w:sz w:val="24"/>
          <w:szCs w:val="24"/>
        </w:rPr>
        <w:t>on top of</w:t>
      </w:r>
      <w:r w:rsidRPr="00B17E94">
        <w:rPr>
          <w:rFonts w:ascii="Times New Roman" w:hAnsi="Times New Roman" w:cs="Times New Roman"/>
          <w:sz w:val="24"/>
          <w:szCs w:val="24"/>
        </w:rPr>
        <w:t xml:space="preserve"> a</w:t>
      </w:r>
      <w:r w:rsidR="001632B1">
        <w:rPr>
          <w:rFonts w:ascii="Times New Roman" w:hAnsi="Times New Roman" w:cs="Times New Roman"/>
          <w:sz w:val="24"/>
          <w:szCs w:val="24"/>
        </w:rPr>
        <w:t xml:space="preserve"> scanning electron microscopy (SEM) </w:t>
      </w:r>
      <w:r w:rsidRPr="00B17E94">
        <w:rPr>
          <w:rFonts w:ascii="Times New Roman" w:hAnsi="Times New Roman" w:cs="Times New Roman"/>
          <w:sz w:val="24"/>
          <w:szCs w:val="24"/>
        </w:rPr>
        <w:t xml:space="preserve">stub. </w:t>
      </w:r>
      <w:r>
        <w:rPr>
          <w:rFonts w:ascii="Times New Roman" w:hAnsi="Times New Roman" w:cs="Times New Roman"/>
          <w:sz w:val="24"/>
          <w:szCs w:val="24"/>
        </w:rPr>
        <w:t>A</w:t>
      </w:r>
      <w:r w:rsidRPr="00B17E94">
        <w:rPr>
          <w:rFonts w:ascii="Times New Roman" w:hAnsi="Times New Roman" w:cs="Times New Roman"/>
          <w:sz w:val="24"/>
          <w:szCs w:val="24"/>
        </w:rPr>
        <w:t xml:space="preserve"> field-emission </w:t>
      </w:r>
      <w:r w:rsidR="00EE5913">
        <w:rPr>
          <w:rFonts w:ascii="Times New Roman" w:hAnsi="Times New Roman" w:cs="Times New Roman"/>
          <w:sz w:val="24"/>
          <w:szCs w:val="24"/>
        </w:rPr>
        <w:t>SEM</w:t>
      </w:r>
      <w:r w:rsidRPr="00B17E94">
        <w:rPr>
          <w:rFonts w:ascii="Times New Roman" w:hAnsi="Times New Roman" w:cs="Times New Roman"/>
          <w:sz w:val="24"/>
          <w:szCs w:val="24"/>
        </w:rPr>
        <w:t xml:space="preserve"> (</w:t>
      </w:r>
      <w:r w:rsidRPr="00A42310">
        <w:rPr>
          <w:rFonts w:ascii="Times New Roman" w:hAnsi="Times New Roman" w:cs="Times New Roman"/>
          <w:sz w:val="24"/>
          <w:szCs w:val="24"/>
        </w:rPr>
        <w:t>Ver</w:t>
      </w:r>
      <w:r w:rsidR="008F4DD2" w:rsidRPr="00A42310">
        <w:rPr>
          <w:rFonts w:ascii="Times New Roman" w:hAnsi="Times New Roman" w:cs="Times New Roman"/>
          <w:sz w:val="24"/>
          <w:szCs w:val="24"/>
        </w:rPr>
        <w:t>i</w:t>
      </w:r>
      <w:r w:rsidRPr="00A42310">
        <w:rPr>
          <w:rFonts w:ascii="Times New Roman" w:hAnsi="Times New Roman" w:cs="Times New Roman"/>
          <w:sz w:val="24"/>
          <w:szCs w:val="24"/>
        </w:rPr>
        <w:t>os</w:t>
      </w:r>
      <w:r w:rsidRPr="00B17E94">
        <w:rPr>
          <w:rFonts w:ascii="Times New Roman" w:hAnsi="Times New Roman" w:cs="Times New Roman"/>
          <w:sz w:val="24"/>
          <w:szCs w:val="24"/>
        </w:rPr>
        <w:t xml:space="preserve"> 460L, Thermo Fisher) was used to image the particles</w:t>
      </w:r>
      <w:r>
        <w:rPr>
          <w:rFonts w:ascii="Times New Roman" w:hAnsi="Times New Roman" w:cs="Times New Roman"/>
          <w:sz w:val="24"/>
          <w:szCs w:val="24"/>
        </w:rPr>
        <w:t xml:space="preserve"> with a</w:t>
      </w:r>
      <w:r w:rsidRPr="00B17E94">
        <w:rPr>
          <w:rFonts w:ascii="Times New Roman" w:hAnsi="Times New Roman" w:cs="Times New Roman"/>
          <w:sz w:val="24"/>
          <w:szCs w:val="24"/>
        </w:rPr>
        <w:t xml:space="preserve"> </w:t>
      </w:r>
      <w:r>
        <w:rPr>
          <w:rFonts w:ascii="Times New Roman" w:hAnsi="Times New Roman" w:cs="Times New Roman"/>
          <w:sz w:val="24"/>
          <w:szCs w:val="24"/>
        </w:rPr>
        <w:t xml:space="preserve">2-3 kV voltage. </w:t>
      </w:r>
      <w:r w:rsidR="0073639B">
        <w:rPr>
          <w:rFonts w:asciiTheme="majorBidi" w:hAnsiTheme="majorBidi" w:cstheme="majorBidi"/>
          <w:sz w:val="24"/>
          <w:szCs w:val="24"/>
        </w:rPr>
        <w:t>E</w:t>
      </w:r>
      <w:r w:rsidR="0073639B" w:rsidRPr="004E1E99">
        <w:rPr>
          <w:rFonts w:asciiTheme="majorBidi" w:hAnsiTheme="majorBidi" w:cstheme="majorBidi"/>
          <w:sz w:val="24"/>
          <w:szCs w:val="24"/>
        </w:rPr>
        <w:t>nergy-dispersive X-ray spectroscopy (EDS)</w:t>
      </w:r>
      <w:r w:rsidR="000A25BC">
        <w:rPr>
          <w:rFonts w:asciiTheme="majorBidi" w:hAnsiTheme="majorBidi" w:cstheme="majorBidi"/>
          <w:sz w:val="24"/>
          <w:szCs w:val="24"/>
        </w:rPr>
        <w:t xml:space="preserve"> </w:t>
      </w:r>
      <w:r w:rsidR="00CD0F23">
        <w:rPr>
          <w:rFonts w:asciiTheme="majorBidi" w:hAnsiTheme="majorBidi" w:cstheme="majorBidi"/>
          <w:sz w:val="24"/>
          <w:szCs w:val="24"/>
        </w:rPr>
        <w:t xml:space="preserve">measurements </w:t>
      </w:r>
      <w:r>
        <w:rPr>
          <w:rFonts w:ascii="Times New Roman" w:hAnsi="Times New Roman" w:cs="Times New Roman"/>
          <w:sz w:val="24"/>
          <w:szCs w:val="24"/>
        </w:rPr>
        <w:t xml:space="preserve">to determine the elemental composition </w:t>
      </w:r>
      <w:r w:rsidR="00CD0F23">
        <w:rPr>
          <w:rFonts w:ascii="Times New Roman" w:hAnsi="Times New Roman" w:cs="Times New Roman"/>
          <w:sz w:val="24"/>
          <w:szCs w:val="24"/>
        </w:rPr>
        <w:t>were</w:t>
      </w:r>
      <w:r>
        <w:rPr>
          <w:rFonts w:ascii="Times New Roman" w:hAnsi="Times New Roman" w:cs="Times New Roman"/>
          <w:sz w:val="24"/>
          <w:szCs w:val="24"/>
        </w:rPr>
        <w:t xml:space="preserve"> conducted with a voltage of 15 kV</w:t>
      </w:r>
      <w:r w:rsidR="00996F0B">
        <w:rPr>
          <w:rFonts w:ascii="Times New Roman" w:hAnsi="Times New Roman" w:cs="Times New Roman"/>
          <w:sz w:val="24"/>
          <w:szCs w:val="24"/>
        </w:rPr>
        <w:t>,</w:t>
      </w:r>
      <w:r w:rsidR="001C627B">
        <w:rPr>
          <w:rFonts w:ascii="Times New Roman" w:hAnsi="Times New Roman" w:cs="Times New Roman"/>
          <w:sz w:val="24"/>
          <w:szCs w:val="24"/>
        </w:rPr>
        <w:t xml:space="preserve"> averaging the entire particle surface.</w:t>
      </w:r>
    </w:p>
    <w:p w14:paraId="2ECBBF2A" w14:textId="151D01DA" w:rsidR="009E7C3A" w:rsidRDefault="00A90CF8" w:rsidP="00AB3F9D">
      <w:pPr>
        <w:spacing w:after="0" w:line="360" w:lineRule="auto"/>
        <w:ind w:left="360"/>
        <w:jc w:val="both"/>
        <w:rPr>
          <w:rFonts w:ascii="Times New Roman" w:hAnsi="Times New Roman" w:cs="Times New Roman"/>
          <w:sz w:val="24"/>
          <w:szCs w:val="24"/>
        </w:rPr>
      </w:pPr>
      <w:r w:rsidRPr="009E7C3A">
        <w:rPr>
          <w:rFonts w:ascii="Times New Roman" w:hAnsi="Times New Roman" w:cs="Times New Roman"/>
          <w:sz w:val="24"/>
          <w:szCs w:val="24"/>
          <w:highlight w:val="green"/>
        </w:rPr>
        <w:t xml:space="preserve">The surface roughness of the minerals was measured using a 3D optical microscope (New View 200 Zygo Scanning White Light Microscope). The minerals were uniformly distributed on a glass slide, and surface maps (72 µm x 54 µm) were acquired. To eliminate the form, a reference surface (plane) was subtracted. The roughness parameters </w:t>
      </w:r>
      <w:r w:rsidR="00A854F9" w:rsidRPr="009E7C3A">
        <w:rPr>
          <w:rFonts w:ascii="Times New Roman" w:hAnsi="Times New Roman" w:cs="Times New Roman"/>
          <w:sz w:val="24"/>
          <w:szCs w:val="24"/>
          <w:highlight w:val="green"/>
        </w:rPr>
        <w:t xml:space="preserve">Ra and Rq </w:t>
      </w:r>
      <w:r w:rsidRPr="009E7C3A">
        <w:rPr>
          <w:rFonts w:ascii="Times New Roman" w:hAnsi="Times New Roman" w:cs="Times New Roman"/>
          <w:sz w:val="24"/>
          <w:szCs w:val="24"/>
          <w:highlight w:val="green"/>
        </w:rPr>
        <w:t>were computed using the Zygo MetroPro software with a high filter wavelength of 1.78838 µm and a low filter wavelength of 5.45030 µm. For each mineral, at least four roughness map</w:t>
      </w:r>
      <w:r w:rsidR="00A854F9" w:rsidRPr="009E7C3A">
        <w:rPr>
          <w:rFonts w:ascii="Times New Roman" w:hAnsi="Times New Roman" w:cs="Times New Roman"/>
          <w:sz w:val="24"/>
          <w:szCs w:val="24"/>
          <w:highlight w:val="green"/>
        </w:rPr>
        <w:t xml:space="preserve"> </w:t>
      </w:r>
      <w:r w:rsidRPr="009E7C3A">
        <w:rPr>
          <w:rFonts w:ascii="Times New Roman" w:hAnsi="Times New Roman" w:cs="Times New Roman"/>
          <w:sz w:val="24"/>
          <w:szCs w:val="24"/>
          <w:highlight w:val="green"/>
        </w:rPr>
        <w:t xml:space="preserve">measurements were conducted, and the resulting Ra and Rq values </w:t>
      </w:r>
      <w:r w:rsidR="003C42DE">
        <w:rPr>
          <w:rFonts w:ascii="Times New Roman" w:hAnsi="Times New Roman" w:cs="Times New Roman"/>
          <w:sz w:val="24"/>
          <w:szCs w:val="24"/>
          <w:highlight w:val="green"/>
        </w:rPr>
        <w:t xml:space="preserve">are presented as </w:t>
      </w:r>
      <w:r w:rsidR="009D70EE">
        <w:rPr>
          <w:rFonts w:ascii="Times New Roman" w:hAnsi="Times New Roman" w:cs="Times New Roman"/>
          <w:sz w:val="24"/>
          <w:szCs w:val="24"/>
          <w:highlight w:val="green"/>
        </w:rPr>
        <w:t xml:space="preserve">the </w:t>
      </w:r>
      <w:r w:rsidR="003C42DE">
        <w:rPr>
          <w:rFonts w:ascii="Times New Roman" w:hAnsi="Times New Roman" w:cs="Times New Roman"/>
          <w:sz w:val="24"/>
          <w:szCs w:val="24"/>
          <w:highlight w:val="green"/>
        </w:rPr>
        <w:t>mean</w:t>
      </w:r>
      <w:r w:rsidR="009D70EE">
        <w:rPr>
          <w:rFonts w:ascii="Times New Roman" w:hAnsi="Times New Roman" w:cs="Times New Roman"/>
          <w:sz w:val="24"/>
          <w:szCs w:val="24"/>
          <w:highlight w:val="green"/>
        </w:rPr>
        <w:t xml:space="preserve"> </w:t>
      </w:r>
      <w:r w:rsidR="003C42DE">
        <w:rPr>
          <w:rFonts w:ascii="Times New Roman" w:hAnsi="Times New Roman" w:cs="Times New Roman"/>
          <w:sz w:val="24"/>
          <w:szCs w:val="24"/>
          <w:highlight w:val="green"/>
        </w:rPr>
        <w:t>±</w:t>
      </w:r>
      <w:r w:rsidR="009D70EE">
        <w:rPr>
          <w:rFonts w:ascii="Times New Roman" w:hAnsi="Times New Roman" w:cs="Times New Roman"/>
          <w:sz w:val="24"/>
          <w:szCs w:val="24"/>
          <w:highlight w:val="green"/>
        </w:rPr>
        <w:t xml:space="preserve"> </w:t>
      </w:r>
      <w:r w:rsidRPr="009E7C3A">
        <w:rPr>
          <w:rFonts w:ascii="Times New Roman" w:hAnsi="Times New Roman" w:cs="Times New Roman"/>
          <w:sz w:val="24"/>
          <w:szCs w:val="24"/>
          <w:highlight w:val="green"/>
        </w:rPr>
        <w:t>the standard deviation</w:t>
      </w:r>
      <w:r w:rsidR="00F6415D" w:rsidRPr="009E7C3A">
        <w:rPr>
          <w:rFonts w:ascii="Times New Roman" w:hAnsi="Times New Roman" w:cs="Times New Roman"/>
          <w:sz w:val="24"/>
          <w:szCs w:val="24"/>
          <w:highlight w:val="green"/>
        </w:rPr>
        <w:t>.</w:t>
      </w:r>
    </w:p>
    <w:p w14:paraId="785AEC27" w14:textId="46B758C7" w:rsidR="00285746" w:rsidRDefault="00BA2131" w:rsidP="00AB3F9D">
      <w:pPr>
        <w:spacing w:after="0" w:line="360" w:lineRule="auto"/>
        <w:ind w:left="360"/>
        <w:jc w:val="both"/>
        <w:rPr>
          <w:rFonts w:ascii="Times New Roman" w:hAnsi="Times New Roman" w:cs="Times New Roman"/>
          <w:sz w:val="24"/>
          <w:szCs w:val="24"/>
        </w:rPr>
      </w:pPr>
      <w:r w:rsidRPr="00BA2131">
        <w:rPr>
          <w:rFonts w:ascii="Times New Roman" w:hAnsi="Times New Roman" w:cs="Times New Roman"/>
          <w:sz w:val="24"/>
          <w:szCs w:val="24"/>
        </w:rPr>
        <w:t xml:space="preserve">Elemental composition </w:t>
      </w:r>
      <w:r w:rsidR="000C1AEE">
        <w:rPr>
          <w:rFonts w:ascii="Times New Roman" w:hAnsi="Times New Roman" w:cs="Times New Roman"/>
          <w:sz w:val="24"/>
          <w:szCs w:val="24"/>
        </w:rPr>
        <w:t>was analyz</w:t>
      </w:r>
      <w:r w:rsidRPr="00BA2131">
        <w:rPr>
          <w:rFonts w:ascii="Times New Roman" w:hAnsi="Times New Roman" w:cs="Times New Roman"/>
          <w:sz w:val="24"/>
          <w:szCs w:val="24"/>
        </w:rPr>
        <w:t xml:space="preserve">ed </w:t>
      </w:r>
      <w:r w:rsidR="00BF3FB8">
        <w:rPr>
          <w:rFonts w:ascii="Times New Roman" w:hAnsi="Times New Roman" w:cs="Times New Roman"/>
          <w:sz w:val="24"/>
          <w:szCs w:val="24"/>
        </w:rPr>
        <w:t>using</w:t>
      </w:r>
      <w:r w:rsidRPr="00BA2131">
        <w:rPr>
          <w:rFonts w:ascii="Times New Roman" w:hAnsi="Times New Roman" w:cs="Times New Roman"/>
          <w:sz w:val="24"/>
          <w:szCs w:val="24"/>
        </w:rPr>
        <w:t xml:space="preserve"> Inductively Coupled Plasma Optical Emission Spectroscopy (ICP-OES). </w:t>
      </w:r>
      <w:r w:rsidR="0047073D">
        <w:rPr>
          <w:rFonts w:ascii="Times New Roman" w:hAnsi="Times New Roman" w:cs="Times New Roman"/>
          <w:sz w:val="24"/>
          <w:szCs w:val="24"/>
        </w:rPr>
        <w:t>Three</w:t>
      </w:r>
      <w:r w:rsidR="00F81B81">
        <w:rPr>
          <w:rFonts w:ascii="Times New Roman" w:hAnsi="Times New Roman" w:cs="Times New Roman"/>
          <w:sz w:val="24"/>
          <w:szCs w:val="24"/>
        </w:rPr>
        <w:t xml:space="preserve"> mg of t</w:t>
      </w:r>
      <w:r w:rsidRPr="00BA2131">
        <w:rPr>
          <w:rFonts w:ascii="Times New Roman" w:hAnsi="Times New Roman" w:cs="Times New Roman"/>
          <w:sz w:val="24"/>
          <w:szCs w:val="24"/>
        </w:rPr>
        <w:t xml:space="preserve">he synthetic </w:t>
      </w:r>
      <w:r>
        <w:rPr>
          <w:rFonts w:ascii="Times New Roman" w:hAnsi="Times New Roman" w:cs="Times New Roman"/>
          <w:sz w:val="24"/>
          <w:szCs w:val="24"/>
        </w:rPr>
        <w:t>MCs</w:t>
      </w:r>
      <w:r w:rsidRPr="00BA2131">
        <w:rPr>
          <w:rFonts w:ascii="Times New Roman" w:hAnsi="Times New Roman" w:cs="Times New Roman"/>
          <w:sz w:val="24"/>
          <w:szCs w:val="24"/>
        </w:rPr>
        <w:t xml:space="preserve"> were first digested in 0.2 </w:t>
      </w:r>
      <w:r w:rsidR="006805A2">
        <w:rPr>
          <w:rFonts w:ascii="Times New Roman" w:hAnsi="Times New Roman" w:cs="Times New Roman"/>
          <w:sz w:val="24"/>
          <w:szCs w:val="24"/>
        </w:rPr>
        <w:t>m</w:t>
      </w:r>
      <w:r w:rsidRPr="00BA2131">
        <w:rPr>
          <w:rFonts w:ascii="Times New Roman" w:hAnsi="Times New Roman" w:cs="Times New Roman"/>
          <w:sz w:val="24"/>
          <w:szCs w:val="24"/>
        </w:rPr>
        <w:t xml:space="preserve">L of ultrapure 70% </w:t>
      </w:r>
      <m:oMath>
        <m:r>
          <m:rPr>
            <m:sty m:val="p"/>
          </m:rPr>
          <w:rPr>
            <w:rFonts w:ascii="Cambria Math" w:hAnsi="Cambria Math" w:cs="Times New Roman"/>
            <w:sz w:val="24"/>
            <w:szCs w:val="24"/>
          </w:rPr>
          <m:t>HN</m:t>
        </m:r>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Pr="00BA2131">
        <w:rPr>
          <w:rFonts w:ascii="Times New Roman" w:hAnsi="Times New Roman" w:cs="Times New Roman"/>
          <w:sz w:val="24"/>
          <w:szCs w:val="24"/>
        </w:rPr>
        <w:t xml:space="preserve"> (Sigma-Aldrich) and subsequently diluted to a final volume of 10 mL. </w:t>
      </w:r>
      <w:r w:rsidRPr="00BA2131">
        <w:rPr>
          <w:rFonts w:ascii="Times New Roman" w:hAnsi="Times New Roman" w:cs="Times New Roman"/>
          <w:sz w:val="24"/>
          <w:szCs w:val="24"/>
        </w:rPr>
        <w:lastRenderedPageBreak/>
        <w:t xml:space="preserve">These samples were then subjected to multi-elemental trace analyses using a Spectro Arcos ICP-OES instrument equipped with a CETAC autosampler. </w:t>
      </w:r>
      <w:r w:rsidR="00BF3FB8">
        <w:rPr>
          <w:rFonts w:ascii="Times New Roman" w:hAnsi="Times New Roman" w:cs="Times New Roman"/>
          <w:sz w:val="24"/>
          <w:szCs w:val="24"/>
        </w:rPr>
        <w:t>The instrument was calibrat</w:t>
      </w:r>
      <w:r w:rsidRPr="00BA2131">
        <w:rPr>
          <w:rFonts w:ascii="Times New Roman" w:hAnsi="Times New Roman" w:cs="Times New Roman"/>
          <w:sz w:val="24"/>
          <w:szCs w:val="24"/>
        </w:rPr>
        <w:t>ed using a multi-elemental standard solution dissolved in 5% HNO</w:t>
      </w:r>
      <w:r w:rsidRPr="00A42310">
        <w:rPr>
          <w:rFonts w:ascii="Times New Roman" w:hAnsi="Times New Roman" w:cs="Times New Roman"/>
          <w:sz w:val="24"/>
          <w:szCs w:val="24"/>
          <w:vertAlign w:val="subscript"/>
        </w:rPr>
        <w:t>3</w:t>
      </w:r>
      <w:r w:rsidRPr="00BA2131">
        <w:rPr>
          <w:rFonts w:ascii="Times New Roman" w:hAnsi="Times New Roman" w:cs="Times New Roman"/>
          <w:sz w:val="24"/>
          <w:szCs w:val="24"/>
        </w:rPr>
        <w:t xml:space="preserve">, spanning concentrations from </w:t>
      </w:r>
      <w:r w:rsidR="007117AB">
        <w:rPr>
          <w:rFonts w:ascii="Times New Roman" w:hAnsi="Times New Roman" w:cs="Times New Roman"/>
          <w:sz w:val="24"/>
          <w:szCs w:val="24"/>
        </w:rPr>
        <w:t>0.1</w:t>
      </w:r>
      <w:r w:rsidRPr="00BA2131">
        <w:rPr>
          <w:rFonts w:ascii="Times New Roman" w:hAnsi="Times New Roman" w:cs="Times New Roman"/>
          <w:sz w:val="24"/>
          <w:szCs w:val="24"/>
        </w:rPr>
        <w:t xml:space="preserve"> pp</w:t>
      </w:r>
      <w:r w:rsidR="007117AB">
        <w:rPr>
          <w:rFonts w:ascii="Times New Roman" w:hAnsi="Times New Roman" w:cs="Times New Roman"/>
          <w:sz w:val="24"/>
          <w:szCs w:val="24"/>
        </w:rPr>
        <w:t>m</w:t>
      </w:r>
      <w:r w:rsidRPr="00BA2131">
        <w:rPr>
          <w:rFonts w:ascii="Times New Roman" w:hAnsi="Times New Roman" w:cs="Times New Roman"/>
          <w:sz w:val="24"/>
          <w:szCs w:val="24"/>
        </w:rPr>
        <w:t xml:space="preserve"> to </w:t>
      </w:r>
      <w:r w:rsidR="005F4A5A">
        <w:rPr>
          <w:rFonts w:ascii="Times New Roman" w:hAnsi="Times New Roman" w:cs="Times New Roman"/>
          <w:sz w:val="24"/>
          <w:szCs w:val="24"/>
        </w:rPr>
        <w:t>20</w:t>
      </w:r>
      <w:r w:rsidR="005F4A5A" w:rsidRPr="00BA2131">
        <w:rPr>
          <w:rFonts w:ascii="Times New Roman" w:hAnsi="Times New Roman" w:cs="Times New Roman"/>
          <w:sz w:val="24"/>
          <w:szCs w:val="24"/>
        </w:rPr>
        <w:t xml:space="preserve"> </w:t>
      </w:r>
      <w:r w:rsidRPr="00BA2131">
        <w:rPr>
          <w:rFonts w:ascii="Times New Roman" w:hAnsi="Times New Roman" w:cs="Times New Roman"/>
          <w:sz w:val="24"/>
          <w:szCs w:val="24"/>
        </w:rPr>
        <w:t>pp</w:t>
      </w:r>
      <w:r w:rsidR="007117AB">
        <w:rPr>
          <w:rFonts w:ascii="Times New Roman" w:hAnsi="Times New Roman" w:cs="Times New Roman"/>
          <w:sz w:val="24"/>
          <w:szCs w:val="24"/>
        </w:rPr>
        <w:t>m</w:t>
      </w:r>
      <w:r w:rsidRPr="00BA2131">
        <w:rPr>
          <w:rFonts w:ascii="Times New Roman" w:hAnsi="Times New Roman" w:cs="Times New Roman"/>
          <w:sz w:val="24"/>
          <w:szCs w:val="24"/>
        </w:rPr>
        <w:t xml:space="preserve">. The ICP-OES instrument was operated under 1400 W plasma RF power, 13 L/min coolant gas flow, 1 L/min auxiliary flow, 0.75 nebulizer flow, 30 rpm pump speed, and a 15 s flush time between samples. All elements were detected in radial mode, with integration employing </w:t>
      </w:r>
      <w:r w:rsidR="00BC5473">
        <w:rPr>
          <w:rFonts w:ascii="Times New Roman" w:hAnsi="Times New Roman" w:cs="Times New Roman"/>
          <w:sz w:val="24"/>
          <w:szCs w:val="24"/>
        </w:rPr>
        <w:t>three</w:t>
      </w:r>
      <w:r w:rsidRPr="00BA2131">
        <w:rPr>
          <w:rFonts w:ascii="Times New Roman" w:hAnsi="Times New Roman" w:cs="Times New Roman"/>
          <w:sz w:val="24"/>
          <w:szCs w:val="24"/>
        </w:rPr>
        <w:t xml:space="preserve"> points per peak and </w:t>
      </w:r>
      <w:r w:rsidR="00BC5473">
        <w:rPr>
          <w:rFonts w:ascii="Times New Roman" w:hAnsi="Times New Roman" w:cs="Times New Roman"/>
          <w:sz w:val="24"/>
          <w:szCs w:val="24"/>
        </w:rPr>
        <w:t>one</w:t>
      </w:r>
      <w:r w:rsidRPr="00BA2131">
        <w:rPr>
          <w:rFonts w:ascii="Times New Roman" w:hAnsi="Times New Roman" w:cs="Times New Roman"/>
          <w:sz w:val="24"/>
          <w:szCs w:val="24"/>
        </w:rPr>
        <w:t xml:space="preserve"> point for background measurements.</w:t>
      </w:r>
      <w:r w:rsidR="001D4BA6">
        <w:rPr>
          <w:rFonts w:ascii="Times New Roman" w:hAnsi="Times New Roman" w:cs="Times New Roman"/>
          <w:sz w:val="24"/>
          <w:szCs w:val="24"/>
        </w:rPr>
        <w:t xml:space="preserve"> </w:t>
      </w:r>
      <w:r w:rsidR="003A6ED4">
        <w:rPr>
          <w:rFonts w:ascii="Times New Roman" w:hAnsi="Times New Roman" w:cs="Times New Roman"/>
          <w:sz w:val="24"/>
          <w:szCs w:val="24"/>
        </w:rPr>
        <w:t>To determine the weight fraction in the crystal (wt</w:t>
      </w:r>
      <w:r w:rsidR="00EA43AE">
        <w:rPr>
          <w:rFonts w:ascii="Times New Roman" w:hAnsi="Times New Roman" w:cs="Times New Roman"/>
          <w:sz w:val="24"/>
          <w:szCs w:val="24"/>
        </w:rPr>
        <w:t>%</w:t>
      </w:r>
      <w:r w:rsidR="003A6ED4">
        <w:rPr>
          <w:rFonts w:ascii="Times New Roman" w:hAnsi="Times New Roman" w:cs="Times New Roman"/>
          <w:sz w:val="24"/>
          <w:szCs w:val="24"/>
        </w:rPr>
        <w:t>), t</w:t>
      </w:r>
      <w:r w:rsidR="001D4BA6">
        <w:rPr>
          <w:rFonts w:ascii="Times New Roman" w:hAnsi="Times New Roman" w:cs="Times New Roman"/>
          <w:sz w:val="24"/>
          <w:szCs w:val="24"/>
        </w:rPr>
        <w:t>he ICP-OES results</w:t>
      </w:r>
      <w:r w:rsidR="003A6ED4">
        <w:rPr>
          <w:rFonts w:ascii="Times New Roman" w:hAnsi="Times New Roman" w:cs="Times New Roman"/>
          <w:sz w:val="24"/>
          <w:szCs w:val="24"/>
        </w:rPr>
        <w:t xml:space="preserve"> </w:t>
      </w:r>
      <w:r w:rsidR="001D4BA6">
        <w:rPr>
          <w:rFonts w:ascii="Times New Roman" w:hAnsi="Times New Roman" w:cs="Times New Roman"/>
          <w:sz w:val="24"/>
          <w:szCs w:val="24"/>
        </w:rPr>
        <w:t>(ppm)</w:t>
      </w:r>
      <w:r w:rsidR="001D4BA6" w:rsidRPr="001D4BA6">
        <w:t xml:space="preserve"> </w:t>
      </w:r>
      <w:r w:rsidR="001D4BA6" w:rsidRPr="001D4BA6">
        <w:rPr>
          <w:rFonts w:ascii="Times New Roman" w:hAnsi="Times New Roman" w:cs="Times New Roman"/>
          <w:sz w:val="24"/>
          <w:szCs w:val="24"/>
        </w:rPr>
        <w:t xml:space="preserve">were multiplied by the initial volume to </w:t>
      </w:r>
      <w:r w:rsidR="003A6ED4">
        <w:rPr>
          <w:rFonts w:ascii="Times New Roman" w:hAnsi="Times New Roman" w:cs="Times New Roman"/>
          <w:sz w:val="24"/>
          <w:szCs w:val="24"/>
        </w:rPr>
        <w:t>derive</w:t>
      </w:r>
      <w:r w:rsidR="003A6ED4" w:rsidRPr="001D4BA6">
        <w:rPr>
          <w:rFonts w:ascii="Times New Roman" w:hAnsi="Times New Roman" w:cs="Times New Roman"/>
          <w:sz w:val="24"/>
          <w:szCs w:val="24"/>
        </w:rPr>
        <w:t xml:space="preserve"> </w:t>
      </w:r>
      <w:r w:rsidR="001D4BA6" w:rsidRPr="001D4BA6">
        <w:rPr>
          <w:rFonts w:ascii="Times New Roman" w:hAnsi="Times New Roman" w:cs="Times New Roman"/>
          <w:sz w:val="24"/>
          <w:szCs w:val="24"/>
        </w:rPr>
        <w:t xml:space="preserve">the </w:t>
      </w:r>
      <w:r w:rsidR="003A6ED4">
        <w:rPr>
          <w:rFonts w:ascii="Times New Roman" w:hAnsi="Times New Roman" w:cs="Times New Roman"/>
          <w:sz w:val="24"/>
          <w:szCs w:val="24"/>
        </w:rPr>
        <w:t>element's weigh</w:t>
      </w:r>
      <w:r w:rsidR="001D4BA6" w:rsidRPr="001D4BA6">
        <w:rPr>
          <w:rFonts w:ascii="Times New Roman" w:hAnsi="Times New Roman" w:cs="Times New Roman"/>
          <w:sz w:val="24"/>
          <w:szCs w:val="24"/>
        </w:rPr>
        <w:t xml:space="preserve">t </w:t>
      </w:r>
      <w:r w:rsidR="003A6ED4">
        <w:rPr>
          <w:rFonts w:ascii="Times New Roman" w:hAnsi="Times New Roman" w:cs="Times New Roman"/>
          <w:sz w:val="24"/>
          <w:szCs w:val="24"/>
        </w:rPr>
        <w:t>(</w:t>
      </w:r>
      <w:r w:rsidR="001D4BA6">
        <w:rPr>
          <w:rFonts w:ascii="Times New Roman" w:hAnsi="Times New Roman" w:cs="Times New Roman"/>
          <w:sz w:val="24"/>
          <w:szCs w:val="24"/>
        </w:rPr>
        <w:t>mg</w:t>
      </w:r>
      <w:r w:rsidR="003A6ED4">
        <w:rPr>
          <w:rFonts w:ascii="Times New Roman" w:hAnsi="Times New Roman" w:cs="Times New Roman"/>
          <w:sz w:val="24"/>
          <w:szCs w:val="24"/>
        </w:rPr>
        <w:t>). This weight was</w:t>
      </w:r>
      <w:r w:rsidR="001D4BA6" w:rsidRPr="001D4BA6">
        <w:rPr>
          <w:rFonts w:ascii="Times New Roman" w:hAnsi="Times New Roman" w:cs="Times New Roman"/>
          <w:sz w:val="24"/>
          <w:szCs w:val="24"/>
        </w:rPr>
        <w:t xml:space="preserve"> divided by the initial </w:t>
      </w:r>
      <w:r w:rsidR="00474C75">
        <w:rPr>
          <w:rFonts w:ascii="Times New Roman" w:hAnsi="Times New Roman" w:cs="Times New Roman"/>
          <w:sz w:val="24"/>
          <w:szCs w:val="24"/>
        </w:rPr>
        <w:t xml:space="preserve">mass </w:t>
      </w:r>
      <w:r w:rsidR="001D4BA6" w:rsidRPr="001D4BA6">
        <w:rPr>
          <w:rFonts w:ascii="Times New Roman" w:hAnsi="Times New Roman" w:cs="Times New Roman"/>
          <w:sz w:val="24"/>
          <w:szCs w:val="24"/>
        </w:rPr>
        <w:t xml:space="preserve">of </w:t>
      </w:r>
      <w:r w:rsidR="005F4A5A">
        <w:rPr>
          <w:rFonts w:ascii="Times New Roman" w:hAnsi="Times New Roman" w:cs="Times New Roman"/>
          <w:sz w:val="24"/>
          <w:szCs w:val="24"/>
        </w:rPr>
        <w:t>digested</w:t>
      </w:r>
      <w:r w:rsidR="005F4A5A" w:rsidRPr="001D4BA6">
        <w:rPr>
          <w:rFonts w:ascii="Times New Roman" w:hAnsi="Times New Roman" w:cs="Times New Roman"/>
          <w:sz w:val="24"/>
          <w:szCs w:val="24"/>
        </w:rPr>
        <w:t xml:space="preserve"> </w:t>
      </w:r>
      <w:r w:rsidR="001D4BA6" w:rsidRPr="001D4BA6">
        <w:rPr>
          <w:rFonts w:ascii="Times New Roman" w:hAnsi="Times New Roman" w:cs="Times New Roman"/>
          <w:sz w:val="24"/>
          <w:szCs w:val="24"/>
        </w:rPr>
        <w:t>crystals</w:t>
      </w:r>
      <w:r w:rsidR="001D4BA6">
        <w:rPr>
          <w:rFonts w:ascii="Times New Roman" w:hAnsi="Times New Roman" w:cs="Times New Roman"/>
          <w:sz w:val="24"/>
          <w:szCs w:val="24"/>
        </w:rPr>
        <w:t>.</w:t>
      </w:r>
    </w:p>
    <w:p w14:paraId="10039104" w14:textId="08DE29B4" w:rsidR="007B5577" w:rsidRPr="007B5577" w:rsidRDefault="007B5577" w:rsidP="00AB3F9D">
      <w:pPr>
        <w:pStyle w:val="ListParagraph"/>
        <w:numPr>
          <w:ilvl w:val="1"/>
          <w:numId w:val="1"/>
        </w:numPr>
        <w:spacing w:after="0" w:line="360" w:lineRule="auto"/>
        <w:jc w:val="both"/>
        <w:rPr>
          <w:rFonts w:ascii="Times New Roman" w:hAnsi="Times New Roman" w:cs="Times New Roman"/>
          <w:sz w:val="24"/>
          <w:szCs w:val="24"/>
        </w:rPr>
      </w:pPr>
      <w:r w:rsidRPr="007B5577">
        <w:rPr>
          <w:rFonts w:asciiTheme="majorBidi" w:hAnsiTheme="majorBidi" w:cstheme="majorBidi"/>
          <w:b/>
          <w:bCs/>
          <w:sz w:val="24"/>
          <w:szCs w:val="24"/>
        </w:rPr>
        <w:t xml:space="preserve">Zeta potential </w:t>
      </w:r>
      <w:r w:rsidR="00CD4590">
        <w:rPr>
          <w:rFonts w:asciiTheme="majorBidi" w:hAnsiTheme="majorBidi" w:cstheme="majorBidi"/>
          <w:b/>
          <w:bCs/>
          <w:sz w:val="24"/>
          <w:szCs w:val="24"/>
        </w:rPr>
        <w:t xml:space="preserve">measurements </w:t>
      </w:r>
    </w:p>
    <w:p w14:paraId="7A6E1EC5" w14:textId="279AF6A1" w:rsidR="00B15F4F" w:rsidRPr="00227116" w:rsidRDefault="007B5577" w:rsidP="00AB3F9D">
      <w:pPr>
        <w:spacing w:after="0" w:line="360" w:lineRule="auto"/>
        <w:ind w:left="360"/>
        <w:jc w:val="both"/>
        <w:rPr>
          <w:rFonts w:asciiTheme="majorBidi" w:hAnsiTheme="majorBidi" w:cstheme="majorBidi"/>
          <w:sz w:val="24"/>
          <w:szCs w:val="24"/>
          <w:shd w:val="clear" w:color="auto" w:fill="FFFFFF"/>
        </w:rPr>
      </w:pPr>
      <w:r w:rsidRPr="007B5577">
        <w:rPr>
          <w:rFonts w:ascii="Times New Roman" w:hAnsi="Times New Roman" w:cs="Times New Roman"/>
          <w:sz w:val="24"/>
          <w:szCs w:val="24"/>
        </w:rPr>
        <w:t xml:space="preserve">Zeta potential measurements were </w:t>
      </w:r>
      <w:r w:rsidR="00D84351">
        <w:rPr>
          <w:rFonts w:ascii="Times New Roman" w:hAnsi="Times New Roman" w:cs="Times New Roman"/>
          <w:sz w:val="24"/>
          <w:szCs w:val="24"/>
        </w:rPr>
        <w:t>conducted</w:t>
      </w:r>
      <w:r w:rsidRPr="007B5577">
        <w:rPr>
          <w:rFonts w:ascii="Times New Roman" w:hAnsi="Times New Roman" w:cs="Times New Roman"/>
          <w:sz w:val="24"/>
          <w:szCs w:val="24"/>
        </w:rPr>
        <w:t xml:space="preserve"> using the Zetasizer Nano ZS (Malvern Instruments Ltd.)</w:t>
      </w:r>
      <w:r w:rsidR="00D84351">
        <w:rPr>
          <w:rFonts w:ascii="Times New Roman" w:hAnsi="Times New Roman" w:cs="Times New Roman"/>
          <w:sz w:val="24"/>
          <w:szCs w:val="24"/>
        </w:rPr>
        <w:t>.</w:t>
      </w:r>
      <w:r w:rsidRPr="007B5577">
        <w:rPr>
          <w:rFonts w:ascii="Times New Roman" w:hAnsi="Times New Roman" w:cs="Times New Roman"/>
          <w:sz w:val="24"/>
          <w:szCs w:val="24"/>
        </w:rPr>
        <w:t xml:space="preserve"> </w:t>
      </w:r>
      <w:r w:rsidR="00D84351">
        <w:rPr>
          <w:rFonts w:ascii="Times New Roman" w:hAnsi="Times New Roman" w:cs="Times New Roman"/>
          <w:sz w:val="24"/>
          <w:szCs w:val="24"/>
        </w:rPr>
        <w:t xml:space="preserve"> Synthetic MC analogs were dispersed in PBS to achieve a final crystal concentration of 0.1 mg/mL</w:t>
      </w:r>
      <w:r w:rsidRPr="007B5577">
        <w:rPr>
          <w:rFonts w:ascii="Times New Roman" w:hAnsi="Times New Roman" w:cs="Times New Roman"/>
          <w:sz w:val="24"/>
          <w:szCs w:val="24"/>
        </w:rPr>
        <w:t xml:space="preserve">. </w:t>
      </w:r>
      <w:r w:rsidR="00D84351">
        <w:rPr>
          <w:rFonts w:ascii="Times New Roman" w:hAnsi="Times New Roman" w:cs="Times New Roman"/>
          <w:sz w:val="24"/>
          <w:szCs w:val="24"/>
        </w:rPr>
        <w:t>The zeta potential was measured at</w:t>
      </w:r>
      <w:r w:rsidRPr="007B5577">
        <w:rPr>
          <w:rFonts w:ascii="Times New Roman" w:hAnsi="Times New Roman" w:cs="Times New Roman"/>
          <w:sz w:val="24"/>
          <w:szCs w:val="24"/>
        </w:rPr>
        <w:t xml:space="preserve"> 37°C</w:t>
      </w:r>
      <w:r w:rsidR="00D84351">
        <w:rPr>
          <w:rFonts w:ascii="Times New Roman" w:hAnsi="Times New Roman" w:cs="Times New Roman"/>
          <w:sz w:val="24"/>
          <w:szCs w:val="24"/>
        </w:rPr>
        <w:t xml:space="preserve"> following</w:t>
      </w:r>
      <w:r w:rsidRPr="007B5577">
        <w:rPr>
          <w:rFonts w:ascii="Times New Roman" w:hAnsi="Times New Roman" w:cs="Times New Roman"/>
          <w:sz w:val="24"/>
          <w:szCs w:val="24"/>
        </w:rPr>
        <w:t xml:space="preserve"> </w:t>
      </w:r>
      <w:r w:rsidR="00E2353F">
        <w:rPr>
          <w:rFonts w:ascii="Times New Roman" w:hAnsi="Times New Roman" w:cs="Times New Roman"/>
          <w:sz w:val="24"/>
          <w:szCs w:val="24"/>
        </w:rPr>
        <w:t>30</w:t>
      </w:r>
      <w:r w:rsidRPr="007B5577">
        <w:rPr>
          <w:rFonts w:ascii="Times New Roman" w:hAnsi="Times New Roman" w:cs="Times New Roman"/>
          <w:sz w:val="24"/>
          <w:szCs w:val="24"/>
        </w:rPr>
        <w:t xml:space="preserve"> minutes of ultrasonication</w:t>
      </w:r>
      <w:r>
        <w:rPr>
          <w:rFonts w:ascii="Times New Roman" w:hAnsi="Times New Roman" w:cs="Times New Roman"/>
          <w:sz w:val="24"/>
          <w:szCs w:val="24"/>
        </w:rPr>
        <w:t xml:space="preserve">. </w:t>
      </w:r>
      <w:r w:rsidR="00E2353F" w:rsidRPr="00C17327">
        <w:rPr>
          <w:rFonts w:asciiTheme="majorBidi" w:hAnsiTheme="majorBidi" w:cstheme="majorBidi"/>
          <w:sz w:val="24"/>
          <w:szCs w:val="24"/>
          <w:shd w:val="clear" w:color="auto" w:fill="FFFFFF"/>
        </w:rPr>
        <w:t xml:space="preserve">The </w:t>
      </w:r>
      <w:r w:rsidR="00E2353F">
        <w:rPr>
          <w:rFonts w:asciiTheme="majorBidi" w:hAnsiTheme="majorBidi" w:cstheme="majorBidi"/>
          <w:sz w:val="24"/>
          <w:szCs w:val="24"/>
          <w:shd w:val="clear" w:color="auto" w:fill="FFFFFF"/>
        </w:rPr>
        <w:t>measurement</w:t>
      </w:r>
      <w:r w:rsidR="00E2353F" w:rsidRPr="00C17327">
        <w:rPr>
          <w:rFonts w:asciiTheme="majorBidi" w:hAnsiTheme="majorBidi" w:cstheme="majorBidi"/>
          <w:sz w:val="24"/>
          <w:szCs w:val="24"/>
          <w:shd w:val="clear" w:color="auto" w:fill="FFFFFF"/>
        </w:rPr>
        <w:t xml:space="preserve"> was </w:t>
      </w:r>
      <w:r w:rsidR="00D84351" w:rsidRPr="00C17327">
        <w:rPr>
          <w:rFonts w:asciiTheme="majorBidi" w:hAnsiTheme="majorBidi" w:cstheme="majorBidi"/>
          <w:sz w:val="24"/>
          <w:szCs w:val="24"/>
          <w:shd w:val="clear" w:color="auto" w:fill="FFFFFF"/>
        </w:rPr>
        <w:t>independent</w:t>
      </w:r>
      <w:r w:rsidR="00D84351">
        <w:rPr>
          <w:rFonts w:asciiTheme="majorBidi" w:hAnsiTheme="majorBidi" w:cstheme="majorBidi"/>
          <w:sz w:val="24"/>
          <w:szCs w:val="24"/>
          <w:shd w:val="clear" w:color="auto" w:fill="FFFFFF"/>
        </w:rPr>
        <w:t xml:space="preserve">ly conducted three </w:t>
      </w:r>
      <w:r w:rsidR="00E2353F" w:rsidRPr="00C17327">
        <w:rPr>
          <w:rFonts w:asciiTheme="majorBidi" w:hAnsiTheme="majorBidi" w:cstheme="majorBidi"/>
          <w:sz w:val="24"/>
          <w:szCs w:val="24"/>
          <w:shd w:val="clear" w:color="auto" w:fill="FFFFFF"/>
        </w:rPr>
        <w:t>times.</w:t>
      </w:r>
    </w:p>
    <w:p w14:paraId="29489FD0" w14:textId="7DE1DACD" w:rsidR="00B13DB4" w:rsidRPr="003F5B77" w:rsidRDefault="00D772D0" w:rsidP="00AB3F9D">
      <w:pPr>
        <w:pStyle w:val="ListParagraph"/>
        <w:numPr>
          <w:ilvl w:val="1"/>
          <w:numId w:val="1"/>
        </w:numPr>
        <w:spacing w:after="0" w:line="360" w:lineRule="auto"/>
        <w:rPr>
          <w:rFonts w:asciiTheme="majorBidi" w:hAnsiTheme="majorBidi" w:cstheme="majorBidi"/>
          <w:b/>
          <w:bCs/>
          <w:sz w:val="24"/>
          <w:szCs w:val="24"/>
        </w:rPr>
      </w:pPr>
      <w:r w:rsidRPr="0082216A">
        <w:rPr>
          <w:rFonts w:asciiTheme="majorBidi" w:hAnsiTheme="majorBidi" w:cstheme="majorBidi"/>
          <w:b/>
          <w:bCs/>
          <w:sz w:val="24"/>
          <w:szCs w:val="24"/>
        </w:rPr>
        <w:t>Assessment of cell malignancy potential</w:t>
      </w:r>
    </w:p>
    <w:p w14:paraId="0468ACCC" w14:textId="14E11BD8" w:rsidR="00B13DB4" w:rsidRPr="00A13A2F" w:rsidRDefault="00B13DB4" w:rsidP="00AB3F9D">
      <w:pPr>
        <w:spacing w:after="0" w:line="360" w:lineRule="auto"/>
        <w:ind w:left="360"/>
        <w:jc w:val="both"/>
        <w:rPr>
          <w:rFonts w:ascii="Times New Roman" w:hAnsi="Times New Roman" w:cs="Times New Roman"/>
          <w:sz w:val="24"/>
          <w:szCs w:val="24"/>
        </w:rPr>
      </w:pPr>
      <w:r w:rsidRPr="00A13A2F">
        <w:rPr>
          <w:rFonts w:ascii="Times New Roman" w:hAnsi="Times New Roman" w:cs="Times New Roman"/>
          <w:b/>
          <w:bCs/>
          <w:sz w:val="24"/>
          <w:szCs w:val="24"/>
        </w:rPr>
        <w:t>Cytotoxicity of MC</w:t>
      </w:r>
      <w:r w:rsidR="003F5B77">
        <w:rPr>
          <w:rFonts w:ascii="Times New Roman" w:hAnsi="Times New Roman" w:cs="Times New Roman"/>
          <w:b/>
          <w:bCs/>
          <w:sz w:val="24"/>
          <w:szCs w:val="24"/>
        </w:rPr>
        <w:t>s</w:t>
      </w:r>
      <w:r w:rsidRPr="00A13A2F">
        <w:rPr>
          <w:rFonts w:ascii="Times New Roman" w:hAnsi="Times New Roman" w:cs="Times New Roman"/>
          <w:sz w:val="24"/>
          <w:szCs w:val="24"/>
        </w:rPr>
        <w:t xml:space="preserve"> </w:t>
      </w:r>
    </w:p>
    <w:p w14:paraId="75DFE467" w14:textId="2CFE21A9" w:rsidR="008B1A58" w:rsidRDefault="00B13DB4" w:rsidP="002562A5">
      <w:pPr>
        <w:spacing w:after="0" w:line="360" w:lineRule="auto"/>
        <w:ind w:left="360"/>
        <w:jc w:val="both"/>
        <w:rPr>
          <w:rFonts w:ascii="Times New Roman" w:hAnsi="Times New Roman" w:cs="Times New Roman"/>
          <w:sz w:val="24"/>
          <w:szCs w:val="24"/>
          <w:highlight w:val="green"/>
        </w:rPr>
      </w:pPr>
      <w:r w:rsidRPr="00A13A2F">
        <w:rPr>
          <w:rFonts w:ascii="Times New Roman" w:hAnsi="Times New Roman" w:cs="Times New Roman"/>
          <w:sz w:val="24"/>
          <w:szCs w:val="24"/>
        </w:rPr>
        <w:t>96-well plate</w:t>
      </w:r>
      <w:r w:rsidR="004F0CA6">
        <w:rPr>
          <w:rFonts w:ascii="Times New Roman" w:hAnsi="Times New Roman" w:cs="Times New Roman"/>
          <w:sz w:val="24"/>
          <w:szCs w:val="24"/>
        </w:rPr>
        <w:t>s</w:t>
      </w:r>
      <w:r w:rsidRPr="00A13A2F">
        <w:rPr>
          <w:rFonts w:ascii="Times New Roman" w:hAnsi="Times New Roman" w:cs="Times New Roman"/>
          <w:sz w:val="24"/>
          <w:szCs w:val="24"/>
        </w:rPr>
        <w:t xml:space="preserve"> </w:t>
      </w:r>
      <w:r w:rsidR="004F0CA6">
        <w:rPr>
          <w:rFonts w:ascii="Times New Roman" w:hAnsi="Times New Roman" w:cs="Times New Roman"/>
          <w:sz w:val="24"/>
          <w:szCs w:val="24"/>
        </w:rPr>
        <w:t>were</w:t>
      </w:r>
      <w:r w:rsidRPr="00A13A2F">
        <w:rPr>
          <w:rFonts w:ascii="Times New Roman" w:hAnsi="Times New Roman" w:cs="Times New Roman"/>
          <w:sz w:val="24"/>
          <w:szCs w:val="24"/>
        </w:rPr>
        <w:t xml:space="preserve"> seeded with 25,000 </w:t>
      </w:r>
      <w:r w:rsidR="005E3403" w:rsidRPr="00D55709">
        <w:rPr>
          <w:rStyle w:val="cf01"/>
          <w:rFonts w:asciiTheme="majorBidi" w:hAnsiTheme="majorBidi" w:cstheme="majorBidi"/>
          <w:sz w:val="24"/>
          <w:szCs w:val="24"/>
          <w:highlight w:val="green"/>
        </w:rPr>
        <w:t>MDA-T32</w:t>
      </w:r>
      <w:r w:rsidR="005E3403">
        <w:rPr>
          <w:rStyle w:val="cf01"/>
          <w:rFonts w:asciiTheme="majorBidi" w:hAnsiTheme="majorBidi" w:cstheme="majorBidi"/>
          <w:sz w:val="24"/>
          <w:szCs w:val="24"/>
          <w:highlight w:val="green"/>
        </w:rPr>
        <w:t xml:space="preserve"> </w:t>
      </w:r>
      <w:r w:rsidR="005E3403" w:rsidRPr="00D458E1">
        <w:rPr>
          <w:rFonts w:ascii="Times New Roman" w:hAnsi="Times New Roman" w:cs="Times New Roman"/>
          <w:sz w:val="24"/>
          <w:szCs w:val="24"/>
          <w:highlight w:val="green"/>
        </w:rPr>
        <w:t xml:space="preserve">cells </w:t>
      </w:r>
      <w:r w:rsidRPr="00A13A2F">
        <w:rPr>
          <w:rFonts w:ascii="Times New Roman" w:hAnsi="Times New Roman" w:cs="Times New Roman"/>
          <w:sz w:val="24"/>
          <w:szCs w:val="24"/>
        </w:rPr>
        <w:t>per well for cytotoxicity assessment.</w:t>
      </w:r>
      <w:r w:rsidR="002562A5">
        <w:rPr>
          <w:rFonts w:ascii="Times New Roman" w:hAnsi="Times New Roman" w:cs="Times New Roman"/>
          <w:sz w:val="24"/>
          <w:szCs w:val="24"/>
        </w:rPr>
        <w:t xml:space="preserve"> </w:t>
      </w:r>
      <w:r w:rsidR="002562A5" w:rsidRPr="00940DD4">
        <w:rPr>
          <w:rFonts w:ascii="Times New Roman" w:hAnsi="Times New Roman" w:cs="Times New Roman"/>
          <w:sz w:val="24"/>
          <w:szCs w:val="24"/>
          <w:highlight w:val="green"/>
        </w:rPr>
        <w:t>After 6 hours of culture, sterile minerals were added to each well at a 0.2 mg/mL</w:t>
      </w:r>
      <w:r w:rsidR="002562A5">
        <w:rPr>
          <w:rFonts w:ascii="Times New Roman" w:hAnsi="Times New Roman" w:cs="Times New Roman"/>
          <w:sz w:val="24"/>
          <w:szCs w:val="24"/>
        </w:rPr>
        <w:t xml:space="preserve"> concentration</w:t>
      </w:r>
      <w:r w:rsidR="002562A5" w:rsidRPr="00A13A2F">
        <w:rPr>
          <w:rFonts w:ascii="Times New Roman" w:hAnsi="Times New Roman" w:cs="Times New Roman"/>
          <w:sz w:val="24"/>
          <w:szCs w:val="24"/>
        </w:rPr>
        <w:t>.</w:t>
      </w:r>
      <w:r w:rsidRPr="00A13A2F">
        <w:rPr>
          <w:rFonts w:ascii="Times New Roman" w:hAnsi="Times New Roman" w:cs="Times New Roman"/>
          <w:sz w:val="24"/>
          <w:szCs w:val="24"/>
        </w:rPr>
        <w:t xml:space="preserve"> Control cells were cultured without added minerals. </w:t>
      </w:r>
      <w:r w:rsidR="008B1A58" w:rsidRPr="00227116">
        <w:rPr>
          <w:rFonts w:ascii="Times New Roman" w:hAnsi="Times New Roman" w:cs="Times New Roman"/>
          <w:sz w:val="24"/>
          <w:szCs w:val="24"/>
          <w:highlight w:val="green"/>
        </w:rPr>
        <w:t xml:space="preserve">For MTT-based cytotoxicity measurement, </w:t>
      </w:r>
      <w:r w:rsidR="008B1A58" w:rsidRPr="008B1A58">
        <w:rPr>
          <w:rFonts w:ascii="Times New Roman" w:hAnsi="Times New Roman" w:cs="Times New Roman"/>
          <w:sz w:val="24"/>
          <w:szCs w:val="24"/>
          <w:highlight w:val="green"/>
        </w:rPr>
        <w:t>a</w:t>
      </w:r>
      <w:r w:rsidR="005E3403" w:rsidRPr="008B1A58">
        <w:rPr>
          <w:rFonts w:ascii="Times New Roman" w:hAnsi="Times New Roman" w:cs="Times New Roman"/>
          <w:sz w:val="24"/>
          <w:szCs w:val="24"/>
          <w:highlight w:val="green"/>
        </w:rPr>
        <w:t>fter 20 hours of culture</w:t>
      </w:r>
      <w:r w:rsidR="008B1A58" w:rsidRPr="008B1A58">
        <w:rPr>
          <w:rFonts w:ascii="Times New Roman" w:hAnsi="Times New Roman" w:cs="Times New Roman"/>
          <w:sz w:val="24"/>
          <w:szCs w:val="24"/>
          <w:highlight w:val="green"/>
        </w:rPr>
        <w:t>,</w:t>
      </w:r>
      <w:r w:rsidR="005E3403" w:rsidRPr="008B1A58">
        <w:rPr>
          <w:rFonts w:ascii="Times New Roman" w:hAnsi="Times New Roman" w:cs="Times New Roman"/>
          <w:sz w:val="24"/>
          <w:szCs w:val="24"/>
          <w:highlight w:val="green"/>
        </w:rPr>
        <w:t xml:space="preserve"> 20 µL of MTT</w:t>
      </w:r>
      <w:r w:rsidR="00651063">
        <w:rPr>
          <w:rFonts w:ascii="Times New Roman" w:hAnsi="Times New Roman" w:cs="Times New Roman"/>
          <w:sz w:val="24"/>
          <w:szCs w:val="24"/>
          <w:highlight w:val="green"/>
        </w:rPr>
        <w:t xml:space="preserve"> (5 g/L)</w:t>
      </w:r>
      <w:r w:rsidR="005E3403" w:rsidRPr="008B1A58">
        <w:rPr>
          <w:rFonts w:ascii="Times New Roman" w:hAnsi="Times New Roman" w:cs="Times New Roman"/>
          <w:sz w:val="24"/>
          <w:szCs w:val="24"/>
          <w:highlight w:val="green"/>
        </w:rPr>
        <w:t xml:space="preserve"> </w:t>
      </w:r>
      <w:r w:rsidR="005E3403" w:rsidRPr="00147642">
        <w:rPr>
          <w:rFonts w:ascii="Times New Roman" w:hAnsi="Times New Roman" w:cs="Times New Roman"/>
          <w:sz w:val="24"/>
          <w:szCs w:val="24"/>
          <w:highlight w:val="green"/>
        </w:rPr>
        <w:t xml:space="preserve">in PBS was added for 4 hours. </w:t>
      </w:r>
      <w:r w:rsidR="008B1A58">
        <w:rPr>
          <w:rFonts w:ascii="Times New Roman" w:hAnsi="Times New Roman" w:cs="Times New Roman"/>
          <w:sz w:val="24"/>
          <w:szCs w:val="24"/>
          <w:highlight w:val="green"/>
        </w:rPr>
        <w:t>Then</w:t>
      </w:r>
      <w:r w:rsidR="005E3403" w:rsidRPr="00147642">
        <w:rPr>
          <w:rFonts w:ascii="Times New Roman" w:hAnsi="Times New Roman" w:cs="Times New Roman"/>
          <w:sz w:val="24"/>
          <w:szCs w:val="24"/>
          <w:highlight w:val="green"/>
        </w:rPr>
        <w:t xml:space="preserve">, the media was </w:t>
      </w:r>
      <w:r w:rsidR="008B1A58" w:rsidRPr="00147642">
        <w:rPr>
          <w:rFonts w:ascii="Times New Roman" w:hAnsi="Times New Roman" w:cs="Times New Roman"/>
          <w:sz w:val="24"/>
          <w:szCs w:val="24"/>
          <w:highlight w:val="green"/>
        </w:rPr>
        <w:t>aspirated,</w:t>
      </w:r>
      <w:r w:rsidR="005E3403" w:rsidRPr="00147642">
        <w:rPr>
          <w:rFonts w:ascii="Times New Roman" w:hAnsi="Times New Roman" w:cs="Times New Roman"/>
          <w:sz w:val="24"/>
          <w:szCs w:val="24"/>
          <w:highlight w:val="green"/>
        </w:rPr>
        <w:t xml:space="preserve"> and the formed formazan crystals were dissolved in 100 µL DMSO. The plates were shake</w:t>
      </w:r>
      <w:r w:rsidR="000D7890">
        <w:rPr>
          <w:rFonts w:ascii="Times New Roman" w:hAnsi="Times New Roman" w:cs="Times New Roman"/>
          <w:sz w:val="24"/>
          <w:szCs w:val="24"/>
          <w:highlight w:val="green"/>
        </w:rPr>
        <w:t>n</w:t>
      </w:r>
      <w:r w:rsidR="005E3403" w:rsidRPr="00147642">
        <w:rPr>
          <w:rFonts w:ascii="Times New Roman" w:hAnsi="Times New Roman" w:cs="Times New Roman"/>
          <w:sz w:val="24"/>
          <w:szCs w:val="24"/>
          <w:highlight w:val="green"/>
        </w:rPr>
        <w:t xml:space="preserve"> for </w:t>
      </w:r>
      <w:r w:rsidR="008B1A58">
        <w:rPr>
          <w:rFonts w:ascii="Times New Roman" w:hAnsi="Times New Roman" w:cs="Times New Roman"/>
          <w:sz w:val="24"/>
          <w:szCs w:val="24"/>
          <w:highlight w:val="green"/>
        </w:rPr>
        <w:t>one</w:t>
      </w:r>
      <w:r w:rsidR="005E3403" w:rsidRPr="00147642">
        <w:rPr>
          <w:rFonts w:ascii="Times New Roman" w:hAnsi="Times New Roman" w:cs="Times New Roman"/>
          <w:sz w:val="24"/>
          <w:szCs w:val="24"/>
          <w:highlight w:val="green"/>
        </w:rPr>
        <w:t xml:space="preserve"> hour for the complete dissolution of the formazan and the absorbance at 570 nm was measured using a Synergy H1 plate reader (BioTek). The experiment was carried out three times with distinct MC analog batches, with twelve wells for each condition in each experiment. The absorbance in </w:t>
      </w:r>
      <w:r w:rsidR="008B1A58">
        <w:rPr>
          <w:rFonts w:ascii="Times New Roman" w:hAnsi="Times New Roman" w:cs="Times New Roman"/>
          <w:sz w:val="24"/>
          <w:szCs w:val="24"/>
          <w:highlight w:val="green"/>
        </w:rPr>
        <w:t xml:space="preserve">the </w:t>
      </w:r>
      <w:r w:rsidR="005E3403" w:rsidRPr="00147642">
        <w:rPr>
          <w:rFonts w:ascii="Times New Roman" w:hAnsi="Times New Roman" w:cs="Times New Roman"/>
          <w:sz w:val="24"/>
          <w:szCs w:val="24"/>
          <w:highlight w:val="green"/>
        </w:rPr>
        <w:t xml:space="preserve">presence of MC analogs was normalized to the absorbance of the control (without MC analogs). </w:t>
      </w:r>
    </w:p>
    <w:p w14:paraId="47D8C33F" w14:textId="545F496A" w:rsidR="00862189" w:rsidRPr="00F34B57" w:rsidRDefault="005E3403" w:rsidP="00F34B57">
      <w:pPr>
        <w:spacing w:after="0" w:line="360" w:lineRule="auto"/>
        <w:ind w:left="360"/>
        <w:jc w:val="both"/>
        <w:rPr>
          <w:rFonts w:asciiTheme="majorBidi" w:hAnsiTheme="majorBidi" w:cstheme="majorBidi"/>
          <w:sz w:val="24"/>
          <w:szCs w:val="24"/>
          <w:shd w:val="clear" w:color="auto" w:fill="FFFFFF"/>
        </w:rPr>
      </w:pPr>
      <w:r w:rsidRPr="00147642">
        <w:rPr>
          <w:rFonts w:ascii="Times New Roman" w:hAnsi="Times New Roman" w:cs="Times New Roman"/>
          <w:sz w:val="24"/>
          <w:szCs w:val="24"/>
          <w:highlight w:val="green"/>
        </w:rPr>
        <w:t>For live</w:t>
      </w:r>
      <w:r w:rsidR="008B1A58">
        <w:rPr>
          <w:rFonts w:ascii="Times New Roman" w:hAnsi="Times New Roman" w:cs="Times New Roman"/>
          <w:sz w:val="24"/>
          <w:szCs w:val="24"/>
          <w:highlight w:val="green"/>
        </w:rPr>
        <w:t>/dead</w:t>
      </w:r>
      <w:r w:rsidRPr="00147642">
        <w:rPr>
          <w:rFonts w:ascii="Times New Roman" w:hAnsi="Times New Roman" w:cs="Times New Roman"/>
          <w:sz w:val="24"/>
          <w:szCs w:val="24"/>
          <w:highlight w:val="green"/>
        </w:rPr>
        <w:t xml:space="preserve"> assay</w:t>
      </w:r>
      <w:r w:rsidR="008B1A58">
        <w:rPr>
          <w:rFonts w:ascii="Times New Roman" w:hAnsi="Times New Roman" w:cs="Times New Roman"/>
          <w:sz w:val="24"/>
          <w:szCs w:val="24"/>
          <w:highlight w:val="green"/>
        </w:rPr>
        <w:t>,</w:t>
      </w:r>
      <w:r w:rsidRPr="00147642">
        <w:rPr>
          <w:rFonts w:ascii="Times New Roman" w:hAnsi="Times New Roman" w:cs="Times New Roman"/>
          <w:sz w:val="24"/>
          <w:szCs w:val="24"/>
          <w:highlight w:val="green"/>
        </w:rPr>
        <w:t xml:space="preserve"> the cell medium was removed 24 hours </w:t>
      </w:r>
      <w:r w:rsidR="008B1A58">
        <w:rPr>
          <w:rFonts w:ascii="Times New Roman" w:hAnsi="Times New Roman" w:cs="Times New Roman"/>
          <w:sz w:val="24"/>
          <w:szCs w:val="24"/>
          <w:highlight w:val="green"/>
        </w:rPr>
        <w:t xml:space="preserve">after seeding, </w:t>
      </w:r>
      <w:r w:rsidRPr="00147642">
        <w:rPr>
          <w:rFonts w:ascii="Times New Roman" w:hAnsi="Times New Roman" w:cs="Times New Roman"/>
          <w:sz w:val="24"/>
          <w:szCs w:val="24"/>
          <w:highlight w:val="green"/>
        </w:rPr>
        <w:t xml:space="preserve">and the wells were washed with PBS. The PBS was aspirated and 70 μL of a staining solution containing calcein AM (1 μM) and ethidium homodimer-1(10 μM) </w:t>
      </w:r>
      <w:r w:rsidR="00133FB2">
        <w:rPr>
          <w:rFonts w:ascii="Times New Roman" w:hAnsi="Times New Roman" w:cs="Times New Roman"/>
          <w:sz w:val="24"/>
          <w:szCs w:val="24"/>
          <w:highlight w:val="green"/>
        </w:rPr>
        <w:t>was</w:t>
      </w:r>
      <w:r w:rsidRPr="00147642">
        <w:rPr>
          <w:rFonts w:ascii="Times New Roman" w:hAnsi="Times New Roman" w:cs="Times New Roman"/>
          <w:sz w:val="24"/>
          <w:szCs w:val="24"/>
          <w:highlight w:val="green"/>
        </w:rPr>
        <w:t xml:space="preserve"> added. The cells were imaged after 20 minutes using a Nikon ECLIPSE Ti2-U inverted microscope equipped with a DS-QI2 mono-cooled </w:t>
      </w:r>
      <w:r w:rsidRPr="002562A5">
        <w:rPr>
          <w:rFonts w:ascii="Times New Roman" w:hAnsi="Times New Roman" w:cs="Times New Roman"/>
          <w:sz w:val="24"/>
          <w:szCs w:val="24"/>
          <w:highlight w:val="green"/>
        </w:rPr>
        <w:t>digital camera with a 10× objective.</w:t>
      </w:r>
      <w:r w:rsidR="002562A5" w:rsidRPr="00CC35F0">
        <w:rPr>
          <w:rFonts w:asciiTheme="majorBidi" w:hAnsiTheme="majorBidi" w:cstheme="majorBidi"/>
          <w:sz w:val="24"/>
          <w:szCs w:val="24"/>
          <w:highlight w:val="green"/>
          <w:shd w:val="clear" w:color="auto" w:fill="FFFFFF"/>
        </w:rPr>
        <w:t xml:space="preserve"> The </w:t>
      </w:r>
      <w:r w:rsidR="00CC35F0">
        <w:rPr>
          <w:rFonts w:asciiTheme="majorBidi" w:hAnsiTheme="majorBidi" w:cstheme="majorBidi"/>
          <w:sz w:val="24"/>
          <w:szCs w:val="24"/>
          <w:highlight w:val="green"/>
          <w:shd w:val="clear" w:color="auto" w:fill="FFFFFF"/>
        </w:rPr>
        <w:t>experiment</w:t>
      </w:r>
      <w:r w:rsidR="002562A5" w:rsidRPr="00CC35F0">
        <w:rPr>
          <w:rFonts w:asciiTheme="majorBidi" w:hAnsiTheme="majorBidi" w:cstheme="majorBidi"/>
          <w:sz w:val="24"/>
          <w:szCs w:val="24"/>
          <w:highlight w:val="green"/>
          <w:shd w:val="clear" w:color="auto" w:fill="FFFFFF"/>
        </w:rPr>
        <w:t xml:space="preserve"> was </w:t>
      </w:r>
      <w:r w:rsidR="00CC35F0">
        <w:rPr>
          <w:rFonts w:asciiTheme="majorBidi" w:hAnsiTheme="majorBidi" w:cstheme="majorBidi"/>
          <w:sz w:val="24"/>
          <w:szCs w:val="24"/>
          <w:highlight w:val="green"/>
          <w:shd w:val="clear" w:color="auto" w:fill="FFFFFF"/>
        </w:rPr>
        <w:t>repeated</w:t>
      </w:r>
      <w:r w:rsidR="002562A5" w:rsidRPr="00CC35F0">
        <w:rPr>
          <w:rFonts w:asciiTheme="majorBidi" w:hAnsiTheme="majorBidi" w:cstheme="majorBidi"/>
          <w:sz w:val="24"/>
          <w:szCs w:val="24"/>
          <w:highlight w:val="green"/>
          <w:shd w:val="clear" w:color="auto" w:fill="FFFFFF"/>
        </w:rPr>
        <w:t xml:space="preserve"> three times.</w:t>
      </w:r>
    </w:p>
    <w:p w14:paraId="227488C3" w14:textId="01C0B5DA" w:rsidR="00B13DB4" w:rsidRPr="00A13A2F" w:rsidRDefault="00B13DB4" w:rsidP="00AB3F9D">
      <w:pPr>
        <w:spacing w:after="0" w:line="360" w:lineRule="auto"/>
        <w:ind w:left="360"/>
        <w:jc w:val="both"/>
        <w:rPr>
          <w:rFonts w:ascii="Times New Roman" w:hAnsi="Times New Roman" w:cs="Times New Roman"/>
          <w:b/>
          <w:bCs/>
          <w:sz w:val="24"/>
          <w:szCs w:val="24"/>
        </w:rPr>
      </w:pPr>
      <w:r w:rsidRPr="00A13A2F">
        <w:rPr>
          <w:rFonts w:ascii="Times New Roman" w:hAnsi="Times New Roman" w:cs="Times New Roman"/>
          <w:b/>
          <w:bCs/>
          <w:sz w:val="24"/>
          <w:szCs w:val="24"/>
        </w:rPr>
        <w:lastRenderedPageBreak/>
        <w:t xml:space="preserve">Wound healing </w:t>
      </w:r>
    </w:p>
    <w:p w14:paraId="3C6AB1C1" w14:textId="058986BF" w:rsidR="001F04A7" w:rsidRPr="00986AE6" w:rsidRDefault="00837E68" w:rsidP="00AB3F9D">
      <w:pPr>
        <w:spacing w:after="0" w:line="360" w:lineRule="auto"/>
        <w:ind w:left="360"/>
        <w:jc w:val="both"/>
        <w:rPr>
          <w:rFonts w:asciiTheme="majorBidi" w:hAnsiTheme="majorBidi" w:cstheme="majorBidi"/>
          <w:sz w:val="24"/>
          <w:szCs w:val="24"/>
          <w:shd w:val="clear" w:color="auto" w:fill="FFFFFF"/>
        </w:rPr>
      </w:pPr>
      <w:r>
        <w:rPr>
          <w:rFonts w:ascii="Times New Roman" w:hAnsi="Times New Roman" w:cs="Times New Roman"/>
          <w:sz w:val="24"/>
          <w:szCs w:val="24"/>
        </w:rPr>
        <w:t>A wound</w:t>
      </w:r>
      <w:r w:rsidR="002D53FA">
        <w:rPr>
          <w:rFonts w:ascii="Times New Roman" w:hAnsi="Times New Roman" w:cs="Times New Roman"/>
          <w:sz w:val="24"/>
          <w:szCs w:val="24"/>
        </w:rPr>
        <w:t xml:space="preserve"> </w:t>
      </w:r>
      <w:r>
        <w:rPr>
          <w:rFonts w:ascii="Times New Roman" w:hAnsi="Times New Roman" w:cs="Times New Roman"/>
          <w:sz w:val="24"/>
          <w:szCs w:val="24"/>
        </w:rPr>
        <w:t>healing assay was conducted to assess the impact of the MC analogs on the migration of MDA-T32 cells</w:t>
      </w:r>
      <w:r w:rsidR="00AE2466">
        <w:rPr>
          <w:rFonts w:ascii="Times New Roman" w:hAnsi="Times New Roman" w:cs="Times New Roman"/>
          <w:sz w:val="24"/>
          <w:szCs w:val="24"/>
        </w:rPr>
        <w:t>.</w:t>
      </w:r>
      <w:r w:rsidR="00B13DB4" w:rsidRPr="00A13A2F">
        <w:rPr>
          <w:rFonts w:ascii="Times New Roman" w:hAnsi="Times New Roman" w:cs="Times New Roman"/>
          <w:sz w:val="24"/>
          <w:szCs w:val="24"/>
        </w:rPr>
        <w:t xml:space="preserve"> </w:t>
      </w:r>
      <w:r w:rsidR="00AE2466">
        <w:rPr>
          <w:rFonts w:ascii="Times New Roman" w:hAnsi="Times New Roman" w:cs="Times New Roman"/>
          <w:sz w:val="24"/>
          <w:szCs w:val="24"/>
        </w:rPr>
        <w:t>Cells</w:t>
      </w:r>
      <w:r w:rsidR="00AE2466" w:rsidRPr="00A13A2F">
        <w:rPr>
          <w:rFonts w:ascii="Times New Roman" w:hAnsi="Times New Roman" w:cs="Times New Roman"/>
          <w:sz w:val="24"/>
          <w:szCs w:val="24"/>
        </w:rPr>
        <w:t xml:space="preserve"> </w:t>
      </w:r>
      <w:r w:rsidR="00B13DB4" w:rsidRPr="00A13A2F">
        <w:rPr>
          <w:rFonts w:ascii="Times New Roman" w:hAnsi="Times New Roman" w:cs="Times New Roman"/>
          <w:sz w:val="24"/>
          <w:szCs w:val="24"/>
        </w:rPr>
        <w:t>were seeded in</w:t>
      </w:r>
      <w:r w:rsidR="00E42497">
        <w:rPr>
          <w:rFonts w:ascii="Times New Roman" w:hAnsi="Times New Roman" w:cs="Times New Roman"/>
          <w:sz w:val="24"/>
          <w:szCs w:val="24"/>
        </w:rPr>
        <w:t xml:space="preserve"> 6 individual </w:t>
      </w:r>
      <w:r w:rsidR="00E42497" w:rsidRPr="00E42497">
        <w:rPr>
          <w:rFonts w:ascii="Times New Roman" w:hAnsi="Times New Roman" w:cs="Times New Roman"/>
          <w:sz w:val="24"/>
          <w:szCs w:val="24"/>
        </w:rPr>
        <w:t>μ-Dish 35 mm Ibidi plates (Munich, Germany)</w:t>
      </w:r>
      <w:r w:rsidR="00B13DB4" w:rsidRPr="00A13A2F">
        <w:rPr>
          <w:rFonts w:ascii="Times New Roman" w:hAnsi="Times New Roman" w:cs="Times New Roman"/>
          <w:sz w:val="24"/>
          <w:szCs w:val="24"/>
        </w:rPr>
        <w:t xml:space="preserve"> with a wound healing divider at a density of</w:t>
      </w:r>
      <w:r w:rsidR="00D760F4">
        <w:rPr>
          <w:rFonts w:ascii="Times New Roman" w:hAnsi="Times New Roman" w:cs="Times New Roman"/>
          <w:sz w:val="24"/>
          <w:szCs w:val="24"/>
        </w:rPr>
        <w:t xml:space="preserve"> </w:t>
      </w:r>
      <m:oMath>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4</m:t>
            </m:r>
          </m:sup>
        </m:sSup>
      </m:oMath>
      <w:r w:rsidR="00B13DB4" w:rsidRPr="00A13A2F">
        <w:rPr>
          <w:rFonts w:ascii="Times New Roman" w:hAnsi="Times New Roman" w:cs="Times New Roman"/>
          <w:sz w:val="24"/>
          <w:szCs w:val="24"/>
        </w:rPr>
        <w:t xml:space="preserve"> </w:t>
      </w:r>
      <w:r w:rsidR="00D760F4">
        <w:rPr>
          <w:rFonts w:ascii="Times New Roman" w:hAnsi="Times New Roman" w:cs="Times New Roman"/>
          <w:sz w:val="24"/>
          <w:szCs w:val="24"/>
        </w:rPr>
        <w:t>c</w:t>
      </w:r>
      <w:r w:rsidR="00B13DB4" w:rsidRPr="00A13A2F">
        <w:rPr>
          <w:rFonts w:ascii="Times New Roman" w:hAnsi="Times New Roman" w:cs="Times New Roman"/>
          <w:sz w:val="24"/>
          <w:szCs w:val="24"/>
        </w:rPr>
        <w:t xml:space="preserve">ells/mL </w:t>
      </w:r>
      <w:r w:rsidR="00AE2466">
        <w:rPr>
          <w:rFonts w:ascii="Times New Roman" w:hAnsi="Times New Roman" w:cs="Times New Roman"/>
          <w:sz w:val="24"/>
          <w:szCs w:val="24"/>
        </w:rPr>
        <w:t>with</w:t>
      </w:r>
      <w:r w:rsidR="00AE2466" w:rsidRPr="00A13A2F">
        <w:rPr>
          <w:rFonts w:ascii="Times New Roman" w:hAnsi="Times New Roman" w:cs="Times New Roman"/>
          <w:sz w:val="24"/>
          <w:szCs w:val="24"/>
        </w:rPr>
        <w:t xml:space="preserve"> </w:t>
      </w:r>
      <w:r w:rsidR="00B13DB4" w:rsidRPr="00A13A2F">
        <w:rPr>
          <w:rFonts w:ascii="Times New Roman" w:hAnsi="Times New Roman" w:cs="Times New Roman"/>
          <w:sz w:val="24"/>
          <w:szCs w:val="24"/>
        </w:rPr>
        <w:t xml:space="preserve">a volume of 70 µL per well. After 6 hours of culture, sterile minerals were </w:t>
      </w:r>
      <w:r w:rsidR="006D1164">
        <w:rPr>
          <w:rFonts w:ascii="Times New Roman" w:hAnsi="Times New Roman" w:cs="Times New Roman"/>
          <w:sz w:val="24"/>
          <w:szCs w:val="24"/>
        </w:rPr>
        <w:t>introduced</w:t>
      </w:r>
      <w:r w:rsidR="00EF4C19" w:rsidRPr="00A13A2F">
        <w:rPr>
          <w:rFonts w:ascii="Times New Roman" w:hAnsi="Times New Roman" w:cs="Times New Roman"/>
          <w:sz w:val="24"/>
          <w:szCs w:val="24"/>
        </w:rPr>
        <w:t xml:space="preserve"> </w:t>
      </w:r>
      <w:r w:rsidR="00B13DB4" w:rsidRPr="00A13A2F">
        <w:rPr>
          <w:rFonts w:ascii="Times New Roman" w:hAnsi="Times New Roman" w:cs="Times New Roman"/>
          <w:sz w:val="24"/>
          <w:szCs w:val="24"/>
        </w:rPr>
        <w:t>to each well at a</w:t>
      </w:r>
      <w:r w:rsidR="00EF4C19">
        <w:rPr>
          <w:rFonts w:ascii="Times New Roman" w:hAnsi="Times New Roman" w:cs="Times New Roman"/>
          <w:sz w:val="24"/>
          <w:szCs w:val="24"/>
        </w:rPr>
        <w:t xml:space="preserve"> </w:t>
      </w:r>
      <w:r>
        <w:rPr>
          <w:rFonts w:ascii="Times New Roman" w:hAnsi="Times New Roman" w:cs="Times New Roman"/>
          <w:sz w:val="24"/>
          <w:szCs w:val="24"/>
        </w:rPr>
        <w:t>0.02 mg/mL concentration</w:t>
      </w:r>
      <w:r w:rsidR="006D1164">
        <w:rPr>
          <w:rFonts w:ascii="Times New Roman" w:hAnsi="Times New Roman" w:cs="Times New Roman"/>
          <w:sz w:val="24"/>
          <w:szCs w:val="24"/>
        </w:rPr>
        <w:t>.</w:t>
      </w:r>
      <w:r w:rsidR="00B13DB4" w:rsidRPr="00A13A2F">
        <w:rPr>
          <w:rFonts w:ascii="Times New Roman" w:hAnsi="Times New Roman" w:cs="Times New Roman"/>
          <w:sz w:val="24"/>
          <w:szCs w:val="24"/>
        </w:rPr>
        <w:t xml:space="preserve"> </w:t>
      </w:r>
      <w:r w:rsidR="00DF0D75" w:rsidRPr="00A13A2F">
        <w:rPr>
          <w:rFonts w:ascii="Times New Roman" w:hAnsi="Times New Roman" w:cs="Times New Roman"/>
          <w:sz w:val="24"/>
          <w:szCs w:val="24"/>
        </w:rPr>
        <w:t xml:space="preserve">Control cells were cultured without added minerals. </w:t>
      </w:r>
      <w:r w:rsidR="006D1164">
        <w:rPr>
          <w:rFonts w:ascii="Times New Roman" w:hAnsi="Times New Roman" w:cs="Times New Roman"/>
          <w:sz w:val="24"/>
          <w:szCs w:val="24"/>
        </w:rPr>
        <w:t>T</w:t>
      </w:r>
      <w:r w:rsidR="00B13DB4" w:rsidRPr="00A13A2F">
        <w:rPr>
          <w:rFonts w:ascii="Times New Roman" w:hAnsi="Times New Roman" w:cs="Times New Roman"/>
          <w:sz w:val="24"/>
          <w:szCs w:val="24"/>
        </w:rPr>
        <w:t xml:space="preserve">he cells were </w:t>
      </w:r>
      <w:r w:rsidR="006D1164">
        <w:rPr>
          <w:rFonts w:ascii="Times New Roman" w:hAnsi="Times New Roman" w:cs="Times New Roman"/>
          <w:sz w:val="24"/>
          <w:szCs w:val="24"/>
        </w:rPr>
        <w:t xml:space="preserve">then </w:t>
      </w:r>
      <w:r w:rsidR="00B13DB4" w:rsidRPr="00A13A2F">
        <w:rPr>
          <w:rFonts w:ascii="Times New Roman" w:hAnsi="Times New Roman" w:cs="Times New Roman"/>
          <w:sz w:val="24"/>
          <w:szCs w:val="24"/>
        </w:rPr>
        <w:t>cul</w:t>
      </w:r>
      <w:r w:rsidR="00CD1241" w:rsidRPr="00A13A2F">
        <w:rPr>
          <w:rFonts w:ascii="Times New Roman" w:hAnsi="Times New Roman" w:cs="Times New Roman"/>
          <w:sz w:val="24"/>
          <w:szCs w:val="24"/>
        </w:rPr>
        <w:t xml:space="preserve">tured </w:t>
      </w:r>
      <w:r w:rsidR="006D1164">
        <w:rPr>
          <w:rFonts w:ascii="Times New Roman" w:hAnsi="Times New Roman" w:cs="Times New Roman"/>
          <w:sz w:val="24"/>
          <w:szCs w:val="24"/>
        </w:rPr>
        <w:t xml:space="preserve">until they reached a confluency of </w:t>
      </w:r>
      <w:r w:rsidR="00CD1241" w:rsidRPr="00A13A2F">
        <w:rPr>
          <w:rFonts w:ascii="Times New Roman" w:hAnsi="Times New Roman" w:cs="Times New Roman"/>
          <w:sz w:val="24"/>
          <w:szCs w:val="24"/>
        </w:rPr>
        <w:t>95% (</w:t>
      </w:r>
      <w:r w:rsidR="00F0601E" w:rsidRPr="00A13A2F">
        <w:rPr>
          <w:rFonts w:ascii="Times New Roman" w:hAnsi="Times New Roman" w:cs="Times New Roman"/>
          <w:sz w:val="24"/>
          <w:szCs w:val="24"/>
        </w:rPr>
        <w:t>2</w:t>
      </w:r>
      <w:r w:rsidR="00F0601E">
        <w:rPr>
          <w:rFonts w:ascii="Times New Roman" w:hAnsi="Times New Roman" w:cs="Times New Roman"/>
          <w:sz w:val="24"/>
          <w:szCs w:val="24"/>
        </w:rPr>
        <w:t>0</w:t>
      </w:r>
      <w:r w:rsidR="00F0601E" w:rsidRPr="00A13A2F">
        <w:rPr>
          <w:rFonts w:ascii="Times New Roman" w:hAnsi="Times New Roman" w:cs="Times New Roman"/>
          <w:sz w:val="24"/>
          <w:szCs w:val="24"/>
        </w:rPr>
        <w:t xml:space="preserve"> </w:t>
      </w:r>
      <w:r w:rsidR="00B13DB4" w:rsidRPr="00A13A2F">
        <w:rPr>
          <w:rFonts w:ascii="Times New Roman" w:hAnsi="Times New Roman" w:cs="Times New Roman"/>
          <w:sz w:val="24"/>
          <w:szCs w:val="24"/>
        </w:rPr>
        <w:t>h</w:t>
      </w:r>
      <w:r w:rsidR="00F0601E">
        <w:rPr>
          <w:rFonts w:ascii="Times New Roman" w:hAnsi="Times New Roman" w:cs="Times New Roman"/>
          <w:sz w:val="24"/>
          <w:szCs w:val="24"/>
        </w:rPr>
        <w:t>ours</w:t>
      </w:r>
      <w:r w:rsidR="00B13DB4" w:rsidRPr="00A13A2F">
        <w:rPr>
          <w:rFonts w:ascii="Times New Roman" w:hAnsi="Times New Roman" w:cs="Times New Roman"/>
          <w:sz w:val="24"/>
          <w:szCs w:val="24"/>
        </w:rPr>
        <w:t xml:space="preserve">). Then, the dividers were removed to </w:t>
      </w:r>
      <w:r w:rsidR="006D1164">
        <w:rPr>
          <w:rFonts w:ascii="Times New Roman" w:hAnsi="Times New Roman" w:cs="Times New Roman"/>
          <w:sz w:val="24"/>
          <w:szCs w:val="24"/>
        </w:rPr>
        <w:t>simulate</w:t>
      </w:r>
      <w:r w:rsidR="006D1164" w:rsidRPr="00A13A2F">
        <w:rPr>
          <w:rFonts w:ascii="Times New Roman" w:hAnsi="Times New Roman" w:cs="Times New Roman"/>
          <w:sz w:val="24"/>
          <w:szCs w:val="24"/>
        </w:rPr>
        <w:t xml:space="preserve"> </w:t>
      </w:r>
      <w:r w:rsidR="00B13DB4" w:rsidRPr="00A13A2F">
        <w:rPr>
          <w:rFonts w:ascii="Times New Roman" w:hAnsi="Times New Roman" w:cs="Times New Roman"/>
          <w:sz w:val="24"/>
          <w:szCs w:val="24"/>
        </w:rPr>
        <w:t>a tissue wound</w:t>
      </w:r>
      <w:r w:rsidR="006D1164">
        <w:rPr>
          <w:rFonts w:ascii="Times New Roman" w:hAnsi="Times New Roman" w:cs="Times New Roman"/>
          <w:sz w:val="24"/>
          <w:szCs w:val="24"/>
        </w:rPr>
        <w:t>, marking the starting point</w:t>
      </w:r>
      <w:r w:rsidR="00B13DB4" w:rsidRPr="00A13A2F">
        <w:rPr>
          <w:rFonts w:ascii="Times New Roman" w:hAnsi="Times New Roman" w:cs="Times New Roman"/>
          <w:sz w:val="24"/>
          <w:szCs w:val="24"/>
        </w:rPr>
        <w:t xml:space="preserve"> (time 0)</w:t>
      </w:r>
      <w:r w:rsidR="006D1164">
        <w:rPr>
          <w:rFonts w:ascii="Times New Roman" w:hAnsi="Times New Roman" w:cs="Times New Roman"/>
          <w:sz w:val="24"/>
          <w:szCs w:val="24"/>
        </w:rPr>
        <w:t xml:space="preserve"> of the experiment</w:t>
      </w:r>
      <w:r w:rsidR="00B13DB4" w:rsidRPr="00A13A2F">
        <w:rPr>
          <w:rFonts w:ascii="Times New Roman" w:hAnsi="Times New Roman" w:cs="Times New Roman"/>
          <w:sz w:val="24"/>
          <w:szCs w:val="24"/>
        </w:rPr>
        <w:t xml:space="preserve">. The closure of the gap was imaged at </w:t>
      </w:r>
      <w:r w:rsidR="006D1164">
        <w:rPr>
          <w:rFonts w:ascii="Times New Roman" w:hAnsi="Times New Roman" w:cs="Times New Roman"/>
          <w:sz w:val="24"/>
          <w:szCs w:val="24"/>
        </w:rPr>
        <w:t>specific</w:t>
      </w:r>
      <w:r w:rsidR="006D1164" w:rsidRPr="00A13A2F">
        <w:rPr>
          <w:rFonts w:ascii="Times New Roman" w:hAnsi="Times New Roman" w:cs="Times New Roman"/>
          <w:sz w:val="24"/>
          <w:szCs w:val="24"/>
        </w:rPr>
        <w:t xml:space="preserve"> </w:t>
      </w:r>
      <w:r w:rsidR="00B13DB4" w:rsidRPr="00A13A2F">
        <w:rPr>
          <w:rFonts w:ascii="Times New Roman" w:hAnsi="Times New Roman" w:cs="Times New Roman"/>
          <w:sz w:val="24"/>
          <w:szCs w:val="24"/>
        </w:rPr>
        <w:t>time intervals using</w:t>
      </w:r>
      <w:r w:rsidR="006D1164">
        <w:rPr>
          <w:rFonts w:ascii="Times New Roman" w:hAnsi="Times New Roman" w:cs="Times New Roman"/>
          <w:sz w:val="24"/>
          <w:szCs w:val="24"/>
        </w:rPr>
        <w:t xml:space="preserve"> a</w:t>
      </w:r>
      <w:r w:rsidR="00B13DB4" w:rsidRPr="00A13A2F">
        <w:rPr>
          <w:rFonts w:ascii="Times New Roman" w:hAnsi="Times New Roman" w:cs="Times New Roman"/>
          <w:sz w:val="24"/>
          <w:szCs w:val="24"/>
        </w:rPr>
        <w:t xml:space="preserve"> 4× objective, and the </w:t>
      </w:r>
      <w:r w:rsidR="006D1164">
        <w:rPr>
          <w:rFonts w:ascii="Times New Roman" w:hAnsi="Times New Roman" w:cs="Times New Roman"/>
          <w:sz w:val="24"/>
          <w:szCs w:val="24"/>
        </w:rPr>
        <w:t xml:space="preserve">speed of </w:t>
      </w:r>
      <w:r w:rsidR="00B13DB4" w:rsidRPr="00A13A2F">
        <w:rPr>
          <w:rFonts w:ascii="Times New Roman" w:hAnsi="Times New Roman" w:cs="Times New Roman"/>
          <w:sz w:val="24"/>
          <w:szCs w:val="24"/>
        </w:rPr>
        <w:t xml:space="preserve">wound closure was quantified </w:t>
      </w:r>
      <w:r w:rsidR="006D1164">
        <w:rPr>
          <w:rFonts w:ascii="Times New Roman" w:hAnsi="Times New Roman" w:cs="Times New Roman"/>
          <w:sz w:val="24"/>
          <w:szCs w:val="24"/>
        </w:rPr>
        <w:t>with</w:t>
      </w:r>
      <w:r w:rsidR="006D1164" w:rsidRPr="00A13A2F">
        <w:rPr>
          <w:rFonts w:ascii="Times New Roman" w:hAnsi="Times New Roman" w:cs="Times New Roman"/>
          <w:sz w:val="24"/>
          <w:szCs w:val="24"/>
        </w:rPr>
        <w:t xml:space="preserve"> </w:t>
      </w:r>
      <w:r w:rsidR="00B13DB4" w:rsidRPr="00A13A2F">
        <w:rPr>
          <w:rFonts w:ascii="Times New Roman" w:hAnsi="Times New Roman" w:cs="Times New Roman"/>
          <w:sz w:val="24"/>
          <w:szCs w:val="24"/>
        </w:rPr>
        <w:t>the ImageJ software</w:t>
      </w:r>
      <w:r w:rsidR="008531BC">
        <w:rPr>
          <w:rFonts w:ascii="Times New Roman" w:hAnsi="Times New Roman" w:cs="Times New Roman"/>
          <w:sz w:val="24"/>
          <w:szCs w:val="24"/>
        </w:rPr>
        <w:t xml:space="preserve"> </w:t>
      </w:r>
      <w:r w:rsidR="00775092">
        <w:rPr>
          <w:rFonts w:ascii="Times New Roman" w:hAnsi="Times New Roman" w:cs="Times New Roman"/>
          <w:sz w:val="24"/>
          <w:szCs w:val="24"/>
        </w:rPr>
        <w:fldChar w:fldCharType="begin" w:fldLock="1"/>
      </w:r>
      <w:r w:rsidR="002562A5">
        <w:rPr>
          <w:rFonts w:ascii="Times New Roman" w:hAnsi="Times New Roman" w:cs="Times New Roman"/>
          <w:sz w:val="24"/>
          <w:szCs w:val="24"/>
        </w:rPr>
        <w:instrText>ADDIN CSL_CITATION {"citationItems":[{"id":"ITEM-1","itemData":{"DOI":"10.1038/nmeth.2089","author":[{"dropping-particle":"","family":"Schneider","given":"Caroline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Methods","id":"ITEM-1","issue":"7","issued":{"date-parts":[["2012"]]},"page":"671-675","title":"NIH Image to ImageJ: 25 years of image analysis","type":"article-journal","volume":"9"},"uris":["http://www.mendeley.com/documents/?uuid=702e1121-62c3-3c22-a0ae-5841bd5b8963"]}],"mendeley":{"formattedCitation":"[32]","plainTextFormattedCitation":"[32]","previouslyFormattedCitation":"[32]"},"properties":{"noteIndex":0},"schema":"https://github.com/citation-style-language/schema/raw/master/csl-citation.json"}</w:instrText>
      </w:r>
      <w:r w:rsidR="00775092">
        <w:rPr>
          <w:rFonts w:ascii="Times New Roman" w:hAnsi="Times New Roman" w:cs="Times New Roman"/>
          <w:sz w:val="24"/>
          <w:szCs w:val="24"/>
        </w:rPr>
        <w:fldChar w:fldCharType="separate"/>
      </w:r>
      <w:r w:rsidR="009D5330" w:rsidRPr="009D5330">
        <w:rPr>
          <w:rFonts w:ascii="Times New Roman" w:hAnsi="Times New Roman" w:cs="Times New Roman"/>
          <w:noProof/>
          <w:sz w:val="24"/>
          <w:szCs w:val="24"/>
        </w:rPr>
        <w:t>[32]</w:t>
      </w:r>
      <w:r w:rsidR="00775092">
        <w:rPr>
          <w:rFonts w:ascii="Times New Roman" w:hAnsi="Times New Roman" w:cs="Times New Roman"/>
          <w:sz w:val="24"/>
          <w:szCs w:val="24"/>
        </w:rPr>
        <w:fldChar w:fldCharType="end"/>
      </w:r>
      <w:r w:rsidR="00B13DB4" w:rsidRPr="00A13A2F">
        <w:rPr>
          <w:rFonts w:ascii="Times New Roman" w:hAnsi="Times New Roman" w:cs="Times New Roman"/>
          <w:sz w:val="24"/>
          <w:szCs w:val="24"/>
        </w:rPr>
        <w:t xml:space="preserve">. </w:t>
      </w:r>
      <w:r w:rsidR="000169E5" w:rsidRPr="00C17327">
        <w:rPr>
          <w:rFonts w:asciiTheme="majorBidi" w:hAnsiTheme="majorBidi" w:cstheme="majorBidi"/>
          <w:sz w:val="24"/>
          <w:szCs w:val="24"/>
          <w:shd w:val="clear" w:color="auto" w:fill="FFFFFF"/>
        </w:rPr>
        <w:t>The experiment was performed six independent</w:t>
      </w:r>
      <w:r w:rsidR="0034416E" w:rsidRPr="00C17327">
        <w:rPr>
          <w:rFonts w:asciiTheme="majorBidi" w:hAnsiTheme="majorBidi" w:cstheme="majorBidi"/>
          <w:sz w:val="24"/>
          <w:szCs w:val="24"/>
          <w:shd w:val="clear" w:color="auto" w:fill="FFFFFF"/>
          <w:rtl/>
        </w:rPr>
        <w:t xml:space="preserve"> </w:t>
      </w:r>
      <w:r w:rsidR="0034416E" w:rsidRPr="00C17327">
        <w:rPr>
          <w:rFonts w:asciiTheme="majorBidi" w:hAnsiTheme="majorBidi" w:cstheme="majorBidi"/>
          <w:sz w:val="24"/>
          <w:szCs w:val="24"/>
          <w:shd w:val="clear" w:color="auto" w:fill="FFFFFF"/>
        </w:rPr>
        <w:t>times.</w:t>
      </w:r>
    </w:p>
    <w:p w14:paraId="3B63D693" w14:textId="1051CBB1" w:rsidR="00B13DB4" w:rsidRPr="00A13A2F" w:rsidRDefault="00B13DB4" w:rsidP="00AB3F9D">
      <w:pPr>
        <w:spacing w:after="0" w:line="360" w:lineRule="auto"/>
        <w:ind w:left="360"/>
        <w:jc w:val="both"/>
        <w:rPr>
          <w:rFonts w:ascii="Times New Roman" w:hAnsi="Times New Roman" w:cs="Times New Roman"/>
          <w:b/>
          <w:bCs/>
          <w:sz w:val="24"/>
          <w:szCs w:val="24"/>
          <w:rtl/>
        </w:rPr>
      </w:pPr>
      <w:r w:rsidRPr="00A13A2F">
        <w:rPr>
          <w:rFonts w:ascii="Times New Roman" w:hAnsi="Times New Roman" w:cs="Times New Roman"/>
          <w:b/>
          <w:bCs/>
          <w:sz w:val="24"/>
          <w:szCs w:val="24"/>
        </w:rPr>
        <w:t xml:space="preserve">Cell proliferation </w:t>
      </w:r>
    </w:p>
    <w:p w14:paraId="619C65BB" w14:textId="27A0F513" w:rsidR="00B13DB4" w:rsidRDefault="00B13DB4" w:rsidP="002562A5">
      <w:pPr>
        <w:spacing w:after="0" w:line="360" w:lineRule="auto"/>
        <w:ind w:left="360"/>
        <w:jc w:val="both"/>
        <w:rPr>
          <w:rFonts w:ascii="Times New Roman" w:hAnsi="Times New Roman" w:cs="Times New Roman"/>
          <w:sz w:val="24"/>
          <w:szCs w:val="24"/>
          <w:rtl/>
        </w:rPr>
      </w:pPr>
      <w:r w:rsidRPr="00A13A2F">
        <w:rPr>
          <w:rFonts w:ascii="Times New Roman" w:hAnsi="Times New Roman" w:cs="Times New Roman"/>
          <w:sz w:val="24"/>
          <w:szCs w:val="24"/>
        </w:rPr>
        <w:t xml:space="preserve">To determine the effect of MC analogs on cell proliferation, </w:t>
      </w:r>
      <w:r w:rsidR="00B700C2" w:rsidRPr="00A13A2F">
        <w:rPr>
          <w:rFonts w:ascii="Times New Roman" w:hAnsi="Times New Roman" w:cs="Times New Roman"/>
          <w:sz w:val="24"/>
          <w:szCs w:val="24"/>
        </w:rPr>
        <w:t xml:space="preserve">200,000 </w:t>
      </w:r>
      <w:r w:rsidR="00D458E1" w:rsidRPr="00626F56">
        <w:rPr>
          <w:rStyle w:val="cf01"/>
          <w:rFonts w:asciiTheme="majorBidi" w:hAnsiTheme="majorBidi" w:cstheme="majorBidi"/>
          <w:sz w:val="24"/>
          <w:szCs w:val="24"/>
          <w:highlight w:val="green"/>
        </w:rPr>
        <w:t>MDA-T32</w:t>
      </w:r>
      <w:r w:rsidR="00D458E1">
        <w:rPr>
          <w:rStyle w:val="cf01"/>
          <w:rFonts w:asciiTheme="majorBidi" w:hAnsiTheme="majorBidi" w:cstheme="majorBidi"/>
          <w:sz w:val="24"/>
          <w:szCs w:val="24"/>
        </w:rPr>
        <w:t xml:space="preserve"> </w:t>
      </w:r>
      <w:r w:rsidR="00B700C2" w:rsidRPr="00A13A2F">
        <w:rPr>
          <w:rFonts w:ascii="Times New Roman" w:hAnsi="Times New Roman" w:cs="Times New Roman"/>
          <w:sz w:val="24"/>
          <w:szCs w:val="24"/>
        </w:rPr>
        <w:t xml:space="preserve">cells </w:t>
      </w:r>
      <w:r w:rsidR="004F0CA6">
        <w:rPr>
          <w:rFonts w:ascii="Times New Roman" w:hAnsi="Times New Roman" w:cs="Times New Roman"/>
          <w:sz w:val="24"/>
          <w:szCs w:val="24"/>
        </w:rPr>
        <w:t xml:space="preserve">per well </w:t>
      </w:r>
      <w:r w:rsidR="00B700C2" w:rsidRPr="00A13A2F">
        <w:rPr>
          <w:rFonts w:ascii="Times New Roman" w:hAnsi="Times New Roman" w:cs="Times New Roman"/>
          <w:sz w:val="24"/>
          <w:szCs w:val="24"/>
        </w:rPr>
        <w:t>were seeded in 6-well plates</w:t>
      </w:r>
      <w:r w:rsidRPr="00A13A2F">
        <w:rPr>
          <w:rFonts w:ascii="Times New Roman" w:hAnsi="Times New Roman" w:cs="Times New Roman"/>
          <w:sz w:val="24"/>
          <w:szCs w:val="24"/>
        </w:rPr>
        <w:t xml:space="preserve">. </w:t>
      </w:r>
      <w:r w:rsidR="009E6185">
        <w:rPr>
          <w:rFonts w:ascii="Times New Roman" w:hAnsi="Times New Roman" w:cs="Times New Roman"/>
          <w:sz w:val="24"/>
          <w:szCs w:val="24"/>
        </w:rPr>
        <w:t xml:space="preserve">After </w:t>
      </w:r>
      <w:r w:rsidR="00C17327" w:rsidRPr="00A13A2F">
        <w:rPr>
          <w:rFonts w:ascii="Times New Roman" w:hAnsi="Times New Roman" w:cs="Times New Roman"/>
          <w:sz w:val="24"/>
          <w:szCs w:val="24"/>
        </w:rPr>
        <w:t xml:space="preserve">6 hours </w:t>
      </w:r>
      <w:r w:rsidR="009E6185">
        <w:rPr>
          <w:rFonts w:ascii="Times New Roman" w:hAnsi="Times New Roman" w:cs="Times New Roman"/>
          <w:sz w:val="24"/>
          <w:szCs w:val="24"/>
        </w:rPr>
        <w:t>of culture, sterile minerals were added to each well at a 0.02 mg/mL concentration</w:t>
      </w:r>
      <w:r w:rsidR="00B700C2" w:rsidRPr="00A13A2F">
        <w:rPr>
          <w:rFonts w:ascii="Times New Roman" w:hAnsi="Times New Roman" w:cs="Times New Roman"/>
          <w:sz w:val="24"/>
          <w:szCs w:val="24"/>
        </w:rPr>
        <w:t xml:space="preserve">. </w:t>
      </w:r>
      <w:r w:rsidR="0007313A" w:rsidRPr="00A13A2F">
        <w:rPr>
          <w:rFonts w:ascii="Times New Roman" w:hAnsi="Times New Roman" w:cs="Times New Roman"/>
          <w:sz w:val="24"/>
          <w:szCs w:val="24"/>
        </w:rPr>
        <w:t xml:space="preserve">Control cells were cultured without added minerals. </w:t>
      </w:r>
      <w:r w:rsidR="00B700C2" w:rsidRPr="00A13A2F">
        <w:rPr>
          <w:rFonts w:ascii="Times New Roman" w:hAnsi="Times New Roman" w:cs="Times New Roman"/>
          <w:sz w:val="24"/>
          <w:szCs w:val="24"/>
        </w:rPr>
        <w:t>After 72 h</w:t>
      </w:r>
      <w:r w:rsidR="00732866">
        <w:rPr>
          <w:rFonts w:ascii="Times New Roman" w:hAnsi="Times New Roman" w:cs="Times New Roman"/>
          <w:sz w:val="24"/>
          <w:szCs w:val="24"/>
        </w:rPr>
        <w:t>ours</w:t>
      </w:r>
      <w:r w:rsidR="00B700C2" w:rsidRPr="00A13A2F">
        <w:rPr>
          <w:rFonts w:ascii="Times New Roman" w:hAnsi="Times New Roman" w:cs="Times New Roman"/>
          <w:sz w:val="24"/>
          <w:szCs w:val="24"/>
        </w:rPr>
        <w:t xml:space="preserve"> of incubation, the media was aspirated, and the cells were </w:t>
      </w:r>
      <w:r w:rsidR="004C5D18">
        <w:rPr>
          <w:rFonts w:ascii="Times New Roman" w:hAnsi="Times New Roman" w:cs="Times New Roman"/>
          <w:sz w:val="24"/>
          <w:szCs w:val="24"/>
        </w:rPr>
        <w:t>rinsed</w:t>
      </w:r>
      <w:r w:rsidR="004C5D18" w:rsidRPr="00A13A2F">
        <w:rPr>
          <w:rFonts w:ascii="Times New Roman" w:hAnsi="Times New Roman" w:cs="Times New Roman"/>
          <w:sz w:val="24"/>
          <w:szCs w:val="24"/>
        </w:rPr>
        <w:t xml:space="preserve"> </w:t>
      </w:r>
      <w:r w:rsidR="00B700C2" w:rsidRPr="00A13A2F">
        <w:rPr>
          <w:rFonts w:ascii="Times New Roman" w:hAnsi="Times New Roman" w:cs="Times New Roman"/>
          <w:sz w:val="24"/>
          <w:szCs w:val="24"/>
        </w:rPr>
        <w:t>with PBS</w:t>
      </w:r>
      <w:r w:rsidR="004C5D18">
        <w:rPr>
          <w:rFonts w:ascii="Times New Roman" w:hAnsi="Times New Roman" w:cs="Times New Roman"/>
          <w:sz w:val="24"/>
          <w:szCs w:val="24"/>
        </w:rPr>
        <w:t>. Then,</w:t>
      </w:r>
      <w:r w:rsidR="00B700C2" w:rsidRPr="00A13A2F">
        <w:rPr>
          <w:rFonts w:ascii="Times New Roman" w:hAnsi="Times New Roman" w:cs="Times New Roman"/>
          <w:sz w:val="24"/>
          <w:szCs w:val="24"/>
        </w:rPr>
        <w:t xml:space="preserve"> each well was treated with 1 mL of </w:t>
      </w:r>
      <w:r w:rsidR="00E96FE9">
        <w:rPr>
          <w:rFonts w:ascii="Times New Roman" w:hAnsi="Times New Roman" w:cs="Times New Roman"/>
          <w:sz w:val="24"/>
          <w:szCs w:val="24"/>
        </w:rPr>
        <w:t xml:space="preserve">a </w:t>
      </w:r>
      <w:r w:rsidR="00B700C2" w:rsidRPr="00A13A2F">
        <w:rPr>
          <w:rFonts w:ascii="Times New Roman" w:hAnsi="Times New Roman" w:cs="Times New Roman"/>
          <w:sz w:val="24"/>
          <w:szCs w:val="24"/>
        </w:rPr>
        <w:t xml:space="preserve">0.1% </w:t>
      </w:r>
      <w:r w:rsidR="00966CC4">
        <w:rPr>
          <w:rFonts w:ascii="Times New Roman" w:hAnsi="Times New Roman" w:cs="Times New Roman"/>
          <w:sz w:val="24"/>
          <w:szCs w:val="24"/>
        </w:rPr>
        <w:t>crystal violet (</w:t>
      </w:r>
      <w:r w:rsidR="00E96FE9">
        <w:rPr>
          <w:rFonts w:ascii="Times New Roman" w:hAnsi="Times New Roman" w:cs="Times New Roman"/>
          <w:sz w:val="24"/>
          <w:szCs w:val="24"/>
        </w:rPr>
        <w:t>CV</w:t>
      </w:r>
      <w:r w:rsidR="00966CC4">
        <w:rPr>
          <w:rFonts w:ascii="Times New Roman" w:hAnsi="Times New Roman" w:cs="Times New Roman"/>
          <w:sz w:val="24"/>
          <w:szCs w:val="24"/>
        </w:rPr>
        <w:t>)</w:t>
      </w:r>
      <w:r w:rsidR="00B700C2" w:rsidRPr="00A13A2F">
        <w:rPr>
          <w:rFonts w:ascii="Times New Roman" w:hAnsi="Times New Roman" w:cs="Times New Roman"/>
          <w:sz w:val="24"/>
          <w:szCs w:val="24"/>
        </w:rPr>
        <w:t xml:space="preserve"> solution in deionized water. </w:t>
      </w:r>
      <w:r w:rsidR="009C421A">
        <w:rPr>
          <w:rFonts w:ascii="Times New Roman" w:hAnsi="Times New Roman" w:cs="Times New Roman"/>
          <w:sz w:val="24"/>
          <w:szCs w:val="24"/>
        </w:rPr>
        <w:t>The cells were washed repeatedly using d</w:t>
      </w:r>
      <w:r w:rsidR="00B700C2" w:rsidRPr="00A13A2F">
        <w:rPr>
          <w:rFonts w:ascii="Times New Roman" w:hAnsi="Times New Roman" w:cs="Times New Roman"/>
          <w:sz w:val="24"/>
          <w:szCs w:val="24"/>
        </w:rPr>
        <w:t xml:space="preserve">eionized water until the water </w:t>
      </w:r>
      <w:r w:rsidR="009C421A">
        <w:rPr>
          <w:rFonts w:ascii="Times New Roman" w:hAnsi="Times New Roman" w:cs="Times New Roman"/>
          <w:sz w:val="24"/>
          <w:szCs w:val="24"/>
        </w:rPr>
        <w:t>turned clear</w:t>
      </w:r>
      <w:r w:rsidR="00B700C2" w:rsidRPr="00A13A2F">
        <w:rPr>
          <w:rFonts w:ascii="Times New Roman" w:hAnsi="Times New Roman" w:cs="Times New Roman"/>
          <w:sz w:val="24"/>
          <w:szCs w:val="24"/>
        </w:rPr>
        <w:t xml:space="preserve">. </w:t>
      </w:r>
      <w:r w:rsidR="009C421A">
        <w:rPr>
          <w:rFonts w:ascii="Times New Roman" w:hAnsi="Times New Roman" w:cs="Times New Roman"/>
          <w:sz w:val="24"/>
          <w:szCs w:val="24"/>
        </w:rPr>
        <w:t>Following overnight drying</w:t>
      </w:r>
      <w:r w:rsidR="00B700C2" w:rsidRPr="00A13A2F">
        <w:rPr>
          <w:rFonts w:ascii="Times New Roman" w:hAnsi="Times New Roman" w:cs="Times New Roman"/>
          <w:sz w:val="24"/>
          <w:szCs w:val="24"/>
        </w:rPr>
        <w:t xml:space="preserve">, the plates were imaged using a Nikon Eclipse Ci-L Ergo R2S Fi3 microscope equipped with a DS-Fi3 camera and a 4× objective. The CV was then dissolved in </w:t>
      </w:r>
      <w:r w:rsidR="005521C7">
        <w:rPr>
          <w:rFonts w:ascii="Times New Roman" w:hAnsi="Times New Roman" w:cs="Times New Roman"/>
          <w:sz w:val="24"/>
          <w:szCs w:val="24"/>
        </w:rPr>
        <w:t>1</w:t>
      </w:r>
      <w:r w:rsidR="00B700C2" w:rsidRPr="00A13A2F">
        <w:rPr>
          <w:rFonts w:ascii="Times New Roman" w:hAnsi="Times New Roman" w:cs="Times New Roman"/>
          <w:sz w:val="24"/>
          <w:szCs w:val="24"/>
        </w:rPr>
        <w:t xml:space="preserve"> mL of acetic acid. </w:t>
      </w:r>
      <w:r w:rsidR="002562A5" w:rsidRPr="00147642">
        <w:rPr>
          <w:rFonts w:ascii="Times New Roman" w:hAnsi="Times New Roman" w:cs="Times New Roman"/>
          <w:sz w:val="24"/>
          <w:szCs w:val="24"/>
          <w:highlight w:val="green"/>
        </w:rPr>
        <w:t>Synergy H1 plate reader (BioTek)</w:t>
      </w:r>
      <w:r w:rsidR="002562A5">
        <w:rPr>
          <w:rFonts w:ascii="Times New Roman" w:hAnsi="Times New Roman" w:cs="Times New Roman"/>
          <w:sz w:val="24"/>
          <w:szCs w:val="24"/>
        </w:rPr>
        <w:t xml:space="preserve"> </w:t>
      </w:r>
      <w:r w:rsidR="002F63D0" w:rsidRPr="00A13A2F">
        <w:rPr>
          <w:rFonts w:ascii="Times New Roman" w:hAnsi="Times New Roman" w:cs="Times New Roman"/>
          <w:sz w:val="24"/>
          <w:szCs w:val="24"/>
        </w:rPr>
        <w:t xml:space="preserve">was used to measure </w:t>
      </w:r>
      <w:r w:rsidR="003B3C80">
        <w:rPr>
          <w:rFonts w:ascii="Times New Roman" w:hAnsi="Times New Roman" w:cs="Times New Roman"/>
          <w:sz w:val="24"/>
          <w:szCs w:val="24"/>
        </w:rPr>
        <w:t xml:space="preserve">the </w:t>
      </w:r>
      <w:r w:rsidR="002F63D0" w:rsidRPr="00A13A2F">
        <w:rPr>
          <w:rFonts w:ascii="Times New Roman" w:hAnsi="Times New Roman" w:cs="Times New Roman"/>
          <w:sz w:val="24"/>
          <w:szCs w:val="24"/>
        </w:rPr>
        <w:t>absorbance at 570 nm</w:t>
      </w:r>
      <w:r w:rsidR="002F63D0">
        <w:rPr>
          <w:rFonts w:ascii="Times New Roman" w:hAnsi="Times New Roman" w:cs="Times New Roman"/>
          <w:sz w:val="24"/>
          <w:szCs w:val="24"/>
        </w:rPr>
        <w:t>.</w:t>
      </w:r>
      <w:r w:rsidR="002F63D0" w:rsidRPr="00A13A2F">
        <w:rPr>
          <w:rFonts w:ascii="Times New Roman" w:hAnsi="Times New Roman" w:cs="Times New Roman"/>
          <w:sz w:val="24"/>
          <w:szCs w:val="24"/>
        </w:rPr>
        <w:t xml:space="preserve"> </w:t>
      </w:r>
      <w:r w:rsidR="00F222EE">
        <w:rPr>
          <w:rFonts w:ascii="Times New Roman" w:hAnsi="Times New Roman" w:cs="Times New Roman"/>
          <w:sz w:val="24"/>
          <w:szCs w:val="24"/>
        </w:rPr>
        <w:t>By comparing</w:t>
      </w:r>
      <w:r w:rsidR="00B700C2" w:rsidRPr="00A13A2F">
        <w:rPr>
          <w:rFonts w:ascii="Times New Roman" w:hAnsi="Times New Roman" w:cs="Times New Roman"/>
          <w:sz w:val="24"/>
          <w:szCs w:val="24"/>
        </w:rPr>
        <w:t xml:space="preserve"> the cell </w:t>
      </w:r>
      <w:r w:rsidR="002104BB">
        <w:rPr>
          <w:rFonts w:ascii="Times New Roman" w:hAnsi="Times New Roman" w:cs="Times New Roman"/>
          <w:sz w:val="24"/>
          <w:szCs w:val="24"/>
        </w:rPr>
        <w:t>count</w:t>
      </w:r>
      <w:r w:rsidR="002104BB" w:rsidRPr="00A13A2F">
        <w:rPr>
          <w:rFonts w:ascii="Times New Roman" w:hAnsi="Times New Roman" w:cs="Times New Roman"/>
          <w:sz w:val="24"/>
          <w:szCs w:val="24"/>
        </w:rPr>
        <w:t xml:space="preserve"> </w:t>
      </w:r>
      <w:r w:rsidR="00B700C2" w:rsidRPr="00A13A2F">
        <w:rPr>
          <w:rFonts w:ascii="Times New Roman" w:hAnsi="Times New Roman" w:cs="Times New Roman"/>
          <w:sz w:val="24"/>
          <w:szCs w:val="24"/>
        </w:rPr>
        <w:t xml:space="preserve">to the </w:t>
      </w:r>
      <w:r w:rsidR="002104BB">
        <w:rPr>
          <w:rFonts w:ascii="Times New Roman" w:hAnsi="Times New Roman" w:cs="Times New Roman"/>
          <w:sz w:val="24"/>
          <w:szCs w:val="24"/>
        </w:rPr>
        <w:t>count</w:t>
      </w:r>
      <w:r w:rsidR="002104BB" w:rsidRPr="00A13A2F">
        <w:rPr>
          <w:rFonts w:ascii="Times New Roman" w:hAnsi="Times New Roman" w:cs="Times New Roman"/>
          <w:sz w:val="24"/>
          <w:szCs w:val="24"/>
        </w:rPr>
        <w:t xml:space="preserve"> </w:t>
      </w:r>
      <w:r w:rsidR="00B700C2" w:rsidRPr="00A13A2F">
        <w:rPr>
          <w:rFonts w:ascii="Times New Roman" w:hAnsi="Times New Roman" w:cs="Times New Roman"/>
          <w:sz w:val="24"/>
          <w:szCs w:val="24"/>
        </w:rPr>
        <w:t>of untreated cells</w:t>
      </w:r>
      <w:r w:rsidR="002104BB">
        <w:rPr>
          <w:rFonts w:ascii="Times New Roman" w:hAnsi="Times New Roman" w:cs="Times New Roman"/>
          <w:sz w:val="24"/>
          <w:szCs w:val="24"/>
        </w:rPr>
        <w:t xml:space="preserve"> </w:t>
      </w:r>
      <w:r w:rsidR="00B700C2" w:rsidRPr="00A13A2F">
        <w:rPr>
          <w:rFonts w:ascii="Times New Roman" w:hAnsi="Times New Roman" w:cs="Times New Roman"/>
          <w:sz w:val="24"/>
          <w:szCs w:val="24"/>
        </w:rPr>
        <w:t>(control)</w:t>
      </w:r>
      <w:r w:rsidR="002104BB">
        <w:rPr>
          <w:rFonts w:ascii="Times New Roman" w:hAnsi="Times New Roman" w:cs="Times New Roman"/>
          <w:sz w:val="24"/>
          <w:szCs w:val="24"/>
        </w:rPr>
        <w:t>,</w:t>
      </w:r>
      <w:r w:rsidR="002F63D0">
        <w:rPr>
          <w:rFonts w:ascii="Times New Roman" w:hAnsi="Times New Roman" w:cs="Times New Roman"/>
          <w:sz w:val="24"/>
          <w:szCs w:val="24"/>
        </w:rPr>
        <w:t xml:space="preserve"> the relative proliferation was determined</w:t>
      </w:r>
      <w:r w:rsidR="00B700C2" w:rsidRPr="00A13A2F">
        <w:rPr>
          <w:rFonts w:ascii="Times New Roman" w:hAnsi="Times New Roman" w:cs="Times New Roman"/>
          <w:sz w:val="24"/>
          <w:szCs w:val="24"/>
        </w:rPr>
        <w:t>.</w:t>
      </w:r>
      <w:r w:rsidR="00A13A2F" w:rsidRPr="00A13A2F">
        <w:rPr>
          <w:rFonts w:ascii="Times New Roman" w:hAnsi="Times New Roman" w:cs="Times New Roman"/>
          <w:sz w:val="24"/>
          <w:szCs w:val="24"/>
        </w:rPr>
        <w:t xml:space="preserve"> </w:t>
      </w:r>
      <w:r w:rsidR="00B700C2" w:rsidRPr="00A13A2F">
        <w:rPr>
          <w:rFonts w:ascii="Times New Roman" w:hAnsi="Times New Roman" w:cs="Times New Roman"/>
          <w:sz w:val="24"/>
          <w:szCs w:val="24"/>
        </w:rPr>
        <w:t>The</w:t>
      </w:r>
      <w:r w:rsidRPr="00A13A2F">
        <w:rPr>
          <w:rFonts w:ascii="Times New Roman" w:hAnsi="Times New Roman" w:cs="Times New Roman"/>
          <w:sz w:val="24"/>
          <w:szCs w:val="24"/>
        </w:rPr>
        <w:t xml:space="preserve"> experiment was </w:t>
      </w:r>
      <w:r w:rsidR="0088785D">
        <w:rPr>
          <w:rFonts w:ascii="Times New Roman" w:hAnsi="Times New Roman" w:cs="Times New Roman"/>
          <w:sz w:val="24"/>
          <w:szCs w:val="24"/>
        </w:rPr>
        <w:t>carried out</w:t>
      </w:r>
      <w:r w:rsidR="0088785D" w:rsidRPr="00A13A2F">
        <w:rPr>
          <w:rFonts w:ascii="Times New Roman" w:hAnsi="Times New Roman" w:cs="Times New Roman"/>
          <w:sz w:val="24"/>
          <w:szCs w:val="24"/>
        </w:rPr>
        <w:t xml:space="preserve"> </w:t>
      </w:r>
      <w:r w:rsidRPr="00A13A2F">
        <w:rPr>
          <w:rFonts w:ascii="Times New Roman" w:hAnsi="Times New Roman" w:cs="Times New Roman"/>
          <w:sz w:val="24"/>
          <w:szCs w:val="24"/>
        </w:rPr>
        <w:t xml:space="preserve">three </w:t>
      </w:r>
      <w:r w:rsidR="0088785D">
        <w:rPr>
          <w:rFonts w:ascii="Times New Roman" w:hAnsi="Times New Roman" w:cs="Times New Roman"/>
          <w:sz w:val="24"/>
          <w:szCs w:val="24"/>
        </w:rPr>
        <w:t>times with two biological replicas each time</w:t>
      </w:r>
      <w:r w:rsidRPr="00A13A2F">
        <w:rPr>
          <w:rFonts w:ascii="Times New Roman" w:hAnsi="Times New Roman" w:cs="Times New Roman"/>
          <w:sz w:val="24"/>
          <w:szCs w:val="24"/>
        </w:rPr>
        <w:t xml:space="preserve">. </w:t>
      </w:r>
    </w:p>
    <w:p w14:paraId="7B4E1C1E" w14:textId="77777777" w:rsidR="00DF19AC" w:rsidRPr="00C460B5" w:rsidRDefault="00DF19AC" w:rsidP="00DF19AC">
      <w:pPr>
        <w:pStyle w:val="Heading3"/>
        <w:spacing w:line="288" w:lineRule="auto"/>
        <w:ind w:left="284"/>
        <w:rPr>
          <w:rFonts w:ascii="Times New Roman" w:eastAsiaTheme="minorHAnsi" w:hAnsi="Times New Roman" w:cs="Times New Roman"/>
          <w:b/>
          <w:bCs/>
          <w:color w:val="auto"/>
          <w:highlight w:val="green"/>
        </w:rPr>
      </w:pPr>
      <w:bookmarkStart w:id="3" w:name="_Hlk161063263"/>
      <w:r w:rsidRPr="00C460B5">
        <w:rPr>
          <w:rFonts w:ascii="Times New Roman" w:eastAsiaTheme="minorHAnsi" w:hAnsi="Times New Roman" w:cs="Times New Roman"/>
          <w:b/>
          <w:bCs/>
          <w:color w:val="auto"/>
          <w:highlight w:val="green"/>
        </w:rPr>
        <w:t xml:space="preserve">Western blotting </w:t>
      </w:r>
    </w:p>
    <w:p w14:paraId="7E99AE78" w14:textId="57F42ECD" w:rsidR="00DF19AC" w:rsidRPr="00DF19AC" w:rsidRDefault="00DF19AC" w:rsidP="00DF19AC">
      <w:pPr>
        <w:spacing w:line="288" w:lineRule="auto"/>
        <w:ind w:left="284"/>
        <w:jc w:val="both"/>
        <w:rPr>
          <w:rFonts w:ascii="Times New Roman" w:hAnsi="Times New Roman" w:cs="Times New Roman"/>
          <w:sz w:val="24"/>
          <w:szCs w:val="24"/>
        </w:rPr>
      </w:pPr>
      <w:r w:rsidRPr="00C460B5">
        <w:rPr>
          <w:rFonts w:ascii="Times New Roman" w:hAnsi="Times New Roman" w:cs="Times New Roman"/>
          <w:sz w:val="24"/>
          <w:szCs w:val="24"/>
          <w:highlight w:val="green"/>
        </w:rPr>
        <w:t>The expression</w:t>
      </w:r>
      <w:r w:rsidR="00A43EA4">
        <w:rPr>
          <w:rFonts w:ascii="Times New Roman" w:hAnsi="Times New Roman" w:cs="Times New Roman"/>
          <w:sz w:val="24"/>
          <w:szCs w:val="24"/>
          <w:highlight w:val="green"/>
        </w:rPr>
        <w:t>s</w:t>
      </w:r>
      <w:r w:rsidRPr="00C460B5">
        <w:rPr>
          <w:rFonts w:ascii="Times New Roman" w:hAnsi="Times New Roman" w:cs="Times New Roman"/>
          <w:sz w:val="24"/>
          <w:szCs w:val="24"/>
          <w:highlight w:val="green"/>
        </w:rPr>
        <w:t xml:space="preserve"> of </w:t>
      </w:r>
      <w:r w:rsidR="00A43EA4">
        <w:rPr>
          <w:rFonts w:ascii="Times New Roman" w:hAnsi="Times New Roman" w:cs="Times New Roman"/>
          <w:sz w:val="24"/>
          <w:szCs w:val="24"/>
          <w:highlight w:val="green"/>
        </w:rPr>
        <w:t>ERK, p-ERK, AKT, and EGFR</w:t>
      </w:r>
      <w:r w:rsidRPr="00C460B5">
        <w:rPr>
          <w:rFonts w:ascii="Times New Roman" w:hAnsi="Times New Roman" w:cs="Times New Roman"/>
          <w:sz w:val="24"/>
          <w:szCs w:val="24"/>
          <w:highlight w:val="green"/>
        </w:rPr>
        <w:t xml:space="preserve"> </w:t>
      </w:r>
      <w:r w:rsidR="00A43EA4">
        <w:rPr>
          <w:rFonts w:ascii="Times New Roman" w:hAnsi="Times New Roman" w:cs="Times New Roman"/>
          <w:sz w:val="24"/>
          <w:szCs w:val="24"/>
          <w:highlight w:val="green"/>
        </w:rPr>
        <w:t>were</w:t>
      </w:r>
      <w:r w:rsidRPr="00C460B5">
        <w:rPr>
          <w:rFonts w:ascii="Times New Roman" w:hAnsi="Times New Roman" w:cs="Times New Roman"/>
          <w:sz w:val="24"/>
          <w:szCs w:val="24"/>
          <w:highlight w:val="green"/>
        </w:rPr>
        <w:t xml:space="preserve"> studied in </w:t>
      </w:r>
      <w:r w:rsidR="00353CDE" w:rsidRPr="00C460B5">
        <w:rPr>
          <w:rFonts w:ascii="Times New Roman" w:hAnsi="Times New Roman" w:cs="Times New Roman"/>
          <w:sz w:val="24"/>
          <w:szCs w:val="24"/>
          <w:highlight w:val="green"/>
        </w:rPr>
        <w:t>cell monolayers cultured in T-</w:t>
      </w:r>
      <w:r w:rsidR="00094721">
        <w:rPr>
          <w:rFonts w:ascii="Times New Roman" w:hAnsi="Times New Roman" w:cs="Times New Roman" w:hint="cs"/>
          <w:sz w:val="24"/>
          <w:szCs w:val="24"/>
          <w:highlight w:val="green"/>
          <w:rtl/>
        </w:rPr>
        <w:t>25</w:t>
      </w:r>
      <w:r w:rsidR="00353CDE" w:rsidRPr="00C460B5">
        <w:rPr>
          <w:rFonts w:ascii="Times New Roman" w:hAnsi="Times New Roman" w:cs="Times New Roman"/>
          <w:sz w:val="24"/>
          <w:szCs w:val="24"/>
          <w:highlight w:val="green"/>
        </w:rPr>
        <w:t xml:space="preserve"> flasks for 72 h in the presence of MC analogs with varying Zn fraction</w:t>
      </w:r>
      <w:r w:rsidRPr="00C460B5">
        <w:rPr>
          <w:rFonts w:ascii="Times New Roman" w:hAnsi="Times New Roman" w:cs="Times New Roman"/>
          <w:sz w:val="24"/>
          <w:szCs w:val="24"/>
          <w:highlight w:val="green"/>
        </w:rPr>
        <w:t xml:space="preserve">. </w:t>
      </w:r>
      <w:r w:rsidR="00353CDE" w:rsidRPr="00C460B5">
        <w:rPr>
          <w:rFonts w:ascii="Times New Roman" w:hAnsi="Times New Roman" w:cs="Times New Roman"/>
          <w:sz w:val="24"/>
          <w:szCs w:val="24"/>
          <w:highlight w:val="green"/>
        </w:rPr>
        <w:t>The cells were trypsinized and X cells from</w:t>
      </w:r>
      <w:r w:rsidRPr="00C460B5">
        <w:rPr>
          <w:rFonts w:ascii="Times New Roman" w:hAnsi="Times New Roman" w:cs="Times New Roman"/>
          <w:sz w:val="24"/>
          <w:szCs w:val="24"/>
          <w:highlight w:val="green"/>
        </w:rPr>
        <w:t xml:space="preserve"> each condition were collected into a 1.5 mL centrifuge tube, washed with PBS, and centrifuged for 5 min at 5 rpm and at 4⁰C. The </w:t>
      </w:r>
      <w:r w:rsidR="00353CDE" w:rsidRPr="00C460B5">
        <w:rPr>
          <w:rFonts w:ascii="Times New Roman" w:hAnsi="Times New Roman" w:cs="Times New Roman"/>
          <w:sz w:val="24"/>
          <w:szCs w:val="24"/>
          <w:highlight w:val="green"/>
        </w:rPr>
        <w:t>cells</w:t>
      </w:r>
      <w:r w:rsidRPr="00C460B5">
        <w:rPr>
          <w:rFonts w:ascii="Times New Roman" w:hAnsi="Times New Roman" w:cs="Times New Roman"/>
          <w:sz w:val="24"/>
          <w:szCs w:val="24"/>
          <w:highlight w:val="green"/>
        </w:rPr>
        <w:t xml:space="preserve"> were lysed by adding 100 µL of ice-cold RIPA buffer (50 mM Tris (Sigma Aldrich), 150 mM NaCl (Sigma Aldrich), 0.5% Triton (Sigma Aldrich), 0.1% SDS (Sigma Aldrich) containing 10% protease inhibitor cocktail (Sigma Aldrich) and incubated on ice for 40 min. The cell debris was pelleted by centrifugation for 10 min at 15,000 rpm and at 4⁰C, and the supernatant was collected. The protein concentration of the lysates was determined using the BCA protein assay (Pierce). The samples for Western blotting were prepared by mixing 15 µg protein from each </w:t>
      </w:r>
      <w:r w:rsidR="00353CDE" w:rsidRPr="00C460B5">
        <w:rPr>
          <w:rFonts w:ascii="Times New Roman" w:hAnsi="Times New Roman" w:cs="Times New Roman"/>
          <w:sz w:val="24"/>
          <w:szCs w:val="24"/>
          <w:highlight w:val="green"/>
        </w:rPr>
        <w:t>cell</w:t>
      </w:r>
      <w:r w:rsidRPr="00C460B5">
        <w:rPr>
          <w:rFonts w:ascii="Times New Roman" w:hAnsi="Times New Roman" w:cs="Times New Roman"/>
          <w:sz w:val="24"/>
          <w:szCs w:val="24"/>
          <w:highlight w:val="green"/>
        </w:rPr>
        <w:t xml:space="preserve"> lysate with Laemmli Sample Buffer, boiling it for 5 min, and then chilling </w:t>
      </w:r>
      <w:r w:rsidRPr="00C460B5">
        <w:rPr>
          <w:rFonts w:ascii="Times New Roman" w:hAnsi="Times New Roman" w:cs="Times New Roman"/>
          <w:sz w:val="24"/>
          <w:szCs w:val="24"/>
          <w:highlight w:val="green"/>
        </w:rPr>
        <w:lastRenderedPageBreak/>
        <w:t>on ice. The proteins were separated by electrophoresis on 10% agarose gel and transferred to a nitrocellulose membrane. The membrane was incubated for 1 h in a blocking buffer of PBST (PBS (Sigma Aldrich) supplemented with 0.1 v/v % Tween 20 (Sigma Aldrich) and 5% (v/w) dry skim milk (Sigma-Aldrich). The membrane was washed three times with PBST for 5 min and then incubated with primary antibody diluted in PBST supplemented with 2% skim milk. The anti-</w:t>
      </w:r>
      <w:r w:rsidR="00353CDE" w:rsidRPr="00C460B5">
        <w:rPr>
          <w:rFonts w:ascii="Times New Roman" w:hAnsi="Times New Roman" w:cs="Times New Roman"/>
          <w:sz w:val="24"/>
          <w:szCs w:val="24"/>
          <w:highlight w:val="green"/>
        </w:rPr>
        <w:t>X</w:t>
      </w:r>
      <w:r w:rsidRPr="00C460B5">
        <w:rPr>
          <w:rFonts w:ascii="Times New Roman" w:hAnsi="Times New Roman" w:cs="Times New Roman"/>
          <w:sz w:val="24"/>
          <w:szCs w:val="24"/>
          <w:highlight w:val="green"/>
        </w:rPr>
        <w:t xml:space="preserve"> antibody (sc-33684, Santa Cruz Biotechnology, Dallas, TX, USA) was diluted 1:50 (v/v) in PBST supplemented with 2% skim milk prior to use, and incubated with the membrane for 3 h. The anti β-Actin antibody (sc-47778) was diluted 1:400 (v/v) and incubated with the membrane for 1 h. Next, the membrane was washed three times with PBST and incubated for 1 h at 25°C with a secondary, anti-mouse HRP-conjugated antibody (115-035-003, Jackson ImmunoResearch Laboratories, West Grove, PA, USA) diluted 1:10,000 (v/v) in PBST supplemented with 0.5% (v/w) skim milk. To finalize the procedure, the membrane was washed three times with PBST and incubated with an ECL Western blotting reagent (1,705,060, Bio-Rad, Hercules, CA, USA) for 5 min in the dark. Images were collected by chemiluminescence, using the Fusion FX imaging system (Vilber Lourmat, Collégien, France). The experiment was performed with three independent biological replicates.</w:t>
      </w:r>
    </w:p>
    <w:bookmarkEnd w:id="3"/>
    <w:p w14:paraId="352F86AB" w14:textId="77777777" w:rsidR="00DF19AC" w:rsidRDefault="00DF19AC" w:rsidP="002562A5">
      <w:pPr>
        <w:spacing w:after="0" w:line="360" w:lineRule="auto"/>
        <w:ind w:left="360"/>
        <w:jc w:val="both"/>
        <w:rPr>
          <w:rFonts w:ascii="Times New Roman" w:hAnsi="Times New Roman" w:cs="Times New Roman"/>
          <w:sz w:val="24"/>
          <w:szCs w:val="24"/>
        </w:rPr>
      </w:pPr>
    </w:p>
    <w:p w14:paraId="18E05762" w14:textId="1907953A" w:rsidR="00B578A8" w:rsidRPr="00147642" w:rsidRDefault="00D458E1" w:rsidP="0065549E">
      <w:pPr>
        <w:spacing w:after="0" w:line="360" w:lineRule="auto"/>
        <w:ind w:left="284"/>
        <w:jc w:val="both"/>
        <w:rPr>
          <w:rFonts w:ascii="Times New Roman" w:hAnsi="Times New Roman" w:cs="Times New Roman"/>
          <w:b/>
          <w:bCs/>
          <w:sz w:val="24"/>
          <w:szCs w:val="24"/>
          <w:highlight w:val="green"/>
        </w:rPr>
      </w:pPr>
      <w:r>
        <w:rPr>
          <w:rFonts w:ascii="Times New Roman" w:hAnsi="Times New Roman" w:cs="Times New Roman"/>
          <w:b/>
          <w:bCs/>
          <w:sz w:val="24"/>
          <w:szCs w:val="24"/>
          <w:highlight w:val="green"/>
        </w:rPr>
        <w:t>Multicellular s</w:t>
      </w:r>
      <w:r w:rsidR="00B578A8" w:rsidRPr="00147642">
        <w:rPr>
          <w:rFonts w:ascii="Times New Roman" w:hAnsi="Times New Roman" w:cs="Times New Roman"/>
          <w:b/>
          <w:bCs/>
          <w:sz w:val="24"/>
          <w:szCs w:val="24"/>
          <w:highlight w:val="green"/>
        </w:rPr>
        <w:t>pheroid formation</w:t>
      </w:r>
    </w:p>
    <w:p w14:paraId="177886E7" w14:textId="1DA52DA9" w:rsidR="00B578A8" w:rsidRPr="00147642" w:rsidRDefault="00B578A8" w:rsidP="0065549E">
      <w:pPr>
        <w:spacing w:after="0" w:line="360" w:lineRule="auto"/>
        <w:ind w:left="284"/>
        <w:jc w:val="both"/>
        <w:rPr>
          <w:rFonts w:ascii="Times New Roman" w:hAnsi="Times New Roman" w:cs="Times New Roman"/>
          <w:sz w:val="24"/>
          <w:szCs w:val="24"/>
          <w:highlight w:val="green"/>
        </w:rPr>
      </w:pPr>
      <w:r w:rsidRPr="00147642">
        <w:rPr>
          <w:rFonts w:ascii="Times New Roman" w:hAnsi="Times New Roman" w:cs="Times New Roman"/>
          <w:sz w:val="24"/>
          <w:szCs w:val="24"/>
          <w:highlight w:val="green"/>
        </w:rPr>
        <w:t xml:space="preserve">The bottom of each well of the 96-well plate was coated with </w:t>
      </w:r>
      <w:r w:rsidR="002562A5">
        <w:rPr>
          <w:rFonts w:ascii="Times New Roman" w:hAnsi="Times New Roman" w:cs="Times New Roman"/>
          <w:sz w:val="24"/>
          <w:szCs w:val="24"/>
          <w:highlight w:val="green"/>
        </w:rPr>
        <w:t>7</w:t>
      </w:r>
      <w:r w:rsidR="002562A5" w:rsidRPr="008B1A58">
        <w:rPr>
          <w:rFonts w:ascii="Times New Roman" w:hAnsi="Times New Roman" w:cs="Times New Roman"/>
          <w:sz w:val="24"/>
          <w:szCs w:val="24"/>
          <w:highlight w:val="green"/>
        </w:rPr>
        <w:t xml:space="preserve">0 µL </w:t>
      </w:r>
      <w:r w:rsidRPr="00147642">
        <w:rPr>
          <w:rFonts w:ascii="Times New Roman" w:hAnsi="Times New Roman" w:cs="Times New Roman"/>
          <w:sz w:val="24"/>
          <w:szCs w:val="24"/>
          <w:highlight w:val="green"/>
        </w:rPr>
        <w:t xml:space="preserve">of 1.5% low melting agarose </w:t>
      </w:r>
      <w:r w:rsidR="0005735C">
        <w:rPr>
          <w:rFonts w:ascii="Times New Roman" w:hAnsi="Times New Roman" w:cs="Times New Roman"/>
          <w:sz w:val="24"/>
          <w:szCs w:val="24"/>
          <w:highlight w:val="green"/>
        </w:rPr>
        <w:t>dissolved</w:t>
      </w:r>
      <w:r w:rsidR="00F84FA0">
        <w:rPr>
          <w:rFonts w:ascii="Times New Roman" w:hAnsi="Times New Roman" w:cs="Times New Roman"/>
          <w:sz w:val="24"/>
          <w:szCs w:val="24"/>
          <w:highlight w:val="green"/>
        </w:rPr>
        <w:t xml:space="preserve"> </w:t>
      </w:r>
      <w:r w:rsidRPr="00147642">
        <w:rPr>
          <w:rFonts w:ascii="Times New Roman" w:hAnsi="Times New Roman" w:cs="Times New Roman"/>
          <w:sz w:val="24"/>
          <w:szCs w:val="24"/>
          <w:highlight w:val="green"/>
        </w:rPr>
        <w:t>in RPMI-1640</w:t>
      </w:r>
      <w:r>
        <w:rPr>
          <w:rFonts w:ascii="Times New Roman" w:hAnsi="Times New Roman" w:cs="Times New Roman"/>
          <w:sz w:val="24"/>
          <w:szCs w:val="24"/>
          <w:highlight w:val="green"/>
        </w:rPr>
        <w:t xml:space="preserve"> cell culture medium</w:t>
      </w:r>
      <w:r w:rsidRPr="00147642">
        <w:rPr>
          <w:rFonts w:ascii="Times New Roman" w:hAnsi="Times New Roman" w:cs="Times New Roman"/>
          <w:sz w:val="24"/>
          <w:szCs w:val="24"/>
          <w:highlight w:val="green"/>
        </w:rPr>
        <w:t>. Subsequently, 7,000 cells were mixed with crystals at a concentration of</w:t>
      </w:r>
      <w:r w:rsidR="002562A5">
        <w:rPr>
          <w:rFonts w:ascii="Times New Roman" w:hAnsi="Times New Roman" w:cs="Times New Roman"/>
          <w:sz w:val="24"/>
          <w:szCs w:val="24"/>
          <w:highlight w:val="green"/>
        </w:rPr>
        <w:t xml:space="preserve"> </w:t>
      </w:r>
      <w:r w:rsidR="002562A5" w:rsidRPr="002466C5">
        <w:rPr>
          <w:rFonts w:ascii="Times New Roman" w:hAnsi="Times New Roman" w:cs="Times New Roman"/>
          <w:sz w:val="24"/>
          <w:szCs w:val="24"/>
          <w:highlight w:val="green"/>
        </w:rPr>
        <w:t>0.02 mg/</w:t>
      </w:r>
      <w:r w:rsidR="00DA1CD6" w:rsidRPr="002466C5">
        <w:rPr>
          <w:rFonts w:ascii="Times New Roman" w:hAnsi="Times New Roman" w:cs="Times New Roman"/>
          <w:sz w:val="24"/>
          <w:szCs w:val="24"/>
          <w:highlight w:val="green"/>
        </w:rPr>
        <w:t>mL</w:t>
      </w:r>
      <w:r w:rsidR="00DA1CD6" w:rsidRPr="00147642">
        <w:rPr>
          <w:rFonts w:ascii="Times New Roman" w:hAnsi="Times New Roman" w:cs="Times New Roman"/>
          <w:sz w:val="24"/>
          <w:szCs w:val="24"/>
          <w:highlight w:val="green"/>
        </w:rPr>
        <w:t xml:space="preserve"> in</w:t>
      </w:r>
      <w:r w:rsidRPr="00147642">
        <w:rPr>
          <w:rFonts w:ascii="Times New Roman" w:hAnsi="Times New Roman" w:cs="Times New Roman"/>
          <w:sz w:val="24"/>
          <w:szCs w:val="24"/>
          <w:highlight w:val="green"/>
        </w:rPr>
        <w:t xml:space="preserve"> 100</w:t>
      </w:r>
      <w:r w:rsidR="002562A5">
        <w:rPr>
          <w:rFonts w:ascii="Times New Roman" w:hAnsi="Times New Roman" w:cs="Times New Roman"/>
          <w:sz w:val="24"/>
          <w:szCs w:val="24"/>
          <w:highlight w:val="green"/>
        </w:rPr>
        <w:t xml:space="preserve"> </w:t>
      </w:r>
      <w:r w:rsidR="002562A5" w:rsidRPr="008B1A58">
        <w:rPr>
          <w:rFonts w:ascii="Times New Roman" w:hAnsi="Times New Roman" w:cs="Times New Roman"/>
          <w:sz w:val="24"/>
          <w:szCs w:val="24"/>
          <w:highlight w:val="green"/>
        </w:rPr>
        <w:t>µL</w:t>
      </w:r>
      <w:r w:rsidRPr="00147642">
        <w:rPr>
          <w:rFonts w:ascii="Times New Roman" w:hAnsi="Times New Roman" w:cs="Times New Roman"/>
          <w:sz w:val="24"/>
          <w:szCs w:val="24"/>
          <w:highlight w:val="green"/>
        </w:rPr>
        <w:t xml:space="preserve"> of RPMI medium and then seeded into each well (Day 0). The plate</w:t>
      </w:r>
      <w:r>
        <w:rPr>
          <w:rFonts w:ascii="Times New Roman" w:hAnsi="Times New Roman" w:cs="Times New Roman"/>
          <w:sz w:val="24"/>
          <w:szCs w:val="24"/>
          <w:highlight w:val="green"/>
        </w:rPr>
        <w:t>s</w:t>
      </w:r>
      <w:r w:rsidRPr="00147642">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were</w:t>
      </w:r>
      <w:r w:rsidRPr="00147642">
        <w:rPr>
          <w:rFonts w:ascii="Times New Roman" w:hAnsi="Times New Roman" w:cs="Times New Roman"/>
          <w:sz w:val="24"/>
          <w:szCs w:val="24"/>
          <w:highlight w:val="green"/>
        </w:rPr>
        <w:t xml:space="preserve"> incubated</w:t>
      </w:r>
      <w:r w:rsidR="002466C5">
        <w:rPr>
          <w:rFonts w:ascii="Times New Roman" w:hAnsi="Times New Roman" w:cs="Times New Roman"/>
          <w:sz w:val="24"/>
          <w:szCs w:val="24"/>
          <w:highlight w:val="green"/>
        </w:rPr>
        <w:t xml:space="preserve"> at</w:t>
      </w:r>
      <w:r w:rsidRPr="00147642">
        <w:rPr>
          <w:rFonts w:ascii="Times New Roman" w:hAnsi="Times New Roman" w:cs="Times New Roman"/>
          <w:sz w:val="24"/>
          <w:szCs w:val="24"/>
          <w:highlight w:val="green"/>
        </w:rPr>
        <w:t xml:space="preserve"> </w:t>
      </w:r>
      <w:r w:rsidR="00647DC6" w:rsidRPr="002466C5">
        <w:rPr>
          <w:rFonts w:ascii="Times New Roman" w:hAnsi="Times New Roman" w:cs="Times New Roman"/>
          <w:sz w:val="24"/>
          <w:szCs w:val="24"/>
          <w:highlight w:val="green"/>
        </w:rPr>
        <w:t>37 °C and 5% CO</w:t>
      </w:r>
      <w:r w:rsidR="00647DC6" w:rsidRPr="00377146">
        <w:rPr>
          <w:rFonts w:ascii="Times New Roman" w:hAnsi="Times New Roman" w:cs="Times New Roman"/>
          <w:sz w:val="24"/>
          <w:szCs w:val="24"/>
          <w:highlight w:val="green"/>
          <w:vertAlign w:val="subscript"/>
        </w:rPr>
        <w:t>2</w:t>
      </w:r>
      <w:r w:rsidR="00647DC6" w:rsidRPr="005308C2">
        <w:t xml:space="preserve"> </w:t>
      </w:r>
      <w:r w:rsidRPr="00147642">
        <w:rPr>
          <w:rFonts w:ascii="Times New Roman" w:hAnsi="Times New Roman" w:cs="Times New Roman"/>
          <w:sz w:val="24"/>
          <w:szCs w:val="24"/>
          <w:highlight w:val="green"/>
        </w:rPr>
        <w:t xml:space="preserve"> under continuous shaking to </w:t>
      </w:r>
      <w:r w:rsidR="00600DCE">
        <w:rPr>
          <w:rFonts w:ascii="Times New Roman" w:hAnsi="Times New Roman" w:cs="Times New Roman"/>
          <w:sz w:val="24"/>
          <w:szCs w:val="24"/>
          <w:highlight w:val="green"/>
        </w:rPr>
        <w:t>obtain</w:t>
      </w:r>
      <w:r w:rsidR="0005735C">
        <w:rPr>
          <w:rFonts w:ascii="Times New Roman" w:hAnsi="Times New Roman" w:cs="Times New Roman"/>
          <w:sz w:val="24"/>
          <w:szCs w:val="24"/>
          <w:highlight w:val="green"/>
        </w:rPr>
        <w:t xml:space="preserve"> low adherence environment </w:t>
      </w:r>
      <w:r w:rsidR="00600DCE">
        <w:rPr>
          <w:rFonts w:ascii="Times New Roman" w:hAnsi="Times New Roman" w:cs="Times New Roman"/>
          <w:sz w:val="24"/>
          <w:szCs w:val="24"/>
          <w:highlight w:val="green"/>
        </w:rPr>
        <w:t>to induce</w:t>
      </w:r>
      <w:r w:rsidR="0005735C">
        <w:rPr>
          <w:rFonts w:ascii="Times New Roman" w:hAnsi="Times New Roman" w:cs="Times New Roman"/>
          <w:sz w:val="24"/>
          <w:szCs w:val="24"/>
          <w:highlight w:val="green"/>
        </w:rPr>
        <w:t xml:space="preserve"> multicellular</w:t>
      </w:r>
      <w:r w:rsidRPr="00147642">
        <w:rPr>
          <w:rFonts w:ascii="Times New Roman" w:hAnsi="Times New Roman" w:cs="Times New Roman"/>
          <w:sz w:val="24"/>
          <w:szCs w:val="24"/>
          <w:highlight w:val="green"/>
        </w:rPr>
        <w:t xml:space="preserve"> spheroid formation. After 24 hours, an additional </w:t>
      </w:r>
      <w:r w:rsidR="002562A5" w:rsidRPr="00147642">
        <w:rPr>
          <w:rFonts w:ascii="Times New Roman" w:hAnsi="Times New Roman" w:cs="Times New Roman"/>
          <w:sz w:val="24"/>
          <w:szCs w:val="24"/>
          <w:highlight w:val="green"/>
        </w:rPr>
        <w:t>100</w:t>
      </w:r>
      <w:r w:rsidR="002562A5">
        <w:rPr>
          <w:rFonts w:ascii="Times New Roman" w:hAnsi="Times New Roman" w:cs="Times New Roman"/>
          <w:sz w:val="24"/>
          <w:szCs w:val="24"/>
          <w:highlight w:val="green"/>
        </w:rPr>
        <w:t xml:space="preserve"> </w:t>
      </w:r>
      <w:r w:rsidR="002562A5" w:rsidRPr="008B1A58">
        <w:rPr>
          <w:rFonts w:ascii="Times New Roman" w:hAnsi="Times New Roman" w:cs="Times New Roman"/>
          <w:sz w:val="24"/>
          <w:szCs w:val="24"/>
          <w:highlight w:val="green"/>
        </w:rPr>
        <w:t>µL</w:t>
      </w:r>
      <w:r w:rsidR="002562A5" w:rsidRPr="00147642" w:rsidDel="002562A5">
        <w:rPr>
          <w:rFonts w:ascii="Times New Roman" w:hAnsi="Times New Roman" w:cs="Times New Roman"/>
          <w:sz w:val="24"/>
          <w:szCs w:val="24"/>
          <w:highlight w:val="green"/>
        </w:rPr>
        <w:t xml:space="preserve"> </w:t>
      </w:r>
      <w:r w:rsidRPr="00147642">
        <w:rPr>
          <w:rFonts w:ascii="Times New Roman" w:hAnsi="Times New Roman" w:cs="Times New Roman"/>
          <w:sz w:val="24"/>
          <w:szCs w:val="24"/>
          <w:highlight w:val="green"/>
        </w:rPr>
        <w:t xml:space="preserve">of cell culture medium was </w:t>
      </w:r>
      <w:r>
        <w:rPr>
          <w:rFonts w:ascii="Times New Roman" w:hAnsi="Times New Roman" w:cs="Times New Roman"/>
          <w:sz w:val="24"/>
          <w:szCs w:val="24"/>
          <w:highlight w:val="green"/>
        </w:rPr>
        <w:t>added</w:t>
      </w:r>
      <w:r w:rsidRPr="00147642">
        <w:rPr>
          <w:rFonts w:ascii="Times New Roman" w:hAnsi="Times New Roman" w:cs="Times New Roman"/>
          <w:sz w:val="24"/>
          <w:szCs w:val="24"/>
          <w:highlight w:val="green"/>
        </w:rPr>
        <w:t xml:space="preserve"> to each well. The cell culture medium was renewed with fresh medium after 48 hours.</w:t>
      </w:r>
      <w:r>
        <w:rPr>
          <w:rFonts w:ascii="Times New Roman" w:hAnsi="Times New Roman" w:cs="Times New Roman"/>
          <w:sz w:val="24"/>
          <w:szCs w:val="24"/>
          <w:highlight w:val="green"/>
        </w:rPr>
        <w:t xml:space="preserve"> </w:t>
      </w:r>
      <w:r w:rsidRPr="00147642">
        <w:rPr>
          <w:rFonts w:ascii="Times New Roman" w:hAnsi="Times New Roman" w:cs="Times New Roman"/>
          <w:sz w:val="24"/>
          <w:szCs w:val="24"/>
          <w:highlight w:val="green"/>
        </w:rPr>
        <w:t xml:space="preserve">The spheroids were imaged </w:t>
      </w:r>
      <w:r w:rsidR="00034299">
        <w:rPr>
          <w:rFonts w:ascii="Times New Roman" w:hAnsi="Times New Roman" w:cs="Times New Roman"/>
          <w:sz w:val="24"/>
          <w:szCs w:val="24"/>
          <w:highlight w:val="green"/>
        </w:rPr>
        <w:t xml:space="preserve">on Day </w:t>
      </w:r>
      <w:r w:rsidR="00C202E4">
        <w:rPr>
          <w:rFonts w:ascii="Times New Roman" w:hAnsi="Times New Roman" w:cs="Times New Roman"/>
          <w:sz w:val="24"/>
          <w:szCs w:val="24"/>
          <w:highlight w:val="green"/>
        </w:rPr>
        <w:t>1</w:t>
      </w:r>
      <w:r w:rsidR="00034299">
        <w:rPr>
          <w:rFonts w:ascii="Times New Roman" w:hAnsi="Times New Roman" w:cs="Times New Roman"/>
          <w:sz w:val="24"/>
          <w:szCs w:val="24"/>
          <w:highlight w:val="green"/>
        </w:rPr>
        <w:t xml:space="preserve"> and Day 5 of the incubation </w:t>
      </w:r>
      <w:r w:rsidRPr="00147642">
        <w:rPr>
          <w:rFonts w:ascii="Times New Roman" w:hAnsi="Times New Roman" w:cs="Times New Roman"/>
          <w:sz w:val="24"/>
          <w:szCs w:val="24"/>
          <w:highlight w:val="green"/>
        </w:rPr>
        <w:t>using a Nikon ECLIPSE Ti2-U inverted microscope equipped with a DS-QI2 mono-cooled digital camera with a 10× objective</w:t>
      </w:r>
      <w:r w:rsidR="00034299">
        <w:rPr>
          <w:rFonts w:ascii="Times New Roman" w:hAnsi="Times New Roman" w:cs="Times New Roman"/>
          <w:sz w:val="24"/>
          <w:szCs w:val="24"/>
          <w:highlight w:val="green"/>
        </w:rPr>
        <w:t>.</w:t>
      </w:r>
      <w:r w:rsidRPr="00147642">
        <w:rPr>
          <w:rFonts w:ascii="Times New Roman" w:hAnsi="Times New Roman" w:cs="Times New Roman"/>
          <w:sz w:val="24"/>
          <w:szCs w:val="24"/>
          <w:highlight w:val="green"/>
        </w:rPr>
        <w:t xml:space="preserve"> </w:t>
      </w:r>
      <w:r w:rsidR="00034299">
        <w:rPr>
          <w:rFonts w:ascii="Times New Roman" w:hAnsi="Times New Roman" w:cs="Times New Roman"/>
          <w:sz w:val="24"/>
          <w:szCs w:val="24"/>
          <w:highlight w:val="green"/>
        </w:rPr>
        <w:t>T</w:t>
      </w:r>
      <w:r w:rsidRPr="00147642">
        <w:rPr>
          <w:rFonts w:ascii="Times New Roman" w:hAnsi="Times New Roman" w:cs="Times New Roman"/>
          <w:sz w:val="24"/>
          <w:szCs w:val="24"/>
          <w:highlight w:val="green"/>
        </w:rPr>
        <w:t>he diameter</w:t>
      </w:r>
      <w:r w:rsidR="00034299">
        <w:rPr>
          <w:rFonts w:ascii="Times New Roman" w:hAnsi="Times New Roman" w:cs="Times New Roman"/>
          <w:sz w:val="24"/>
          <w:szCs w:val="24"/>
          <w:highlight w:val="green"/>
        </w:rPr>
        <w:t>s</w:t>
      </w:r>
      <w:r w:rsidRPr="00147642">
        <w:rPr>
          <w:rFonts w:ascii="Times New Roman" w:hAnsi="Times New Roman" w:cs="Times New Roman"/>
          <w:sz w:val="24"/>
          <w:szCs w:val="24"/>
          <w:highlight w:val="green"/>
        </w:rPr>
        <w:t xml:space="preserve"> of the spheroid</w:t>
      </w:r>
      <w:r w:rsidR="00034299">
        <w:rPr>
          <w:rFonts w:ascii="Times New Roman" w:hAnsi="Times New Roman" w:cs="Times New Roman"/>
          <w:sz w:val="24"/>
          <w:szCs w:val="24"/>
          <w:highlight w:val="green"/>
        </w:rPr>
        <w:t>s</w:t>
      </w:r>
      <w:r w:rsidRPr="00147642">
        <w:rPr>
          <w:rFonts w:ascii="Times New Roman" w:hAnsi="Times New Roman" w:cs="Times New Roman"/>
          <w:sz w:val="24"/>
          <w:szCs w:val="24"/>
          <w:highlight w:val="green"/>
        </w:rPr>
        <w:t xml:space="preserve"> </w:t>
      </w:r>
      <w:r w:rsidR="00034299">
        <w:rPr>
          <w:rFonts w:ascii="Times New Roman" w:hAnsi="Times New Roman" w:cs="Times New Roman"/>
          <w:sz w:val="24"/>
          <w:szCs w:val="24"/>
          <w:highlight w:val="green"/>
        </w:rPr>
        <w:t>were</w:t>
      </w:r>
      <w:r w:rsidRPr="00147642">
        <w:rPr>
          <w:rFonts w:ascii="Times New Roman" w:hAnsi="Times New Roman" w:cs="Times New Roman"/>
          <w:sz w:val="24"/>
          <w:szCs w:val="24"/>
          <w:highlight w:val="green"/>
        </w:rPr>
        <w:t xml:space="preserve"> </w:t>
      </w:r>
      <w:r w:rsidR="00034299">
        <w:rPr>
          <w:rFonts w:ascii="Times New Roman" w:hAnsi="Times New Roman" w:cs="Times New Roman"/>
          <w:sz w:val="24"/>
          <w:szCs w:val="24"/>
          <w:highlight w:val="green"/>
        </w:rPr>
        <w:t>measured</w:t>
      </w:r>
      <w:r w:rsidRPr="00147642">
        <w:rPr>
          <w:rFonts w:ascii="Times New Roman" w:hAnsi="Times New Roman" w:cs="Times New Roman"/>
          <w:sz w:val="24"/>
          <w:szCs w:val="24"/>
          <w:highlight w:val="green"/>
        </w:rPr>
        <w:t xml:space="preserve"> </w:t>
      </w:r>
      <w:r w:rsidR="00741911">
        <w:rPr>
          <w:rFonts w:ascii="Times New Roman" w:hAnsi="Times New Roman" w:cs="Times New Roman"/>
          <w:sz w:val="24"/>
          <w:szCs w:val="24"/>
          <w:highlight w:val="green"/>
        </w:rPr>
        <w:t>using</w:t>
      </w:r>
      <w:r w:rsidRPr="00147642">
        <w:rPr>
          <w:rFonts w:ascii="Times New Roman" w:hAnsi="Times New Roman" w:cs="Times New Roman"/>
          <w:sz w:val="24"/>
          <w:szCs w:val="24"/>
          <w:highlight w:val="green"/>
        </w:rPr>
        <w:t xml:space="preserve"> ImageJ software </w:t>
      </w:r>
      <w:r w:rsidRPr="00147642">
        <w:rPr>
          <w:rFonts w:ascii="Times New Roman" w:hAnsi="Times New Roman" w:cs="Times New Roman"/>
          <w:sz w:val="24"/>
          <w:szCs w:val="24"/>
          <w:highlight w:val="green"/>
        </w:rPr>
        <w:fldChar w:fldCharType="begin" w:fldLock="1"/>
      </w:r>
      <w:r w:rsidR="002562A5">
        <w:rPr>
          <w:rFonts w:ascii="Times New Roman" w:hAnsi="Times New Roman" w:cs="Times New Roman"/>
          <w:sz w:val="24"/>
          <w:szCs w:val="24"/>
          <w:highlight w:val="green"/>
        </w:rPr>
        <w:instrText>ADDIN CSL_CITATION {"citationItems":[{"id":"ITEM-1","itemData":{"DOI":"10.1038/nmeth.2089","author":[{"dropping-particle":"","family":"Schneider","given":"Caroline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Methods","id":"ITEM-1","issue":"7","issued":{"date-parts":[["2012"]]},"page":"671-675","title":"NIH Image to ImageJ: 25 years of image analysis","type":"article-journal","volume":"9"},"uris":["http://www.mendeley.com/documents/?uuid=702e1121-62c3-3c22-a0ae-5841bd5b8963"]}],"mendeley":{"formattedCitation":"[32]","plainTextFormattedCitation":"[32]","previouslyFormattedCitation":"[32]"},"properties":{"noteIndex":0},"schema":"https://github.com/citation-style-language/schema/raw/master/csl-citation.json"}</w:instrText>
      </w:r>
      <w:r w:rsidRPr="00147642">
        <w:rPr>
          <w:rFonts w:ascii="Times New Roman" w:hAnsi="Times New Roman" w:cs="Times New Roman"/>
          <w:sz w:val="24"/>
          <w:szCs w:val="24"/>
          <w:highlight w:val="green"/>
        </w:rPr>
        <w:fldChar w:fldCharType="separate"/>
      </w:r>
      <w:r w:rsidRPr="00147642">
        <w:rPr>
          <w:rFonts w:ascii="Times New Roman" w:hAnsi="Times New Roman" w:cs="Times New Roman"/>
          <w:noProof/>
          <w:sz w:val="24"/>
          <w:szCs w:val="24"/>
          <w:highlight w:val="green"/>
        </w:rPr>
        <w:t>[32]</w:t>
      </w:r>
      <w:r w:rsidRPr="00147642">
        <w:rPr>
          <w:rFonts w:ascii="Times New Roman" w:hAnsi="Times New Roman" w:cs="Times New Roman"/>
          <w:sz w:val="24"/>
          <w:szCs w:val="24"/>
          <w:highlight w:val="green"/>
        </w:rPr>
        <w:fldChar w:fldCharType="end"/>
      </w:r>
      <w:r w:rsidRPr="00147642">
        <w:rPr>
          <w:rFonts w:ascii="Times New Roman" w:hAnsi="Times New Roman" w:cs="Times New Roman"/>
          <w:sz w:val="24"/>
          <w:szCs w:val="24"/>
          <w:highlight w:val="green"/>
        </w:rPr>
        <w:t xml:space="preserve">. </w:t>
      </w:r>
    </w:p>
    <w:p w14:paraId="02054E6F" w14:textId="77777777" w:rsidR="00B578A8" w:rsidRDefault="00B578A8" w:rsidP="00AB3F9D">
      <w:pPr>
        <w:spacing w:after="0" w:line="360" w:lineRule="auto"/>
        <w:ind w:left="360"/>
        <w:jc w:val="both"/>
        <w:rPr>
          <w:rFonts w:ascii="Times New Roman" w:hAnsi="Times New Roman" w:cs="Times New Roman"/>
          <w:sz w:val="24"/>
          <w:szCs w:val="24"/>
        </w:rPr>
      </w:pPr>
    </w:p>
    <w:p w14:paraId="00CC53A8" w14:textId="43F68704" w:rsidR="00D772D0" w:rsidRPr="00A42310" w:rsidRDefault="00D772D0" w:rsidP="00AB3F9D">
      <w:pPr>
        <w:pStyle w:val="ListParagraph"/>
        <w:numPr>
          <w:ilvl w:val="1"/>
          <w:numId w:val="1"/>
        </w:numPr>
        <w:spacing w:after="0" w:line="360" w:lineRule="auto"/>
        <w:rPr>
          <w:rFonts w:asciiTheme="majorBidi" w:hAnsiTheme="majorBidi" w:cstheme="majorBidi"/>
          <w:b/>
          <w:bCs/>
          <w:sz w:val="24"/>
          <w:szCs w:val="24"/>
        </w:rPr>
      </w:pPr>
      <w:r w:rsidRPr="0082216A">
        <w:rPr>
          <w:rFonts w:asciiTheme="majorBidi" w:hAnsiTheme="majorBidi" w:cstheme="majorBidi"/>
          <w:b/>
          <w:bCs/>
          <w:sz w:val="24"/>
          <w:szCs w:val="24"/>
        </w:rPr>
        <w:t>Statistical analysis</w:t>
      </w:r>
    </w:p>
    <w:p w14:paraId="3F142256" w14:textId="2E7FCC0B" w:rsidR="0001395D" w:rsidRDefault="001E0979" w:rsidP="00AB3F9D">
      <w:pPr>
        <w:spacing w:after="0" w:line="360" w:lineRule="auto"/>
        <w:ind w:left="360"/>
        <w:jc w:val="both"/>
        <w:rPr>
          <w:rFonts w:ascii="Times New Roman" w:hAnsi="Times New Roman" w:cs="Times New Roman"/>
          <w:sz w:val="24"/>
          <w:szCs w:val="24"/>
          <w:rtl/>
        </w:rPr>
      </w:pPr>
      <w:r w:rsidRPr="001E0979">
        <w:rPr>
          <w:rFonts w:ascii="Times New Roman" w:hAnsi="Times New Roman" w:cs="Times New Roman"/>
          <w:sz w:val="24"/>
          <w:szCs w:val="24"/>
        </w:rPr>
        <w:t>The data</w:t>
      </w:r>
      <w:r w:rsidR="00A57F9E">
        <w:rPr>
          <w:rFonts w:ascii="Times New Roman" w:hAnsi="Times New Roman" w:cs="Times New Roman"/>
          <w:sz w:val="24"/>
          <w:szCs w:val="24"/>
        </w:rPr>
        <w:t xml:space="preserve"> </w:t>
      </w:r>
      <w:r w:rsidR="00A57F9E" w:rsidRPr="001E0979">
        <w:rPr>
          <w:rFonts w:ascii="Times New Roman" w:hAnsi="Times New Roman" w:cs="Times New Roman"/>
          <w:sz w:val="24"/>
          <w:szCs w:val="24"/>
        </w:rPr>
        <w:t>presented</w:t>
      </w:r>
      <w:r w:rsidRPr="001E0979">
        <w:rPr>
          <w:rFonts w:ascii="Times New Roman" w:hAnsi="Times New Roman" w:cs="Times New Roman"/>
          <w:sz w:val="24"/>
          <w:szCs w:val="24"/>
        </w:rPr>
        <w:t xml:space="preserve"> are </w:t>
      </w:r>
      <w:r w:rsidR="00A57F9E">
        <w:rPr>
          <w:rFonts w:ascii="Times New Roman" w:hAnsi="Times New Roman" w:cs="Times New Roman"/>
          <w:sz w:val="24"/>
          <w:szCs w:val="24"/>
        </w:rPr>
        <w:t>expressed</w:t>
      </w:r>
      <w:r w:rsidR="00A57F9E" w:rsidRPr="001E0979">
        <w:rPr>
          <w:rFonts w:ascii="Times New Roman" w:hAnsi="Times New Roman" w:cs="Times New Roman"/>
          <w:sz w:val="24"/>
          <w:szCs w:val="24"/>
        </w:rPr>
        <w:t xml:space="preserve"> </w:t>
      </w:r>
      <w:r w:rsidRPr="001E0979">
        <w:rPr>
          <w:rFonts w:ascii="Times New Roman" w:hAnsi="Times New Roman" w:cs="Times New Roman"/>
          <w:sz w:val="24"/>
          <w:szCs w:val="24"/>
        </w:rPr>
        <w:t>as the mean ± stan</w:t>
      </w:r>
      <w:r>
        <w:rPr>
          <w:rFonts w:ascii="Times New Roman" w:hAnsi="Times New Roman" w:cs="Times New Roman"/>
          <w:sz w:val="24"/>
          <w:szCs w:val="24"/>
        </w:rPr>
        <w:t>dard deviation (SD)</w:t>
      </w:r>
      <w:r w:rsidR="000169E5">
        <w:rPr>
          <w:rFonts w:ascii="Times New Roman" w:hAnsi="Times New Roman" w:cs="Times New Roman"/>
          <w:sz w:val="24"/>
          <w:szCs w:val="24"/>
        </w:rPr>
        <w:t xml:space="preserve"> for </w:t>
      </w:r>
      <w:r w:rsidR="007B5577">
        <w:rPr>
          <w:rFonts w:ascii="Times New Roman" w:hAnsi="Times New Roman" w:cs="Times New Roman"/>
          <w:sz w:val="24"/>
          <w:szCs w:val="24"/>
        </w:rPr>
        <w:t>Zeta potential, wound</w:t>
      </w:r>
      <w:r w:rsidR="000169E5">
        <w:rPr>
          <w:rFonts w:ascii="Times New Roman" w:hAnsi="Times New Roman" w:cs="Times New Roman"/>
          <w:sz w:val="24"/>
          <w:szCs w:val="24"/>
        </w:rPr>
        <w:t xml:space="preserve"> healing</w:t>
      </w:r>
      <w:r w:rsidR="00F24E2E">
        <w:rPr>
          <w:rFonts w:ascii="Times New Roman" w:hAnsi="Times New Roman" w:cs="Times New Roman"/>
          <w:sz w:val="24"/>
          <w:szCs w:val="24"/>
        </w:rPr>
        <w:t>,</w:t>
      </w:r>
      <w:r w:rsidR="000169E5">
        <w:rPr>
          <w:rFonts w:ascii="Times New Roman" w:hAnsi="Times New Roman" w:cs="Times New Roman"/>
          <w:sz w:val="24"/>
          <w:szCs w:val="24"/>
        </w:rPr>
        <w:t xml:space="preserve"> and cytotoxicity assays and </w:t>
      </w:r>
      <w:r w:rsidR="003B37F9">
        <w:rPr>
          <w:rFonts w:ascii="Times New Roman" w:hAnsi="Times New Roman" w:cs="Times New Roman"/>
          <w:sz w:val="24"/>
          <w:szCs w:val="24"/>
        </w:rPr>
        <w:t xml:space="preserve">the </w:t>
      </w:r>
      <w:r w:rsidR="000169E5" w:rsidRPr="001E0979">
        <w:rPr>
          <w:rFonts w:ascii="Times New Roman" w:hAnsi="Times New Roman" w:cs="Times New Roman"/>
          <w:sz w:val="24"/>
          <w:szCs w:val="24"/>
        </w:rPr>
        <w:t xml:space="preserve">mean ± </w:t>
      </w:r>
      <w:r w:rsidR="000169E5" w:rsidRPr="000169E5">
        <w:rPr>
          <w:rFonts w:ascii="Times New Roman" w:hAnsi="Times New Roman" w:cs="Times New Roman"/>
          <w:sz w:val="24"/>
          <w:szCs w:val="24"/>
        </w:rPr>
        <w:t xml:space="preserve">standard error of the mean </w:t>
      </w:r>
      <w:r w:rsidR="000169E5">
        <w:rPr>
          <w:rFonts w:ascii="Times New Roman" w:hAnsi="Times New Roman" w:cs="Times New Roman"/>
          <w:sz w:val="24"/>
          <w:szCs w:val="24"/>
        </w:rPr>
        <w:t xml:space="preserve">for </w:t>
      </w:r>
      <w:r w:rsidR="003B37F9">
        <w:rPr>
          <w:rFonts w:ascii="Times New Roman" w:hAnsi="Times New Roman" w:cs="Times New Roman"/>
          <w:sz w:val="24"/>
          <w:szCs w:val="24"/>
        </w:rPr>
        <w:t xml:space="preserve">the </w:t>
      </w:r>
      <w:r w:rsidR="000169E5">
        <w:rPr>
          <w:rFonts w:ascii="Times New Roman" w:hAnsi="Times New Roman" w:cs="Times New Roman"/>
          <w:sz w:val="24"/>
          <w:szCs w:val="24"/>
        </w:rPr>
        <w:t>proliferation assay. Variations</w:t>
      </w:r>
      <w:r w:rsidR="00A57F9E">
        <w:rPr>
          <w:rFonts w:ascii="Times New Roman" w:hAnsi="Times New Roman" w:cs="Times New Roman"/>
          <w:sz w:val="24"/>
          <w:szCs w:val="24"/>
        </w:rPr>
        <w:t xml:space="preserve"> in</w:t>
      </w:r>
      <w:r w:rsidR="00A57F9E" w:rsidRPr="001E0979">
        <w:rPr>
          <w:rFonts w:ascii="Times New Roman" w:hAnsi="Times New Roman" w:cs="Times New Roman"/>
          <w:sz w:val="24"/>
          <w:szCs w:val="24"/>
        </w:rPr>
        <w:t xml:space="preserve"> </w:t>
      </w:r>
      <w:r w:rsidR="00A57F9E">
        <w:rPr>
          <w:rFonts w:ascii="Times New Roman" w:hAnsi="Times New Roman" w:cs="Times New Roman"/>
          <w:sz w:val="24"/>
          <w:szCs w:val="24"/>
        </w:rPr>
        <w:t>the</w:t>
      </w:r>
      <w:r w:rsidR="00A57F9E" w:rsidRPr="001E0979">
        <w:rPr>
          <w:rFonts w:ascii="Times New Roman" w:hAnsi="Times New Roman" w:cs="Times New Roman"/>
          <w:sz w:val="24"/>
          <w:szCs w:val="24"/>
        </w:rPr>
        <w:t xml:space="preserve"> </w:t>
      </w:r>
      <w:r w:rsidRPr="001E0979">
        <w:rPr>
          <w:rFonts w:ascii="Times New Roman" w:hAnsi="Times New Roman" w:cs="Times New Roman"/>
          <w:sz w:val="24"/>
          <w:szCs w:val="24"/>
        </w:rPr>
        <w:t xml:space="preserve">wound healing </w:t>
      </w:r>
      <w:r w:rsidR="00B15F4F" w:rsidRPr="00B05B61">
        <w:rPr>
          <w:rFonts w:ascii="Times New Roman" w:hAnsi="Times New Roman" w:cs="Times New Roman"/>
          <w:sz w:val="24"/>
          <w:szCs w:val="24"/>
          <w:highlight w:val="green"/>
        </w:rPr>
        <w:t>and cytotoxicity</w:t>
      </w:r>
      <w:r w:rsidR="00B15F4F">
        <w:rPr>
          <w:rFonts w:ascii="Times New Roman" w:hAnsi="Times New Roman" w:cs="Times New Roman"/>
          <w:sz w:val="24"/>
          <w:szCs w:val="24"/>
        </w:rPr>
        <w:t xml:space="preserve"> </w:t>
      </w:r>
      <w:r w:rsidRPr="001E0979">
        <w:rPr>
          <w:rFonts w:ascii="Times New Roman" w:hAnsi="Times New Roman" w:cs="Times New Roman"/>
          <w:sz w:val="24"/>
          <w:szCs w:val="24"/>
        </w:rPr>
        <w:t>experiment</w:t>
      </w:r>
      <w:r w:rsidR="00B15F4F">
        <w:rPr>
          <w:rFonts w:ascii="Times New Roman" w:hAnsi="Times New Roman" w:cs="Times New Roman"/>
          <w:sz w:val="24"/>
          <w:szCs w:val="24"/>
        </w:rPr>
        <w:t>s</w:t>
      </w:r>
      <w:r w:rsidRPr="001E0979">
        <w:rPr>
          <w:rFonts w:ascii="Times New Roman" w:hAnsi="Times New Roman" w:cs="Times New Roman"/>
          <w:sz w:val="24"/>
          <w:szCs w:val="24"/>
        </w:rPr>
        <w:t xml:space="preserve"> </w:t>
      </w:r>
      <w:r w:rsidR="00BC2C90">
        <w:rPr>
          <w:rFonts w:ascii="Times New Roman" w:hAnsi="Times New Roman" w:cs="Times New Roman"/>
          <w:sz w:val="24"/>
          <w:szCs w:val="24"/>
        </w:rPr>
        <w:t>were assessed</w:t>
      </w:r>
      <w:r w:rsidR="00BC2C90" w:rsidRPr="001E0979">
        <w:rPr>
          <w:rFonts w:ascii="Times New Roman" w:hAnsi="Times New Roman" w:cs="Times New Roman"/>
          <w:sz w:val="24"/>
          <w:szCs w:val="24"/>
        </w:rPr>
        <w:t xml:space="preserve"> </w:t>
      </w:r>
      <w:r w:rsidR="00BC2C90">
        <w:rPr>
          <w:rFonts w:ascii="Times New Roman" w:hAnsi="Times New Roman" w:cs="Times New Roman"/>
          <w:sz w:val="24"/>
          <w:szCs w:val="24"/>
        </w:rPr>
        <w:t>through</w:t>
      </w:r>
      <w:r w:rsidRPr="001E0979">
        <w:rPr>
          <w:rFonts w:ascii="Times New Roman" w:hAnsi="Times New Roman" w:cs="Times New Roman"/>
          <w:sz w:val="24"/>
          <w:szCs w:val="24"/>
        </w:rPr>
        <w:t xml:space="preserve"> one-way ANOVA analysis. S</w:t>
      </w:r>
      <w:r w:rsidR="00BC2C90">
        <w:rPr>
          <w:rFonts w:ascii="Times New Roman" w:hAnsi="Times New Roman" w:cs="Times New Roman"/>
          <w:sz w:val="24"/>
          <w:szCs w:val="24"/>
        </w:rPr>
        <w:t>tatistical s</w:t>
      </w:r>
      <w:r w:rsidRPr="001E0979">
        <w:rPr>
          <w:rFonts w:ascii="Times New Roman" w:hAnsi="Times New Roman" w:cs="Times New Roman"/>
          <w:sz w:val="24"/>
          <w:szCs w:val="24"/>
        </w:rPr>
        <w:t xml:space="preserve">ignificance was </w:t>
      </w:r>
      <w:r w:rsidR="00474C75">
        <w:rPr>
          <w:rFonts w:ascii="Times New Roman" w:hAnsi="Times New Roman" w:cs="Times New Roman"/>
          <w:sz w:val="24"/>
          <w:szCs w:val="24"/>
        </w:rPr>
        <w:t>assigned</w:t>
      </w:r>
      <w:r w:rsidR="00474C75" w:rsidRPr="001E0979">
        <w:rPr>
          <w:rFonts w:ascii="Times New Roman" w:hAnsi="Times New Roman" w:cs="Times New Roman"/>
          <w:sz w:val="24"/>
          <w:szCs w:val="24"/>
        </w:rPr>
        <w:t xml:space="preserve"> </w:t>
      </w:r>
      <w:r w:rsidR="003413A7">
        <w:rPr>
          <w:rFonts w:ascii="Times New Roman" w:hAnsi="Times New Roman" w:cs="Times New Roman"/>
          <w:sz w:val="24"/>
          <w:szCs w:val="24"/>
        </w:rPr>
        <w:t>for</w:t>
      </w:r>
      <w:r w:rsidR="003413A7" w:rsidRPr="001E0979">
        <w:rPr>
          <w:rFonts w:ascii="Times New Roman" w:hAnsi="Times New Roman" w:cs="Times New Roman"/>
          <w:sz w:val="24"/>
          <w:szCs w:val="24"/>
        </w:rPr>
        <w:t xml:space="preserve"> </w:t>
      </w:r>
      <w:r w:rsidRPr="001E0979">
        <w:rPr>
          <w:rFonts w:ascii="Times New Roman" w:hAnsi="Times New Roman" w:cs="Times New Roman"/>
          <w:sz w:val="24"/>
          <w:szCs w:val="24"/>
        </w:rPr>
        <w:t xml:space="preserve">P values </w:t>
      </w:r>
      <w:r w:rsidR="001D0A48">
        <w:rPr>
          <w:rFonts w:ascii="Times New Roman" w:hAnsi="Times New Roman" w:cs="Times New Roman"/>
          <w:sz w:val="24"/>
          <w:szCs w:val="24"/>
        </w:rPr>
        <w:t xml:space="preserve">equal </w:t>
      </w:r>
      <w:r w:rsidR="00F24E2E">
        <w:rPr>
          <w:rFonts w:ascii="Times New Roman" w:hAnsi="Times New Roman" w:cs="Times New Roman"/>
          <w:sz w:val="24"/>
          <w:szCs w:val="24"/>
        </w:rPr>
        <w:t xml:space="preserve">to </w:t>
      </w:r>
      <w:r w:rsidR="001D0A48">
        <w:rPr>
          <w:rFonts w:ascii="Times New Roman" w:hAnsi="Times New Roman" w:cs="Times New Roman"/>
          <w:sz w:val="24"/>
          <w:szCs w:val="24"/>
        </w:rPr>
        <w:t xml:space="preserve">or </w:t>
      </w:r>
      <w:r w:rsidR="003413A7">
        <w:rPr>
          <w:rFonts w:ascii="Times New Roman" w:hAnsi="Times New Roman" w:cs="Times New Roman"/>
          <w:sz w:val="24"/>
          <w:szCs w:val="24"/>
        </w:rPr>
        <w:t>below</w:t>
      </w:r>
      <w:r w:rsidR="003413A7" w:rsidRPr="001E0979">
        <w:rPr>
          <w:rFonts w:ascii="Times New Roman" w:hAnsi="Times New Roman" w:cs="Times New Roman"/>
          <w:sz w:val="24"/>
          <w:szCs w:val="24"/>
        </w:rPr>
        <w:t xml:space="preserve"> </w:t>
      </w:r>
      <w:r w:rsidRPr="001E0979">
        <w:rPr>
          <w:rFonts w:ascii="Times New Roman" w:hAnsi="Times New Roman" w:cs="Times New Roman"/>
          <w:sz w:val="24"/>
          <w:szCs w:val="24"/>
        </w:rPr>
        <w:t>0.05 (</w:t>
      </w:r>
      <w:r w:rsidR="00B401DA" w:rsidRPr="00A42310">
        <w:rPr>
          <w:rFonts w:ascii="Times New Roman" w:hAnsi="Times New Roman" w:cs="Times New Roman"/>
          <w:sz w:val="24"/>
          <w:szCs w:val="24"/>
        </w:rPr>
        <w:t>*P≤0.0</w:t>
      </w:r>
      <w:r w:rsidR="0034416E">
        <w:rPr>
          <w:rFonts w:ascii="Times New Roman" w:hAnsi="Times New Roman" w:cs="Times New Roman"/>
          <w:sz w:val="24"/>
          <w:szCs w:val="24"/>
        </w:rPr>
        <w:t>5</w:t>
      </w:r>
      <w:r w:rsidRPr="001E0979">
        <w:rPr>
          <w:rFonts w:ascii="Times New Roman" w:hAnsi="Times New Roman" w:cs="Times New Roman"/>
          <w:sz w:val="24"/>
          <w:szCs w:val="24"/>
        </w:rPr>
        <w:t xml:space="preserve">). The statistical analysis was conducted using OriginPro 2020. </w:t>
      </w:r>
    </w:p>
    <w:p w14:paraId="52B81F09" w14:textId="77777777" w:rsidR="00D772D0" w:rsidRDefault="00D772D0" w:rsidP="00AB3F9D">
      <w:pPr>
        <w:pStyle w:val="ListParagraph"/>
        <w:numPr>
          <w:ilvl w:val="0"/>
          <w:numId w:val="1"/>
        </w:numPr>
        <w:spacing w:after="0" w:line="360" w:lineRule="auto"/>
        <w:rPr>
          <w:rFonts w:asciiTheme="majorBidi" w:hAnsiTheme="majorBidi" w:cstheme="majorBidi"/>
          <w:b/>
          <w:bCs/>
          <w:sz w:val="24"/>
          <w:szCs w:val="24"/>
        </w:rPr>
      </w:pPr>
      <w:r w:rsidRPr="004B6C95">
        <w:rPr>
          <w:rFonts w:asciiTheme="majorBidi" w:hAnsiTheme="majorBidi" w:cstheme="majorBidi"/>
          <w:b/>
          <w:bCs/>
          <w:sz w:val="24"/>
          <w:szCs w:val="24"/>
        </w:rPr>
        <w:lastRenderedPageBreak/>
        <w:t>Results</w:t>
      </w:r>
    </w:p>
    <w:p w14:paraId="47E48A00" w14:textId="3958281C" w:rsidR="0018699E" w:rsidRPr="00F24E2E" w:rsidRDefault="0018699E" w:rsidP="00AB3F9D">
      <w:pPr>
        <w:pStyle w:val="Heading2"/>
        <w:spacing w:before="0" w:line="360" w:lineRule="auto"/>
        <w:rPr>
          <w:rFonts w:asciiTheme="majorBidi" w:eastAsiaTheme="minorHAnsi" w:hAnsiTheme="majorBidi"/>
          <w:b/>
          <w:bCs/>
          <w:color w:val="auto"/>
          <w:sz w:val="24"/>
          <w:szCs w:val="24"/>
        </w:rPr>
      </w:pPr>
      <w:r w:rsidRPr="00F24E2E">
        <w:rPr>
          <w:rFonts w:asciiTheme="majorBidi" w:eastAsiaTheme="minorHAnsi" w:hAnsiTheme="majorBidi"/>
          <w:b/>
          <w:bCs/>
          <w:color w:val="auto"/>
          <w:sz w:val="24"/>
          <w:szCs w:val="24"/>
        </w:rPr>
        <w:t xml:space="preserve">The </w:t>
      </w:r>
      <w:r w:rsidR="00EB2011" w:rsidRPr="00F24E2E">
        <w:rPr>
          <w:rFonts w:asciiTheme="majorBidi" w:eastAsiaTheme="minorHAnsi" w:hAnsiTheme="majorBidi"/>
          <w:b/>
          <w:bCs/>
          <w:color w:val="auto"/>
          <w:sz w:val="24"/>
          <w:szCs w:val="24"/>
        </w:rPr>
        <w:t>physi</w:t>
      </w:r>
      <w:r w:rsidR="00502ED6" w:rsidRPr="00F24E2E">
        <w:rPr>
          <w:rFonts w:asciiTheme="majorBidi" w:eastAsiaTheme="minorHAnsi" w:hAnsiTheme="majorBidi"/>
          <w:b/>
          <w:bCs/>
          <w:color w:val="auto"/>
          <w:sz w:val="24"/>
          <w:szCs w:val="24"/>
        </w:rPr>
        <w:t>c</w:t>
      </w:r>
      <w:r w:rsidR="00EB2011" w:rsidRPr="00F24E2E">
        <w:rPr>
          <w:rFonts w:asciiTheme="majorBidi" w:eastAsiaTheme="minorHAnsi" w:hAnsiTheme="majorBidi"/>
          <w:b/>
          <w:bCs/>
          <w:color w:val="auto"/>
          <w:sz w:val="24"/>
          <w:szCs w:val="24"/>
        </w:rPr>
        <w:t xml:space="preserve">ochemical </w:t>
      </w:r>
      <w:r w:rsidRPr="00F24E2E">
        <w:rPr>
          <w:rFonts w:asciiTheme="majorBidi" w:eastAsiaTheme="minorHAnsi" w:hAnsiTheme="majorBidi"/>
          <w:b/>
          <w:bCs/>
          <w:color w:val="auto"/>
          <w:sz w:val="24"/>
          <w:szCs w:val="24"/>
        </w:rPr>
        <w:t xml:space="preserve">properties of </w:t>
      </w:r>
      <w:r w:rsidR="00A63643">
        <w:rPr>
          <w:rFonts w:asciiTheme="majorBidi" w:eastAsiaTheme="minorHAnsi" w:hAnsiTheme="majorBidi"/>
          <w:b/>
          <w:bCs/>
          <w:color w:val="auto"/>
          <w:sz w:val="24"/>
          <w:szCs w:val="24"/>
        </w:rPr>
        <w:t xml:space="preserve">FNA MCs and of </w:t>
      </w:r>
      <w:r w:rsidRPr="00F24E2E">
        <w:rPr>
          <w:rFonts w:asciiTheme="majorBidi" w:eastAsiaTheme="minorHAnsi" w:hAnsiTheme="majorBidi"/>
          <w:b/>
          <w:bCs/>
          <w:color w:val="auto"/>
          <w:sz w:val="24"/>
          <w:szCs w:val="24"/>
        </w:rPr>
        <w:t>synthetic MC</w:t>
      </w:r>
      <w:r w:rsidR="0037286E">
        <w:rPr>
          <w:rFonts w:asciiTheme="majorBidi" w:eastAsiaTheme="minorHAnsi" w:hAnsiTheme="majorBidi"/>
          <w:b/>
          <w:bCs/>
          <w:color w:val="auto"/>
          <w:sz w:val="24"/>
          <w:szCs w:val="24"/>
        </w:rPr>
        <w:t xml:space="preserve"> analogs</w:t>
      </w:r>
    </w:p>
    <w:p w14:paraId="207C56B5" w14:textId="62DBCB64" w:rsidR="00BF27F2" w:rsidRPr="00352323" w:rsidRDefault="00D772D0" w:rsidP="00835ED4">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To explore the effect of synthetic MC analogs on thyroid cells, we first characterized MCs </w:t>
      </w:r>
      <w:r w:rsidR="00A77586">
        <w:rPr>
          <w:rFonts w:asciiTheme="majorBidi" w:hAnsiTheme="majorBidi" w:cstheme="majorBidi"/>
          <w:sz w:val="24"/>
          <w:szCs w:val="24"/>
        </w:rPr>
        <w:t xml:space="preserve">that were </w:t>
      </w:r>
      <w:r>
        <w:rPr>
          <w:rFonts w:asciiTheme="majorBidi" w:hAnsiTheme="majorBidi" w:cstheme="majorBidi"/>
          <w:sz w:val="24"/>
          <w:szCs w:val="24"/>
        </w:rPr>
        <w:t xml:space="preserve">isolated from the excess material remaining </w:t>
      </w:r>
      <w:r w:rsidR="008D4A13">
        <w:rPr>
          <w:rFonts w:asciiTheme="majorBidi" w:hAnsiTheme="majorBidi" w:cstheme="majorBidi"/>
          <w:sz w:val="24"/>
          <w:szCs w:val="24"/>
        </w:rPr>
        <w:t xml:space="preserve">after performing </w:t>
      </w:r>
      <w:r>
        <w:rPr>
          <w:rFonts w:asciiTheme="majorBidi" w:hAnsiTheme="majorBidi" w:cstheme="majorBidi"/>
          <w:sz w:val="24"/>
          <w:szCs w:val="24"/>
        </w:rPr>
        <w:t>FNA procedure</w:t>
      </w:r>
      <w:r w:rsidR="008D4A13">
        <w:rPr>
          <w:rFonts w:asciiTheme="majorBidi" w:hAnsiTheme="majorBidi" w:cstheme="majorBidi"/>
          <w:sz w:val="24"/>
          <w:szCs w:val="24"/>
        </w:rPr>
        <w:t>s</w:t>
      </w:r>
      <w:r>
        <w:rPr>
          <w:rFonts w:asciiTheme="majorBidi" w:hAnsiTheme="majorBidi" w:cstheme="majorBidi"/>
          <w:sz w:val="24"/>
          <w:szCs w:val="24"/>
        </w:rPr>
        <w:t xml:space="preserve"> </w:t>
      </w:r>
      <w:r w:rsidR="008D4A13">
        <w:rPr>
          <w:rFonts w:asciiTheme="majorBidi" w:hAnsiTheme="majorBidi" w:cstheme="majorBidi"/>
          <w:sz w:val="24"/>
          <w:szCs w:val="24"/>
        </w:rPr>
        <w:t>o</w:t>
      </w:r>
      <w:r>
        <w:rPr>
          <w:rFonts w:asciiTheme="majorBidi" w:hAnsiTheme="majorBidi" w:cstheme="majorBidi"/>
          <w:sz w:val="24"/>
          <w:szCs w:val="24"/>
        </w:rPr>
        <w:t xml:space="preserve">n patients with </w:t>
      </w:r>
      <w:r w:rsidR="001D0A48">
        <w:rPr>
          <w:rFonts w:asciiTheme="majorBidi" w:hAnsiTheme="majorBidi" w:cstheme="majorBidi"/>
          <w:sz w:val="24"/>
          <w:szCs w:val="24"/>
        </w:rPr>
        <w:t xml:space="preserve">clinically significant </w:t>
      </w:r>
      <w:r>
        <w:rPr>
          <w:rFonts w:asciiTheme="majorBidi" w:hAnsiTheme="majorBidi" w:cstheme="majorBidi"/>
          <w:sz w:val="24"/>
          <w:szCs w:val="24"/>
        </w:rPr>
        <w:t xml:space="preserve">thyroid nodules (Fig. 1). As part of the isolation protocol, organic </w:t>
      </w:r>
      <w:r w:rsidR="00A77DF3">
        <w:rPr>
          <w:rFonts w:asciiTheme="majorBidi" w:hAnsiTheme="majorBidi" w:cstheme="majorBidi"/>
          <w:sz w:val="24"/>
          <w:szCs w:val="24"/>
        </w:rPr>
        <w:t xml:space="preserve">components were </w:t>
      </w:r>
      <w:r>
        <w:rPr>
          <w:rFonts w:asciiTheme="majorBidi" w:hAnsiTheme="majorBidi" w:cstheme="majorBidi"/>
          <w:sz w:val="24"/>
          <w:szCs w:val="24"/>
        </w:rPr>
        <w:t>removed from the MCs. Simila</w:t>
      </w:r>
      <w:r w:rsidR="00C76776">
        <w:rPr>
          <w:rFonts w:asciiTheme="majorBidi" w:hAnsiTheme="majorBidi" w:cstheme="majorBidi"/>
          <w:sz w:val="24"/>
          <w:szCs w:val="24"/>
        </w:rPr>
        <w:t>r</w:t>
      </w:r>
      <w:r>
        <w:rPr>
          <w:rFonts w:asciiTheme="majorBidi" w:hAnsiTheme="majorBidi" w:cstheme="majorBidi"/>
          <w:sz w:val="24"/>
          <w:szCs w:val="24"/>
        </w:rPr>
        <w:t xml:space="preserve"> to </w:t>
      </w:r>
      <w:r w:rsidR="00C76776">
        <w:rPr>
          <w:rFonts w:asciiTheme="majorBidi" w:hAnsiTheme="majorBidi" w:cstheme="majorBidi"/>
          <w:sz w:val="24"/>
          <w:szCs w:val="24"/>
        </w:rPr>
        <w:t>our recent findings</w:t>
      </w:r>
      <w:r w:rsidR="00B555C9">
        <w:rPr>
          <w:rFonts w:asciiTheme="majorBidi" w:hAnsiTheme="majorBidi" w:cstheme="majorBidi"/>
          <w:sz w:val="24"/>
          <w:szCs w:val="24"/>
        </w:rPr>
        <w:t xml:space="preserve"> </w:t>
      </w:r>
      <w:r w:rsidR="0007776A">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{"citationItems":[{"id":"ITEM-1","itemData":{"DOI":"10.1016/j.actbio.2023.03.010","abstract":"Thyroid nodules (TNs) are common neck ultrasonography (US) findings, yet only 5-10% of these nodules harbor thyroid cancer (TC). When US characteristics are consistent with an intermediate or high suspicion for TN malignancy, fine needle aspiration for cytology (FNAC) is indicated. The main limitation of FNAC is that cytological results can be indeterminate in up to 30% of cases, necessitating reevaluation through repeated FNAC, expensive molecular testing, or diagnostic thyroid lobe resection. As such, there is a need for further refinement of current diagnostic algorithms for TNs without subjecting patients to additional invasive procedures. As calcifications detected during thyroid US are considered a high-risk feature for malignancy, we used the material remaining following routine thyroid FNAC to isolate microscopic cal-cifications (MCs). We then characterized the elemental composition, morphology, and crystal phases of these MCs, ultimately revealing differences between the MCs from benign and malignant TNs. Specifically , thyroid MCs were identified as calcium phosphate crystals containing varying levels of magnesium, sodium, iron, and zinc. MCs obtained from malignant TNs, mainly papillary thyroid carcinoma, were composed of sub-micrometer spherical particles, whereas MCs from benign TNs consisted of faceted particles. While samples from most patients with a final diagnosis of malignant TNs (50% of them with indeterminate cytology) harbored zinc-containing MCs, zinc was largely absent in MCs from benign TNs (23% with indeterminate or non-diagnostic cytology). Together, these data suggest that the presence of zinc in MCs isolated from samples collected during routine FNAC may potentially offer value as a biomarker of TN malignancy. Statement of significance As up to 40% of patients assessed for thyroid malignancy do not receive a definite diagnosis following thyroid nodule (TN) fine needle aspiration (FNA), there is a pressing need to improve the accuracy of current diagnostic algorithms. Chemical analyses of microscopic calcifications (MCs) may serve as a diagnostic target. We developed a straightforward protocol to chemically characterize MCs from excess material collected from TNs during routine FNA and found that these MCs differed between benign and malignant TNs. Specifically, zinc in TN-derived MCs may indicate a higher nodule malignancy risk, thus increasing the diagnostic accuracy of the FNA procedure, reducing the need for recurrent bio…","author":[{"dropping-particle":"","family":"Gotnayer","given":"L","non-dropping-particle":"","parse-names":false,"suffix":""},{"dropping-particle":"","family":"Aranovich","given":"D","non-dropping-particle":"","parse-names":false,"suffix":""},{"dropping-particle":"","family":"Fraenkel","given":"M","non-dropping-particle":"","parse-names":false,"suffix":""}],"container-title":"Acta Biomaterialia","id":"ITEM-1","issued":{"date-parts":[["2023"]]},"page":"275-284","title":"Zinc in microscopic calcifications isolated from thyroid fine needle aspiration may serve as a biomarker of thyroid nodule malignancy: A promising proof-of-concept","type":"article-journal","volume":"161"},"uris":["http://www.mendeley.com/documents/?uuid=56223c94-6e12-3dfb-a337-5749a3cf9d50"]}],"mendeley":{"formattedCitation":"[19]","plainTextFormattedCitation":"[19]","previouslyFormattedCitation":"[19]"},"properties":{"noteIndex":0},"schema":"https://github.com/citation-style-language/schema/raw/master/csl-citation.json"}</w:instrText>
      </w:r>
      <w:r w:rsidR="0007776A">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[19]</w:t>
      </w:r>
      <w:r w:rsidR="0007776A">
        <w:rPr>
          <w:rFonts w:asciiTheme="majorBidi" w:hAnsiTheme="majorBidi" w:cstheme="majorBidi"/>
          <w:sz w:val="24"/>
          <w:szCs w:val="24"/>
        </w:rPr>
        <w:fldChar w:fldCharType="end"/>
      </w:r>
      <w:r>
        <w:rPr>
          <w:rFonts w:asciiTheme="majorBidi" w:hAnsiTheme="majorBidi" w:cstheme="majorBidi"/>
          <w:sz w:val="24"/>
          <w:szCs w:val="24"/>
        </w:rPr>
        <w:t>, these FNA</w:t>
      </w:r>
      <w:r w:rsidR="00C76776">
        <w:rPr>
          <w:rFonts w:asciiTheme="majorBidi" w:hAnsiTheme="majorBidi" w:cstheme="majorBidi"/>
          <w:sz w:val="24"/>
          <w:szCs w:val="24"/>
        </w:rPr>
        <w:t>-derived</w:t>
      </w:r>
      <w:r>
        <w:rPr>
          <w:rFonts w:asciiTheme="majorBidi" w:hAnsiTheme="majorBidi" w:cstheme="majorBidi"/>
          <w:sz w:val="24"/>
          <w:szCs w:val="24"/>
        </w:rPr>
        <w:t xml:space="preserve"> MCs </w:t>
      </w:r>
      <w:r w:rsidR="00474C75">
        <w:rPr>
          <w:rFonts w:asciiTheme="majorBidi" w:hAnsiTheme="majorBidi" w:cstheme="majorBidi"/>
          <w:sz w:val="24"/>
          <w:szCs w:val="24"/>
        </w:rPr>
        <w:t xml:space="preserve">displayed </w:t>
      </w:r>
      <w:r w:rsidR="00C76776">
        <w:rPr>
          <w:rFonts w:asciiTheme="majorBidi" w:hAnsiTheme="majorBidi" w:cstheme="majorBidi"/>
          <w:sz w:val="24"/>
          <w:szCs w:val="24"/>
        </w:rPr>
        <w:t>textured surfaces</w:t>
      </w:r>
      <w:r w:rsidR="007F50F3">
        <w:rPr>
          <w:rFonts w:asciiTheme="majorBidi" w:hAnsiTheme="majorBidi" w:cstheme="majorBidi"/>
          <w:sz w:val="24"/>
          <w:szCs w:val="24"/>
        </w:rPr>
        <w:t xml:space="preserve"> consisting of</w:t>
      </w:r>
      <w:r w:rsidR="00C76776">
        <w:rPr>
          <w:rFonts w:asciiTheme="majorBidi" w:hAnsiTheme="majorBidi" w:cstheme="majorBidi"/>
          <w:sz w:val="24"/>
          <w:szCs w:val="24"/>
        </w:rPr>
        <w:t xml:space="preserve"> </w:t>
      </w:r>
      <w:r w:rsidR="007F50F3">
        <w:rPr>
          <w:rFonts w:asciiTheme="majorBidi" w:hAnsiTheme="majorBidi" w:cstheme="majorBidi"/>
          <w:sz w:val="24"/>
          <w:szCs w:val="24"/>
        </w:rPr>
        <w:t xml:space="preserve">conglomerates of </w:t>
      </w:r>
      <w:r>
        <w:rPr>
          <w:rFonts w:asciiTheme="majorBidi" w:hAnsiTheme="majorBidi" w:cstheme="majorBidi"/>
          <w:sz w:val="24"/>
          <w:szCs w:val="24"/>
        </w:rPr>
        <w:t>spherical particle</w:t>
      </w:r>
      <w:r w:rsidR="007F50F3">
        <w:rPr>
          <w:rFonts w:asciiTheme="majorBidi" w:hAnsiTheme="majorBidi" w:cstheme="majorBidi"/>
          <w:sz w:val="24"/>
          <w:szCs w:val="24"/>
        </w:rPr>
        <w:t xml:space="preserve">s </w:t>
      </w:r>
      <w:r>
        <w:rPr>
          <w:rFonts w:asciiTheme="majorBidi" w:hAnsiTheme="majorBidi" w:cstheme="majorBidi"/>
          <w:sz w:val="24"/>
          <w:szCs w:val="24"/>
        </w:rPr>
        <w:t>(Fig. 1</w:t>
      </w:r>
      <w:r w:rsidR="00C03181">
        <w:rPr>
          <w:rFonts w:asciiTheme="majorBidi" w:hAnsiTheme="majorBidi" w:cstheme="majorBidi"/>
          <w:sz w:val="24"/>
          <w:szCs w:val="24"/>
        </w:rPr>
        <w:t xml:space="preserve"> </w:t>
      </w:r>
      <w:r>
        <w:rPr>
          <w:rFonts w:asciiTheme="majorBidi" w:hAnsiTheme="majorBidi" w:cstheme="majorBidi"/>
          <w:sz w:val="24"/>
          <w:szCs w:val="24"/>
        </w:rPr>
        <w:t>a).</w:t>
      </w:r>
      <w:r w:rsidR="00C118B4">
        <w:rPr>
          <w:rFonts w:asciiTheme="majorBidi" w:hAnsiTheme="majorBidi" w:cstheme="majorBidi"/>
          <w:sz w:val="24"/>
          <w:szCs w:val="24"/>
        </w:rPr>
        <w:t xml:space="preserve"> </w:t>
      </w:r>
      <w:r w:rsidR="0073639B" w:rsidRPr="0073639B">
        <w:rPr>
          <w:rFonts w:asciiTheme="majorBidi" w:hAnsiTheme="majorBidi" w:cstheme="majorBidi"/>
          <w:sz w:val="24"/>
          <w:szCs w:val="24"/>
        </w:rPr>
        <w:t>The</w:t>
      </w:r>
      <w:r w:rsidR="007F50F3">
        <w:rPr>
          <w:rFonts w:asciiTheme="majorBidi" w:hAnsiTheme="majorBidi" w:cstheme="majorBidi"/>
          <w:sz w:val="24"/>
          <w:szCs w:val="24"/>
        </w:rPr>
        <w:t>se</w:t>
      </w:r>
      <w:r w:rsidR="0073639B" w:rsidRPr="0073639B">
        <w:rPr>
          <w:rFonts w:asciiTheme="majorBidi" w:hAnsiTheme="majorBidi" w:cstheme="majorBidi"/>
          <w:sz w:val="24"/>
          <w:szCs w:val="24"/>
        </w:rPr>
        <w:t xml:space="preserve"> </w:t>
      </w:r>
      <w:r w:rsidR="00D425C9">
        <w:rPr>
          <w:rFonts w:asciiTheme="majorBidi" w:hAnsiTheme="majorBidi" w:cstheme="majorBidi"/>
          <w:sz w:val="24"/>
          <w:szCs w:val="24"/>
        </w:rPr>
        <w:t>MCs</w:t>
      </w:r>
      <w:r w:rsidR="0073639B" w:rsidRPr="0073639B">
        <w:rPr>
          <w:rFonts w:asciiTheme="majorBidi" w:hAnsiTheme="majorBidi" w:cstheme="majorBidi"/>
          <w:sz w:val="24"/>
          <w:szCs w:val="24"/>
        </w:rPr>
        <w:t xml:space="preserve"> exhibit sub-micrometer particle </w:t>
      </w:r>
      <w:r w:rsidR="007F50F3">
        <w:rPr>
          <w:rFonts w:asciiTheme="majorBidi" w:hAnsiTheme="majorBidi" w:cstheme="majorBidi"/>
          <w:sz w:val="24"/>
          <w:szCs w:val="24"/>
        </w:rPr>
        <w:t>dimensions</w:t>
      </w:r>
      <w:r w:rsidR="0073639B" w:rsidRPr="0073639B">
        <w:rPr>
          <w:rFonts w:asciiTheme="majorBidi" w:hAnsiTheme="majorBidi" w:cstheme="majorBidi"/>
          <w:sz w:val="24"/>
          <w:szCs w:val="24"/>
        </w:rPr>
        <w:t xml:space="preserve">, </w:t>
      </w:r>
      <w:r w:rsidR="00D91DB0">
        <w:rPr>
          <w:rFonts w:asciiTheme="majorBidi" w:hAnsiTheme="majorBidi" w:cstheme="majorBidi"/>
          <w:sz w:val="24"/>
          <w:szCs w:val="24"/>
        </w:rPr>
        <w:t xml:space="preserve">ranging between </w:t>
      </w:r>
      <w:r w:rsidR="00996F0B">
        <w:rPr>
          <w:rFonts w:asciiTheme="majorBidi" w:hAnsiTheme="majorBidi" w:cstheme="majorBidi"/>
          <w:sz w:val="24"/>
          <w:szCs w:val="24"/>
        </w:rPr>
        <w:t>30-100</w:t>
      </w:r>
      <w:r w:rsidR="00D91DB0">
        <w:rPr>
          <w:rFonts w:asciiTheme="majorBidi" w:hAnsiTheme="majorBidi" w:cstheme="majorBidi"/>
          <w:sz w:val="24"/>
          <w:szCs w:val="24"/>
        </w:rPr>
        <w:t xml:space="preserve"> nm, </w:t>
      </w:r>
      <w:r w:rsidR="0073639B" w:rsidRPr="0073639B">
        <w:rPr>
          <w:rFonts w:asciiTheme="majorBidi" w:hAnsiTheme="majorBidi" w:cstheme="majorBidi"/>
          <w:sz w:val="24"/>
          <w:szCs w:val="24"/>
        </w:rPr>
        <w:t xml:space="preserve">forming </w:t>
      </w:r>
      <w:r w:rsidR="00733166">
        <w:rPr>
          <w:rFonts w:asciiTheme="majorBidi" w:hAnsiTheme="majorBidi" w:cstheme="majorBidi"/>
          <w:sz w:val="24"/>
          <w:szCs w:val="24"/>
        </w:rPr>
        <w:t>densely</w:t>
      </w:r>
      <w:r w:rsidR="00733166" w:rsidRPr="0073639B">
        <w:rPr>
          <w:rFonts w:asciiTheme="majorBidi" w:hAnsiTheme="majorBidi" w:cstheme="majorBidi"/>
          <w:sz w:val="24"/>
          <w:szCs w:val="24"/>
        </w:rPr>
        <w:t xml:space="preserve"> </w:t>
      </w:r>
      <w:r w:rsidR="0073639B" w:rsidRPr="0073639B">
        <w:rPr>
          <w:rFonts w:asciiTheme="majorBidi" w:hAnsiTheme="majorBidi" w:cstheme="majorBidi"/>
          <w:sz w:val="24"/>
          <w:szCs w:val="24"/>
        </w:rPr>
        <w:t>packed aggregate</w:t>
      </w:r>
      <w:r w:rsidR="00624149">
        <w:rPr>
          <w:rFonts w:asciiTheme="majorBidi" w:hAnsiTheme="majorBidi" w:cstheme="majorBidi"/>
          <w:sz w:val="24"/>
          <w:szCs w:val="24"/>
        </w:rPr>
        <w:t>s</w:t>
      </w:r>
      <w:r w:rsidR="0073639B" w:rsidRPr="0073639B">
        <w:rPr>
          <w:rFonts w:asciiTheme="majorBidi" w:hAnsiTheme="majorBidi" w:cstheme="majorBidi"/>
          <w:sz w:val="24"/>
          <w:szCs w:val="24"/>
        </w:rPr>
        <w:t xml:space="preserve"> </w:t>
      </w:r>
      <w:r w:rsidR="00E74D35">
        <w:rPr>
          <w:rFonts w:asciiTheme="majorBidi" w:hAnsiTheme="majorBidi" w:cstheme="majorBidi"/>
          <w:sz w:val="24"/>
          <w:szCs w:val="24"/>
        </w:rPr>
        <w:t>spanning</w:t>
      </w:r>
      <w:r w:rsidR="0073639B" w:rsidRPr="0073639B">
        <w:rPr>
          <w:rFonts w:asciiTheme="majorBidi" w:hAnsiTheme="majorBidi" w:cstheme="majorBidi"/>
          <w:sz w:val="24"/>
          <w:szCs w:val="24"/>
        </w:rPr>
        <w:t xml:space="preserve"> tens of micrometers.</w:t>
      </w:r>
      <w:r w:rsidR="00D425C9">
        <w:rPr>
          <w:rFonts w:asciiTheme="majorBidi" w:hAnsiTheme="majorBidi" w:cstheme="majorBidi"/>
          <w:sz w:val="24"/>
          <w:szCs w:val="24"/>
        </w:rPr>
        <w:t xml:space="preserve"> </w:t>
      </w:r>
      <w:r w:rsidR="008D5159">
        <w:rPr>
          <w:rFonts w:asciiTheme="majorBidi" w:hAnsiTheme="majorBidi" w:cstheme="majorBidi"/>
          <w:sz w:val="24"/>
          <w:szCs w:val="24"/>
        </w:rPr>
        <w:t>EDS analysis shows</w:t>
      </w:r>
      <w:r w:rsidR="002C06C4">
        <w:rPr>
          <w:rFonts w:asciiTheme="majorBidi" w:hAnsiTheme="majorBidi" w:cstheme="majorBidi"/>
          <w:sz w:val="24"/>
          <w:szCs w:val="24"/>
        </w:rPr>
        <w:t xml:space="preserve"> </w:t>
      </w:r>
      <w:r w:rsidR="005E35CE">
        <w:rPr>
          <w:rFonts w:asciiTheme="majorBidi" w:hAnsiTheme="majorBidi" w:cstheme="majorBidi"/>
          <w:sz w:val="24"/>
          <w:szCs w:val="24"/>
        </w:rPr>
        <w:t>Zn fractions that align with the previously reported Zn content in FNA-derived MCs from cancerous nodules, which varies from 0.7 wt% to 2.5 wt%</w:t>
      </w:r>
      <w:r w:rsidR="005E35CE">
        <w:rPr>
          <w:rFonts w:asciiTheme="majorBidi" w:hAnsiTheme="majorBidi" w:cstheme="majorBidi" w:hint="cs"/>
          <w:sz w:val="24"/>
          <w:szCs w:val="24"/>
          <w:rtl/>
        </w:rPr>
        <w:t xml:space="preserve"> </w:t>
      </w:r>
      <w:r w:rsidR="005E35CE">
        <w:rPr>
          <w:rFonts w:asciiTheme="majorBidi" w:hAnsiTheme="majorBidi" w:cstheme="majorBidi"/>
          <w:sz w:val="24"/>
          <w:szCs w:val="24"/>
        </w:rPr>
        <w:t xml:space="preserve">(Fig. S1). </w:t>
      </w:r>
      <w:r w:rsidR="005E35CE">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{"citationItems":[{"id":"ITEM-1","itemData":{"DOI":"10.1016/j.actbio.2023.03.010","abstract":"Thyroid nodules (TNs) are common neck ultrasonography (US) findings, yet only 5-10% of these nodules harbor thyroid cancer (TC). When US characteristics are consistent with an intermediate or high suspicion for TN malignancy, fine needle aspiration for cytology (FNAC) is indicated. The main limitation of FNAC is that cytological results can be indeterminate in up to 30% of cases, necessitating reevaluation through repeated FNAC, expensive molecular testing, or diagnostic thyroid lobe resection. As such, there is a need for further refinement of current diagnostic algorithms for TNs without subjecting patients to additional invasive procedures. As calcifications detected during thyroid US are considered a high-risk feature for malignancy, we used the material remaining following routine thyroid FNAC to isolate microscopic cal-cifications (MCs). We then characterized the elemental composition, morphology, and crystal phases of these MCs, ultimately revealing differences between the MCs from benign and malignant TNs. Specifically , thyroid MCs were identified as calcium phosphate crystals containing varying levels of magnesium, sodium, iron, and zinc. MCs obtained from malignant TNs, mainly papillary thyroid carcinoma, were composed of sub-micrometer spherical particles, whereas MCs from benign TNs consisted of faceted particles. While samples from most patients with a final diagnosis of malignant TNs (50% of them with indeterminate cytology) harbored zinc-containing MCs, zinc was largely absent in MCs from benign TNs (23% with indeterminate or non-diagnostic cytology). Together, these data suggest that the presence of zinc in MCs isolated from samples collected during routine FNAC may potentially offer value as a biomarker of TN malignancy. Statement of significance As up to 40% of patients assessed for thyroid malignancy do not receive a definite diagnosis following thyroid nodule (TN) fine needle aspiration (FNA), there is a pressing need to improve the accuracy of current diagnostic algorithms. Chemical analyses of microscopic calcifications (MCs) may serve as a diagnostic target. We developed a straightforward protocol to chemically characterize MCs from excess material collected from TNs during routine FNA and found that these MCs differed between benign and malignant TNs. Specifically, zinc in TN-derived MCs may indicate a higher nodule malignancy risk, thus increasing the diagnostic accuracy of the FNA procedure, reducing the need for recurrent bio…","author":[{"dropping-particle":"","family":"Gotnayer","given":"L","non-dropping-particle":"","parse-names":false,"suffix":""},{"dropping-particle":"","family":"Aranovich","given":"D","non-dropping-particle":"","parse-names":false,"suffix":""},{"dropping-particle":"","family":"Fraenkel","given":"M","non-dropping-particle":"","parse-names":false,"suffix":""}],"container-title":"Acta Biomaterialia","id":"ITEM-1","issued":{"date-parts":[["2023"]]},"page":"275-284","title":"Zinc in microscopic calcifications isolated from thyroid fine needle aspiration may serve as a biomarker of thyroid nodule malignancy: A promising proof-of-concept","type":"article-journal","volume":"161"},"uris":["http://www.mendeley.com/documents/?uuid=56223c94-6e12-3dfb-a337-5749a3cf9d50"]}],"mendeley":{"formattedCitation":"[19]","plainTextFormattedCitation":"[19]","previouslyFormattedCitation":"[19]"},"properties":{"noteIndex":0},"schema":"https://github.com/citation-style-language/schema/raw/master/csl-citation.json"}</w:instrText>
      </w:r>
      <w:r w:rsidR="005E35CE">
        <w:rPr>
          <w:rFonts w:asciiTheme="majorBidi" w:hAnsiTheme="majorBidi" w:cstheme="majorBidi"/>
          <w:sz w:val="24"/>
          <w:szCs w:val="24"/>
        </w:rPr>
        <w:fldChar w:fldCharType="separate"/>
      </w:r>
      <w:r w:rsidR="005E35CE" w:rsidRPr="009D5330">
        <w:rPr>
          <w:rFonts w:asciiTheme="majorBidi" w:hAnsiTheme="majorBidi" w:cstheme="majorBidi"/>
          <w:noProof/>
          <w:sz w:val="24"/>
          <w:szCs w:val="24"/>
        </w:rPr>
        <w:t>[19]</w:t>
      </w:r>
      <w:r w:rsidR="005E35CE">
        <w:rPr>
          <w:rFonts w:asciiTheme="majorBidi" w:hAnsiTheme="majorBidi" w:cstheme="majorBidi"/>
          <w:sz w:val="24"/>
          <w:szCs w:val="24"/>
        </w:rPr>
        <w:fldChar w:fldCharType="end"/>
      </w:r>
      <w:r w:rsidR="005E35CE">
        <w:rPr>
          <w:rFonts w:asciiTheme="majorBidi" w:hAnsiTheme="majorBidi" w:cstheme="majorBidi"/>
          <w:sz w:val="24"/>
          <w:szCs w:val="24"/>
        </w:rPr>
        <w:t>.</w:t>
      </w:r>
      <w:r w:rsidR="00352323">
        <w:rPr>
          <w:rFonts w:asciiTheme="majorBidi" w:hAnsiTheme="majorBidi" w:cstheme="majorBidi"/>
          <w:sz w:val="24"/>
          <w:szCs w:val="24"/>
        </w:rPr>
        <w:t xml:space="preserve"> T</w:t>
      </w:r>
      <w:r>
        <w:rPr>
          <w:rFonts w:asciiTheme="majorBidi" w:hAnsiTheme="majorBidi" w:cstheme="majorBidi"/>
          <w:sz w:val="24"/>
          <w:szCs w:val="24"/>
        </w:rPr>
        <w:t xml:space="preserve">he Ca/P </w:t>
      </w:r>
      <w:r w:rsidR="002466C5">
        <w:rPr>
          <w:rFonts w:asciiTheme="majorBidi" w:hAnsiTheme="majorBidi" w:cstheme="majorBidi"/>
          <w:sz w:val="24"/>
          <w:szCs w:val="24"/>
        </w:rPr>
        <w:t xml:space="preserve">molar </w:t>
      </w:r>
      <w:r>
        <w:rPr>
          <w:rFonts w:asciiTheme="majorBidi" w:hAnsiTheme="majorBidi" w:cstheme="majorBidi"/>
          <w:sz w:val="24"/>
          <w:szCs w:val="24"/>
        </w:rPr>
        <w:t xml:space="preserve">ratios </w:t>
      </w:r>
      <w:r w:rsidR="0006669E">
        <w:rPr>
          <w:rFonts w:asciiTheme="majorBidi" w:hAnsiTheme="majorBidi" w:cstheme="majorBidi"/>
          <w:sz w:val="24"/>
          <w:szCs w:val="24"/>
        </w:rPr>
        <w:t>range</w:t>
      </w:r>
      <w:r w:rsidR="00B5656D">
        <w:rPr>
          <w:rFonts w:asciiTheme="majorBidi" w:hAnsiTheme="majorBidi" w:cstheme="majorBidi"/>
          <w:sz w:val="24"/>
          <w:szCs w:val="24"/>
        </w:rPr>
        <w:t xml:space="preserve"> 1.2 to 1.</w:t>
      </w:r>
      <w:r w:rsidR="00835ED4">
        <w:rPr>
          <w:rFonts w:asciiTheme="majorBidi" w:hAnsiTheme="majorBidi" w:cstheme="majorBidi"/>
          <w:sz w:val="24"/>
          <w:szCs w:val="24"/>
        </w:rPr>
        <w:t>8</w:t>
      </w:r>
      <w:r>
        <w:rPr>
          <w:rFonts w:asciiTheme="majorBidi" w:hAnsiTheme="majorBidi" w:cstheme="majorBidi"/>
          <w:sz w:val="24"/>
          <w:szCs w:val="24"/>
        </w:rPr>
        <w:t>, while</w:t>
      </w:r>
      <w:r w:rsidR="002C06C4">
        <w:rPr>
          <w:rFonts w:asciiTheme="majorBidi" w:hAnsiTheme="majorBidi" w:cstheme="majorBidi"/>
          <w:sz w:val="24"/>
          <w:szCs w:val="24"/>
        </w:rPr>
        <w:t xml:space="preserve"> the</w:t>
      </w:r>
      <w:r>
        <w:rPr>
          <w:rFonts w:asciiTheme="majorBidi" w:hAnsiTheme="majorBidi" w:cstheme="majorBidi"/>
          <w:sz w:val="24"/>
          <w:szCs w:val="24"/>
        </w:rPr>
        <w:t xml:space="preserve"> Zn/Ca ratio is </w:t>
      </w:r>
      <w:r w:rsidR="00B5656D">
        <w:rPr>
          <w:rFonts w:asciiTheme="majorBidi" w:hAnsiTheme="majorBidi" w:cstheme="majorBidi"/>
          <w:sz w:val="24"/>
          <w:szCs w:val="24"/>
        </w:rPr>
        <w:t>0.</w:t>
      </w:r>
      <w:r w:rsidR="00484621">
        <w:rPr>
          <w:rFonts w:asciiTheme="majorBidi" w:hAnsiTheme="majorBidi" w:cstheme="majorBidi"/>
          <w:sz w:val="24"/>
          <w:szCs w:val="24"/>
        </w:rPr>
        <w:t>1</w:t>
      </w:r>
      <w:r w:rsidR="00835ED4">
        <w:rPr>
          <w:rFonts w:asciiTheme="majorBidi" w:hAnsiTheme="majorBidi" w:cstheme="majorBidi"/>
          <w:sz w:val="24"/>
          <w:szCs w:val="24"/>
        </w:rPr>
        <w:t xml:space="preserve"> to 0.9</w:t>
      </w:r>
      <w:r w:rsidR="008D6A90">
        <w:rPr>
          <w:rFonts w:asciiTheme="majorBidi" w:hAnsiTheme="majorBidi" w:cstheme="majorBidi"/>
          <w:sz w:val="24"/>
          <w:szCs w:val="24"/>
        </w:rPr>
        <w:t>.</w:t>
      </w:r>
      <w:r w:rsidR="00484621">
        <w:rPr>
          <w:rFonts w:asciiTheme="majorBidi" w:hAnsiTheme="majorBidi" w:cstheme="majorBidi"/>
          <w:sz w:val="24"/>
          <w:szCs w:val="24"/>
        </w:rPr>
        <w:t xml:space="preserve"> </w:t>
      </w:r>
      <w:r w:rsidR="00F22D5E">
        <w:rPr>
          <w:rFonts w:asciiTheme="majorBidi" w:hAnsiTheme="majorBidi" w:cstheme="majorBidi"/>
          <w:sz w:val="24"/>
          <w:szCs w:val="24"/>
        </w:rPr>
        <w:t xml:space="preserve">The </w:t>
      </w:r>
      <w:r>
        <w:rPr>
          <w:rFonts w:asciiTheme="majorBidi" w:hAnsiTheme="majorBidi" w:cstheme="majorBidi"/>
          <w:sz w:val="24"/>
          <w:szCs w:val="24"/>
        </w:rPr>
        <w:t xml:space="preserve">FTIR analysis of the thyroid MCs shows </w:t>
      </w:r>
      <w:r w:rsidR="00F22D5E">
        <w:rPr>
          <w:rFonts w:asciiTheme="majorBidi" w:hAnsiTheme="majorBidi" w:cstheme="majorBidi"/>
          <w:sz w:val="24"/>
          <w:szCs w:val="24"/>
        </w:rPr>
        <w:t>their composition as</w:t>
      </w:r>
      <w:r w:rsidR="00C03181">
        <w:rPr>
          <w:rFonts w:asciiTheme="majorBidi" w:hAnsiTheme="majorBidi" w:cstheme="majorBidi"/>
          <w:sz w:val="24"/>
          <w:szCs w:val="24"/>
        </w:rPr>
        <w:t xml:space="preserve"> </w:t>
      </w:r>
      <w:r>
        <w:rPr>
          <w:rFonts w:asciiTheme="majorBidi" w:hAnsiTheme="majorBidi" w:cstheme="majorBidi"/>
          <w:sz w:val="24"/>
          <w:szCs w:val="24"/>
        </w:rPr>
        <w:t>carbonate</w:t>
      </w:r>
      <w:r w:rsidR="00C03181">
        <w:rPr>
          <w:rFonts w:asciiTheme="majorBidi" w:hAnsiTheme="majorBidi" w:cstheme="majorBidi"/>
          <w:sz w:val="24"/>
          <w:szCs w:val="24"/>
        </w:rPr>
        <w:t xml:space="preserve">d </w:t>
      </w:r>
      <w:r>
        <w:rPr>
          <w:rFonts w:asciiTheme="majorBidi" w:hAnsiTheme="majorBidi" w:cstheme="majorBidi"/>
          <w:sz w:val="24"/>
          <w:szCs w:val="24"/>
        </w:rPr>
        <w:t xml:space="preserve">apatite (Fig. 1 b). </w:t>
      </w:r>
      <w:r w:rsidR="00F22D5E">
        <w:rPr>
          <w:rFonts w:asciiTheme="majorBidi" w:hAnsiTheme="majorBidi" w:cstheme="majorBidi"/>
          <w:sz w:val="24"/>
          <w:szCs w:val="24"/>
        </w:rPr>
        <w:t>P</w:t>
      </w:r>
      <w:r w:rsidR="00E13576">
        <w:rPr>
          <w:rFonts w:asciiTheme="majorBidi" w:hAnsiTheme="majorBidi" w:cstheme="majorBidi"/>
          <w:sz w:val="24"/>
          <w:szCs w:val="24"/>
        </w:rPr>
        <w:t xml:space="preserve">eaks </w:t>
      </w:r>
      <w:r w:rsidR="00F22D5E">
        <w:rPr>
          <w:rFonts w:asciiTheme="majorBidi" w:hAnsiTheme="majorBidi" w:cstheme="majorBidi"/>
          <w:sz w:val="24"/>
          <w:szCs w:val="24"/>
        </w:rPr>
        <w:t>identified</w:t>
      </w:r>
      <w:r w:rsidR="00826E29">
        <w:rPr>
          <w:rFonts w:asciiTheme="majorBidi" w:hAnsiTheme="majorBidi" w:cstheme="majorBidi"/>
          <w:sz w:val="24"/>
          <w:szCs w:val="24"/>
        </w:rPr>
        <w:t xml:space="preserve"> </w:t>
      </w:r>
      <w:r w:rsidR="00474C75">
        <w:rPr>
          <w:rFonts w:asciiTheme="majorBidi" w:hAnsiTheme="majorBidi" w:cstheme="majorBidi"/>
          <w:sz w:val="24"/>
          <w:szCs w:val="24"/>
        </w:rPr>
        <w:t xml:space="preserve">by </w:t>
      </w:r>
      <w:r w:rsidR="00E13576">
        <w:rPr>
          <w:rFonts w:asciiTheme="majorBidi" w:hAnsiTheme="majorBidi" w:cstheme="majorBidi"/>
          <w:sz w:val="24"/>
          <w:szCs w:val="24"/>
        </w:rPr>
        <w:t>FTIR correspond to p</w:t>
      </w:r>
      <w:r w:rsidR="00E13576" w:rsidRPr="004E1E99">
        <w:rPr>
          <w:rFonts w:asciiTheme="majorBidi" w:hAnsiTheme="majorBidi" w:cstheme="majorBidi"/>
          <w:sz w:val="24"/>
          <w:szCs w:val="24"/>
        </w:rPr>
        <w:t xml:space="preserve">hosphate and carbonate </w:t>
      </w:r>
      <w:r w:rsidR="00E13576">
        <w:rPr>
          <w:rFonts w:asciiTheme="majorBidi" w:hAnsiTheme="majorBidi" w:cstheme="majorBidi"/>
          <w:sz w:val="24"/>
          <w:szCs w:val="24"/>
        </w:rPr>
        <w:t>groups</w:t>
      </w:r>
      <w:r w:rsidR="00E13576" w:rsidRPr="00970E74">
        <w:rPr>
          <w:rFonts w:asciiTheme="majorBidi" w:hAnsiTheme="majorBidi" w:cstheme="majorBidi"/>
          <w:sz w:val="24"/>
        </w:rPr>
        <w:t xml:space="preserve"> (</w:t>
      </w:r>
      <w:r w:rsidR="00B41177">
        <w:rPr>
          <w:rFonts w:asciiTheme="majorBidi" w:hAnsiTheme="majorBidi" w:cstheme="majorBidi"/>
          <w:sz w:val="24"/>
        </w:rPr>
        <w:t>v</w:t>
      </w:r>
      <w:r w:rsidR="00B41177" w:rsidRPr="00970E74">
        <w:rPr>
          <w:rFonts w:asciiTheme="majorBidi" w:hAnsiTheme="majorBidi" w:cstheme="majorBidi"/>
          <w:sz w:val="24"/>
          <w:vertAlign w:val="subscript"/>
        </w:rPr>
        <w:t>3</w:t>
      </w:r>
      <w:r w:rsidR="00B41177" w:rsidRPr="00970E74">
        <w:rPr>
          <w:rFonts w:asciiTheme="majorBidi" w:hAnsiTheme="majorBidi" w:cstheme="majorBidi"/>
          <w:sz w:val="24"/>
        </w:rPr>
        <w:t xml:space="preserve"> </w:t>
      </w:r>
      <w:r w:rsidR="00E13576" w:rsidRPr="00970E74">
        <w:rPr>
          <w:rFonts w:asciiTheme="majorBidi" w:hAnsiTheme="majorBidi" w:cstheme="majorBidi"/>
          <w:sz w:val="24"/>
        </w:rPr>
        <w:t>PO</w:t>
      </w:r>
      <w:r w:rsidR="00E13576" w:rsidRPr="00970E74">
        <w:rPr>
          <w:rFonts w:asciiTheme="majorBidi" w:hAnsiTheme="majorBidi" w:cstheme="majorBidi"/>
          <w:sz w:val="24"/>
          <w:vertAlign w:val="subscript"/>
        </w:rPr>
        <w:t>4</w:t>
      </w:r>
      <w:r w:rsidR="00E13576" w:rsidRPr="00970E74">
        <w:rPr>
          <w:rFonts w:asciiTheme="majorBidi" w:hAnsiTheme="majorBidi" w:cstheme="majorBidi"/>
          <w:sz w:val="24"/>
        </w:rPr>
        <w:t>: 1100 cm</w:t>
      </w:r>
      <w:r w:rsidR="00E13576" w:rsidRPr="00970E74">
        <w:rPr>
          <w:rFonts w:asciiTheme="majorBidi" w:hAnsiTheme="majorBidi" w:cstheme="majorBidi"/>
          <w:sz w:val="24"/>
          <w:vertAlign w:val="superscript"/>
        </w:rPr>
        <w:t>-1</w:t>
      </w:r>
      <w:r w:rsidR="00E13576" w:rsidRPr="00970E74">
        <w:rPr>
          <w:rFonts w:asciiTheme="majorBidi" w:hAnsiTheme="majorBidi" w:cstheme="majorBidi"/>
          <w:sz w:val="24"/>
        </w:rPr>
        <w:t xml:space="preserve"> and 1030 cm</w:t>
      </w:r>
      <w:r w:rsidR="00E13576" w:rsidRPr="00970E74">
        <w:rPr>
          <w:rFonts w:asciiTheme="majorBidi" w:hAnsiTheme="majorBidi" w:cstheme="majorBidi"/>
          <w:sz w:val="24"/>
          <w:vertAlign w:val="superscript"/>
        </w:rPr>
        <w:t>-1</w:t>
      </w:r>
      <w:r w:rsidR="00E13576" w:rsidRPr="00970E74">
        <w:rPr>
          <w:rFonts w:asciiTheme="majorBidi" w:hAnsiTheme="majorBidi" w:cstheme="majorBidi"/>
          <w:sz w:val="24"/>
        </w:rPr>
        <w:t xml:space="preserve">, </w:t>
      </w:r>
      <w:r w:rsidR="00B41177">
        <w:rPr>
          <w:rFonts w:asciiTheme="majorBidi" w:hAnsiTheme="majorBidi" w:cstheme="majorBidi"/>
          <w:sz w:val="24"/>
        </w:rPr>
        <w:t>v</w:t>
      </w:r>
      <w:r w:rsidR="00B41177" w:rsidRPr="00970E74">
        <w:rPr>
          <w:rFonts w:asciiTheme="majorBidi" w:hAnsiTheme="majorBidi" w:cstheme="majorBidi"/>
          <w:sz w:val="24"/>
          <w:vertAlign w:val="subscript"/>
        </w:rPr>
        <w:t>4</w:t>
      </w:r>
      <w:r w:rsidR="00B41177" w:rsidRPr="00970E74">
        <w:rPr>
          <w:rFonts w:asciiTheme="majorBidi" w:hAnsiTheme="majorBidi" w:cstheme="majorBidi"/>
          <w:sz w:val="24"/>
        </w:rPr>
        <w:t xml:space="preserve"> </w:t>
      </w:r>
      <w:r w:rsidR="00E13576" w:rsidRPr="00970E74">
        <w:rPr>
          <w:rFonts w:asciiTheme="majorBidi" w:hAnsiTheme="majorBidi" w:cstheme="majorBidi"/>
          <w:sz w:val="24"/>
        </w:rPr>
        <w:t>PO</w:t>
      </w:r>
      <w:r w:rsidR="00E13576" w:rsidRPr="00970E74">
        <w:rPr>
          <w:rFonts w:asciiTheme="majorBidi" w:hAnsiTheme="majorBidi" w:cstheme="majorBidi"/>
          <w:sz w:val="24"/>
          <w:vertAlign w:val="subscript"/>
        </w:rPr>
        <w:t>4</w:t>
      </w:r>
      <w:r w:rsidR="00E13576" w:rsidRPr="00970E74">
        <w:rPr>
          <w:rFonts w:asciiTheme="majorBidi" w:hAnsiTheme="majorBidi" w:cstheme="majorBidi"/>
          <w:sz w:val="24"/>
        </w:rPr>
        <w:t>: 605 cm</w:t>
      </w:r>
      <w:r w:rsidR="00E13576" w:rsidRPr="00970E74">
        <w:rPr>
          <w:rFonts w:asciiTheme="majorBidi" w:hAnsiTheme="majorBidi" w:cstheme="majorBidi"/>
          <w:sz w:val="24"/>
          <w:vertAlign w:val="superscript"/>
        </w:rPr>
        <w:t>-1</w:t>
      </w:r>
      <w:r w:rsidR="00E13576" w:rsidRPr="00970E74">
        <w:rPr>
          <w:rFonts w:asciiTheme="majorBidi" w:hAnsiTheme="majorBidi" w:cstheme="majorBidi"/>
          <w:sz w:val="24"/>
        </w:rPr>
        <w:t xml:space="preserve"> and 575 cm</w:t>
      </w:r>
      <w:r w:rsidR="00E13576" w:rsidRPr="00970E74">
        <w:rPr>
          <w:rFonts w:asciiTheme="majorBidi" w:hAnsiTheme="majorBidi" w:cstheme="majorBidi"/>
          <w:sz w:val="24"/>
          <w:vertAlign w:val="superscript"/>
        </w:rPr>
        <w:t>-1</w:t>
      </w:r>
      <w:r w:rsidR="00E13576" w:rsidRPr="00970E74">
        <w:rPr>
          <w:rFonts w:asciiTheme="majorBidi" w:hAnsiTheme="majorBidi" w:cstheme="majorBidi"/>
          <w:sz w:val="24"/>
        </w:rPr>
        <w:t xml:space="preserve">, </w:t>
      </w:r>
      <w:r w:rsidR="00B41177">
        <w:rPr>
          <w:rFonts w:asciiTheme="majorBidi" w:hAnsiTheme="majorBidi" w:cstheme="majorBidi"/>
          <w:sz w:val="24"/>
        </w:rPr>
        <w:t>v</w:t>
      </w:r>
      <w:r w:rsidR="00B41177" w:rsidRPr="00970E74">
        <w:rPr>
          <w:rFonts w:asciiTheme="majorBidi" w:hAnsiTheme="majorBidi" w:cstheme="majorBidi"/>
          <w:sz w:val="24"/>
          <w:vertAlign w:val="subscript"/>
        </w:rPr>
        <w:t>2</w:t>
      </w:r>
      <w:r w:rsidR="00B41177" w:rsidRPr="00970E74">
        <w:rPr>
          <w:rFonts w:asciiTheme="majorBidi" w:hAnsiTheme="majorBidi" w:cstheme="majorBidi"/>
          <w:sz w:val="24"/>
        </w:rPr>
        <w:t xml:space="preserve"> </w:t>
      </w:r>
      <w:r w:rsidR="00E13576" w:rsidRPr="00970E74">
        <w:rPr>
          <w:rFonts w:asciiTheme="majorBidi" w:hAnsiTheme="majorBidi" w:cstheme="majorBidi"/>
          <w:sz w:val="24"/>
        </w:rPr>
        <w:t>CO</w:t>
      </w:r>
      <w:r w:rsidR="00E13576" w:rsidRPr="00970E74">
        <w:rPr>
          <w:rFonts w:asciiTheme="majorBidi" w:hAnsiTheme="majorBidi" w:cstheme="majorBidi"/>
          <w:sz w:val="24"/>
          <w:vertAlign w:val="subscript"/>
        </w:rPr>
        <w:t>3</w:t>
      </w:r>
      <w:r w:rsidR="00E13576" w:rsidRPr="00970E74">
        <w:rPr>
          <w:rFonts w:asciiTheme="majorBidi" w:hAnsiTheme="majorBidi" w:cstheme="majorBidi"/>
          <w:sz w:val="24"/>
        </w:rPr>
        <w:t>: 875 cm</w:t>
      </w:r>
      <w:r w:rsidR="00E13576" w:rsidRPr="00970E74">
        <w:rPr>
          <w:rFonts w:asciiTheme="majorBidi" w:hAnsiTheme="majorBidi" w:cstheme="majorBidi"/>
          <w:sz w:val="24"/>
          <w:vertAlign w:val="superscript"/>
        </w:rPr>
        <w:t>-1</w:t>
      </w:r>
      <w:r w:rsidR="00E13576" w:rsidRPr="00970E74">
        <w:rPr>
          <w:rFonts w:asciiTheme="majorBidi" w:hAnsiTheme="majorBidi" w:cstheme="majorBidi"/>
          <w:sz w:val="24"/>
        </w:rPr>
        <w:t>), </w:t>
      </w:r>
      <w:r w:rsidR="00826E29">
        <w:rPr>
          <w:rFonts w:asciiTheme="majorBidi" w:hAnsiTheme="majorBidi" w:cstheme="majorBidi"/>
          <w:sz w:val="24"/>
        </w:rPr>
        <w:t xml:space="preserve">alongside </w:t>
      </w:r>
      <w:r w:rsidR="00E13576">
        <w:rPr>
          <w:rFonts w:asciiTheme="majorBidi" w:hAnsiTheme="majorBidi" w:cstheme="majorBidi"/>
          <w:sz w:val="24"/>
        </w:rPr>
        <w:t>a</w:t>
      </w:r>
      <w:r w:rsidR="00E13576" w:rsidRPr="00970E74">
        <w:rPr>
          <w:rFonts w:asciiTheme="majorBidi" w:hAnsiTheme="majorBidi" w:cstheme="majorBidi"/>
          <w:sz w:val="24"/>
        </w:rPr>
        <w:t xml:space="preserve"> 1386 cm</w:t>
      </w:r>
      <w:r w:rsidR="00E13576" w:rsidRPr="00970E74">
        <w:rPr>
          <w:rFonts w:asciiTheme="majorBidi" w:hAnsiTheme="majorBidi" w:cstheme="majorBidi"/>
          <w:sz w:val="24"/>
          <w:vertAlign w:val="superscript"/>
        </w:rPr>
        <w:t xml:space="preserve">-1 </w:t>
      </w:r>
      <w:r w:rsidR="00E13576" w:rsidRPr="00970E74">
        <w:rPr>
          <w:rFonts w:asciiTheme="majorBidi" w:hAnsiTheme="majorBidi" w:cstheme="majorBidi"/>
          <w:sz w:val="24"/>
        </w:rPr>
        <w:t xml:space="preserve">peak </w:t>
      </w:r>
      <w:r w:rsidR="00826E29">
        <w:rPr>
          <w:rFonts w:asciiTheme="majorBidi" w:hAnsiTheme="majorBidi" w:cstheme="majorBidi"/>
          <w:sz w:val="24"/>
        </w:rPr>
        <w:t>linked</w:t>
      </w:r>
      <w:r w:rsidR="00826E29" w:rsidRPr="00970E74">
        <w:rPr>
          <w:rFonts w:asciiTheme="majorBidi" w:hAnsiTheme="majorBidi" w:cstheme="majorBidi"/>
          <w:sz w:val="24"/>
        </w:rPr>
        <w:t xml:space="preserve"> </w:t>
      </w:r>
      <w:r w:rsidR="00E13576" w:rsidRPr="00970E74">
        <w:rPr>
          <w:rFonts w:asciiTheme="majorBidi" w:hAnsiTheme="majorBidi" w:cstheme="majorBidi"/>
          <w:sz w:val="24"/>
        </w:rPr>
        <w:t xml:space="preserve">to nitrate, </w:t>
      </w:r>
      <w:r w:rsidR="00E13576">
        <w:rPr>
          <w:rFonts w:asciiTheme="majorBidi" w:hAnsiTheme="majorBidi" w:cstheme="majorBidi"/>
          <w:sz w:val="24"/>
          <w:szCs w:val="24"/>
        </w:rPr>
        <w:t>and</w:t>
      </w:r>
      <w:r w:rsidR="00E13576" w:rsidRPr="004E1E99">
        <w:rPr>
          <w:rFonts w:asciiTheme="majorBidi" w:hAnsiTheme="majorBidi" w:cstheme="majorBidi"/>
          <w:sz w:val="24"/>
          <w:szCs w:val="24"/>
        </w:rPr>
        <w:t xml:space="preserve"> residual organic material </w:t>
      </w:r>
      <w:r w:rsidR="00E13576" w:rsidRPr="00970E74">
        <w:rPr>
          <w:rFonts w:asciiTheme="majorBidi" w:hAnsiTheme="majorBidi" w:cstheme="majorBidi"/>
          <w:sz w:val="24"/>
        </w:rPr>
        <w:t>(1600-1800 cm</w:t>
      </w:r>
      <w:r w:rsidR="00E13576" w:rsidRPr="00970E74">
        <w:rPr>
          <w:rFonts w:asciiTheme="majorBidi" w:hAnsiTheme="majorBidi" w:cstheme="majorBidi"/>
          <w:sz w:val="24"/>
          <w:vertAlign w:val="superscript"/>
        </w:rPr>
        <w:t>-1</w:t>
      </w:r>
      <w:r w:rsidR="00E13576" w:rsidRPr="00970E74">
        <w:rPr>
          <w:rFonts w:asciiTheme="majorBidi" w:hAnsiTheme="majorBidi" w:cstheme="majorBidi"/>
          <w:sz w:val="24"/>
        </w:rPr>
        <w:t>).</w:t>
      </w:r>
    </w:p>
    <w:p w14:paraId="5DEB3AD2" w14:textId="15C306EC" w:rsidR="00D772D0" w:rsidRDefault="007D4C07" w:rsidP="00AB3F9D">
      <w:pPr>
        <w:spacing w:after="0" w:line="360" w:lineRule="auto"/>
        <w:jc w:val="both"/>
        <w:rPr>
          <w:rFonts w:asciiTheme="majorBidi" w:hAnsiTheme="majorBidi" w:cstheme="majorBidi"/>
          <w:sz w:val="24"/>
          <w:szCs w:val="24"/>
        </w:rPr>
      </w:pPr>
      <w:r w:rsidRPr="007D4C07">
        <w:rPr>
          <w:rFonts w:asciiTheme="majorBidi" w:hAnsiTheme="majorBidi" w:cstheme="majorBidi"/>
          <w:noProof/>
          <w:sz w:val="24"/>
          <w:szCs w:val="24"/>
        </w:rPr>
        <w:drawing>
          <wp:inline distT="0" distB="0" distL="0" distR="0" wp14:anchorId="7168A91D" wp14:editId="7DC3A4E2">
            <wp:extent cx="5457825" cy="2645045"/>
            <wp:effectExtent l="0" t="0" r="0" b="3175"/>
            <wp:docPr id="3" name="Picture 3" descr="C:\Users\gotnayer\Desktop\Lotem\My 2nd Article\Figures\figure 1\Figure 1 - NO E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tnayer\Desktop\Lotem\My 2nd Article\Figures\figure 1\Figure 1 - NO EDS.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4324" cy="2657887"/>
                    </a:xfrm>
                    <a:prstGeom prst="rect">
                      <a:avLst/>
                    </a:prstGeom>
                    <a:noFill/>
                    <a:ln>
                      <a:noFill/>
                    </a:ln>
                  </pic:spPr>
                </pic:pic>
              </a:graphicData>
            </a:graphic>
          </wp:inline>
        </w:drawing>
      </w:r>
    </w:p>
    <w:p w14:paraId="243C6DF2" w14:textId="5545BC9F" w:rsidR="00D772D0" w:rsidRDefault="00D772D0" w:rsidP="00AB3F9D">
      <w:pPr>
        <w:spacing w:after="0" w:line="360" w:lineRule="auto"/>
        <w:jc w:val="both"/>
        <w:rPr>
          <w:rFonts w:asciiTheme="majorBidi" w:hAnsiTheme="majorBidi" w:cstheme="majorBidi"/>
          <w:sz w:val="24"/>
          <w:szCs w:val="24"/>
        </w:rPr>
      </w:pPr>
      <w:r w:rsidRPr="00732866">
        <w:rPr>
          <w:rFonts w:asciiTheme="majorBidi" w:hAnsiTheme="majorBidi" w:cstheme="majorBidi"/>
          <w:b/>
          <w:bCs/>
          <w:sz w:val="24"/>
          <w:szCs w:val="24"/>
        </w:rPr>
        <w:t>Figure 1</w:t>
      </w:r>
      <w:r w:rsidR="00D86DA9" w:rsidRPr="00732866">
        <w:rPr>
          <w:rFonts w:asciiTheme="majorBidi" w:hAnsiTheme="majorBidi" w:cstheme="majorBidi"/>
          <w:sz w:val="24"/>
          <w:szCs w:val="24"/>
        </w:rPr>
        <w:t>.</w:t>
      </w:r>
      <w:r w:rsidRPr="00732866">
        <w:rPr>
          <w:rFonts w:asciiTheme="majorBidi" w:hAnsiTheme="majorBidi" w:cstheme="majorBidi"/>
          <w:sz w:val="24"/>
          <w:szCs w:val="24"/>
        </w:rPr>
        <w:t xml:space="preserve"> </w:t>
      </w:r>
      <w:r w:rsidR="00E74950" w:rsidRPr="00732866">
        <w:rPr>
          <w:rFonts w:asciiTheme="majorBidi" w:hAnsiTheme="majorBidi" w:cstheme="majorBidi"/>
          <w:sz w:val="24"/>
          <w:szCs w:val="24"/>
        </w:rPr>
        <w:t>C</w:t>
      </w:r>
      <w:r w:rsidR="00D86DA9" w:rsidRPr="00732866">
        <w:rPr>
          <w:rFonts w:asciiTheme="majorBidi" w:hAnsiTheme="majorBidi" w:cstheme="majorBidi"/>
          <w:sz w:val="24"/>
          <w:szCs w:val="24"/>
        </w:rPr>
        <w:t xml:space="preserve">rystal </w:t>
      </w:r>
      <w:r w:rsidR="00E74950" w:rsidRPr="00732866">
        <w:rPr>
          <w:rFonts w:asciiTheme="majorBidi" w:hAnsiTheme="majorBidi" w:cstheme="majorBidi"/>
          <w:sz w:val="24"/>
          <w:szCs w:val="24"/>
        </w:rPr>
        <w:t xml:space="preserve">characteristics </w:t>
      </w:r>
      <w:r w:rsidRPr="00732866">
        <w:rPr>
          <w:rFonts w:asciiTheme="majorBidi" w:hAnsiTheme="majorBidi" w:cstheme="majorBidi"/>
          <w:sz w:val="24"/>
          <w:szCs w:val="24"/>
        </w:rPr>
        <w:t>of FNA</w:t>
      </w:r>
      <w:r w:rsidR="00802297" w:rsidRPr="00732866">
        <w:rPr>
          <w:rFonts w:asciiTheme="majorBidi" w:hAnsiTheme="majorBidi" w:cstheme="majorBidi"/>
          <w:sz w:val="24"/>
          <w:szCs w:val="24"/>
        </w:rPr>
        <w:t>-derived</w:t>
      </w:r>
      <w:r w:rsidRPr="00732866">
        <w:rPr>
          <w:rFonts w:asciiTheme="majorBidi" w:hAnsiTheme="majorBidi" w:cstheme="majorBidi"/>
          <w:sz w:val="24"/>
          <w:szCs w:val="24"/>
        </w:rPr>
        <w:t xml:space="preserve"> MC</w:t>
      </w:r>
      <w:r w:rsidR="00D86DA9" w:rsidRPr="00732866">
        <w:rPr>
          <w:rFonts w:asciiTheme="majorBidi" w:hAnsiTheme="majorBidi" w:cstheme="majorBidi"/>
          <w:sz w:val="24"/>
          <w:szCs w:val="24"/>
        </w:rPr>
        <w:t>s</w:t>
      </w:r>
      <w:r w:rsidRPr="00732866">
        <w:rPr>
          <w:rFonts w:asciiTheme="majorBidi" w:hAnsiTheme="majorBidi" w:cstheme="majorBidi"/>
          <w:sz w:val="24"/>
          <w:szCs w:val="24"/>
        </w:rPr>
        <w:t xml:space="preserve"> isolated from a cancerous thyroid nodule.  </w:t>
      </w:r>
      <w:r w:rsidRPr="00732866">
        <w:rPr>
          <w:rFonts w:asciiTheme="majorBidi" w:hAnsiTheme="majorBidi" w:cstheme="majorBidi"/>
          <w:b/>
          <w:bCs/>
          <w:sz w:val="24"/>
          <w:szCs w:val="24"/>
        </w:rPr>
        <w:t>a.</w:t>
      </w:r>
      <w:r w:rsidRPr="00732866">
        <w:rPr>
          <w:rFonts w:asciiTheme="majorBidi" w:hAnsiTheme="majorBidi" w:cstheme="majorBidi"/>
          <w:sz w:val="24"/>
          <w:szCs w:val="24"/>
        </w:rPr>
        <w:t xml:space="preserve"> SEM image of the MC</w:t>
      </w:r>
      <w:r w:rsidR="00802297" w:rsidRPr="00732866">
        <w:rPr>
          <w:rFonts w:asciiTheme="majorBidi" w:hAnsiTheme="majorBidi" w:cstheme="majorBidi"/>
          <w:sz w:val="24"/>
          <w:szCs w:val="24"/>
        </w:rPr>
        <w:t>, along with</w:t>
      </w:r>
      <w:r w:rsidRPr="00732866">
        <w:rPr>
          <w:rFonts w:asciiTheme="majorBidi" w:hAnsiTheme="majorBidi" w:cstheme="majorBidi"/>
          <w:sz w:val="24"/>
          <w:szCs w:val="24"/>
        </w:rPr>
        <w:t xml:space="preserve"> Ca/P and Zn/Ca ratios </w:t>
      </w:r>
      <w:r w:rsidR="00C3649A" w:rsidRPr="00732866">
        <w:rPr>
          <w:rFonts w:asciiTheme="majorBidi" w:hAnsiTheme="majorBidi" w:cstheme="majorBidi"/>
          <w:sz w:val="24"/>
          <w:szCs w:val="24"/>
        </w:rPr>
        <w:t xml:space="preserve">determined </w:t>
      </w:r>
      <w:r w:rsidR="00474C75">
        <w:rPr>
          <w:rFonts w:asciiTheme="majorBidi" w:hAnsiTheme="majorBidi" w:cstheme="majorBidi"/>
          <w:sz w:val="24"/>
          <w:szCs w:val="24"/>
        </w:rPr>
        <w:t>by</w:t>
      </w:r>
      <w:r w:rsidR="00474C75" w:rsidRPr="00732866">
        <w:rPr>
          <w:rFonts w:asciiTheme="majorBidi" w:hAnsiTheme="majorBidi" w:cstheme="majorBidi"/>
          <w:sz w:val="24"/>
          <w:szCs w:val="24"/>
        </w:rPr>
        <w:t xml:space="preserve"> </w:t>
      </w:r>
      <w:r w:rsidRPr="00732866">
        <w:rPr>
          <w:rFonts w:asciiTheme="majorBidi" w:hAnsiTheme="majorBidi" w:cstheme="majorBidi"/>
          <w:sz w:val="24"/>
          <w:szCs w:val="24"/>
        </w:rPr>
        <w:t xml:space="preserve">EDS analysis. </w:t>
      </w:r>
      <w:r w:rsidRPr="00732866">
        <w:rPr>
          <w:rFonts w:asciiTheme="majorBidi" w:hAnsiTheme="majorBidi" w:cstheme="majorBidi"/>
          <w:b/>
          <w:bCs/>
          <w:sz w:val="24"/>
          <w:szCs w:val="24"/>
        </w:rPr>
        <w:t>b</w:t>
      </w:r>
      <w:r w:rsidRPr="00732866">
        <w:rPr>
          <w:rFonts w:asciiTheme="majorBidi" w:hAnsiTheme="majorBidi" w:cstheme="majorBidi"/>
          <w:sz w:val="24"/>
          <w:szCs w:val="24"/>
        </w:rPr>
        <w:t xml:space="preserve">. FTIR </w:t>
      </w:r>
      <w:r w:rsidR="00550D13">
        <w:rPr>
          <w:rFonts w:asciiTheme="majorBidi" w:hAnsiTheme="majorBidi" w:cstheme="majorBidi"/>
          <w:sz w:val="24"/>
          <w:szCs w:val="24"/>
        </w:rPr>
        <w:t>s</w:t>
      </w:r>
      <w:r w:rsidR="00341FBC" w:rsidRPr="00732866">
        <w:rPr>
          <w:rFonts w:asciiTheme="majorBidi" w:hAnsiTheme="majorBidi" w:cstheme="majorBidi"/>
          <w:sz w:val="24"/>
          <w:szCs w:val="24"/>
        </w:rPr>
        <w:t>pectrum</w:t>
      </w:r>
      <w:r w:rsidRPr="00732866">
        <w:rPr>
          <w:rFonts w:asciiTheme="majorBidi" w:hAnsiTheme="majorBidi" w:cstheme="majorBidi"/>
          <w:sz w:val="24"/>
          <w:szCs w:val="24"/>
        </w:rPr>
        <w:t xml:space="preserve"> of an FNA </w:t>
      </w:r>
      <w:r w:rsidR="00341FBC" w:rsidRPr="00732866">
        <w:rPr>
          <w:rFonts w:asciiTheme="majorBidi" w:hAnsiTheme="majorBidi" w:cstheme="majorBidi"/>
          <w:sz w:val="24"/>
          <w:szCs w:val="24"/>
        </w:rPr>
        <w:t>MC showing</w:t>
      </w:r>
      <w:r w:rsidRPr="00732866">
        <w:rPr>
          <w:rFonts w:asciiTheme="majorBidi" w:hAnsiTheme="majorBidi" w:cstheme="majorBidi"/>
          <w:sz w:val="24"/>
          <w:szCs w:val="24"/>
        </w:rPr>
        <w:t xml:space="preserve"> </w:t>
      </w:r>
      <w:r w:rsidR="00C3649A" w:rsidRPr="00732866">
        <w:rPr>
          <w:rFonts w:asciiTheme="majorBidi" w:hAnsiTheme="majorBidi" w:cstheme="majorBidi"/>
          <w:sz w:val="24"/>
          <w:szCs w:val="24"/>
        </w:rPr>
        <w:t xml:space="preserve">the presence of </w:t>
      </w:r>
      <w:r w:rsidRPr="00732866">
        <w:rPr>
          <w:rFonts w:asciiTheme="majorBidi" w:hAnsiTheme="majorBidi" w:cstheme="majorBidi"/>
          <w:sz w:val="24"/>
          <w:szCs w:val="24"/>
        </w:rPr>
        <w:t>carbonated apatite.</w:t>
      </w:r>
    </w:p>
    <w:p w14:paraId="378A8EE2" w14:textId="77777777" w:rsidR="00C46069" w:rsidRPr="00732866" w:rsidRDefault="00C46069" w:rsidP="00AB3F9D">
      <w:pPr>
        <w:spacing w:after="0" w:line="360" w:lineRule="auto"/>
        <w:jc w:val="both"/>
        <w:rPr>
          <w:rFonts w:asciiTheme="majorBidi" w:hAnsiTheme="majorBidi" w:cstheme="majorBidi"/>
          <w:sz w:val="24"/>
          <w:szCs w:val="24"/>
          <w:rtl/>
        </w:rPr>
      </w:pPr>
    </w:p>
    <w:p w14:paraId="7CD502CE" w14:textId="52B7DC89" w:rsidR="00D772D0" w:rsidRDefault="002B5A63" w:rsidP="00AB3F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order to</w:t>
      </w:r>
      <w:r w:rsidR="00546170">
        <w:rPr>
          <w:rFonts w:ascii="Times New Roman" w:hAnsi="Times New Roman" w:cs="Times New Roman"/>
          <w:sz w:val="24"/>
          <w:szCs w:val="24"/>
        </w:rPr>
        <w:t xml:space="preserve"> </w:t>
      </w:r>
      <w:r w:rsidR="006C31F6">
        <w:rPr>
          <w:rFonts w:ascii="Times New Roman" w:hAnsi="Times New Roman" w:cs="Times New Roman"/>
          <w:sz w:val="24"/>
          <w:szCs w:val="24"/>
        </w:rPr>
        <w:t xml:space="preserve">explore the potential </w:t>
      </w:r>
      <w:r>
        <w:rPr>
          <w:rFonts w:ascii="Times New Roman" w:hAnsi="Times New Roman" w:cs="Times New Roman"/>
          <w:sz w:val="24"/>
          <w:szCs w:val="24"/>
        </w:rPr>
        <w:t xml:space="preserve">influence </w:t>
      </w:r>
      <w:r w:rsidR="006C31F6">
        <w:rPr>
          <w:rFonts w:ascii="Times New Roman" w:hAnsi="Times New Roman" w:cs="Times New Roman"/>
          <w:sz w:val="24"/>
          <w:szCs w:val="24"/>
        </w:rPr>
        <w:t xml:space="preserve">of </w:t>
      </w:r>
      <w:r w:rsidR="00230A25">
        <w:rPr>
          <w:rFonts w:ascii="Times New Roman" w:hAnsi="Times New Roman" w:cs="Times New Roman"/>
          <w:sz w:val="24"/>
          <w:szCs w:val="24"/>
        </w:rPr>
        <w:t>Zn</w:t>
      </w:r>
      <w:r w:rsidR="006C31F6">
        <w:rPr>
          <w:rFonts w:ascii="Times New Roman" w:hAnsi="Times New Roman" w:cs="Times New Roman"/>
          <w:sz w:val="24"/>
          <w:szCs w:val="24"/>
        </w:rPr>
        <w:t xml:space="preserve"> on </w:t>
      </w:r>
      <w:r w:rsidR="00824E6E">
        <w:rPr>
          <w:rFonts w:ascii="Times New Roman" w:hAnsi="Times New Roman" w:cs="Times New Roman"/>
          <w:sz w:val="24"/>
          <w:szCs w:val="24"/>
        </w:rPr>
        <w:t xml:space="preserve">the </w:t>
      </w:r>
      <w:r w:rsidR="00A13BF5">
        <w:rPr>
          <w:rFonts w:ascii="Times New Roman" w:hAnsi="Times New Roman" w:cs="Times New Roman"/>
          <w:sz w:val="24"/>
          <w:szCs w:val="24"/>
        </w:rPr>
        <w:t xml:space="preserve">aggressiveness </w:t>
      </w:r>
      <w:r w:rsidR="00A13BF5" w:rsidRPr="00FC3552">
        <w:rPr>
          <w:rFonts w:asciiTheme="majorBidi" w:hAnsiTheme="majorBidi" w:cstheme="majorBidi"/>
          <w:sz w:val="24"/>
          <w:szCs w:val="24"/>
        </w:rPr>
        <w:t xml:space="preserve">of the </w:t>
      </w:r>
      <w:r w:rsidR="00A13BF5" w:rsidRPr="00FC3552">
        <w:rPr>
          <w:rStyle w:val="cf01"/>
          <w:rFonts w:asciiTheme="majorBidi" w:hAnsiTheme="majorBidi" w:cstheme="majorBidi"/>
          <w:sz w:val="24"/>
          <w:szCs w:val="24"/>
        </w:rPr>
        <w:t>MDA-T32</w:t>
      </w:r>
      <w:r w:rsidR="00A13BF5" w:rsidDel="00A13BF5">
        <w:rPr>
          <w:rFonts w:ascii="Times New Roman" w:hAnsi="Times New Roman" w:cs="Times New Roman"/>
          <w:sz w:val="24"/>
          <w:szCs w:val="24"/>
        </w:rPr>
        <w:t xml:space="preserve"> </w:t>
      </w:r>
      <w:r w:rsidR="00A10833" w:rsidRPr="00B05B61">
        <w:rPr>
          <w:rFonts w:ascii="Times New Roman" w:hAnsi="Times New Roman" w:cs="Times New Roman"/>
          <w:sz w:val="24"/>
          <w:szCs w:val="24"/>
          <w:highlight w:val="green"/>
        </w:rPr>
        <w:t>thyroid cancer</w:t>
      </w:r>
      <w:r w:rsidR="00A10833">
        <w:rPr>
          <w:rFonts w:ascii="Times New Roman" w:hAnsi="Times New Roman" w:cs="Times New Roman"/>
          <w:sz w:val="24"/>
          <w:szCs w:val="24"/>
        </w:rPr>
        <w:t xml:space="preserve"> </w:t>
      </w:r>
      <w:r w:rsidR="00A13BF5">
        <w:rPr>
          <w:rFonts w:ascii="Times New Roman" w:hAnsi="Times New Roman" w:cs="Times New Roman"/>
          <w:sz w:val="24"/>
          <w:szCs w:val="24"/>
        </w:rPr>
        <w:t>cell line</w:t>
      </w:r>
      <w:r w:rsidR="00DC5DDA">
        <w:rPr>
          <w:rFonts w:ascii="Times New Roman" w:hAnsi="Times New Roman" w:cs="Times New Roman"/>
          <w:sz w:val="24"/>
          <w:szCs w:val="24"/>
        </w:rPr>
        <w:t>, we</w:t>
      </w:r>
      <w:r w:rsidR="00D772D0" w:rsidRPr="00C0009F">
        <w:rPr>
          <w:rFonts w:ascii="Times New Roman" w:hAnsi="Times New Roman" w:cs="Times New Roman"/>
          <w:sz w:val="24"/>
          <w:szCs w:val="24"/>
        </w:rPr>
        <w:t xml:space="preserve"> synthesized </w:t>
      </w:r>
      <w:r w:rsidR="00D86DA9">
        <w:rPr>
          <w:rFonts w:ascii="Times New Roman" w:hAnsi="Times New Roman" w:cs="Times New Roman"/>
          <w:sz w:val="24"/>
          <w:szCs w:val="24"/>
        </w:rPr>
        <w:t xml:space="preserve">MC analogs </w:t>
      </w:r>
      <w:r w:rsidR="0094039F">
        <w:rPr>
          <w:rFonts w:ascii="Times New Roman" w:hAnsi="Times New Roman" w:cs="Times New Roman"/>
          <w:sz w:val="24"/>
          <w:szCs w:val="24"/>
        </w:rPr>
        <w:t>comprising</w:t>
      </w:r>
      <w:r w:rsidR="00D86DA9">
        <w:rPr>
          <w:rFonts w:ascii="Times New Roman" w:hAnsi="Times New Roman" w:cs="Times New Roman"/>
          <w:sz w:val="24"/>
          <w:szCs w:val="24"/>
        </w:rPr>
        <w:t xml:space="preserve"> HA crystals </w:t>
      </w:r>
      <w:r w:rsidR="00D772D0" w:rsidRPr="00C0009F">
        <w:rPr>
          <w:rFonts w:ascii="Times New Roman" w:hAnsi="Times New Roman" w:cs="Times New Roman"/>
          <w:sz w:val="24"/>
          <w:szCs w:val="24"/>
        </w:rPr>
        <w:t xml:space="preserve">with </w:t>
      </w:r>
      <w:r w:rsidR="0094039F">
        <w:rPr>
          <w:rFonts w:ascii="Times New Roman" w:hAnsi="Times New Roman" w:cs="Times New Roman"/>
          <w:sz w:val="24"/>
          <w:szCs w:val="24"/>
        </w:rPr>
        <w:t xml:space="preserve">diverse </w:t>
      </w:r>
      <w:r w:rsidR="00D86DA9">
        <w:rPr>
          <w:rFonts w:ascii="Times New Roman" w:hAnsi="Times New Roman" w:cs="Times New Roman"/>
          <w:sz w:val="24"/>
          <w:szCs w:val="24"/>
        </w:rPr>
        <w:t>Zn fractions</w:t>
      </w:r>
      <w:r w:rsidR="006C31F6">
        <w:rPr>
          <w:rFonts w:ascii="Times New Roman" w:hAnsi="Times New Roman" w:cs="Times New Roman"/>
          <w:sz w:val="24"/>
          <w:szCs w:val="24"/>
        </w:rPr>
        <w:t>. These MC analogs</w:t>
      </w:r>
      <w:r w:rsidR="0056227D">
        <w:rPr>
          <w:rFonts w:ascii="Times New Roman" w:hAnsi="Times New Roman" w:cs="Times New Roman"/>
          <w:sz w:val="24"/>
          <w:szCs w:val="24"/>
        </w:rPr>
        <w:t xml:space="preserve"> were</w:t>
      </w:r>
      <w:r w:rsidR="0056227D" w:rsidRPr="00C0009F">
        <w:rPr>
          <w:rFonts w:ascii="Times New Roman" w:hAnsi="Times New Roman" w:cs="Times New Roman"/>
          <w:sz w:val="24"/>
          <w:szCs w:val="24"/>
        </w:rPr>
        <w:t xml:space="preserve"> </w:t>
      </w:r>
      <w:r w:rsidR="006C31F6">
        <w:rPr>
          <w:rFonts w:ascii="Times New Roman" w:hAnsi="Times New Roman" w:cs="Times New Roman"/>
          <w:sz w:val="24"/>
          <w:szCs w:val="24"/>
        </w:rPr>
        <w:t>designed</w:t>
      </w:r>
      <w:r w:rsidR="0056227D" w:rsidRPr="00C0009F">
        <w:rPr>
          <w:rFonts w:ascii="Times New Roman" w:hAnsi="Times New Roman" w:cs="Times New Roman"/>
          <w:sz w:val="24"/>
          <w:szCs w:val="24"/>
        </w:rPr>
        <w:t xml:space="preserve"> to mimic </w:t>
      </w:r>
      <w:r w:rsidR="007B1A46">
        <w:rPr>
          <w:rFonts w:ascii="Times New Roman" w:hAnsi="Times New Roman" w:cs="Times New Roman"/>
          <w:sz w:val="24"/>
          <w:szCs w:val="24"/>
        </w:rPr>
        <w:t xml:space="preserve">the </w:t>
      </w:r>
      <w:r w:rsidR="00230A25">
        <w:rPr>
          <w:rFonts w:ascii="Times New Roman" w:hAnsi="Times New Roman" w:cs="Times New Roman"/>
          <w:sz w:val="24"/>
          <w:szCs w:val="24"/>
        </w:rPr>
        <w:t>Zn</w:t>
      </w:r>
      <w:r w:rsidR="007B1A46">
        <w:rPr>
          <w:rFonts w:ascii="Times New Roman" w:hAnsi="Times New Roman" w:cs="Times New Roman"/>
          <w:sz w:val="24"/>
          <w:szCs w:val="24"/>
        </w:rPr>
        <w:t xml:space="preserve"> content observed</w:t>
      </w:r>
      <w:r w:rsidR="00D86DA9">
        <w:rPr>
          <w:rFonts w:ascii="Times New Roman" w:hAnsi="Times New Roman" w:cs="Times New Roman"/>
          <w:sz w:val="24"/>
          <w:szCs w:val="24"/>
        </w:rPr>
        <w:t xml:space="preserve"> in </w:t>
      </w:r>
      <w:r w:rsidR="00441E94">
        <w:rPr>
          <w:rFonts w:ascii="Times New Roman" w:hAnsi="Times New Roman" w:cs="Times New Roman"/>
          <w:sz w:val="24"/>
          <w:szCs w:val="24"/>
        </w:rPr>
        <w:t xml:space="preserve">MCs from </w:t>
      </w:r>
      <w:r w:rsidR="00D86DA9">
        <w:rPr>
          <w:rFonts w:ascii="Times New Roman" w:hAnsi="Times New Roman" w:cs="Times New Roman"/>
          <w:sz w:val="24"/>
          <w:szCs w:val="24"/>
        </w:rPr>
        <w:t xml:space="preserve">cancerous </w:t>
      </w:r>
      <w:r w:rsidR="00D86DA9">
        <w:rPr>
          <w:rFonts w:ascii="Times New Roman" w:hAnsi="Times New Roman" w:cs="Times New Roman"/>
          <w:sz w:val="24"/>
          <w:szCs w:val="24"/>
        </w:rPr>
        <w:lastRenderedPageBreak/>
        <w:t>nodule</w:t>
      </w:r>
      <w:r w:rsidR="00441E94">
        <w:rPr>
          <w:rFonts w:ascii="Times New Roman" w:hAnsi="Times New Roman" w:cs="Times New Roman"/>
          <w:sz w:val="24"/>
          <w:szCs w:val="24"/>
        </w:rPr>
        <w:t xml:space="preserve">s. </w:t>
      </w:r>
      <w:r w:rsidR="000A592B">
        <w:rPr>
          <w:rFonts w:ascii="Times New Roman" w:hAnsi="Times New Roman" w:cs="Times New Roman"/>
          <w:sz w:val="24"/>
          <w:szCs w:val="24"/>
        </w:rPr>
        <w:t>Following the characterization of the</w:t>
      </w:r>
      <w:r w:rsidR="00441E94">
        <w:rPr>
          <w:rFonts w:ascii="Times New Roman" w:hAnsi="Times New Roman" w:cs="Times New Roman"/>
          <w:sz w:val="24"/>
          <w:szCs w:val="24"/>
        </w:rPr>
        <w:t>se</w:t>
      </w:r>
      <w:r w:rsidR="00E07D30">
        <w:rPr>
          <w:rFonts w:ascii="Times New Roman" w:hAnsi="Times New Roman" w:cs="Times New Roman"/>
          <w:sz w:val="24"/>
          <w:szCs w:val="24"/>
        </w:rPr>
        <w:t xml:space="preserve"> MCs</w:t>
      </w:r>
      <w:r w:rsidR="008531BC">
        <w:rPr>
          <w:rFonts w:ascii="Times New Roman" w:hAnsi="Times New Roman" w:cs="Times New Roman"/>
          <w:sz w:val="24"/>
          <w:szCs w:val="24"/>
        </w:rPr>
        <w:t xml:space="preserve">, </w:t>
      </w:r>
      <w:r w:rsidR="008531BC" w:rsidRPr="008531BC">
        <w:rPr>
          <w:rFonts w:ascii="Times New Roman" w:hAnsi="Times New Roman" w:cs="Times New Roman"/>
          <w:sz w:val="24"/>
          <w:szCs w:val="24"/>
        </w:rPr>
        <w:t>human thyroid cells were</w:t>
      </w:r>
      <w:r w:rsidR="008531BC">
        <w:rPr>
          <w:rFonts w:ascii="Times New Roman" w:hAnsi="Times New Roman" w:cs="Times New Roman"/>
          <w:sz w:val="24"/>
          <w:szCs w:val="24"/>
        </w:rPr>
        <w:t xml:space="preserve"> </w:t>
      </w:r>
      <w:r w:rsidR="008531BC" w:rsidRPr="008531BC">
        <w:rPr>
          <w:rFonts w:ascii="Times New Roman" w:hAnsi="Times New Roman" w:cs="Times New Roman"/>
          <w:sz w:val="24"/>
          <w:szCs w:val="24"/>
        </w:rPr>
        <w:t xml:space="preserve">exposed to these crystals to investigate their response </w:t>
      </w:r>
      <w:r w:rsidR="008531BC" w:rsidRPr="00A130EF">
        <w:rPr>
          <w:rFonts w:ascii="Times New Roman" w:hAnsi="Times New Roman" w:cs="Times New Roman"/>
          <w:i/>
          <w:iCs/>
          <w:sz w:val="24"/>
          <w:szCs w:val="24"/>
        </w:rPr>
        <w:t>in vitro</w:t>
      </w:r>
      <w:r w:rsidR="008531BC" w:rsidRPr="008531BC">
        <w:rPr>
          <w:rFonts w:ascii="Times New Roman" w:hAnsi="Times New Roman" w:cs="Times New Roman"/>
          <w:sz w:val="24"/>
          <w:szCs w:val="24"/>
        </w:rPr>
        <w:t>.</w:t>
      </w:r>
      <w:r w:rsidR="000A592B">
        <w:rPr>
          <w:rFonts w:ascii="Times New Roman" w:hAnsi="Times New Roman" w:cs="Times New Roman"/>
          <w:sz w:val="24"/>
          <w:szCs w:val="24"/>
        </w:rPr>
        <w:t xml:space="preserve"> </w:t>
      </w:r>
      <w:r w:rsidR="00D772D0">
        <w:rPr>
          <w:rFonts w:ascii="Times New Roman" w:hAnsi="Times New Roman" w:cs="Times New Roman"/>
          <w:sz w:val="24"/>
          <w:szCs w:val="24"/>
        </w:rPr>
        <w:t xml:space="preserve">The crystallization </w:t>
      </w:r>
      <w:r w:rsidR="000E7625">
        <w:rPr>
          <w:rFonts w:ascii="Times New Roman" w:hAnsi="Times New Roman" w:cs="Times New Roman"/>
          <w:sz w:val="24"/>
          <w:szCs w:val="24"/>
        </w:rPr>
        <w:t xml:space="preserve">of the MC analogs </w:t>
      </w:r>
      <w:r w:rsidR="00D772D0">
        <w:rPr>
          <w:rFonts w:ascii="Times New Roman" w:hAnsi="Times New Roman" w:cs="Times New Roman"/>
          <w:sz w:val="24"/>
          <w:szCs w:val="24"/>
        </w:rPr>
        <w:t>was carried out in aqueous solutions to synthetically mimic the pathological thyroid MCs in terms of crystal phase, Zn fraction, morphology, and particle size</w:t>
      </w:r>
      <w:r w:rsidR="00D772D0" w:rsidRPr="003F2D77">
        <w:rPr>
          <w:rFonts w:ascii="Times New Roman" w:hAnsi="Times New Roman" w:cs="Times New Roman"/>
          <w:sz w:val="24"/>
          <w:szCs w:val="24"/>
        </w:rPr>
        <w:t>s</w:t>
      </w:r>
      <w:r w:rsidR="00D772D0">
        <w:rPr>
          <w:rFonts w:ascii="Times New Roman" w:hAnsi="Times New Roman" w:cs="Times New Roman"/>
          <w:sz w:val="24"/>
          <w:szCs w:val="24"/>
        </w:rPr>
        <w:t>. The</w:t>
      </w:r>
      <w:r w:rsidR="00BB0278">
        <w:rPr>
          <w:rFonts w:ascii="Times New Roman" w:hAnsi="Times New Roman" w:cs="Times New Roman"/>
          <w:sz w:val="24"/>
          <w:szCs w:val="24"/>
        </w:rPr>
        <w:t>se</w:t>
      </w:r>
      <w:r w:rsidR="00D772D0">
        <w:rPr>
          <w:rFonts w:ascii="Times New Roman" w:hAnsi="Times New Roman" w:cs="Times New Roman"/>
          <w:sz w:val="24"/>
          <w:szCs w:val="24"/>
        </w:rPr>
        <w:t xml:space="preserve"> solutions</w:t>
      </w:r>
      <w:r w:rsidR="00D772D0" w:rsidRPr="003F2D77">
        <w:rPr>
          <w:rFonts w:ascii="Times New Roman" w:hAnsi="Times New Roman" w:cs="Times New Roman"/>
          <w:sz w:val="24"/>
          <w:szCs w:val="24"/>
        </w:rPr>
        <w:t xml:space="preserve"> </w:t>
      </w:r>
      <w:r w:rsidR="00BB0278">
        <w:rPr>
          <w:rFonts w:ascii="Times New Roman" w:hAnsi="Times New Roman" w:cs="Times New Roman"/>
          <w:sz w:val="24"/>
          <w:szCs w:val="24"/>
        </w:rPr>
        <w:t>maintained consistent</w:t>
      </w:r>
      <w:r w:rsidR="00BB0278" w:rsidRPr="003F2D77">
        <w:rPr>
          <w:rFonts w:ascii="Times New Roman" w:hAnsi="Times New Roman" w:cs="Times New Roman"/>
          <w:sz w:val="24"/>
          <w:szCs w:val="24"/>
        </w:rPr>
        <w:t xml:space="preserve"> </w:t>
      </w:r>
      <w:r w:rsidR="00D772D0" w:rsidRPr="003F2D77">
        <w:rPr>
          <w:rFonts w:ascii="Times New Roman" w:hAnsi="Times New Roman" w:cs="Times New Roman"/>
          <w:sz w:val="24"/>
          <w:szCs w:val="24"/>
        </w:rPr>
        <w:t xml:space="preserve">concentrations of </w:t>
      </w:r>
      <w:r w:rsidR="00D772D0" w:rsidRPr="001239F7">
        <w:rPr>
          <w:rFonts w:ascii="Times New Roman" w:hAnsi="Times New Roman" w:cs="Times New Roman"/>
          <w:sz w:val="24"/>
          <w:szCs w:val="24"/>
        </w:rPr>
        <w:t>Ca(NO</w:t>
      </w:r>
      <w:r w:rsidR="00D772D0" w:rsidRPr="001239F7">
        <w:rPr>
          <w:rFonts w:ascii="Times New Roman" w:hAnsi="Times New Roman" w:cs="Times New Roman"/>
          <w:sz w:val="24"/>
          <w:szCs w:val="24"/>
          <w:vertAlign w:val="subscript"/>
        </w:rPr>
        <w:t>3</w:t>
      </w:r>
      <w:r w:rsidR="00D772D0" w:rsidRPr="001239F7">
        <w:rPr>
          <w:rFonts w:ascii="Times New Roman" w:hAnsi="Times New Roman" w:cs="Times New Roman"/>
          <w:sz w:val="24"/>
          <w:szCs w:val="24"/>
        </w:rPr>
        <w:t>)</w:t>
      </w:r>
      <w:r w:rsidR="00D772D0" w:rsidRPr="001239F7">
        <w:rPr>
          <w:rFonts w:ascii="Times New Roman" w:hAnsi="Times New Roman" w:cs="Times New Roman"/>
          <w:sz w:val="24"/>
          <w:szCs w:val="24"/>
          <w:vertAlign w:val="subscript"/>
        </w:rPr>
        <w:t>2</w:t>
      </w:r>
      <w:r w:rsidR="00D772D0" w:rsidRPr="003F2D77">
        <w:rPr>
          <w:rFonts w:ascii="Times New Roman" w:hAnsi="Times New Roman" w:cs="Times New Roman"/>
          <w:sz w:val="24"/>
          <w:szCs w:val="24"/>
        </w:rPr>
        <w:t xml:space="preserve"> and </w:t>
      </w:r>
      <w:r w:rsidR="00D772D0" w:rsidRPr="001239F7">
        <w:rPr>
          <w:rFonts w:ascii="Times New Roman" w:hAnsi="Times New Roman" w:cs="Times New Roman"/>
          <w:sz w:val="24"/>
          <w:szCs w:val="24"/>
        </w:rPr>
        <w:t>(NH</w:t>
      </w:r>
      <w:r w:rsidR="00D772D0" w:rsidRPr="001239F7">
        <w:rPr>
          <w:rFonts w:ascii="Times New Roman" w:hAnsi="Times New Roman" w:cs="Times New Roman"/>
          <w:sz w:val="24"/>
          <w:szCs w:val="24"/>
          <w:vertAlign w:val="subscript"/>
        </w:rPr>
        <w:t>4</w:t>
      </w:r>
      <w:r w:rsidR="00D772D0" w:rsidRPr="001239F7">
        <w:rPr>
          <w:rFonts w:ascii="Times New Roman" w:hAnsi="Times New Roman" w:cs="Times New Roman"/>
          <w:sz w:val="24"/>
          <w:szCs w:val="24"/>
        </w:rPr>
        <w:t>)</w:t>
      </w:r>
      <w:r w:rsidR="00D772D0" w:rsidRPr="001239F7">
        <w:rPr>
          <w:rFonts w:ascii="Times New Roman" w:hAnsi="Times New Roman" w:cs="Times New Roman"/>
          <w:sz w:val="24"/>
          <w:szCs w:val="24"/>
          <w:vertAlign w:val="subscript"/>
        </w:rPr>
        <w:t>2</w:t>
      </w:r>
      <w:r w:rsidR="00D772D0" w:rsidRPr="001239F7">
        <w:rPr>
          <w:rFonts w:ascii="Times New Roman" w:hAnsi="Times New Roman" w:cs="Times New Roman"/>
          <w:sz w:val="24"/>
          <w:szCs w:val="24"/>
        </w:rPr>
        <w:t>HPO</w:t>
      </w:r>
      <w:r w:rsidR="00D772D0" w:rsidRPr="001239F7">
        <w:rPr>
          <w:rFonts w:ascii="Times New Roman" w:hAnsi="Times New Roman" w:cs="Times New Roman"/>
          <w:sz w:val="24"/>
          <w:szCs w:val="24"/>
          <w:vertAlign w:val="subscript"/>
        </w:rPr>
        <w:t>4</w:t>
      </w:r>
      <w:r w:rsidR="00D772D0" w:rsidRPr="003F2D77">
        <w:rPr>
          <w:rFonts w:ascii="Times New Roman" w:hAnsi="Times New Roman" w:cs="Times New Roman"/>
          <w:sz w:val="24"/>
          <w:szCs w:val="24"/>
        </w:rPr>
        <w:t xml:space="preserve"> </w:t>
      </w:r>
      <w:r w:rsidR="00570B2A">
        <w:rPr>
          <w:rFonts w:ascii="Times New Roman" w:hAnsi="Times New Roman" w:cs="Times New Roman"/>
          <w:sz w:val="24"/>
          <w:szCs w:val="24"/>
        </w:rPr>
        <w:t>while integrating</w:t>
      </w:r>
      <w:r w:rsidR="00570B2A" w:rsidRPr="003F2D77">
        <w:rPr>
          <w:rFonts w:ascii="Times New Roman" w:hAnsi="Times New Roman" w:cs="Times New Roman"/>
          <w:sz w:val="24"/>
          <w:szCs w:val="24"/>
        </w:rPr>
        <w:t xml:space="preserve"> </w:t>
      </w:r>
      <w:r w:rsidR="00D772D0" w:rsidRPr="003F2D77">
        <w:rPr>
          <w:rFonts w:ascii="Times New Roman" w:hAnsi="Times New Roman" w:cs="Times New Roman"/>
          <w:sz w:val="24"/>
          <w:szCs w:val="24"/>
        </w:rPr>
        <w:t xml:space="preserve">varying concentrations of </w:t>
      </w:r>
      <w:r w:rsidR="00D772D0">
        <w:rPr>
          <w:rFonts w:asciiTheme="majorBidi" w:hAnsiTheme="majorBidi" w:cstheme="majorBidi"/>
          <w:sz w:val="24"/>
          <w:szCs w:val="24"/>
        </w:rPr>
        <w:t>Zn</w:t>
      </w:r>
      <w:r w:rsidR="00D772D0" w:rsidRPr="001239F7">
        <w:rPr>
          <w:rFonts w:ascii="Times New Roman" w:hAnsi="Times New Roman" w:cs="Times New Roman"/>
          <w:sz w:val="24"/>
          <w:szCs w:val="24"/>
        </w:rPr>
        <w:t>(NO</w:t>
      </w:r>
      <w:r w:rsidR="00D772D0" w:rsidRPr="001239F7">
        <w:rPr>
          <w:rFonts w:ascii="Times New Roman" w:hAnsi="Times New Roman" w:cs="Times New Roman"/>
          <w:sz w:val="24"/>
          <w:szCs w:val="24"/>
          <w:vertAlign w:val="subscript"/>
        </w:rPr>
        <w:t>3</w:t>
      </w:r>
      <w:r w:rsidR="00D772D0" w:rsidRPr="001239F7">
        <w:rPr>
          <w:rFonts w:ascii="Times New Roman" w:hAnsi="Times New Roman" w:cs="Times New Roman"/>
          <w:sz w:val="24"/>
          <w:szCs w:val="24"/>
        </w:rPr>
        <w:t>)</w:t>
      </w:r>
      <w:r w:rsidR="00D772D0" w:rsidRPr="001239F7">
        <w:rPr>
          <w:rFonts w:ascii="Times New Roman" w:hAnsi="Times New Roman" w:cs="Times New Roman"/>
          <w:sz w:val="24"/>
          <w:szCs w:val="24"/>
          <w:vertAlign w:val="subscript"/>
        </w:rPr>
        <w:t>2</w:t>
      </w:r>
      <w:r w:rsidR="00D772D0" w:rsidRPr="001239F7">
        <w:rPr>
          <w:rFonts w:ascii="Times New Roman" w:hAnsi="Times New Roman" w:cs="Times New Roman"/>
          <w:sz w:val="24"/>
          <w:szCs w:val="24"/>
        </w:rPr>
        <w:t>∙4H</w:t>
      </w:r>
      <w:r w:rsidR="00D772D0" w:rsidRPr="001239F7">
        <w:rPr>
          <w:rFonts w:ascii="Times New Roman" w:hAnsi="Times New Roman" w:cs="Times New Roman"/>
          <w:sz w:val="24"/>
          <w:szCs w:val="24"/>
          <w:vertAlign w:val="subscript"/>
        </w:rPr>
        <w:t>2</w:t>
      </w:r>
      <w:r w:rsidR="00D772D0">
        <w:rPr>
          <w:rFonts w:ascii="Times New Roman" w:hAnsi="Times New Roman" w:cs="Times New Roman"/>
          <w:sz w:val="24"/>
          <w:szCs w:val="24"/>
        </w:rPr>
        <w:t>O</w:t>
      </w:r>
      <w:r w:rsidR="00D772D0" w:rsidRPr="003F2D77">
        <w:rPr>
          <w:rFonts w:ascii="Times New Roman" w:hAnsi="Times New Roman" w:cs="Times New Roman"/>
          <w:sz w:val="24"/>
          <w:szCs w:val="24"/>
        </w:rPr>
        <w:t xml:space="preserve">. </w:t>
      </w:r>
    </w:p>
    <w:p w14:paraId="5983E00B" w14:textId="09D85EDB" w:rsidR="009F111F" w:rsidRDefault="00FA4108" w:rsidP="00AB3F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accurately quantify the</w:t>
      </w:r>
      <w:r w:rsidR="00833529" w:rsidRPr="00833529">
        <w:rPr>
          <w:rFonts w:ascii="Times New Roman" w:hAnsi="Times New Roman" w:cs="Times New Roman"/>
          <w:sz w:val="24"/>
          <w:szCs w:val="24"/>
        </w:rPr>
        <w:t xml:space="preserve"> </w:t>
      </w:r>
      <w:r w:rsidR="00833529">
        <w:rPr>
          <w:rFonts w:ascii="Times New Roman" w:hAnsi="Times New Roman" w:cs="Times New Roman"/>
          <w:sz w:val="24"/>
          <w:szCs w:val="24"/>
        </w:rPr>
        <w:t>Zn</w:t>
      </w:r>
      <w:r w:rsidR="00833529" w:rsidRPr="00833529">
        <w:rPr>
          <w:rFonts w:ascii="Times New Roman" w:hAnsi="Times New Roman" w:cs="Times New Roman"/>
          <w:sz w:val="24"/>
          <w:szCs w:val="24"/>
        </w:rPr>
        <w:t xml:space="preserve"> content </w:t>
      </w:r>
      <w:r>
        <w:rPr>
          <w:rFonts w:ascii="Times New Roman" w:hAnsi="Times New Roman" w:cs="Times New Roman"/>
          <w:sz w:val="24"/>
          <w:szCs w:val="24"/>
        </w:rPr>
        <w:t>with</w:t>
      </w:r>
      <w:r w:rsidR="00833529" w:rsidRPr="00833529">
        <w:rPr>
          <w:rFonts w:ascii="Times New Roman" w:hAnsi="Times New Roman" w:cs="Times New Roman"/>
          <w:sz w:val="24"/>
          <w:szCs w:val="24"/>
        </w:rPr>
        <w:t xml:space="preserve">in the synthetic </w:t>
      </w:r>
      <w:r>
        <w:rPr>
          <w:rFonts w:ascii="Times New Roman" w:hAnsi="Times New Roman" w:cs="Times New Roman"/>
          <w:sz w:val="24"/>
          <w:szCs w:val="24"/>
        </w:rPr>
        <w:t>MC</w:t>
      </w:r>
      <w:r w:rsidRPr="00833529">
        <w:rPr>
          <w:rFonts w:ascii="Times New Roman" w:hAnsi="Times New Roman" w:cs="Times New Roman"/>
          <w:sz w:val="24"/>
          <w:szCs w:val="24"/>
        </w:rPr>
        <w:t xml:space="preserve"> </w:t>
      </w:r>
      <w:r w:rsidR="00833529" w:rsidRPr="00833529">
        <w:rPr>
          <w:rFonts w:ascii="Times New Roman" w:hAnsi="Times New Roman" w:cs="Times New Roman"/>
          <w:sz w:val="24"/>
          <w:szCs w:val="24"/>
        </w:rPr>
        <w:t xml:space="preserve">analogs, we </w:t>
      </w:r>
      <w:r w:rsidR="000D7199">
        <w:rPr>
          <w:rFonts w:ascii="Times New Roman" w:hAnsi="Times New Roman" w:cs="Times New Roman"/>
          <w:sz w:val="24"/>
          <w:szCs w:val="24"/>
        </w:rPr>
        <w:t>employed</w:t>
      </w:r>
      <w:r w:rsidR="000D7199" w:rsidRPr="00833529">
        <w:rPr>
          <w:rFonts w:ascii="Times New Roman" w:hAnsi="Times New Roman" w:cs="Times New Roman"/>
          <w:sz w:val="24"/>
          <w:szCs w:val="24"/>
        </w:rPr>
        <w:t xml:space="preserve"> </w:t>
      </w:r>
      <w:r w:rsidR="00833529" w:rsidRPr="00833529">
        <w:rPr>
          <w:rFonts w:ascii="Times New Roman" w:hAnsi="Times New Roman" w:cs="Times New Roman"/>
          <w:sz w:val="24"/>
          <w:szCs w:val="24"/>
        </w:rPr>
        <w:t>ICP-OES</w:t>
      </w:r>
      <w:r w:rsidR="00D923A8">
        <w:rPr>
          <w:rFonts w:ascii="Times New Roman" w:hAnsi="Times New Roman" w:cs="Times New Roman"/>
          <w:sz w:val="24"/>
          <w:szCs w:val="24"/>
        </w:rPr>
        <w:t xml:space="preserve"> </w:t>
      </w:r>
      <w:r w:rsidR="00D772D0">
        <w:rPr>
          <w:rFonts w:ascii="Times New Roman" w:hAnsi="Times New Roman" w:cs="Times New Roman"/>
          <w:sz w:val="24"/>
          <w:szCs w:val="24"/>
        </w:rPr>
        <w:t>(Table 1)</w:t>
      </w:r>
      <w:r w:rsidR="00D772D0" w:rsidRPr="0003682F">
        <w:rPr>
          <w:rFonts w:ascii="Times New Roman" w:hAnsi="Times New Roman" w:cs="Times New Roman"/>
          <w:sz w:val="24"/>
          <w:szCs w:val="24"/>
        </w:rPr>
        <w:t xml:space="preserve">. </w:t>
      </w:r>
      <w:r w:rsidR="001D25A8">
        <w:rPr>
          <w:rFonts w:ascii="Times New Roman" w:hAnsi="Times New Roman" w:cs="Times New Roman"/>
          <w:sz w:val="24"/>
          <w:szCs w:val="24"/>
        </w:rPr>
        <w:t xml:space="preserve">As the concentration of </w:t>
      </w:r>
      <w:r w:rsidR="00D772D0">
        <w:rPr>
          <w:rFonts w:ascii="Times New Roman" w:hAnsi="Times New Roman" w:cs="Times New Roman"/>
          <w:sz w:val="24"/>
          <w:szCs w:val="24"/>
        </w:rPr>
        <w:t>Zn</w:t>
      </w:r>
      <w:r w:rsidR="00D772D0" w:rsidRPr="00F96C9C">
        <w:rPr>
          <w:rFonts w:ascii="Times New Roman" w:hAnsi="Times New Roman" w:cs="Times New Roman"/>
          <w:sz w:val="24"/>
          <w:szCs w:val="24"/>
          <w:vertAlign w:val="superscript"/>
        </w:rPr>
        <w:t>2+</w:t>
      </w:r>
      <w:r w:rsidR="00D772D0">
        <w:rPr>
          <w:rFonts w:ascii="Times New Roman" w:hAnsi="Times New Roman" w:cs="Times New Roman"/>
          <w:sz w:val="24"/>
          <w:szCs w:val="24"/>
        </w:rPr>
        <w:t xml:space="preserve"> in the synthesis solution</w:t>
      </w:r>
      <w:r w:rsidR="001D25A8">
        <w:rPr>
          <w:rFonts w:ascii="Times New Roman" w:hAnsi="Times New Roman" w:cs="Times New Roman"/>
          <w:sz w:val="24"/>
          <w:szCs w:val="24"/>
        </w:rPr>
        <w:t xml:space="preserve"> increased</w:t>
      </w:r>
      <w:r w:rsidR="00D772D0">
        <w:rPr>
          <w:rFonts w:ascii="Times New Roman" w:hAnsi="Times New Roman" w:cs="Times New Roman"/>
          <w:sz w:val="24"/>
          <w:szCs w:val="24"/>
        </w:rPr>
        <w:t xml:space="preserve">, </w:t>
      </w:r>
      <w:r w:rsidR="001D25A8">
        <w:rPr>
          <w:rFonts w:ascii="Times New Roman" w:hAnsi="Times New Roman" w:cs="Times New Roman"/>
          <w:sz w:val="24"/>
          <w:szCs w:val="24"/>
        </w:rPr>
        <w:t xml:space="preserve">a notable decrease in </w:t>
      </w:r>
      <w:r w:rsidR="00D772D0">
        <w:rPr>
          <w:rFonts w:ascii="Times New Roman" w:hAnsi="Times New Roman" w:cs="Times New Roman"/>
          <w:sz w:val="24"/>
          <w:szCs w:val="24"/>
        </w:rPr>
        <w:t>t</w:t>
      </w:r>
      <w:r w:rsidR="00D772D0" w:rsidRPr="0003682F">
        <w:rPr>
          <w:rFonts w:ascii="Times New Roman" w:hAnsi="Times New Roman" w:cs="Times New Roman"/>
          <w:sz w:val="24"/>
          <w:szCs w:val="24"/>
        </w:rPr>
        <w:t>he Ca</w:t>
      </w:r>
      <w:r w:rsidR="00824E6E" w:rsidRPr="00B41177">
        <w:rPr>
          <w:rFonts w:ascii="Times New Roman" w:hAnsi="Times New Roman" w:cs="Times New Roman"/>
          <w:sz w:val="24"/>
          <w:szCs w:val="24"/>
          <w:vertAlign w:val="superscript"/>
        </w:rPr>
        <w:t>2+</w:t>
      </w:r>
      <w:r w:rsidR="00D772D0">
        <w:rPr>
          <w:rFonts w:ascii="Times New Roman" w:hAnsi="Times New Roman" w:cs="Times New Roman"/>
          <w:sz w:val="24"/>
          <w:szCs w:val="24"/>
        </w:rPr>
        <w:t xml:space="preserve"> </w:t>
      </w:r>
      <w:r w:rsidR="00D772D0" w:rsidRPr="0003682F">
        <w:rPr>
          <w:rFonts w:ascii="Times New Roman" w:hAnsi="Times New Roman" w:cs="Times New Roman"/>
          <w:sz w:val="24"/>
          <w:szCs w:val="24"/>
        </w:rPr>
        <w:t xml:space="preserve">fraction </w:t>
      </w:r>
      <w:r w:rsidR="001D25A8">
        <w:rPr>
          <w:rFonts w:ascii="Times New Roman" w:hAnsi="Times New Roman" w:cs="Times New Roman"/>
          <w:sz w:val="24"/>
          <w:szCs w:val="24"/>
        </w:rPr>
        <w:t>with</w:t>
      </w:r>
      <w:r w:rsidR="00D772D0">
        <w:rPr>
          <w:rFonts w:ascii="Times New Roman" w:hAnsi="Times New Roman" w:cs="Times New Roman"/>
          <w:sz w:val="24"/>
          <w:szCs w:val="24"/>
        </w:rPr>
        <w:t xml:space="preserve">in the final </w:t>
      </w:r>
      <w:r w:rsidR="00DA5190">
        <w:rPr>
          <w:rFonts w:ascii="Times New Roman" w:hAnsi="Times New Roman" w:cs="Times New Roman"/>
          <w:sz w:val="24"/>
          <w:szCs w:val="24"/>
        </w:rPr>
        <w:t xml:space="preserve">precipitate </w:t>
      </w:r>
      <w:r w:rsidR="001D25A8">
        <w:rPr>
          <w:rFonts w:ascii="Times New Roman" w:hAnsi="Times New Roman" w:cs="Times New Roman"/>
          <w:sz w:val="24"/>
          <w:szCs w:val="24"/>
        </w:rPr>
        <w:t>was observed, accompanied by an increase in the Zn fraction.</w:t>
      </w:r>
      <w:r w:rsidR="001D25A8" w:rsidRPr="0003682F">
        <w:rPr>
          <w:rFonts w:ascii="Times New Roman" w:hAnsi="Times New Roman" w:cs="Times New Roman"/>
          <w:sz w:val="24"/>
          <w:szCs w:val="24"/>
        </w:rPr>
        <w:t xml:space="preserve"> </w:t>
      </w:r>
      <w:r w:rsidR="000D2D53">
        <w:rPr>
          <w:rFonts w:ascii="Times New Roman" w:hAnsi="Times New Roman" w:cs="Times New Roman"/>
          <w:sz w:val="24"/>
          <w:szCs w:val="24"/>
        </w:rPr>
        <w:t>Furthermore</w:t>
      </w:r>
      <w:r w:rsidR="00D772D0" w:rsidRPr="00F96C9C">
        <w:rPr>
          <w:rFonts w:ascii="Times New Roman" w:hAnsi="Times New Roman" w:cs="Times New Roman"/>
          <w:sz w:val="24"/>
          <w:szCs w:val="24"/>
        </w:rPr>
        <w:t xml:space="preserve">, </w:t>
      </w:r>
      <w:r w:rsidR="000D2D53">
        <w:rPr>
          <w:rFonts w:ascii="Times New Roman" w:hAnsi="Times New Roman" w:cs="Times New Roman"/>
          <w:sz w:val="24"/>
          <w:szCs w:val="24"/>
        </w:rPr>
        <w:t xml:space="preserve">as </w:t>
      </w:r>
      <w:r w:rsidR="00D772D0">
        <w:rPr>
          <w:rFonts w:ascii="Times New Roman" w:hAnsi="Times New Roman" w:cs="Times New Roman"/>
          <w:sz w:val="24"/>
          <w:szCs w:val="24"/>
        </w:rPr>
        <w:t xml:space="preserve">the </w:t>
      </w:r>
      <w:r w:rsidR="000D2D53">
        <w:rPr>
          <w:rFonts w:ascii="Times New Roman" w:hAnsi="Times New Roman" w:cs="Times New Roman"/>
          <w:sz w:val="24"/>
          <w:szCs w:val="24"/>
        </w:rPr>
        <w:t xml:space="preserve">concentration </w:t>
      </w:r>
      <w:r w:rsidR="00D772D0">
        <w:rPr>
          <w:rFonts w:ascii="Times New Roman" w:hAnsi="Times New Roman" w:cs="Times New Roman"/>
          <w:sz w:val="24"/>
          <w:szCs w:val="24"/>
        </w:rPr>
        <w:t>of Zn</w:t>
      </w:r>
      <w:r w:rsidR="00D772D0" w:rsidRPr="001D2844">
        <w:rPr>
          <w:rFonts w:ascii="Times New Roman" w:hAnsi="Times New Roman" w:cs="Times New Roman"/>
          <w:sz w:val="24"/>
          <w:szCs w:val="24"/>
          <w:vertAlign w:val="superscript"/>
        </w:rPr>
        <w:t>2+</w:t>
      </w:r>
      <w:r w:rsidR="00D772D0">
        <w:rPr>
          <w:rFonts w:ascii="Times New Roman" w:hAnsi="Times New Roman" w:cs="Times New Roman"/>
          <w:sz w:val="24"/>
          <w:szCs w:val="24"/>
        </w:rPr>
        <w:t xml:space="preserve"> in the synthesis solution</w:t>
      </w:r>
      <w:r w:rsidR="000D2D53">
        <w:rPr>
          <w:rFonts w:ascii="Times New Roman" w:hAnsi="Times New Roman" w:cs="Times New Roman"/>
          <w:sz w:val="24"/>
          <w:szCs w:val="24"/>
        </w:rPr>
        <w:t xml:space="preserve"> increased</w:t>
      </w:r>
      <w:r w:rsidR="00D772D0">
        <w:rPr>
          <w:rFonts w:ascii="Times New Roman" w:hAnsi="Times New Roman" w:cs="Times New Roman"/>
          <w:sz w:val="24"/>
          <w:szCs w:val="24"/>
        </w:rPr>
        <w:t xml:space="preserve">, </w:t>
      </w:r>
      <w:r w:rsidR="00287164">
        <w:rPr>
          <w:rFonts w:ascii="Times New Roman" w:hAnsi="Times New Roman" w:cs="Times New Roman"/>
          <w:sz w:val="24"/>
          <w:szCs w:val="24"/>
        </w:rPr>
        <w:t>a corresponding slight decrease in the Ca/P ratio occurred</w:t>
      </w:r>
      <w:r w:rsidR="008B3B55">
        <w:rPr>
          <w:rFonts w:ascii="Times New Roman" w:hAnsi="Times New Roman" w:cs="Times New Roman"/>
          <w:sz w:val="24"/>
          <w:szCs w:val="24"/>
        </w:rPr>
        <w:t>. Concurrently,</w:t>
      </w:r>
      <w:r w:rsidR="00D772D0">
        <w:rPr>
          <w:rFonts w:ascii="Times New Roman" w:hAnsi="Times New Roman" w:cs="Times New Roman"/>
          <w:sz w:val="24"/>
          <w:szCs w:val="24"/>
        </w:rPr>
        <w:t xml:space="preserve"> the Zn/(Zn+Ca) </w:t>
      </w:r>
      <w:r w:rsidR="008B3B55">
        <w:rPr>
          <w:rFonts w:ascii="Times New Roman" w:hAnsi="Times New Roman" w:cs="Times New Roman"/>
          <w:sz w:val="24"/>
          <w:szCs w:val="24"/>
        </w:rPr>
        <w:t>ratio</w:t>
      </w:r>
      <w:r w:rsidR="007D6F98">
        <w:rPr>
          <w:rFonts w:ascii="Times New Roman" w:hAnsi="Times New Roman" w:cs="Times New Roman"/>
          <w:sz w:val="24"/>
          <w:szCs w:val="24"/>
        </w:rPr>
        <w:t xml:space="preserve"> increased</w:t>
      </w:r>
      <w:r w:rsidR="00D772D0">
        <w:rPr>
          <w:rFonts w:ascii="Times New Roman" w:hAnsi="Times New Roman" w:cs="Times New Roman"/>
          <w:sz w:val="24"/>
          <w:szCs w:val="24"/>
        </w:rPr>
        <w:t xml:space="preserve">, </w:t>
      </w:r>
      <w:r w:rsidR="00B314EC">
        <w:rPr>
          <w:rFonts w:ascii="Times New Roman" w:hAnsi="Times New Roman" w:cs="Times New Roman"/>
          <w:sz w:val="24"/>
          <w:szCs w:val="24"/>
        </w:rPr>
        <w:t>all</w:t>
      </w:r>
      <w:r w:rsidR="00FC48B0">
        <w:rPr>
          <w:rFonts w:ascii="Times New Roman" w:hAnsi="Times New Roman" w:cs="Times New Roman"/>
          <w:sz w:val="24"/>
          <w:szCs w:val="24"/>
        </w:rPr>
        <w:t xml:space="preserve"> are </w:t>
      </w:r>
      <w:r w:rsidR="007D6F98">
        <w:rPr>
          <w:rFonts w:ascii="Times New Roman" w:hAnsi="Times New Roman" w:cs="Times New Roman"/>
          <w:sz w:val="24"/>
          <w:szCs w:val="24"/>
        </w:rPr>
        <w:t xml:space="preserve">indicative of </w:t>
      </w:r>
      <w:r w:rsidR="00D772D0">
        <w:rPr>
          <w:rFonts w:ascii="Times New Roman" w:hAnsi="Times New Roman" w:cs="Times New Roman"/>
          <w:sz w:val="24"/>
          <w:szCs w:val="24"/>
        </w:rPr>
        <w:t>Zn</w:t>
      </w:r>
      <w:r w:rsidR="00D772D0" w:rsidRPr="00C92B2A">
        <w:rPr>
          <w:rFonts w:ascii="Times New Roman" w:hAnsi="Times New Roman" w:cs="Times New Roman"/>
          <w:sz w:val="24"/>
          <w:szCs w:val="24"/>
          <w:vertAlign w:val="superscript"/>
        </w:rPr>
        <w:t>2+</w:t>
      </w:r>
      <w:r w:rsidR="00D772D0">
        <w:rPr>
          <w:rFonts w:ascii="Times New Roman" w:hAnsi="Times New Roman" w:cs="Times New Roman"/>
          <w:sz w:val="24"/>
          <w:szCs w:val="24"/>
        </w:rPr>
        <w:t xml:space="preserve"> </w:t>
      </w:r>
      <w:r w:rsidR="00474C75">
        <w:rPr>
          <w:rFonts w:ascii="Times New Roman" w:hAnsi="Times New Roman" w:cs="Times New Roman"/>
          <w:sz w:val="24"/>
          <w:szCs w:val="24"/>
        </w:rPr>
        <w:t>ca</w:t>
      </w:r>
      <w:r w:rsidR="00F3373B">
        <w:rPr>
          <w:rFonts w:ascii="Times New Roman" w:hAnsi="Times New Roman" w:cs="Times New Roman"/>
          <w:sz w:val="24"/>
          <w:szCs w:val="24"/>
        </w:rPr>
        <w:t>t</w:t>
      </w:r>
      <w:r w:rsidR="00D772D0">
        <w:rPr>
          <w:rFonts w:ascii="Times New Roman" w:hAnsi="Times New Roman" w:cs="Times New Roman"/>
          <w:sz w:val="24"/>
          <w:szCs w:val="24"/>
        </w:rPr>
        <w:t>ions substitut</w:t>
      </w:r>
      <w:r w:rsidR="007D6F98">
        <w:rPr>
          <w:rFonts w:ascii="Times New Roman" w:hAnsi="Times New Roman" w:cs="Times New Roman"/>
          <w:sz w:val="24"/>
          <w:szCs w:val="24"/>
        </w:rPr>
        <w:t>ing</w:t>
      </w:r>
      <w:r w:rsidR="00D772D0">
        <w:rPr>
          <w:rFonts w:ascii="Times New Roman" w:hAnsi="Times New Roman" w:cs="Times New Roman"/>
          <w:sz w:val="24"/>
          <w:szCs w:val="24"/>
        </w:rPr>
        <w:t xml:space="preserve"> </w:t>
      </w:r>
      <w:r w:rsidR="00DA5190">
        <w:rPr>
          <w:rFonts w:ascii="Times New Roman" w:hAnsi="Times New Roman" w:cs="Times New Roman"/>
          <w:sz w:val="24"/>
          <w:szCs w:val="24"/>
        </w:rPr>
        <w:t xml:space="preserve">for </w:t>
      </w:r>
      <w:r w:rsidR="00D772D0">
        <w:rPr>
          <w:rFonts w:ascii="Times New Roman" w:hAnsi="Times New Roman" w:cs="Times New Roman"/>
          <w:sz w:val="24"/>
          <w:szCs w:val="24"/>
        </w:rPr>
        <w:t>Ca</w:t>
      </w:r>
      <w:r w:rsidR="00D772D0" w:rsidRPr="00C92B2A">
        <w:rPr>
          <w:rFonts w:ascii="Times New Roman" w:hAnsi="Times New Roman" w:cs="Times New Roman"/>
          <w:sz w:val="24"/>
          <w:szCs w:val="24"/>
          <w:vertAlign w:val="superscript"/>
        </w:rPr>
        <w:t>2+</w:t>
      </w:r>
      <w:r w:rsidR="00D772D0">
        <w:rPr>
          <w:rFonts w:ascii="Times New Roman" w:hAnsi="Times New Roman" w:cs="Times New Roman"/>
          <w:sz w:val="24"/>
          <w:szCs w:val="24"/>
        </w:rPr>
        <w:t xml:space="preserve"> </w:t>
      </w:r>
      <w:r w:rsidR="00D772D0" w:rsidRPr="0003682F">
        <w:rPr>
          <w:rFonts w:ascii="Times New Roman" w:hAnsi="Times New Roman" w:cs="Times New Roman"/>
          <w:sz w:val="24"/>
          <w:szCs w:val="24"/>
        </w:rPr>
        <w:t>within the</w:t>
      </w:r>
      <w:r w:rsidR="00474C75">
        <w:rPr>
          <w:rFonts w:ascii="Times New Roman" w:hAnsi="Times New Roman" w:cs="Times New Roman"/>
          <w:sz w:val="24"/>
          <w:szCs w:val="24"/>
        </w:rPr>
        <w:t xml:space="preserve"> HA</w:t>
      </w:r>
      <w:r w:rsidR="00D772D0" w:rsidRPr="0003682F">
        <w:rPr>
          <w:rFonts w:ascii="Times New Roman" w:hAnsi="Times New Roman" w:cs="Times New Roman"/>
          <w:sz w:val="24"/>
          <w:szCs w:val="24"/>
        </w:rPr>
        <w:t xml:space="preserve"> crystal structure.</w:t>
      </w:r>
      <w:r w:rsidR="00D772D0">
        <w:rPr>
          <w:rFonts w:ascii="Times New Roman" w:hAnsi="Times New Roman" w:cs="Times New Roman"/>
          <w:sz w:val="24"/>
          <w:szCs w:val="24"/>
        </w:rPr>
        <w:t xml:space="preserve"> </w:t>
      </w:r>
      <w:r w:rsidR="00703000">
        <w:rPr>
          <w:rFonts w:ascii="Times New Roman" w:hAnsi="Times New Roman" w:cs="Times New Roman"/>
          <w:sz w:val="24"/>
          <w:szCs w:val="24"/>
        </w:rPr>
        <w:t>The P fraction</w:t>
      </w:r>
      <w:r w:rsidR="00474C75">
        <w:rPr>
          <w:rFonts w:ascii="Times New Roman" w:hAnsi="Times New Roman" w:cs="Times New Roman"/>
          <w:sz w:val="24"/>
          <w:szCs w:val="24"/>
        </w:rPr>
        <w:t xml:space="preserve"> also</w:t>
      </w:r>
      <w:r w:rsidR="00703000">
        <w:rPr>
          <w:rFonts w:ascii="Times New Roman" w:hAnsi="Times New Roman" w:cs="Times New Roman"/>
          <w:sz w:val="24"/>
          <w:szCs w:val="24"/>
        </w:rPr>
        <w:t xml:space="preserve"> </w:t>
      </w:r>
      <w:r w:rsidR="007F6F4B">
        <w:rPr>
          <w:rFonts w:ascii="Times New Roman" w:hAnsi="Times New Roman" w:cs="Times New Roman"/>
          <w:sz w:val="24"/>
          <w:szCs w:val="24"/>
        </w:rPr>
        <w:t>decreased as the concentration of Zn</w:t>
      </w:r>
      <w:r w:rsidR="007F6F4B" w:rsidRPr="001D2844">
        <w:rPr>
          <w:rFonts w:ascii="Times New Roman" w:hAnsi="Times New Roman" w:cs="Times New Roman"/>
          <w:sz w:val="24"/>
          <w:szCs w:val="24"/>
          <w:vertAlign w:val="superscript"/>
        </w:rPr>
        <w:t>2+</w:t>
      </w:r>
      <w:r w:rsidR="007F6F4B">
        <w:rPr>
          <w:rFonts w:ascii="Times New Roman" w:hAnsi="Times New Roman" w:cs="Times New Roman"/>
          <w:sz w:val="24"/>
          <w:szCs w:val="24"/>
        </w:rPr>
        <w:t xml:space="preserve"> in the synthesis solution increased, </w:t>
      </w:r>
      <w:r w:rsidR="00A66765">
        <w:rPr>
          <w:rFonts w:ascii="Times New Roman" w:hAnsi="Times New Roman" w:cs="Times New Roman"/>
          <w:sz w:val="24"/>
          <w:szCs w:val="24"/>
        </w:rPr>
        <w:t xml:space="preserve">possibly due to </w:t>
      </w:r>
      <w:r w:rsidR="004D367E">
        <w:rPr>
          <w:rFonts w:ascii="Times New Roman" w:hAnsi="Times New Roman" w:cs="Times New Roman"/>
          <w:sz w:val="24"/>
          <w:szCs w:val="24"/>
        </w:rPr>
        <w:t xml:space="preserve">nitrate </w:t>
      </w:r>
      <w:r w:rsidR="00A00D48">
        <w:rPr>
          <w:rFonts w:ascii="Times New Roman" w:hAnsi="Times New Roman" w:cs="Times New Roman"/>
          <w:sz w:val="24"/>
          <w:szCs w:val="24"/>
        </w:rPr>
        <w:t>or other</w:t>
      </w:r>
      <w:r w:rsidR="00474C75">
        <w:rPr>
          <w:rFonts w:ascii="Times New Roman" w:hAnsi="Times New Roman" w:cs="Times New Roman"/>
          <w:sz w:val="24"/>
          <w:szCs w:val="24"/>
        </w:rPr>
        <w:t xml:space="preserve"> competing</w:t>
      </w:r>
      <w:r w:rsidR="00A00D48">
        <w:rPr>
          <w:rFonts w:ascii="Times New Roman" w:hAnsi="Times New Roman" w:cs="Times New Roman"/>
          <w:sz w:val="24"/>
          <w:szCs w:val="24"/>
        </w:rPr>
        <w:t xml:space="preserve"> anion </w:t>
      </w:r>
      <w:r w:rsidR="004D367E">
        <w:rPr>
          <w:rFonts w:ascii="Times New Roman" w:hAnsi="Times New Roman" w:cs="Times New Roman"/>
          <w:sz w:val="24"/>
          <w:szCs w:val="24"/>
        </w:rPr>
        <w:t xml:space="preserve">incorporation. </w:t>
      </w:r>
    </w:p>
    <w:p w14:paraId="1D34D35A" w14:textId="77777777" w:rsidR="008C25C1" w:rsidRDefault="008C25C1" w:rsidP="00AB3F9D">
      <w:pPr>
        <w:spacing w:after="0" w:line="360" w:lineRule="auto"/>
        <w:jc w:val="both"/>
        <w:rPr>
          <w:rFonts w:ascii="Times New Roman" w:hAnsi="Times New Roman" w:cs="Times New Roman"/>
          <w:sz w:val="24"/>
          <w:szCs w:val="24"/>
          <w:rtl/>
        </w:rPr>
      </w:pPr>
    </w:p>
    <w:p w14:paraId="61DB3E0D" w14:textId="7AE8D5D4" w:rsidR="002C34AF" w:rsidRPr="009430C2" w:rsidRDefault="009430C2" w:rsidP="009430C2">
      <w:pPr>
        <w:spacing w:after="0" w:line="360" w:lineRule="auto"/>
        <w:rPr>
          <w:rFonts w:asciiTheme="majorBidi" w:hAnsiTheme="majorBidi" w:cstheme="majorBidi"/>
          <w:sz w:val="24"/>
          <w:szCs w:val="24"/>
        </w:rPr>
      </w:pPr>
      <w:r w:rsidRPr="00732866">
        <w:rPr>
          <w:rFonts w:asciiTheme="majorBidi" w:hAnsiTheme="majorBidi" w:cstheme="majorBidi"/>
          <w:b/>
          <w:bCs/>
          <w:sz w:val="24"/>
          <w:szCs w:val="24"/>
        </w:rPr>
        <w:t>Table 1</w:t>
      </w:r>
      <w:r>
        <w:rPr>
          <w:rFonts w:asciiTheme="majorBidi" w:hAnsiTheme="majorBidi" w:cstheme="majorBidi"/>
          <w:b/>
          <w:bCs/>
          <w:sz w:val="24"/>
          <w:szCs w:val="24"/>
        </w:rPr>
        <w:t>.</w:t>
      </w:r>
      <w:r w:rsidRPr="00732866">
        <w:rPr>
          <w:rFonts w:asciiTheme="majorBidi" w:hAnsiTheme="majorBidi" w:cstheme="majorBidi"/>
          <w:b/>
          <w:bCs/>
          <w:sz w:val="24"/>
          <w:szCs w:val="24"/>
        </w:rPr>
        <w:t xml:space="preserve"> </w:t>
      </w:r>
      <w:r w:rsidRPr="00732866">
        <w:rPr>
          <w:rFonts w:asciiTheme="majorBidi" w:hAnsiTheme="majorBidi" w:cstheme="majorBidi"/>
          <w:sz w:val="24"/>
          <w:szCs w:val="24"/>
        </w:rPr>
        <w:t>Elemental composition of synthetic MC analog</w:t>
      </w:r>
      <w:r w:rsidR="00E953D3">
        <w:rPr>
          <w:rFonts w:asciiTheme="majorBidi" w:hAnsiTheme="majorBidi" w:cstheme="majorBidi"/>
          <w:sz w:val="24"/>
          <w:szCs w:val="24"/>
        </w:rPr>
        <w:t xml:space="preserve">s </w:t>
      </w:r>
      <w:r w:rsidRPr="00732866">
        <w:rPr>
          <w:rFonts w:asciiTheme="majorBidi" w:hAnsiTheme="majorBidi" w:cstheme="majorBidi"/>
          <w:sz w:val="24"/>
          <w:szCs w:val="24"/>
        </w:rPr>
        <w:t>measured by ICP-OES, according to the Zn</w:t>
      </w:r>
      <w:r w:rsidRPr="00732866">
        <w:rPr>
          <w:rFonts w:asciiTheme="majorBidi" w:hAnsiTheme="majorBidi" w:cstheme="majorBidi"/>
          <w:sz w:val="24"/>
          <w:szCs w:val="24"/>
          <w:vertAlign w:val="superscript"/>
        </w:rPr>
        <w:t>2+</w:t>
      </w:r>
      <w:r w:rsidRPr="00732866">
        <w:rPr>
          <w:rFonts w:asciiTheme="majorBidi" w:hAnsiTheme="majorBidi" w:cstheme="majorBidi"/>
          <w:sz w:val="24"/>
          <w:szCs w:val="24"/>
        </w:rPr>
        <w:t xml:space="preserve"> concentration in the synthesis solution.</w:t>
      </w:r>
      <w:r>
        <w:rPr>
          <w:rFonts w:asciiTheme="majorBidi" w:hAnsiTheme="majorBidi" w:cstheme="majorBidi"/>
          <w:sz w:val="24"/>
          <w:szCs w:val="24"/>
        </w:rPr>
        <w:t xml:space="preserve"> </w:t>
      </w:r>
    </w:p>
    <w:tbl>
      <w:tblPr>
        <w:tblW w:w="7660" w:type="dxa"/>
        <w:jc w:val="center"/>
        <w:tblCellMar>
          <w:left w:w="0" w:type="dxa"/>
          <w:right w:w="0" w:type="dxa"/>
        </w:tblCellMar>
        <w:tblLook w:val="04A0" w:firstRow="1" w:lastRow="0" w:firstColumn="1" w:lastColumn="0" w:noHBand="0" w:noVBand="1"/>
      </w:tblPr>
      <w:tblGrid>
        <w:gridCol w:w="1343"/>
        <w:gridCol w:w="1183"/>
        <w:gridCol w:w="1243"/>
        <w:gridCol w:w="1344"/>
        <w:gridCol w:w="1364"/>
        <w:gridCol w:w="1183"/>
      </w:tblGrid>
      <w:tr w:rsidR="00701BA0" w:rsidRPr="00E55C2E" w14:paraId="0C8B4D5B" w14:textId="77777777" w:rsidTr="00A42310">
        <w:trPr>
          <w:trHeight w:val="1128"/>
          <w:jc w:val="center"/>
        </w:trPr>
        <w:tc>
          <w:tcPr>
            <w:tcW w:w="134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2AAA072" w14:textId="77777777" w:rsidR="00701BA0" w:rsidRPr="00732866" w:rsidRDefault="00701BA0" w:rsidP="00AB3F9D">
            <w:pPr>
              <w:spacing w:after="0" w:line="360" w:lineRule="auto"/>
              <w:jc w:val="center"/>
              <w:rPr>
                <w:rFonts w:asciiTheme="majorBidi" w:hAnsiTheme="majorBidi" w:cstheme="majorBidi"/>
                <w:b/>
                <w:bCs/>
              </w:rPr>
            </w:pPr>
            <w:r w:rsidRPr="00732866">
              <w:rPr>
                <w:rFonts w:asciiTheme="majorBidi" w:hAnsiTheme="majorBidi" w:cstheme="majorBidi"/>
                <w:b/>
                <w:bCs/>
              </w:rPr>
              <w:t>Zn</w:t>
            </w:r>
            <w:r w:rsidRPr="00732866">
              <w:rPr>
                <w:rFonts w:asciiTheme="majorBidi" w:hAnsiTheme="majorBidi" w:cstheme="majorBidi"/>
                <w:b/>
                <w:bCs/>
                <w:vertAlign w:val="superscript"/>
              </w:rPr>
              <w:t>+2</w:t>
            </w:r>
            <w:r w:rsidRPr="00732866">
              <w:rPr>
                <w:rFonts w:asciiTheme="majorBidi" w:hAnsiTheme="majorBidi" w:cstheme="majorBidi"/>
                <w:b/>
                <w:bCs/>
              </w:rPr>
              <w:t xml:space="preserve"> solution concentration</w:t>
            </w:r>
          </w:p>
          <w:p w14:paraId="46DA2A4D"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(mM)</w:t>
            </w:r>
          </w:p>
        </w:tc>
        <w:tc>
          <w:tcPr>
            <w:tcW w:w="118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A95B399"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Ca fraction (wt%)</w:t>
            </w:r>
          </w:p>
        </w:tc>
        <w:tc>
          <w:tcPr>
            <w:tcW w:w="124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C17D671"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P fraction (wt%)</w:t>
            </w:r>
          </w:p>
        </w:tc>
        <w:tc>
          <w:tcPr>
            <w:tcW w:w="134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98A6911"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Zn fraction (wt%)</w:t>
            </w:r>
          </w:p>
        </w:tc>
        <w:tc>
          <w:tcPr>
            <w:tcW w:w="136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DED9DF9" w14:textId="2910FD61"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 xml:space="preserve">Ca/P </w:t>
            </w:r>
            <w:r w:rsidR="00690901">
              <w:rPr>
                <w:rFonts w:asciiTheme="majorBidi" w:hAnsiTheme="majorBidi" w:cstheme="majorBidi"/>
                <w:b/>
                <w:bCs/>
              </w:rPr>
              <w:t xml:space="preserve">molar </w:t>
            </w:r>
            <w:r w:rsidRPr="00732866">
              <w:rPr>
                <w:rFonts w:asciiTheme="majorBidi" w:hAnsiTheme="majorBidi" w:cstheme="majorBidi"/>
                <w:b/>
                <w:bCs/>
              </w:rPr>
              <w:t>ratio</w:t>
            </w:r>
          </w:p>
        </w:tc>
        <w:tc>
          <w:tcPr>
            <w:tcW w:w="118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FD22969" w14:textId="6CEF9990"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 xml:space="preserve">Zn/(Zn+Ca) </w:t>
            </w:r>
            <w:r w:rsidR="00690901">
              <w:rPr>
                <w:rFonts w:asciiTheme="majorBidi" w:hAnsiTheme="majorBidi" w:cstheme="majorBidi"/>
                <w:b/>
                <w:bCs/>
              </w:rPr>
              <w:t xml:space="preserve">molar </w:t>
            </w:r>
            <w:r w:rsidRPr="00732866">
              <w:rPr>
                <w:rFonts w:asciiTheme="majorBidi" w:hAnsiTheme="majorBidi" w:cstheme="majorBidi"/>
                <w:b/>
                <w:bCs/>
              </w:rPr>
              <w:t>ratio</w:t>
            </w:r>
          </w:p>
        </w:tc>
      </w:tr>
      <w:tr w:rsidR="00701BA0" w:rsidRPr="00E55C2E" w14:paraId="1E1FF32E" w14:textId="77777777" w:rsidTr="00A42310">
        <w:trPr>
          <w:trHeight w:val="380"/>
          <w:jc w:val="center"/>
        </w:trPr>
        <w:tc>
          <w:tcPr>
            <w:tcW w:w="1343"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72355FA"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0</w:t>
            </w:r>
          </w:p>
        </w:tc>
        <w:tc>
          <w:tcPr>
            <w:tcW w:w="1183"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1A64153"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35.86</w:t>
            </w:r>
          </w:p>
        </w:tc>
        <w:tc>
          <w:tcPr>
            <w:tcW w:w="1243"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224B709"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18.73</w:t>
            </w:r>
          </w:p>
        </w:tc>
        <w:tc>
          <w:tcPr>
            <w:tcW w:w="134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58EC2B7"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0.06</w:t>
            </w:r>
          </w:p>
        </w:tc>
        <w:tc>
          <w:tcPr>
            <w:tcW w:w="136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0D0C1BE"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1.48</w:t>
            </w:r>
          </w:p>
        </w:tc>
        <w:tc>
          <w:tcPr>
            <w:tcW w:w="1183"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3A57901"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0.00</w:t>
            </w:r>
          </w:p>
        </w:tc>
      </w:tr>
      <w:tr w:rsidR="00701BA0" w:rsidRPr="00E55C2E" w14:paraId="3293254A" w14:textId="77777777" w:rsidTr="00A42310">
        <w:trPr>
          <w:trHeight w:val="147"/>
          <w:jc w:val="center"/>
        </w:trPr>
        <w:tc>
          <w:tcPr>
            <w:tcW w:w="1343" w:type="dxa"/>
            <w:tcBorders>
              <w:top w:val="nil"/>
              <w:left w:val="nil"/>
              <w:bottom w:val="nil"/>
              <w:right w:val="nil"/>
            </w:tcBorders>
            <w:shd w:val="clear" w:color="auto" w:fill="auto"/>
            <w:tcMar>
              <w:top w:w="15" w:type="dxa"/>
              <w:left w:w="15" w:type="dxa"/>
              <w:bottom w:w="0" w:type="dxa"/>
              <w:right w:w="15" w:type="dxa"/>
            </w:tcMar>
            <w:vAlign w:val="center"/>
            <w:hideMark/>
          </w:tcPr>
          <w:p w14:paraId="4AC1010E"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0.1</w:t>
            </w:r>
          </w:p>
        </w:tc>
        <w:tc>
          <w:tcPr>
            <w:tcW w:w="1183" w:type="dxa"/>
            <w:tcBorders>
              <w:top w:val="nil"/>
              <w:left w:val="nil"/>
              <w:bottom w:val="nil"/>
              <w:right w:val="nil"/>
            </w:tcBorders>
            <w:shd w:val="clear" w:color="auto" w:fill="auto"/>
            <w:tcMar>
              <w:top w:w="15" w:type="dxa"/>
              <w:left w:w="15" w:type="dxa"/>
              <w:bottom w:w="0" w:type="dxa"/>
              <w:right w:w="15" w:type="dxa"/>
            </w:tcMar>
            <w:vAlign w:val="center"/>
            <w:hideMark/>
          </w:tcPr>
          <w:p w14:paraId="69524BA7"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33.74</w:t>
            </w:r>
          </w:p>
        </w:tc>
        <w:tc>
          <w:tcPr>
            <w:tcW w:w="1243" w:type="dxa"/>
            <w:tcBorders>
              <w:top w:val="nil"/>
              <w:left w:val="nil"/>
              <w:bottom w:val="nil"/>
              <w:right w:val="nil"/>
            </w:tcBorders>
            <w:shd w:val="clear" w:color="auto" w:fill="auto"/>
            <w:tcMar>
              <w:top w:w="15" w:type="dxa"/>
              <w:left w:w="15" w:type="dxa"/>
              <w:bottom w:w="0" w:type="dxa"/>
              <w:right w:w="15" w:type="dxa"/>
            </w:tcMar>
            <w:vAlign w:val="center"/>
            <w:hideMark/>
          </w:tcPr>
          <w:p w14:paraId="152D3025"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17.54</w:t>
            </w:r>
          </w:p>
        </w:tc>
        <w:tc>
          <w:tcPr>
            <w:tcW w:w="1344" w:type="dxa"/>
            <w:tcBorders>
              <w:top w:val="nil"/>
              <w:left w:val="nil"/>
              <w:bottom w:val="nil"/>
              <w:right w:val="nil"/>
            </w:tcBorders>
            <w:shd w:val="clear" w:color="auto" w:fill="auto"/>
            <w:tcMar>
              <w:top w:w="15" w:type="dxa"/>
              <w:left w:w="15" w:type="dxa"/>
              <w:bottom w:w="0" w:type="dxa"/>
              <w:right w:w="15" w:type="dxa"/>
            </w:tcMar>
            <w:vAlign w:val="center"/>
            <w:hideMark/>
          </w:tcPr>
          <w:p w14:paraId="019CB331"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0.74</w:t>
            </w:r>
          </w:p>
        </w:tc>
        <w:tc>
          <w:tcPr>
            <w:tcW w:w="1364" w:type="dxa"/>
            <w:tcBorders>
              <w:top w:val="nil"/>
              <w:left w:val="nil"/>
              <w:bottom w:val="nil"/>
              <w:right w:val="nil"/>
            </w:tcBorders>
            <w:shd w:val="clear" w:color="auto" w:fill="auto"/>
            <w:tcMar>
              <w:top w:w="15" w:type="dxa"/>
              <w:left w:w="15" w:type="dxa"/>
              <w:bottom w:w="0" w:type="dxa"/>
              <w:right w:w="15" w:type="dxa"/>
            </w:tcMar>
            <w:vAlign w:val="center"/>
            <w:hideMark/>
          </w:tcPr>
          <w:p w14:paraId="739317AB" w14:textId="75FCAE81"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1.4</w:t>
            </w:r>
            <w:r w:rsidR="00610213">
              <w:rPr>
                <w:rFonts w:asciiTheme="majorBidi" w:hAnsiTheme="majorBidi" w:cstheme="majorBidi" w:hint="cs"/>
                <w:rtl/>
              </w:rPr>
              <w:t>9</w:t>
            </w:r>
          </w:p>
        </w:tc>
        <w:tc>
          <w:tcPr>
            <w:tcW w:w="1183" w:type="dxa"/>
            <w:tcBorders>
              <w:top w:val="nil"/>
              <w:left w:val="nil"/>
              <w:bottom w:val="nil"/>
              <w:right w:val="nil"/>
            </w:tcBorders>
            <w:shd w:val="clear" w:color="auto" w:fill="auto"/>
            <w:tcMar>
              <w:top w:w="15" w:type="dxa"/>
              <w:left w:w="15" w:type="dxa"/>
              <w:bottom w:w="0" w:type="dxa"/>
              <w:right w:w="15" w:type="dxa"/>
            </w:tcMar>
            <w:vAlign w:val="center"/>
            <w:hideMark/>
          </w:tcPr>
          <w:p w14:paraId="6CFFF627" w14:textId="05E2294F"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0.</w:t>
            </w:r>
            <w:r w:rsidR="00CD2F10">
              <w:rPr>
                <w:rFonts w:asciiTheme="majorBidi" w:hAnsiTheme="majorBidi" w:cstheme="majorBidi"/>
              </w:rPr>
              <w:t>01</w:t>
            </w:r>
          </w:p>
        </w:tc>
      </w:tr>
      <w:tr w:rsidR="00701BA0" w:rsidRPr="00E55C2E" w14:paraId="78B60216" w14:textId="77777777" w:rsidTr="00A42310">
        <w:trPr>
          <w:trHeight w:val="380"/>
          <w:jc w:val="center"/>
        </w:trPr>
        <w:tc>
          <w:tcPr>
            <w:tcW w:w="1343" w:type="dxa"/>
            <w:tcBorders>
              <w:top w:val="nil"/>
              <w:left w:val="nil"/>
              <w:bottom w:val="nil"/>
              <w:right w:val="nil"/>
            </w:tcBorders>
            <w:shd w:val="clear" w:color="auto" w:fill="auto"/>
            <w:tcMar>
              <w:top w:w="15" w:type="dxa"/>
              <w:left w:w="15" w:type="dxa"/>
              <w:bottom w:w="0" w:type="dxa"/>
              <w:right w:w="15" w:type="dxa"/>
            </w:tcMar>
            <w:vAlign w:val="center"/>
            <w:hideMark/>
          </w:tcPr>
          <w:p w14:paraId="520A49BE"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0.2</w:t>
            </w:r>
          </w:p>
        </w:tc>
        <w:tc>
          <w:tcPr>
            <w:tcW w:w="1183" w:type="dxa"/>
            <w:tcBorders>
              <w:top w:val="nil"/>
              <w:left w:val="nil"/>
              <w:bottom w:val="nil"/>
              <w:right w:val="nil"/>
            </w:tcBorders>
            <w:shd w:val="clear" w:color="auto" w:fill="auto"/>
            <w:tcMar>
              <w:top w:w="15" w:type="dxa"/>
              <w:left w:w="15" w:type="dxa"/>
              <w:bottom w:w="0" w:type="dxa"/>
              <w:right w:w="15" w:type="dxa"/>
            </w:tcMar>
            <w:vAlign w:val="center"/>
            <w:hideMark/>
          </w:tcPr>
          <w:p w14:paraId="6FBBF143"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30.68</w:t>
            </w:r>
          </w:p>
        </w:tc>
        <w:tc>
          <w:tcPr>
            <w:tcW w:w="1243" w:type="dxa"/>
            <w:tcBorders>
              <w:top w:val="nil"/>
              <w:left w:val="nil"/>
              <w:bottom w:val="nil"/>
              <w:right w:val="nil"/>
            </w:tcBorders>
            <w:shd w:val="clear" w:color="auto" w:fill="auto"/>
            <w:tcMar>
              <w:top w:w="15" w:type="dxa"/>
              <w:left w:w="15" w:type="dxa"/>
              <w:bottom w:w="0" w:type="dxa"/>
              <w:right w:w="15" w:type="dxa"/>
            </w:tcMar>
            <w:vAlign w:val="center"/>
            <w:hideMark/>
          </w:tcPr>
          <w:p w14:paraId="18237F1E"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16.11</w:t>
            </w:r>
          </w:p>
        </w:tc>
        <w:tc>
          <w:tcPr>
            <w:tcW w:w="1344" w:type="dxa"/>
            <w:tcBorders>
              <w:top w:val="nil"/>
              <w:left w:val="nil"/>
              <w:bottom w:val="nil"/>
              <w:right w:val="nil"/>
            </w:tcBorders>
            <w:shd w:val="clear" w:color="auto" w:fill="auto"/>
            <w:tcMar>
              <w:top w:w="15" w:type="dxa"/>
              <w:left w:w="15" w:type="dxa"/>
              <w:bottom w:w="0" w:type="dxa"/>
              <w:right w:w="15" w:type="dxa"/>
            </w:tcMar>
            <w:vAlign w:val="center"/>
            <w:hideMark/>
          </w:tcPr>
          <w:p w14:paraId="24D06B68"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1.22</w:t>
            </w:r>
          </w:p>
        </w:tc>
        <w:tc>
          <w:tcPr>
            <w:tcW w:w="1364" w:type="dxa"/>
            <w:tcBorders>
              <w:top w:val="nil"/>
              <w:left w:val="nil"/>
              <w:bottom w:val="nil"/>
              <w:right w:val="nil"/>
            </w:tcBorders>
            <w:shd w:val="clear" w:color="auto" w:fill="auto"/>
            <w:tcMar>
              <w:top w:w="15" w:type="dxa"/>
              <w:left w:w="15" w:type="dxa"/>
              <w:bottom w:w="0" w:type="dxa"/>
              <w:right w:w="15" w:type="dxa"/>
            </w:tcMar>
            <w:vAlign w:val="center"/>
            <w:hideMark/>
          </w:tcPr>
          <w:p w14:paraId="6AB52F86"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1.47</w:t>
            </w:r>
          </w:p>
        </w:tc>
        <w:tc>
          <w:tcPr>
            <w:tcW w:w="1183" w:type="dxa"/>
            <w:tcBorders>
              <w:top w:val="nil"/>
              <w:left w:val="nil"/>
              <w:bottom w:val="nil"/>
              <w:right w:val="nil"/>
            </w:tcBorders>
            <w:shd w:val="clear" w:color="auto" w:fill="auto"/>
            <w:tcMar>
              <w:top w:w="15" w:type="dxa"/>
              <w:left w:w="15" w:type="dxa"/>
              <w:bottom w:w="0" w:type="dxa"/>
              <w:right w:w="15" w:type="dxa"/>
            </w:tcMar>
            <w:vAlign w:val="center"/>
            <w:hideMark/>
          </w:tcPr>
          <w:p w14:paraId="43ED111B" w14:textId="377D0E7F" w:rsidR="00701BA0" w:rsidRPr="00732866" w:rsidRDefault="00CD2F10" w:rsidP="00AB3F9D">
            <w:pPr>
              <w:spacing w:after="0" w:line="360" w:lineRule="auto"/>
              <w:jc w:val="center"/>
              <w:rPr>
                <w:rFonts w:asciiTheme="majorBidi" w:hAnsiTheme="majorBidi" w:cstheme="majorBidi"/>
              </w:rPr>
            </w:pPr>
            <w:r>
              <w:rPr>
                <w:rFonts w:asciiTheme="majorBidi" w:hAnsiTheme="majorBidi" w:cstheme="majorBidi"/>
              </w:rPr>
              <w:t>0.02</w:t>
            </w:r>
          </w:p>
        </w:tc>
      </w:tr>
      <w:tr w:rsidR="00701BA0" w:rsidRPr="00E55C2E" w14:paraId="5F6C117E" w14:textId="77777777" w:rsidTr="00A42310">
        <w:trPr>
          <w:trHeight w:val="380"/>
          <w:jc w:val="center"/>
        </w:trPr>
        <w:tc>
          <w:tcPr>
            <w:tcW w:w="1343" w:type="dxa"/>
            <w:tcBorders>
              <w:top w:val="nil"/>
              <w:left w:val="nil"/>
              <w:bottom w:val="nil"/>
              <w:right w:val="nil"/>
            </w:tcBorders>
            <w:shd w:val="clear" w:color="auto" w:fill="auto"/>
            <w:tcMar>
              <w:top w:w="15" w:type="dxa"/>
              <w:left w:w="15" w:type="dxa"/>
              <w:bottom w:w="0" w:type="dxa"/>
              <w:right w:w="15" w:type="dxa"/>
            </w:tcMar>
            <w:vAlign w:val="center"/>
            <w:hideMark/>
          </w:tcPr>
          <w:p w14:paraId="797AF88E"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0.5</w:t>
            </w:r>
          </w:p>
        </w:tc>
        <w:tc>
          <w:tcPr>
            <w:tcW w:w="1183" w:type="dxa"/>
            <w:tcBorders>
              <w:top w:val="nil"/>
              <w:left w:val="nil"/>
              <w:bottom w:val="nil"/>
              <w:right w:val="nil"/>
            </w:tcBorders>
            <w:shd w:val="clear" w:color="auto" w:fill="auto"/>
            <w:tcMar>
              <w:top w:w="15" w:type="dxa"/>
              <w:left w:w="15" w:type="dxa"/>
              <w:bottom w:w="0" w:type="dxa"/>
              <w:right w:w="15" w:type="dxa"/>
            </w:tcMar>
            <w:vAlign w:val="center"/>
            <w:hideMark/>
          </w:tcPr>
          <w:p w14:paraId="7D9E5572"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28.02</w:t>
            </w:r>
          </w:p>
        </w:tc>
        <w:tc>
          <w:tcPr>
            <w:tcW w:w="1243" w:type="dxa"/>
            <w:tcBorders>
              <w:top w:val="nil"/>
              <w:left w:val="nil"/>
              <w:bottom w:val="nil"/>
              <w:right w:val="nil"/>
            </w:tcBorders>
            <w:shd w:val="clear" w:color="auto" w:fill="auto"/>
            <w:tcMar>
              <w:top w:w="15" w:type="dxa"/>
              <w:left w:w="15" w:type="dxa"/>
              <w:bottom w:w="0" w:type="dxa"/>
              <w:right w:w="15" w:type="dxa"/>
            </w:tcMar>
            <w:vAlign w:val="center"/>
            <w:hideMark/>
          </w:tcPr>
          <w:p w14:paraId="3E40EBFA"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15.10</w:t>
            </w:r>
          </w:p>
        </w:tc>
        <w:tc>
          <w:tcPr>
            <w:tcW w:w="1344" w:type="dxa"/>
            <w:tcBorders>
              <w:top w:val="nil"/>
              <w:left w:val="nil"/>
              <w:bottom w:val="nil"/>
              <w:right w:val="nil"/>
            </w:tcBorders>
            <w:shd w:val="clear" w:color="auto" w:fill="auto"/>
            <w:tcMar>
              <w:top w:w="15" w:type="dxa"/>
              <w:left w:w="15" w:type="dxa"/>
              <w:bottom w:w="0" w:type="dxa"/>
              <w:right w:w="15" w:type="dxa"/>
            </w:tcMar>
            <w:vAlign w:val="center"/>
            <w:hideMark/>
          </w:tcPr>
          <w:p w14:paraId="5BA9AF82"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2.62</w:t>
            </w:r>
          </w:p>
        </w:tc>
        <w:tc>
          <w:tcPr>
            <w:tcW w:w="1364" w:type="dxa"/>
            <w:tcBorders>
              <w:top w:val="nil"/>
              <w:left w:val="nil"/>
              <w:bottom w:val="nil"/>
              <w:right w:val="nil"/>
            </w:tcBorders>
            <w:shd w:val="clear" w:color="auto" w:fill="auto"/>
            <w:tcMar>
              <w:top w:w="15" w:type="dxa"/>
              <w:left w:w="15" w:type="dxa"/>
              <w:bottom w:w="0" w:type="dxa"/>
              <w:right w:w="15" w:type="dxa"/>
            </w:tcMar>
            <w:vAlign w:val="center"/>
            <w:hideMark/>
          </w:tcPr>
          <w:p w14:paraId="17BEF854"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1.43</w:t>
            </w:r>
          </w:p>
        </w:tc>
        <w:tc>
          <w:tcPr>
            <w:tcW w:w="1183" w:type="dxa"/>
            <w:tcBorders>
              <w:top w:val="nil"/>
              <w:left w:val="nil"/>
              <w:bottom w:val="nil"/>
              <w:right w:val="nil"/>
            </w:tcBorders>
            <w:shd w:val="clear" w:color="auto" w:fill="auto"/>
            <w:tcMar>
              <w:top w:w="15" w:type="dxa"/>
              <w:left w:w="15" w:type="dxa"/>
              <w:bottom w:w="0" w:type="dxa"/>
              <w:right w:w="15" w:type="dxa"/>
            </w:tcMar>
            <w:vAlign w:val="center"/>
            <w:hideMark/>
          </w:tcPr>
          <w:p w14:paraId="144969C9" w14:textId="5C9600C7" w:rsidR="00701BA0" w:rsidRPr="00732866" w:rsidRDefault="00CD2F10" w:rsidP="00AB3F9D">
            <w:pPr>
              <w:spacing w:after="0" w:line="360" w:lineRule="auto"/>
              <w:jc w:val="center"/>
              <w:rPr>
                <w:rFonts w:asciiTheme="majorBidi" w:hAnsiTheme="majorBidi" w:cstheme="majorBidi"/>
              </w:rPr>
            </w:pPr>
            <w:r>
              <w:rPr>
                <w:rFonts w:asciiTheme="majorBidi" w:hAnsiTheme="majorBidi" w:cstheme="majorBidi"/>
              </w:rPr>
              <w:t>0.05</w:t>
            </w:r>
          </w:p>
        </w:tc>
      </w:tr>
      <w:tr w:rsidR="00701BA0" w:rsidRPr="00E55C2E" w14:paraId="3077E3EC" w14:textId="77777777" w:rsidTr="00A42310">
        <w:trPr>
          <w:trHeight w:val="380"/>
          <w:jc w:val="center"/>
        </w:trPr>
        <w:tc>
          <w:tcPr>
            <w:tcW w:w="1343"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FE807EF"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b/>
                <w:bCs/>
              </w:rPr>
              <w:t>1</w:t>
            </w:r>
          </w:p>
        </w:tc>
        <w:tc>
          <w:tcPr>
            <w:tcW w:w="1183"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3852AA7"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26.83</w:t>
            </w:r>
          </w:p>
        </w:tc>
        <w:tc>
          <w:tcPr>
            <w:tcW w:w="1243"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6C1FF70"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14.57</w:t>
            </w:r>
          </w:p>
        </w:tc>
        <w:tc>
          <w:tcPr>
            <w:tcW w:w="1344"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B71636D"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5.21</w:t>
            </w:r>
          </w:p>
        </w:tc>
        <w:tc>
          <w:tcPr>
            <w:tcW w:w="1364"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8000A44" w14:textId="77777777" w:rsidR="00701BA0" w:rsidRPr="00732866" w:rsidRDefault="00701BA0" w:rsidP="00AB3F9D">
            <w:pPr>
              <w:spacing w:after="0" w:line="360" w:lineRule="auto"/>
              <w:jc w:val="center"/>
              <w:rPr>
                <w:rFonts w:asciiTheme="majorBidi" w:hAnsiTheme="majorBidi" w:cstheme="majorBidi"/>
              </w:rPr>
            </w:pPr>
            <w:r w:rsidRPr="00732866">
              <w:rPr>
                <w:rFonts w:asciiTheme="majorBidi" w:hAnsiTheme="majorBidi" w:cstheme="majorBidi"/>
              </w:rPr>
              <w:t>1.42</w:t>
            </w:r>
          </w:p>
        </w:tc>
        <w:tc>
          <w:tcPr>
            <w:tcW w:w="1183"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49698FC" w14:textId="048E27B5" w:rsidR="00701BA0" w:rsidRPr="00732866" w:rsidRDefault="00CD2F10" w:rsidP="00AB3F9D">
            <w:pPr>
              <w:spacing w:after="0" w:line="360" w:lineRule="auto"/>
              <w:jc w:val="center"/>
              <w:rPr>
                <w:rFonts w:asciiTheme="majorBidi" w:hAnsiTheme="majorBidi" w:cstheme="majorBidi"/>
              </w:rPr>
            </w:pPr>
            <w:r>
              <w:rPr>
                <w:rFonts w:asciiTheme="majorBidi" w:hAnsiTheme="majorBidi" w:cstheme="majorBidi"/>
              </w:rPr>
              <w:t>0.11</w:t>
            </w:r>
          </w:p>
        </w:tc>
      </w:tr>
    </w:tbl>
    <w:p w14:paraId="03394B73" w14:textId="77777777" w:rsidR="00363359" w:rsidRPr="00732866" w:rsidRDefault="00363359" w:rsidP="00AB3F9D">
      <w:pPr>
        <w:spacing w:after="0" w:line="360" w:lineRule="auto"/>
        <w:rPr>
          <w:rFonts w:asciiTheme="majorBidi" w:hAnsiTheme="majorBidi" w:cstheme="majorBidi"/>
          <w:sz w:val="24"/>
          <w:szCs w:val="24"/>
        </w:rPr>
      </w:pPr>
    </w:p>
    <w:p w14:paraId="0498129A" w14:textId="7B62D21A" w:rsidR="003F68DD" w:rsidRPr="00A42310" w:rsidRDefault="00D772D0" w:rsidP="00AB3F9D">
      <w:pPr>
        <w:spacing w:after="0" w:line="360" w:lineRule="auto"/>
        <w:jc w:val="both"/>
        <w:rPr>
          <w:rFonts w:ascii="Times New Roman" w:hAnsi="Times New Roman" w:cs="Times New Roman"/>
          <w:sz w:val="24"/>
          <w:szCs w:val="24"/>
          <w:rtl/>
        </w:rPr>
      </w:pPr>
      <w:r>
        <w:rPr>
          <w:rFonts w:ascii="Times New Roman" w:hAnsi="Times New Roman" w:cs="Times New Roman"/>
          <w:sz w:val="24"/>
          <w:szCs w:val="24"/>
        </w:rPr>
        <w:t>The Zn fraction</w:t>
      </w:r>
      <w:r w:rsidR="007A234B">
        <w:rPr>
          <w:rFonts w:ascii="Times New Roman" w:hAnsi="Times New Roman" w:cs="Times New Roman"/>
          <w:sz w:val="24"/>
          <w:szCs w:val="24"/>
        </w:rPr>
        <w:t>s</w:t>
      </w:r>
      <w:r>
        <w:rPr>
          <w:rFonts w:ascii="Times New Roman" w:hAnsi="Times New Roman" w:cs="Times New Roman"/>
          <w:sz w:val="24"/>
          <w:szCs w:val="24"/>
        </w:rPr>
        <w:t xml:space="preserve"> </w:t>
      </w:r>
      <w:r w:rsidR="00474C75">
        <w:rPr>
          <w:rFonts w:ascii="Times New Roman" w:hAnsi="Times New Roman" w:cs="Times New Roman"/>
          <w:sz w:val="24"/>
          <w:szCs w:val="24"/>
        </w:rPr>
        <w:t xml:space="preserve">selected for </w:t>
      </w:r>
      <w:r>
        <w:rPr>
          <w:rFonts w:ascii="Times New Roman" w:hAnsi="Times New Roman" w:cs="Times New Roman"/>
          <w:sz w:val="24"/>
          <w:szCs w:val="24"/>
        </w:rPr>
        <w:t>the MC analog</w:t>
      </w:r>
      <w:r w:rsidR="00474C75">
        <w:rPr>
          <w:rFonts w:ascii="Times New Roman" w:hAnsi="Times New Roman" w:cs="Times New Roman"/>
          <w:sz w:val="24"/>
          <w:szCs w:val="24"/>
        </w:rPr>
        <w:t xml:space="preserve"> </w:t>
      </w:r>
      <w:r>
        <w:rPr>
          <w:rFonts w:ascii="Times New Roman" w:hAnsi="Times New Roman" w:cs="Times New Roman"/>
          <w:sz w:val="24"/>
          <w:szCs w:val="24"/>
        </w:rPr>
        <w:t>s</w:t>
      </w:r>
      <w:r w:rsidR="00474C75">
        <w:rPr>
          <w:rFonts w:ascii="Times New Roman" w:hAnsi="Times New Roman" w:cs="Times New Roman"/>
          <w:sz w:val="24"/>
          <w:szCs w:val="24"/>
        </w:rPr>
        <w:t>yntheses</w:t>
      </w:r>
      <w:r>
        <w:rPr>
          <w:rFonts w:ascii="Times New Roman" w:hAnsi="Times New Roman" w:cs="Times New Roman"/>
          <w:sz w:val="24"/>
          <w:szCs w:val="24"/>
        </w:rPr>
        <w:t xml:space="preserve"> </w:t>
      </w:r>
      <w:r w:rsidR="00305A03">
        <w:rPr>
          <w:rFonts w:ascii="Times New Roman" w:hAnsi="Times New Roman" w:cs="Times New Roman"/>
          <w:sz w:val="24"/>
          <w:szCs w:val="24"/>
        </w:rPr>
        <w:t>hold</w:t>
      </w:r>
      <w:r>
        <w:rPr>
          <w:rFonts w:ascii="Times New Roman" w:hAnsi="Times New Roman" w:cs="Times New Roman"/>
          <w:sz w:val="24"/>
          <w:szCs w:val="24"/>
        </w:rPr>
        <w:t xml:space="preserve"> physiological relevan</w:t>
      </w:r>
      <w:r w:rsidR="00305A03">
        <w:rPr>
          <w:rFonts w:ascii="Times New Roman" w:hAnsi="Times New Roman" w:cs="Times New Roman"/>
          <w:sz w:val="24"/>
          <w:szCs w:val="24"/>
        </w:rPr>
        <w:t>ce</w:t>
      </w:r>
      <w:r w:rsidR="004766BB">
        <w:rPr>
          <w:rFonts w:ascii="Times New Roman" w:hAnsi="Times New Roman" w:cs="Times New Roman"/>
          <w:sz w:val="24"/>
          <w:szCs w:val="24"/>
        </w:rPr>
        <w:t xml:space="preserve">. </w:t>
      </w:r>
      <w:r w:rsidR="00766CC4">
        <w:rPr>
          <w:rFonts w:ascii="Times New Roman" w:hAnsi="Times New Roman" w:cs="Times New Roman"/>
          <w:sz w:val="24"/>
          <w:szCs w:val="24"/>
        </w:rPr>
        <w:t>Among the MC analogs, o</w:t>
      </w:r>
      <w:r w:rsidR="00756B9F">
        <w:rPr>
          <w:rFonts w:ascii="Times New Roman" w:hAnsi="Times New Roman" w:cs="Times New Roman"/>
          <w:sz w:val="24"/>
          <w:szCs w:val="24"/>
        </w:rPr>
        <w:t>ne</w:t>
      </w:r>
      <w:r w:rsidR="00766CC4">
        <w:rPr>
          <w:rFonts w:ascii="Times New Roman" w:hAnsi="Times New Roman" w:cs="Times New Roman"/>
          <w:sz w:val="24"/>
          <w:szCs w:val="24"/>
        </w:rPr>
        <w:t xml:space="preserve"> lacks Zn, </w:t>
      </w:r>
      <w:r w:rsidR="00872933">
        <w:rPr>
          <w:rFonts w:ascii="Times New Roman" w:hAnsi="Times New Roman" w:cs="Times New Roman"/>
          <w:sz w:val="24"/>
          <w:szCs w:val="24"/>
        </w:rPr>
        <w:t>and</w:t>
      </w:r>
      <w:r w:rsidR="004F08CC">
        <w:rPr>
          <w:rFonts w:ascii="Times New Roman" w:hAnsi="Times New Roman" w:cs="Times New Roman"/>
          <w:sz w:val="24"/>
          <w:szCs w:val="24"/>
        </w:rPr>
        <w:t xml:space="preserve"> </w:t>
      </w:r>
      <w:r w:rsidR="00872933">
        <w:rPr>
          <w:rFonts w:ascii="Times New Roman" w:hAnsi="Times New Roman" w:cs="Times New Roman"/>
          <w:sz w:val="24"/>
          <w:szCs w:val="24"/>
        </w:rPr>
        <w:t>t</w:t>
      </w:r>
      <w:r w:rsidR="00756B9F">
        <w:rPr>
          <w:rFonts w:ascii="Times New Roman" w:hAnsi="Times New Roman" w:cs="Times New Roman"/>
          <w:sz w:val="24"/>
          <w:szCs w:val="24"/>
        </w:rPr>
        <w:t xml:space="preserve">hree </w:t>
      </w:r>
      <w:r w:rsidR="00E345D8">
        <w:rPr>
          <w:rFonts w:ascii="Times New Roman" w:hAnsi="Times New Roman" w:cs="Times New Roman"/>
          <w:sz w:val="24"/>
          <w:szCs w:val="24"/>
        </w:rPr>
        <w:t xml:space="preserve">other </w:t>
      </w:r>
      <w:r w:rsidR="00756B9F">
        <w:rPr>
          <w:rFonts w:ascii="Times New Roman" w:hAnsi="Times New Roman" w:cs="Times New Roman"/>
          <w:sz w:val="24"/>
          <w:szCs w:val="24"/>
        </w:rPr>
        <w:t xml:space="preserve">MC analogs </w:t>
      </w:r>
      <w:r w:rsidR="00225747">
        <w:rPr>
          <w:rFonts w:ascii="Times New Roman" w:hAnsi="Times New Roman" w:cs="Times New Roman"/>
          <w:sz w:val="24"/>
          <w:szCs w:val="24"/>
        </w:rPr>
        <w:t xml:space="preserve">correspond </w:t>
      </w:r>
      <w:r w:rsidR="00576B6B">
        <w:rPr>
          <w:rFonts w:ascii="Times New Roman" w:hAnsi="Times New Roman" w:cs="Times New Roman"/>
          <w:sz w:val="24"/>
          <w:szCs w:val="24"/>
        </w:rPr>
        <w:t>to the</w:t>
      </w:r>
      <w:r w:rsidR="003E26A4">
        <w:rPr>
          <w:rFonts w:ascii="Times New Roman" w:hAnsi="Times New Roman" w:cs="Times New Roman"/>
          <w:sz w:val="24"/>
          <w:szCs w:val="24"/>
        </w:rPr>
        <w:t xml:space="preserve"> Zn fractions from </w:t>
      </w:r>
      <w:r w:rsidR="00225747">
        <w:rPr>
          <w:rFonts w:ascii="Times New Roman" w:hAnsi="Times New Roman" w:cs="Times New Roman"/>
          <w:sz w:val="24"/>
          <w:szCs w:val="24"/>
        </w:rPr>
        <w:t>MCs found in cancerous nodules</w:t>
      </w:r>
      <w:r w:rsidR="003E26A4">
        <w:rPr>
          <w:rFonts w:ascii="Times New Roman" w:hAnsi="Times New Roman" w:cs="Times New Roman"/>
          <w:sz w:val="24"/>
          <w:szCs w:val="24"/>
        </w:rPr>
        <w:t>:</w:t>
      </w:r>
      <w:r w:rsidR="00225747">
        <w:rPr>
          <w:rFonts w:ascii="Times New Roman" w:hAnsi="Times New Roman" w:cs="Times New Roman"/>
          <w:sz w:val="24"/>
          <w:szCs w:val="24"/>
        </w:rPr>
        <w:t xml:space="preserve"> </w:t>
      </w:r>
      <w:r w:rsidR="00021783">
        <w:rPr>
          <w:rFonts w:ascii="Times New Roman" w:hAnsi="Times New Roman" w:cs="Times New Roman"/>
          <w:sz w:val="24"/>
          <w:szCs w:val="24"/>
        </w:rPr>
        <w:t>0.74</w:t>
      </w:r>
      <w:r w:rsidR="00706CED">
        <w:rPr>
          <w:rFonts w:ascii="Times New Roman" w:hAnsi="Times New Roman" w:cs="Times New Roman"/>
          <w:sz w:val="24"/>
          <w:szCs w:val="24"/>
        </w:rPr>
        <w:t xml:space="preserve"> wt%</w:t>
      </w:r>
      <w:r w:rsidR="00021783">
        <w:rPr>
          <w:rFonts w:ascii="Times New Roman" w:hAnsi="Times New Roman" w:cs="Times New Roman"/>
          <w:sz w:val="24"/>
          <w:szCs w:val="24"/>
        </w:rPr>
        <w:t xml:space="preserve">, </w:t>
      </w:r>
      <w:r w:rsidR="00DF1366">
        <w:rPr>
          <w:rFonts w:ascii="Times New Roman" w:hAnsi="Times New Roman" w:cs="Times New Roman"/>
          <w:sz w:val="24"/>
          <w:szCs w:val="24"/>
        </w:rPr>
        <w:t>1.22</w:t>
      </w:r>
      <w:r w:rsidR="00706CED">
        <w:rPr>
          <w:rFonts w:ascii="Times New Roman" w:hAnsi="Times New Roman" w:cs="Times New Roman"/>
          <w:sz w:val="24"/>
          <w:szCs w:val="24"/>
        </w:rPr>
        <w:t xml:space="preserve"> wt%</w:t>
      </w:r>
      <w:r w:rsidR="00DF1366">
        <w:rPr>
          <w:rFonts w:ascii="Times New Roman" w:hAnsi="Times New Roman" w:cs="Times New Roman"/>
          <w:sz w:val="24"/>
          <w:szCs w:val="24"/>
        </w:rPr>
        <w:t>, and 2.62 wt%</w:t>
      </w:r>
      <w:r w:rsidR="00225747">
        <w:rPr>
          <w:rFonts w:ascii="Times New Roman" w:hAnsi="Times New Roman" w:cs="Times New Roman"/>
          <w:sz w:val="24"/>
          <w:szCs w:val="24"/>
        </w:rPr>
        <w:t>. This range</w:t>
      </w:r>
      <w:r w:rsidR="00487603">
        <w:rPr>
          <w:rFonts w:ascii="Times New Roman" w:hAnsi="Times New Roman" w:cs="Times New Roman"/>
          <w:sz w:val="24"/>
          <w:szCs w:val="24"/>
        </w:rPr>
        <w:t xml:space="preserve"> </w:t>
      </w:r>
      <w:r w:rsidR="00225747">
        <w:rPr>
          <w:rFonts w:ascii="Times New Roman" w:hAnsi="Times New Roman" w:cs="Times New Roman"/>
          <w:sz w:val="24"/>
          <w:szCs w:val="24"/>
        </w:rPr>
        <w:t xml:space="preserve">closely </w:t>
      </w:r>
      <w:r w:rsidR="00517E20">
        <w:rPr>
          <w:rFonts w:ascii="Times New Roman" w:hAnsi="Times New Roman" w:cs="Times New Roman"/>
          <w:sz w:val="24"/>
          <w:szCs w:val="24"/>
        </w:rPr>
        <w:t>resemble</w:t>
      </w:r>
      <w:r w:rsidR="00225747">
        <w:rPr>
          <w:rFonts w:ascii="Times New Roman" w:hAnsi="Times New Roman" w:cs="Times New Roman"/>
          <w:sz w:val="24"/>
          <w:szCs w:val="24"/>
        </w:rPr>
        <w:t>s the Zn fractions detected in FNA MCs</w:t>
      </w:r>
      <w:r w:rsidR="00872933">
        <w:rPr>
          <w:rFonts w:ascii="Times New Roman" w:hAnsi="Times New Roman" w:cs="Times New Roman"/>
          <w:sz w:val="24"/>
          <w:szCs w:val="24"/>
        </w:rPr>
        <w:t xml:space="preserve"> from cancerous nodules</w:t>
      </w:r>
      <w:r w:rsidR="00225747">
        <w:rPr>
          <w:rFonts w:ascii="Times New Roman" w:hAnsi="Times New Roman" w:cs="Times New Roman"/>
          <w:sz w:val="24"/>
          <w:szCs w:val="24"/>
        </w:rPr>
        <w:t>, which fall within the comparable range of 0.5% to 2.7%. Additionally,</w:t>
      </w:r>
      <w:r w:rsidR="00962DD0">
        <w:rPr>
          <w:rFonts w:ascii="Times New Roman" w:hAnsi="Times New Roman" w:cs="Times New Roman"/>
          <w:sz w:val="24"/>
          <w:szCs w:val="24"/>
        </w:rPr>
        <w:t xml:space="preserve"> one</w:t>
      </w:r>
      <w:r w:rsidR="00474C75">
        <w:rPr>
          <w:rFonts w:ascii="Times New Roman" w:hAnsi="Times New Roman" w:cs="Times New Roman"/>
          <w:sz w:val="24"/>
          <w:szCs w:val="24"/>
        </w:rPr>
        <w:t xml:space="preserve"> </w:t>
      </w:r>
      <w:r w:rsidR="00F3373B">
        <w:rPr>
          <w:rFonts w:ascii="Times New Roman" w:hAnsi="Times New Roman" w:cs="Times New Roman"/>
          <w:sz w:val="24"/>
          <w:szCs w:val="24"/>
        </w:rPr>
        <w:t>s</w:t>
      </w:r>
      <w:r w:rsidR="00474C75">
        <w:rPr>
          <w:rFonts w:ascii="Times New Roman" w:hAnsi="Times New Roman" w:cs="Times New Roman"/>
          <w:sz w:val="24"/>
          <w:szCs w:val="24"/>
        </w:rPr>
        <w:t>ynthetic</w:t>
      </w:r>
      <w:r w:rsidR="00225747">
        <w:rPr>
          <w:rFonts w:ascii="Times New Roman" w:hAnsi="Times New Roman" w:cs="Times New Roman"/>
          <w:sz w:val="24"/>
          <w:szCs w:val="24"/>
        </w:rPr>
        <w:t xml:space="preserve"> MC has</w:t>
      </w:r>
      <w:r w:rsidR="00962DD0">
        <w:rPr>
          <w:rFonts w:ascii="Times New Roman" w:hAnsi="Times New Roman" w:cs="Times New Roman"/>
          <w:sz w:val="24"/>
          <w:szCs w:val="24"/>
        </w:rPr>
        <w:t xml:space="preserve"> </w:t>
      </w:r>
      <w:r w:rsidR="00021783">
        <w:rPr>
          <w:rFonts w:ascii="Times New Roman" w:hAnsi="Times New Roman" w:cs="Times New Roman"/>
          <w:sz w:val="24"/>
          <w:szCs w:val="24"/>
        </w:rPr>
        <w:t>a higher Zn fraction</w:t>
      </w:r>
      <w:r w:rsidR="00DF1366">
        <w:rPr>
          <w:rFonts w:ascii="Times New Roman" w:hAnsi="Times New Roman" w:cs="Times New Roman"/>
          <w:sz w:val="24"/>
          <w:szCs w:val="24"/>
        </w:rPr>
        <w:t xml:space="preserve"> </w:t>
      </w:r>
      <w:r w:rsidR="00A50B99">
        <w:rPr>
          <w:rFonts w:ascii="Times New Roman" w:hAnsi="Times New Roman" w:cs="Times New Roman"/>
          <w:sz w:val="24"/>
          <w:szCs w:val="24"/>
        </w:rPr>
        <w:t xml:space="preserve">than </w:t>
      </w:r>
      <w:r w:rsidR="00695071">
        <w:rPr>
          <w:rFonts w:ascii="Times New Roman" w:hAnsi="Times New Roman" w:cs="Times New Roman"/>
          <w:sz w:val="24"/>
          <w:szCs w:val="24"/>
        </w:rPr>
        <w:t xml:space="preserve">typically </w:t>
      </w:r>
      <w:r w:rsidR="00A50B99">
        <w:rPr>
          <w:rFonts w:ascii="Times New Roman" w:hAnsi="Times New Roman" w:cs="Times New Roman"/>
          <w:sz w:val="24"/>
          <w:szCs w:val="24"/>
        </w:rPr>
        <w:t>observed in thyroid nodule MCs</w:t>
      </w:r>
      <w:r w:rsidR="00D557C5">
        <w:rPr>
          <w:rFonts w:ascii="Times New Roman" w:hAnsi="Times New Roman" w:cs="Times New Roman"/>
          <w:sz w:val="24"/>
          <w:szCs w:val="24"/>
        </w:rPr>
        <w:t xml:space="preserve"> (5.21 wt%)</w:t>
      </w:r>
      <w:r w:rsidR="006703CF">
        <w:rPr>
          <w:rFonts w:ascii="Times New Roman" w:hAnsi="Times New Roman" w:cs="Times New Roman"/>
          <w:sz w:val="24"/>
          <w:szCs w:val="24"/>
        </w:rPr>
        <w:t>.</w:t>
      </w:r>
      <w:r w:rsidR="00A50B99">
        <w:rPr>
          <w:rFonts w:ascii="Times New Roman" w:hAnsi="Times New Roman" w:cs="Times New Roman"/>
          <w:sz w:val="24"/>
          <w:szCs w:val="24"/>
        </w:rPr>
        <w:t xml:space="preserve"> </w:t>
      </w:r>
      <w:r w:rsidR="006703CF">
        <w:rPr>
          <w:rFonts w:ascii="Times New Roman" w:hAnsi="Times New Roman" w:cs="Times New Roman"/>
          <w:sz w:val="24"/>
          <w:szCs w:val="24"/>
        </w:rPr>
        <w:t xml:space="preserve">This experimental design </w:t>
      </w:r>
      <w:r w:rsidR="00517E20">
        <w:rPr>
          <w:rFonts w:ascii="Times New Roman" w:hAnsi="Times New Roman" w:cs="Times New Roman"/>
          <w:sz w:val="24"/>
          <w:szCs w:val="24"/>
        </w:rPr>
        <w:t>examines</w:t>
      </w:r>
      <w:r w:rsidR="007A59E5">
        <w:rPr>
          <w:rFonts w:ascii="Times New Roman" w:hAnsi="Times New Roman" w:cs="Times New Roman"/>
          <w:sz w:val="24"/>
          <w:szCs w:val="24"/>
        </w:rPr>
        <w:t xml:space="preserve"> whether physiological Zn fractions</w:t>
      </w:r>
      <w:r w:rsidR="00756C2D">
        <w:rPr>
          <w:rFonts w:ascii="Times New Roman" w:hAnsi="Times New Roman" w:cs="Times New Roman"/>
          <w:sz w:val="24"/>
          <w:szCs w:val="24"/>
        </w:rPr>
        <w:t xml:space="preserve"> hold significance</w:t>
      </w:r>
      <w:r w:rsidR="007A59E5">
        <w:rPr>
          <w:rFonts w:ascii="Times New Roman" w:hAnsi="Times New Roman" w:cs="Times New Roman"/>
          <w:sz w:val="24"/>
          <w:szCs w:val="24"/>
        </w:rPr>
        <w:t xml:space="preserve"> or </w:t>
      </w:r>
      <w:r w:rsidR="00756C2D">
        <w:rPr>
          <w:rFonts w:ascii="Times New Roman" w:hAnsi="Times New Roman" w:cs="Times New Roman"/>
          <w:sz w:val="24"/>
          <w:szCs w:val="24"/>
        </w:rPr>
        <w:t xml:space="preserve">if </w:t>
      </w:r>
      <w:r w:rsidR="007A59E5">
        <w:rPr>
          <w:rFonts w:ascii="Times New Roman" w:hAnsi="Times New Roman" w:cs="Times New Roman"/>
          <w:sz w:val="24"/>
          <w:szCs w:val="24"/>
        </w:rPr>
        <w:t xml:space="preserve">the </w:t>
      </w:r>
      <w:r w:rsidR="00756C2D">
        <w:rPr>
          <w:rFonts w:ascii="Times New Roman" w:hAnsi="Times New Roman" w:cs="Times New Roman"/>
          <w:sz w:val="24"/>
          <w:szCs w:val="24"/>
        </w:rPr>
        <w:t>connection</w:t>
      </w:r>
      <w:r w:rsidR="007A59E5">
        <w:rPr>
          <w:rFonts w:ascii="Times New Roman" w:hAnsi="Times New Roman" w:cs="Times New Roman"/>
          <w:sz w:val="24"/>
          <w:szCs w:val="24"/>
        </w:rPr>
        <w:t xml:space="preserve"> to malignancy</w:t>
      </w:r>
      <w:r w:rsidR="00BC3DBB">
        <w:rPr>
          <w:rFonts w:ascii="Times New Roman" w:hAnsi="Times New Roman" w:cs="Times New Roman"/>
          <w:sz w:val="24"/>
          <w:szCs w:val="24"/>
        </w:rPr>
        <w:t xml:space="preserve"> is</w:t>
      </w:r>
      <w:r w:rsidR="007A59E5">
        <w:rPr>
          <w:rFonts w:ascii="Times New Roman" w:hAnsi="Times New Roman" w:cs="Times New Roman"/>
          <w:sz w:val="24"/>
          <w:szCs w:val="24"/>
        </w:rPr>
        <w:t xml:space="preserve"> linearly </w:t>
      </w:r>
      <w:r w:rsidR="00BC3DBB">
        <w:rPr>
          <w:rFonts w:ascii="Times New Roman" w:hAnsi="Times New Roman" w:cs="Times New Roman"/>
          <w:sz w:val="24"/>
          <w:szCs w:val="24"/>
        </w:rPr>
        <w:t>reliant</w:t>
      </w:r>
      <w:r w:rsidR="007A59E5">
        <w:rPr>
          <w:rFonts w:ascii="Times New Roman" w:hAnsi="Times New Roman" w:cs="Times New Roman"/>
          <w:sz w:val="24"/>
          <w:szCs w:val="24"/>
        </w:rPr>
        <w:t xml:space="preserve"> on the Zn fraction</w:t>
      </w:r>
      <w:r w:rsidR="0061248C">
        <w:rPr>
          <w:rFonts w:ascii="Times New Roman" w:hAnsi="Times New Roman" w:cs="Times New Roman"/>
          <w:sz w:val="24"/>
          <w:szCs w:val="24"/>
        </w:rPr>
        <w:t>.</w:t>
      </w:r>
      <w:r>
        <w:rPr>
          <w:rFonts w:ascii="Times New Roman" w:hAnsi="Times New Roman" w:cs="Times New Roman"/>
          <w:sz w:val="24"/>
          <w:szCs w:val="24"/>
        </w:rPr>
        <w:t xml:space="preserve"> </w:t>
      </w:r>
      <w:r w:rsidR="004F08CC">
        <w:rPr>
          <w:rFonts w:ascii="Times New Roman" w:hAnsi="Times New Roman" w:cs="Times New Roman"/>
          <w:sz w:val="24"/>
          <w:szCs w:val="24"/>
        </w:rPr>
        <w:t xml:space="preserve">The crystals with 0% Zn are similar in composition to FNA </w:t>
      </w:r>
      <w:r w:rsidR="004F08CC">
        <w:rPr>
          <w:rFonts w:ascii="Times New Roman" w:hAnsi="Times New Roman" w:cs="Times New Roman"/>
          <w:sz w:val="24"/>
          <w:szCs w:val="24"/>
        </w:rPr>
        <w:lastRenderedPageBreak/>
        <w:t>MCs found in benign nodules, but their morphology differs from these MCs. Hence, they cannot be considered representative analogs of benign nodule MCs; instead, they enable examination of the influence of Zn fraction on cellular behavior</w:t>
      </w:r>
      <w:r w:rsidR="004D14CB">
        <w:rPr>
          <w:rFonts w:ascii="Times New Roman" w:hAnsi="Times New Roman" w:cs="Times New Roman"/>
          <w:sz w:val="24"/>
          <w:szCs w:val="24"/>
        </w:rPr>
        <w:t xml:space="preserve"> </w:t>
      </w:r>
      <w:r w:rsidR="000D14E5">
        <w:rPr>
          <w:rFonts w:ascii="Times New Roman" w:hAnsi="Times New Roman" w:cs="Times New Roman"/>
          <w:sz w:val="24"/>
          <w:szCs w:val="24"/>
        </w:rPr>
        <w:t>together</w:t>
      </w:r>
      <w:r w:rsidR="004D14CB">
        <w:rPr>
          <w:rFonts w:ascii="Times New Roman" w:hAnsi="Times New Roman" w:cs="Times New Roman"/>
          <w:sz w:val="24"/>
          <w:szCs w:val="24"/>
        </w:rPr>
        <w:t xml:space="preserve"> with other parame</w:t>
      </w:r>
      <w:r w:rsidR="000D14E5">
        <w:rPr>
          <w:rFonts w:ascii="Times New Roman" w:hAnsi="Times New Roman" w:cs="Times New Roman"/>
          <w:sz w:val="24"/>
          <w:szCs w:val="24"/>
        </w:rPr>
        <w:t>te</w:t>
      </w:r>
      <w:r w:rsidR="004D14CB">
        <w:rPr>
          <w:rFonts w:ascii="Times New Roman" w:hAnsi="Times New Roman" w:cs="Times New Roman"/>
          <w:sz w:val="24"/>
          <w:szCs w:val="24"/>
        </w:rPr>
        <w:t>rs</w:t>
      </w:r>
      <w:r w:rsidR="004F08CC">
        <w:rPr>
          <w:rFonts w:ascii="Times New Roman" w:hAnsi="Times New Roman" w:cs="Times New Roman"/>
          <w:sz w:val="24"/>
          <w:szCs w:val="24"/>
        </w:rPr>
        <w:t xml:space="preserve">. </w:t>
      </w:r>
    </w:p>
    <w:p w14:paraId="07234893" w14:textId="36B38439" w:rsidR="00CC268B" w:rsidRDefault="00AD2ED4" w:rsidP="00AB3F9D">
      <w:pPr>
        <w:spacing w:after="0" w:line="360" w:lineRule="auto"/>
        <w:jc w:val="both"/>
        <w:rPr>
          <w:rFonts w:ascii="Times New Roman" w:hAnsi="Times New Roman" w:cs="Times New Roman"/>
          <w:sz w:val="24"/>
          <w:szCs w:val="24"/>
          <w:highlight w:val="green"/>
        </w:rPr>
      </w:pPr>
      <w:r w:rsidRPr="001B4AFE">
        <w:rPr>
          <w:rFonts w:asciiTheme="majorBidi" w:hAnsiTheme="majorBidi" w:cstheme="majorBidi"/>
          <w:sz w:val="24"/>
          <w:szCs w:val="24"/>
        </w:rPr>
        <w:t xml:space="preserve">To examine </w:t>
      </w:r>
      <w:r w:rsidR="00665798">
        <w:rPr>
          <w:rFonts w:asciiTheme="majorBidi" w:hAnsiTheme="majorBidi" w:cstheme="majorBidi"/>
          <w:sz w:val="24"/>
          <w:szCs w:val="24"/>
        </w:rPr>
        <w:t>distinctions</w:t>
      </w:r>
      <w:r w:rsidRPr="001B4AFE">
        <w:rPr>
          <w:rFonts w:asciiTheme="majorBidi" w:hAnsiTheme="majorBidi" w:cstheme="majorBidi"/>
          <w:sz w:val="24"/>
          <w:szCs w:val="24"/>
        </w:rPr>
        <w:t xml:space="preserve"> in surface characteristics among the minerals, SEM was employed to </w:t>
      </w:r>
      <w:r w:rsidR="00665798">
        <w:rPr>
          <w:rFonts w:asciiTheme="majorBidi" w:hAnsiTheme="majorBidi" w:cstheme="majorBidi"/>
          <w:sz w:val="24"/>
          <w:szCs w:val="24"/>
        </w:rPr>
        <w:t>visualize</w:t>
      </w:r>
      <w:r w:rsidRPr="001B4AFE">
        <w:rPr>
          <w:rFonts w:asciiTheme="majorBidi" w:hAnsiTheme="majorBidi" w:cstheme="majorBidi"/>
          <w:sz w:val="24"/>
          <w:szCs w:val="24"/>
        </w:rPr>
        <w:t xml:space="preserve"> particle sizes and surface morpholog</w:t>
      </w:r>
      <w:r w:rsidR="00245186">
        <w:rPr>
          <w:rFonts w:asciiTheme="majorBidi" w:hAnsiTheme="majorBidi" w:cstheme="majorBidi"/>
          <w:sz w:val="24"/>
          <w:szCs w:val="24"/>
        </w:rPr>
        <w:t>ies</w:t>
      </w:r>
      <w:r>
        <w:rPr>
          <w:rFonts w:asciiTheme="majorBidi" w:hAnsiTheme="majorBidi" w:cstheme="majorBidi"/>
          <w:sz w:val="24"/>
          <w:szCs w:val="24"/>
        </w:rPr>
        <w:t xml:space="preserve"> (Fig. </w:t>
      </w:r>
      <w:r w:rsidR="00665798">
        <w:rPr>
          <w:rFonts w:asciiTheme="majorBidi" w:hAnsiTheme="majorBidi" w:cstheme="majorBidi"/>
          <w:sz w:val="24"/>
          <w:szCs w:val="24"/>
        </w:rPr>
        <w:t xml:space="preserve">2 </w:t>
      </w:r>
      <w:r w:rsidR="00474C75">
        <w:rPr>
          <w:rFonts w:asciiTheme="majorBidi" w:hAnsiTheme="majorBidi" w:cstheme="majorBidi"/>
          <w:sz w:val="24"/>
          <w:szCs w:val="24"/>
        </w:rPr>
        <w:t>a-e</w:t>
      </w:r>
      <w:r>
        <w:rPr>
          <w:rFonts w:asciiTheme="majorBidi" w:hAnsiTheme="majorBidi" w:cstheme="majorBidi"/>
          <w:sz w:val="24"/>
          <w:szCs w:val="24"/>
        </w:rPr>
        <w:t>).</w:t>
      </w:r>
      <w:r w:rsidRPr="001B4AFE">
        <w:rPr>
          <w:rFonts w:asciiTheme="majorBidi" w:hAnsiTheme="majorBidi" w:cstheme="majorBidi"/>
          <w:sz w:val="24"/>
          <w:szCs w:val="24"/>
        </w:rPr>
        <w:t xml:space="preserve"> </w:t>
      </w:r>
      <w:r>
        <w:rPr>
          <w:rFonts w:asciiTheme="majorBidi" w:hAnsiTheme="majorBidi" w:cstheme="majorBidi"/>
          <w:sz w:val="24"/>
          <w:szCs w:val="24"/>
        </w:rPr>
        <w:t>T</w:t>
      </w:r>
      <w:r w:rsidRPr="001B4AFE">
        <w:rPr>
          <w:rFonts w:asciiTheme="majorBidi" w:hAnsiTheme="majorBidi" w:cstheme="majorBidi"/>
          <w:sz w:val="24"/>
          <w:szCs w:val="24"/>
        </w:rPr>
        <w:t xml:space="preserve">he particle sizes </w:t>
      </w:r>
      <w:r>
        <w:rPr>
          <w:rFonts w:asciiTheme="majorBidi" w:hAnsiTheme="majorBidi" w:cstheme="majorBidi"/>
          <w:sz w:val="24"/>
          <w:szCs w:val="24"/>
        </w:rPr>
        <w:t xml:space="preserve">and the </w:t>
      </w:r>
      <w:r w:rsidRPr="001B4AFE">
        <w:rPr>
          <w:rFonts w:asciiTheme="majorBidi" w:hAnsiTheme="majorBidi" w:cstheme="majorBidi"/>
          <w:sz w:val="24"/>
          <w:szCs w:val="24"/>
        </w:rPr>
        <w:t>surface features</w:t>
      </w:r>
      <w:r>
        <w:rPr>
          <w:rFonts w:asciiTheme="majorBidi" w:hAnsiTheme="majorBidi" w:cstheme="majorBidi"/>
          <w:sz w:val="24"/>
          <w:szCs w:val="24"/>
        </w:rPr>
        <w:t xml:space="preserve"> </w:t>
      </w:r>
      <w:r w:rsidRPr="001B4AFE">
        <w:rPr>
          <w:rFonts w:asciiTheme="majorBidi" w:hAnsiTheme="majorBidi" w:cstheme="majorBidi"/>
          <w:sz w:val="24"/>
          <w:szCs w:val="24"/>
        </w:rPr>
        <w:t>of the MC</w:t>
      </w:r>
      <w:r>
        <w:rPr>
          <w:rFonts w:asciiTheme="majorBidi" w:hAnsiTheme="majorBidi" w:cstheme="majorBidi"/>
          <w:sz w:val="24"/>
          <w:szCs w:val="24"/>
        </w:rPr>
        <w:t xml:space="preserve"> analogs</w:t>
      </w:r>
      <w:r w:rsidRPr="001B4AFE">
        <w:rPr>
          <w:rFonts w:asciiTheme="majorBidi" w:hAnsiTheme="majorBidi" w:cstheme="majorBidi"/>
          <w:sz w:val="24"/>
          <w:szCs w:val="24"/>
        </w:rPr>
        <w:t xml:space="preserve"> were similar</w:t>
      </w:r>
      <w:r>
        <w:rPr>
          <w:rFonts w:asciiTheme="majorBidi" w:hAnsiTheme="majorBidi" w:cstheme="majorBidi"/>
          <w:sz w:val="24"/>
          <w:szCs w:val="24"/>
        </w:rPr>
        <w:t xml:space="preserve"> to the pathological FNA</w:t>
      </w:r>
      <w:r w:rsidR="00665798">
        <w:rPr>
          <w:rFonts w:asciiTheme="majorBidi" w:hAnsiTheme="majorBidi" w:cstheme="majorBidi"/>
          <w:sz w:val="24"/>
          <w:szCs w:val="24"/>
        </w:rPr>
        <w:t>-</w:t>
      </w:r>
      <w:r w:rsidR="00474C75">
        <w:rPr>
          <w:rFonts w:asciiTheme="majorBidi" w:hAnsiTheme="majorBidi" w:cstheme="majorBidi"/>
          <w:sz w:val="24"/>
          <w:szCs w:val="24"/>
        </w:rPr>
        <w:t>collected</w:t>
      </w:r>
      <w:r>
        <w:rPr>
          <w:rFonts w:asciiTheme="majorBidi" w:hAnsiTheme="majorBidi" w:cstheme="majorBidi"/>
          <w:sz w:val="24"/>
          <w:szCs w:val="24"/>
        </w:rPr>
        <w:t xml:space="preserve"> MCs</w:t>
      </w:r>
      <w:r w:rsidR="0053135E">
        <w:rPr>
          <w:rFonts w:asciiTheme="majorBidi" w:hAnsiTheme="majorBidi" w:cstheme="majorBidi"/>
          <w:sz w:val="24"/>
          <w:szCs w:val="24"/>
        </w:rPr>
        <w:t xml:space="preserve"> (Fig. 1)</w:t>
      </w:r>
      <w:r w:rsidRPr="001B4AFE">
        <w:rPr>
          <w:rFonts w:asciiTheme="majorBidi" w:hAnsiTheme="majorBidi" w:cstheme="majorBidi"/>
          <w:sz w:val="24"/>
          <w:szCs w:val="24"/>
        </w:rPr>
        <w:t>.</w:t>
      </w:r>
      <w:r w:rsidR="00474C75">
        <w:rPr>
          <w:rFonts w:asciiTheme="majorBidi" w:hAnsiTheme="majorBidi" w:cstheme="majorBidi"/>
          <w:sz w:val="24"/>
          <w:szCs w:val="24"/>
        </w:rPr>
        <w:t xml:space="preserve"> </w:t>
      </w:r>
      <w:r w:rsidR="00F3373B">
        <w:rPr>
          <w:rFonts w:asciiTheme="majorBidi" w:hAnsiTheme="majorBidi" w:cstheme="majorBidi"/>
          <w:sz w:val="24"/>
          <w:szCs w:val="24"/>
        </w:rPr>
        <w:t>Both FNA-collected MCs and the synthetic analogs fo</w:t>
      </w:r>
      <w:r w:rsidR="003E26A4">
        <w:rPr>
          <w:rFonts w:asciiTheme="majorBidi" w:hAnsiTheme="majorBidi" w:cstheme="majorBidi"/>
          <w:sz w:val="24"/>
          <w:szCs w:val="24"/>
        </w:rPr>
        <w:t>r</w:t>
      </w:r>
      <w:r w:rsidR="00F3373B">
        <w:rPr>
          <w:rFonts w:asciiTheme="majorBidi" w:hAnsiTheme="majorBidi" w:cstheme="majorBidi"/>
          <w:sz w:val="24"/>
          <w:szCs w:val="24"/>
        </w:rPr>
        <w:t xml:space="preserve">m micron-scale aggregates from smaller particles; </w:t>
      </w:r>
      <w:r w:rsidR="00F3373B" w:rsidRPr="00DB6F00">
        <w:rPr>
          <w:rFonts w:asciiTheme="majorBidi" w:hAnsiTheme="majorBidi" w:cstheme="majorBidi"/>
          <w:sz w:val="24"/>
          <w:szCs w:val="24"/>
        </w:rPr>
        <w:t xml:space="preserve">however, the </w:t>
      </w:r>
      <w:r w:rsidR="00135060" w:rsidRPr="00B41177">
        <w:rPr>
          <w:rFonts w:asciiTheme="majorBidi" w:hAnsiTheme="majorBidi" w:cstheme="majorBidi"/>
          <w:sz w:val="24"/>
          <w:szCs w:val="24"/>
        </w:rPr>
        <w:t>biological</w:t>
      </w:r>
      <w:r w:rsidR="00F3373B" w:rsidRPr="00135060">
        <w:rPr>
          <w:rFonts w:asciiTheme="majorBidi" w:hAnsiTheme="majorBidi" w:cstheme="majorBidi"/>
          <w:sz w:val="24"/>
          <w:szCs w:val="24"/>
        </w:rPr>
        <w:t xml:space="preserve"> MCs were more spherical and smoother than the </w:t>
      </w:r>
      <w:r w:rsidR="00135060">
        <w:rPr>
          <w:rFonts w:asciiTheme="majorBidi" w:hAnsiTheme="majorBidi" w:cstheme="majorBidi"/>
          <w:sz w:val="24"/>
          <w:szCs w:val="24"/>
        </w:rPr>
        <w:t>synthetic</w:t>
      </w:r>
      <w:r w:rsidR="00F3373B" w:rsidRPr="00135060">
        <w:rPr>
          <w:rFonts w:asciiTheme="majorBidi" w:hAnsiTheme="majorBidi" w:cstheme="majorBidi"/>
          <w:sz w:val="24"/>
          <w:szCs w:val="24"/>
        </w:rPr>
        <w:t xml:space="preserve"> MCs</w:t>
      </w:r>
      <w:r w:rsidR="00F3373B">
        <w:rPr>
          <w:rFonts w:asciiTheme="majorBidi" w:hAnsiTheme="majorBidi" w:cstheme="majorBidi"/>
          <w:sz w:val="24"/>
          <w:szCs w:val="24"/>
        </w:rPr>
        <w:t>.</w:t>
      </w:r>
      <w:r w:rsidR="00DB6F00" w:rsidRPr="00DB6F00">
        <w:rPr>
          <w:rFonts w:asciiTheme="majorBidi" w:hAnsiTheme="majorBidi" w:cstheme="majorBidi"/>
          <w:sz w:val="24"/>
          <w:szCs w:val="24"/>
        </w:rPr>
        <w:t xml:space="preserve"> </w:t>
      </w:r>
      <w:r w:rsidR="00DB6F00">
        <w:rPr>
          <w:rFonts w:asciiTheme="majorBidi" w:hAnsiTheme="majorBidi" w:cstheme="majorBidi"/>
          <w:sz w:val="24"/>
          <w:szCs w:val="24"/>
        </w:rPr>
        <w:t xml:space="preserve">The </w:t>
      </w:r>
      <w:r w:rsidR="003E26A4">
        <w:rPr>
          <w:rFonts w:asciiTheme="majorBidi" w:hAnsiTheme="majorBidi" w:cstheme="majorBidi"/>
          <w:sz w:val="24"/>
          <w:szCs w:val="24"/>
        </w:rPr>
        <w:t xml:space="preserve">synthetic </w:t>
      </w:r>
      <w:r w:rsidR="00DB6F00">
        <w:rPr>
          <w:rFonts w:asciiTheme="majorBidi" w:hAnsiTheme="majorBidi" w:cstheme="majorBidi"/>
          <w:sz w:val="24"/>
          <w:szCs w:val="24"/>
        </w:rPr>
        <w:t>crystals</w:t>
      </w:r>
      <w:r w:rsidR="00DB6F00" w:rsidRPr="00A77C8E">
        <w:rPr>
          <w:rFonts w:asciiTheme="majorBidi" w:hAnsiTheme="majorBidi" w:cstheme="majorBidi"/>
          <w:sz w:val="24"/>
          <w:szCs w:val="24"/>
        </w:rPr>
        <w:t xml:space="preserve"> </w:t>
      </w:r>
      <w:r w:rsidR="00DB6F00">
        <w:rPr>
          <w:rFonts w:asciiTheme="majorBidi" w:hAnsiTheme="majorBidi" w:cstheme="majorBidi"/>
          <w:sz w:val="24"/>
          <w:szCs w:val="24"/>
        </w:rPr>
        <w:t xml:space="preserve">exhibited surfaces featuring particle-like and needle-like structures, with </w:t>
      </w:r>
      <w:r w:rsidR="00F3373B">
        <w:rPr>
          <w:rFonts w:asciiTheme="majorBidi" w:hAnsiTheme="majorBidi" w:cstheme="majorBidi"/>
          <w:sz w:val="24"/>
          <w:szCs w:val="24"/>
        </w:rPr>
        <w:t>slight difference</w:t>
      </w:r>
      <w:r w:rsidR="00DB6F00">
        <w:rPr>
          <w:rFonts w:asciiTheme="majorBidi" w:hAnsiTheme="majorBidi" w:cstheme="majorBidi"/>
          <w:sz w:val="24"/>
          <w:szCs w:val="24"/>
        </w:rPr>
        <w:t>s</w:t>
      </w:r>
      <w:r w:rsidR="00F3373B">
        <w:rPr>
          <w:rFonts w:asciiTheme="majorBidi" w:hAnsiTheme="majorBidi" w:cstheme="majorBidi"/>
          <w:sz w:val="24"/>
          <w:szCs w:val="24"/>
        </w:rPr>
        <w:t xml:space="preserve"> in crystal morphology</w:t>
      </w:r>
      <w:r w:rsidR="00DB6F00">
        <w:rPr>
          <w:rFonts w:asciiTheme="majorBidi" w:hAnsiTheme="majorBidi" w:cstheme="majorBidi"/>
          <w:sz w:val="24"/>
          <w:szCs w:val="24"/>
        </w:rPr>
        <w:t xml:space="preserve"> between the various Zn fractions.</w:t>
      </w:r>
      <w:r w:rsidR="00195F15">
        <w:rPr>
          <w:rFonts w:asciiTheme="majorBidi" w:hAnsiTheme="majorBidi" w:cstheme="majorBidi"/>
          <w:sz w:val="24"/>
          <w:szCs w:val="24"/>
        </w:rPr>
        <w:t xml:space="preserve"> Notably, for 1.2 wt% Zn, the surface particles were smaller than</w:t>
      </w:r>
      <w:r w:rsidR="006E737A">
        <w:rPr>
          <w:rFonts w:asciiTheme="majorBidi" w:hAnsiTheme="majorBidi" w:cstheme="majorBidi"/>
          <w:sz w:val="24"/>
          <w:szCs w:val="24"/>
        </w:rPr>
        <w:t xml:space="preserve"> in</w:t>
      </w:r>
      <w:r w:rsidR="00195F15">
        <w:rPr>
          <w:rFonts w:asciiTheme="majorBidi" w:hAnsiTheme="majorBidi" w:cstheme="majorBidi"/>
          <w:sz w:val="24"/>
          <w:szCs w:val="24"/>
        </w:rPr>
        <w:t xml:space="preserve"> the other crystals.</w:t>
      </w:r>
      <w:r w:rsidR="00DB6F00">
        <w:rPr>
          <w:rFonts w:asciiTheme="majorBidi" w:hAnsiTheme="majorBidi" w:cstheme="majorBidi"/>
          <w:sz w:val="24"/>
          <w:szCs w:val="24"/>
        </w:rPr>
        <w:t xml:space="preserve"> </w:t>
      </w:r>
      <w:r w:rsidR="005274C7" w:rsidRPr="0003682F">
        <w:rPr>
          <w:rFonts w:ascii="Times New Roman" w:hAnsi="Times New Roman" w:cs="Times New Roman"/>
          <w:sz w:val="24"/>
          <w:szCs w:val="24"/>
        </w:rPr>
        <w:t xml:space="preserve">The </w:t>
      </w:r>
      <w:r w:rsidR="005274C7">
        <w:rPr>
          <w:rFonts w:ascii="Times New Roman" w:hAnsi="Times New Roman" w:cs="Times New Roman"/>
          <w:sz w:val="24"/>
          <w:szCs w:val="24"/>
        </w:rPr>
        <w:t>crystal</w:t>
      </w:r>
      <w:r w:rsidR="005274C7" w:rsidRPr="0003682F">
        <w:rPr>
          <w:rFonts w:ascii="Times New Roman" w:hAnsi="Times New Roman" w:cs="Times New Roman"/>
          <w:sz w:val="24"/>
          <w:szCs w:val="24"/>
        </w:rPr>
        <w:t xml:space="preserve"> phase </w:t>
      </w:r>
      <w:r w:rsidR="005274C7">
        <w:rPr>
          <w:rFonts w:ascii="Times New Roman" w:hAnsi="Times New Roman" w:cs="Times New Roman"/>
          <w:sz w:val="24"/>
          <w:szCs w:val="24"/>
        </w:rPr>
        <w:t xml:space="preserve">of the synthetic MC analogs </w:t>
      </w:r>
      <w:r w:rsidR="005274C7" w:rsidRPr="0003682F">
        <w:rPr>
          <w:rFonts w:ascii="Times New Roman" w:hAnsi="Times New Roman" w:cs="Times New Roman"/>
          <w:sz w:val="24"/>
          <w:szCs w:val="24"/>
        </w:rPr>
        <w:t xml:space="preserve">was </w:t>
      </w:r>
      <w:r w:rsidR="005274C7">
        <w:rPr>
          <w:rFonts w:ascii="Times New Roman" w:hAnsi="Times New Roman" w:cs="Times New Roman"/>
          <w:sz w:val="24"/>
          <w:szCs w:val="24"/>
        </w:rPr>
        <w:t>determined</w:t>
      </w:r>
      <w:r w:rsidR="005274C7" w:rsidRPr="0003682F">
        <w:rPr>
          <w:rFonts w:ascii="Times New Roman" w:hAnsi="Times New Roman" w:cs="Times New Roman"/>
          <w:sz w:val="24"/>
          <w:szCs w:val="24"/>
        </w:rPr>
        <w:t xml:space="preserve"> </w:t>
      </w:r>
      <w:r w:rsidR="005274C7">
        <w:rPr>
          <w:rFonts w:ascii="Times New Roman" w:hAnsi="Times New Roman" w:cs="Times New Roman"/>
          <w:sz w:val="24"/>
          <w:szCs w:val="24"/>
        </w:rPr>
        <w:t>through</w:t>
      </w:r>
      <w:r w:rsidR="005274C7" w:rsidRPr="0003682F">
        <w:rPr>
          <w:rFonts w:ascii="Times New Roman" w:hAnsi="Times New Roman" w:cs="Times New Roman"/>
          <w:sz w:val="24"/>
          <w:szCs w:val="24"/>
        </w:rPr>
        <w:t xml:space="preserve"> FTIR</w:t>
      </w:r>
      <w:r w:rsidR="005274C7">
        <w:rPr>
          <w:rFonts w:ascii="Times New Roman" w:hAnsi="Times New Roman" w:cs="Times New Roman"/>
          <w:sz w:val="24"/>
          <w:szCs w:val="24"/>
        </w:rPr>
        <w:t xml:space="preserve"> </w:t>
      </w:r>
      <w:r w:rsidR="005274C7" w:rsidRPr="0003682F">
        <w:rPr>
          <w:rFonts w:ascii="Times New Roman" w:hAnsi="Times New Roman" w:cs="Times New Roman"/>
          <w:sz w:val="24"/>
          <w:szCs w:val="24"/>
        </w:rPr>
        <w:t>spectroscopy</w:t>
      </w:r>
      <w:r w:rsidR="005274C7" w:rsidRPr="00970E74">
        <w:rPr>
          <w:rFonts w:asciiTheme="majorBidi" w:hAnsiTheme="majorBidi" w:cstheme="majorBidi"/>
          <w:sz w:val="24"/>
        </w:rPr>
        <w:t xml:space="preserve"> (Fig. </w:t>
      </w:r>
      <w:r w:rsidR="005274C7">
        <w:rPr>
          <w:rFonts w:asciiTheme="majorBidi" w:hAnsiTheme="majorBidi" w:cstheme="majorBidi"/>
          <w:sz w:val="24"/>
        </w:rPr>
        <w:t>2 f</w:t>
      </w:r>
      <w:r w:rsidR="005274C7" w:rsidRPr="00970E74">
        <w:rPr>
          <w:rFonts w:asciiTheme="majorBidi" w:hAnsiTheme="majorBidi" w:cstheme="majorBidi"/>
          <w:sz w:val="24"/>
        </w:rPr>
        <w:t xml:space="preserve">). </w:t>
      </w:r>
      <w:r w:rsidR="005274C7">
        <w:rPr>
          <w:rFonts w:ascii="Times New Roman" w:hAnsi="Times New Roman" w:cs="Times New Roman"/>
          <w:sz w:val="24"/>
          <w:szCs w:val="24"/>
        </w:rPr>
        <w:t>T</w:t>
      </w:r>
      <w:r w:rsidR="005274C7" w:rsidRPr="0003682F">
        <w:rPr>
          <w:rFonts w:ascii="Times New Roman" w:hAnsi="Times New Roman" w:cs="Times New Roman"/>
          <w:sz w:val="24"/>
          <w:szCs w:val="24"/>
        </w:rPr>
        <w:t xml:space="preserve">he </w:t>
      </w:r>
      <w:r w:rsidR="005274C7">
        <w:rPr>
          <w:rFonts w:ascii="Times New Roman" w:hAnsi="Times New Roman" w:cs="Times New Roman"/>
          <w:sz w:val="24"/>
          <w:szCs w:val="24"/>
        </w:rPr>
        <w:t xml:space="preserve">spectral analysis indicated the presence of phosphate and carbonate peaks, aligning with </w:t>
      </w:r>
      <w:r w:rsidR="003E26A4">
        <w:rPr>
          <w:rFonts w:ascii="Times New Roman" w:hAnsi="Times New Roman" w:cs="Times New Roman"/>
          <w:sz w:val="24"/>
          <w:szCs w:val="24"/>
        </w:rPr>
        <w:t xml:space="preserve">the characteristic features of </w:t>
      </w:r>
      <w:r w:rsidR="005274C7">
        <w:rPr>
          <w:rFonts w:ascii="Times New Roman" w:hAnsi="Times New Roman" w:cs="Times New Roman"/>
          <w:sz w:val="24"/>
          <w:szCs w:val="24"/>
        </w:rPr>
        <w:t xml:space="preserve">carbonated calcium phosphate </w:t>
      </w:r>
      <w:r w:rsidR="00BC4853">
        <w:rPr>
          <w:rFonts w:ascii="Times New Roman" w:hAnsi="Times New Roman" w:cs="Times New Roman"/>
          <w:sz w:val="24"/>
          <w:szCs w:val="24"/>
        </w:rPr>
        <w:t>apatite.</w:t>
      </w:r>
      <w:r w:rsidR="005274C7" w:rsidRPr="0003682F">
        <w:rPr>
          <w:rFonts w:ascii="Times New Roman" w:hAnsi="Times New Roman" w:cs="Times New Roman"/>
          <w:sz w:val="24"/>
          <w:szCs w:val="24"/>
        </w:rPr>
        <w:t xml:space="preserve"> </w:t>
      </w:r>
      <w:r w:rsidR="005274C7">
        <w:rPr>
          <w:rFonts w:ascii="Times New Roman" w:hAnsi="Times New Roman" w:cs="Times New Roman"/>
          <w:sz w:val="24"/>
          <w:szCs w:val="24"/>
        </w:rPr>
        <w:t xml:space="preserve">Carbonate to phosphate peak ratios were the highest for the HA with no added Zn (0 wt%) and the lowest for HA containing 0.74 wt% Zn (Table S1). </w:t>
      </w:r>
      <w:r w:rsidR="00CC268B" w:rsidRPr="00B05B61">
        <w:rPr>
          <w:rFonts w:ascii="Times New Roman" w:hAnsi="Times New Roman" w:cs="Times New Roman"/>
          <w:sz w:val="24"/>
          <w:szCs w:val="24"/>
          <w:highlight w:val="green"/>
        </w:rPr>
        <w:t>S</w:t>
      </w:r>
      <w:r w:rsidR="000F4543" w:rsidRPr="00B05B61">
        <w:rPr>
          <w:rFonts w:ascii="Times New Roman" w:hAnsi="Times New Roman" w:cs="Times New Roman"/>
          <w:sz w:val="24"/>
          <w:szCs w:val="24"/>
          <w:highlight w:val="green"/>
        </w:rPr>
        <w:t xml:space="preserve">urface roughness </w:t>
      </w:r>
      <w:r w:rsidR="00CC268B" w:rsidRPr="00B05B61">
        <w:rPr>
          <w:rFonts w:ascii="Times New Roman" w:hAnsi="Times New Roman" w:cs="Times New Roman"/>
          <w:sz w:val="24"/>
          <w:szCs w:val="24"/>
          <w:highlight w:val="green"/>
        </w:rPr>
        <w:t xml:space="preserve">measurements </w:t>
      </w:r>
      <w:r w:rsidR="000F4543" w:rsidRPr="00B05B61">
        <w:rPr>
          <w:rFonts w:ascii="Times New Roman" w:hAnsi="Times New Roman" w:cs="Times New Roman"/>
          <w:sz w:val="24"/>
          <w:szCs w:val="24"/>
          <w:highlight w:val="green"/>
        </w:rPr>
        <w:t xml:space="preserve">of the synthetic MC analogs </w:t>
      </w:r>
      <w:r w:rsidR="00CC268B" w:rsidRPr="00B05B61">
        <w:rPr>
          <w:rFonts w:ascii="Times New Roman" w:hAnsi="Times New Roman" w:cs="Times New Roman"/>
          <w:sz w:val="24"/>
          <w:szCs w:val="24"/>
          <w:highlight w:val="green"/>
        </w:rPr>
        <w:t>showed differences between the crystals, with 5.2 wt% Zn being the roughest and 2.6 wt% Zn the smoothest</w:t>
      </w:r>
      <w:r w:rsidR="000F4543" w:rsidRPr="00B05B61">
        <w:rPr>
          <w:rFonts w:ascii="Times New Roman" w:hAnsi="Times New Roman" w:cs="Times New Roman"/>
          <w:sz w:val="24"/>
          <w:szCs w:val="24"/>
          <w:highlight w:val="green"/>
        </w:rPr>
        <w:t xml:space="preserve"> (Table 2). </w:t>
      </w:r>
    </w:p>
    <w:p w14:paraId="3DA7AD79" w14:textId="77777777" w:rsidR="0094228D" w:rsidRDefault="0094228D" w:rsidP="0094228D">
      <w:pPr>
        <w:spacing w:after="0" w:line="360" w:lineRule="auto"/>
        <w:jc w:val="center"/>
      </w:pPr>
      <w:r w:rsidRPr="00055063">
        <w:rPr>
          <w:noProof/>
        </w:rPr>
        <w:lastRenderedPageBreak/>
        <w:drawing>
          <wp:inline distT="0" distB="0" distL="0" distR="0" wp14:anchorId="5256C714" wp14:editId="66202381">
            <wp:extent cx="5200650" cy="5257800"/>
            <wp:effectExtent l="0" t="0" r="0" b="0"/>
            <wp:docPr id="6" name="Picture 6" descr="C:\Users\gotnayer\Desktop\Lotem\My 2nd Article\2nd article SEM HR\New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tnayer\Desktop\Lotem\My 2nd Article\2nd article SEM HR\New figur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0650" cy="5257800"/>
                    </a:xfrm>
                    <a:prstGeom prst="rect">
                      <a:avLst/>
                    </a:prstGeom>
                    <a:noFill/>
                    <a:ln>
                      <a:noFill/>
                    </a:ln>
                  </pic:spPr>
                </pic:pic>
              </a:graphicData>
            </a:graphic>
          </wp:inline>
        </w:drawing>
      </w:r>
    </w:p>
    <w:p w14:paraId="5556CF43" w14:textId="519F7406" w:rsidR="009430C2" w:rsidRDefault="0094228D" w:rsidP="00E67A48">
      <w:pPr>
        <w:spacing w:after="0" w:line="360" w:lineRule="auto"/>
        <w:jc w:val="both"/>
        <w:rPr>
          <w:rFonts w:asciiTheme="majorBidi" w:hAnsiTheme="majorBidi" w:cstheme="majorBidi"/>
          <w:sz w:val="24"/>
          <w:szCs w:val="24"/>
        </w:rPr>
      </w:pPr>
      <w:r w:rsidRPr="00732866">
        <w:rPr>
          <w:rFonts w:asciiTheme="majorBidi" w:hAnsiTheme="majorBidi" w:cstheme="majorBidi"/>
          <w:b/>
          <w:bCs/>
          <w:sz w:val="24"/>
          <w:szCs w:val="24"/>
        </w:rPr>
        <w:t>Figure 2</w:t>
      </w:r>
      <w:r>
        <w:rPr>
          <w:rFonts w:asciiTheme="majorBidi" w:hAnsiTheme="majorBidi" w:cstheme="majorBidi"/>
          <w:sz w:val="24"/>
          <w:szCs w:val="24"/>
        </w:rPr>
        <w:t>.</w:t>
      </w:r>
      <w:r w:rsidRPr="00732866">
        <w:rPr>
          <w:rFonts w:asciiTheme="majorBidi" w:hAnsiTheme="majorBidi" w:cstheme="majorBidi"/>
          <w:sz w:val="24"/>
          <w:szCs w:val="24"/>
        </w:rPr>
        <w:t xml:space="preserve"> Characterization of synthetic MC analogs with different Zn fractions. </w:t>
      </w:r>
      <w:r w:rsidRPr="00732866">
        <w:rPr>
          <w:rFonts w:asciiTheme="majorBidi" w:hAnsiTheme="majorBidi" w:cstheme="majorBidi"/>
          <w:b/>
          <w:bCs/>
          <w:sz w:val="24"/>
          <w:szCs w:val="24"/>
        </w:rPr>
        <w:t>a-e.</w:t>
      </w:r>
      <w:r w:rsidRPr="00732866">
        <w:rPr>
          <w:rFonts w:asciiTheme="majorBidi" w:hAnsiTheme="majorBidi" w:cstheme="majorBidi"/>
          <w:sz w:val="24"/>
          <w:szCs w:val="24"/>
        </w:rPr>
        <w:t xml:space="preserve"> SEM images of MC analogs. </w:t>
      </w:r>
      <w:r w:rsidRPr="00732866">
        <w:rPr>
          <w:rFonts w:asciiTheme="majorBidi" w:hAnsiTheme="majorBidi" w:cstheme="majorBidi"/>
          <w:b/>
          <w:bCs/>
          <w:sz w:val="24"/>
          <w:szCs w:val="24"/>
        </w:rPr>
        <w:t>f.</w:t>
      </w:r>
      <w:r w:rsidRPr="00732866">
        <w:rPr>
          <w:rFonts w:asciiTheme="majorBidi" w:hAnsiTheme="majorBidi" w:cstheme="majorBidi"/>
          <w:sz w:val="24"/>
          <w:szCs w:val="24"/>
        </w:rPr>
        <w:t xml:space="preserve"> </w:t>
      </w:r>
      <w:r w:rsidRPr="00732866">
        <w:rPr>
          <w:rFonts w:asciiTheme="majorBidi" w:hAnsiTheme="majorBidi" w:cstheme="majorBidi"/>
          <w:color w:val="222222"/>
          <w:sz w:val="24"/>
          <w:szCs w:val="28"/>
          <w:shd w:val="clear" w:color="auto" w:fill="FFFFFF"/>
        </w:rPr>
        <w:t>FTIR spectra of MC analogs.</w:t>
      </w:r>
      <w:r w:rsidRPr="00732866">
        <w:rPr>
          <w:rFonts w:asciiTheme="majorBidi" w:hAnsiTheme="majorBidi" w:cstheme="majorBidi"/>
          <w:sz w:val="24"/>
          <w:szCs w:val="24"/>
        </w:rPr>
        <w:t xml:space="preserve"> </w:t>
      </w:r>
      <w:r w:rsidRPr="00732866">
        <w:rPr>
          <w:rFonts w:asciiTheme="majorBidi" w:hAnsiTheme="majorBidi" w:cstheme="majorBidi"/>
          <w:b/>
          <w:bCs/>
          <w:sz w:val="24"/>
          <w:szCs w:val="24"/>
        </w:rPr>
        <w:t>b, c, d.</w:t>
      </w:r>
      <w:r w:rsidRPr="00732866">
        <w:rPr>
          <w:rFonts w:asciiTheme="majorBidi" w:hAnsiTheme="majorBidi" w:cstheme="majorBidi"/>
          <w:sz w:val="24"/>
          <w:szCs w:val="24"/>
        </w:rPr>
        <w:t xml:space="preserve"> MC analogs with 0.74 wt%, 1.2 wt%, and 2.6 wt% Zn </w:t>
      </w:r>
      <w:r w:rsidR="00E67A48">
        <w:rPr>
          <w:rFonts w:asciiTheme="majorBidi" w:hAnsiTheme="majorBidi" w:cstheme="majorBidi"/>
          <w:sz w:val="24"/>
          <w:szCs w:val="24"/>
        </w:rPr>
        <w:t xml:space="preserve">that </w:t>
      </w:r>
      <w:r w:rsidRPr="00732866">
        <w:rPr>
          <w:rFonts w:asciiTheme="majorBidi" w:hAnsiTheme="majorBidi" w:cstheme="majorBidi"/>
          <w:sz w:val="24"/>
          <w:szCs w:val="24"/>
        </w:rPr>
        <w:t xml:space="preserve">correspond to malignant MC composition </w:t>
      </w:r>
      <w:r w:rsidRPr="00732866">
        <w:rPr>
          <w:rFonts w:asciiTheme="majorBidi" w:hAnsiTheme="majorBidi" w:cstheme="majorBidi"/>
          <w:b/>
          <w:bCs/>
          <w:sz w:val="24"/>
          <w:szCs w:val="24"/>
        </w:rPr>
        <w:t>e.</w:t>
      </w:r>
      <w:r w:rsidRPr="00732866">
        <w:rPr>
          <w:rFonts w:asciiTheme="majorBidi" w:hAnsiTheme="majorBidi" w:cstheme="majorBidi"/>
          <w:sz w:val="24"/>
          <w:szCs w:val="24"/>
        </w:rPr>
        <w:t xml:space="preserve"> MC analog with 5.2 wt% Zn </w:t>
      </w:r>
      <w:r w:rsidR="00E67A48">
        <w:rPr>
          <w:rFonts w:asciiTheme="majorBidi" w:hAnsiTheme="majorBidi" w:cstheme="majorBidi"/>
          <w:sz w:val="24"/>
          <w:szCs w:val="24"/>
        </w:rPr>
        <w:t xml:space="preserve">that </w:t>
      </w:r>
      <w:r w:rsidRPr="00732866">
        <w:rPr>
          <w:rFonts w:asciiTheme="majorBidi" w:hAnsiTheme="majorBidi" w:cstheme="majorBidi"/>
          <w:sz w:val="24"/>
          <w:szCs w:val="24"/>
        </w:rPr>
        <w:t>corresponds to a non-physiological</w:t>
      </w:r>
      <w:r>
        <w:rPr>
          <w:rFonts w:asciiTheme="majorBidi" w:hAnsiTheme="majorBidi" w:cstheme="majorBidi"/>
          <w:sz w:val="24"/>
          <w:szCs w:val="24"/>
        </w:rPr>
        <w:t>,</w:t>
      </w:r>
      <w:r w:rsidRPr="00732866">
        <w:rPr>
          <w:rFonts w:asciiTheme="majorBidi" w:hAnsiTheme="majorBidi" w:cstheme="majorBidi"/>
          <w:sz w:val="24"/>
          <w:szCs w:val="24"/>
        </w:rPr>
        <w:t xml:space="preserve"> high Zn fraction.</w:t>
      </w:r>
    </w:p>
    <w:p w14:paraId="6368982A" w14:textId="77777777" w:rsidR="009430C2" w:rsidRDefault="009430C2" w:rsidP="0094228D">
      <w:pPr>
        <w:spacing w:after="0" w:line="360" w:lineRule="auto"/>
        <w:jc w:val="both"/>
        <w:rPr>
          <w:rFonts w:asciiTheme="majorBidi" w:hAnsiTheme="majorBidi" w:cstheme="majorBidi"/>
          <w:sz w:val="24"/>
          <w:szCs w:val="24"/>
        </w:rPr>
      </w:pPr>
    </w:p>
    <w:p w14:paraId="097737E3" w14:textId="069E223C" w:rsidR="0094228D" w:rsidRPr="00777AEA" w:rsidRDefault="009430C2" w:rsidP="00777AEA">
      <w:pPr>
        <w:spacing w:after="0" w:line="360" w:lineRule="auto"/>
        <w:rPr>
          <w:rFonts w:asciiTheme="majorBidi" w:hAnsiTheme="majorBidi" w:cstheme="majorBidi"/>
          <w:sz w:val="24"/>
          <w:szCs w:val="24"/>
        </w:rPr>
      </w:pPr>
      <w:r w:rsidRPr="00B05B61">
        <w:rPr>
          <w:rFonts w:asciiTheme="majorBidi" w:hAnsiTheme="majorBidi" w:cstheme="majorBidi"/>
          <w:b/>
          <w:bCs/>
          <w:sz w:val="24"/>
          <w:szCs w:val="24"/>
          <w:highlight w:val="green"/>
        </w:rPr>
        <w:t>Table 2.</w:t>
      </w:r>
      <w:r w:rsidRPr="00B05B61">
        <w:rPr>
          <w:rFonts w:asciiTheme="majorBidi" w:hAnsiTheme="majorBidi" w:cstheme="majorBidi"/>
          <w:sz w:val="24"/>
          <w:szCs w:val="24"/>
          <w:highlight w:val="green"/>
        </w:rPr>
        <w:t xml:space="preserve"> Surface roughness of the synthetic MC analogs according to Zn fraction. Rq is the root mean square roughness and Ra is the average roughness.</w:t>
      </w:r>
      <w:r w:rsidR="000C33F6" w:rsidRPr="000C33F6">
        <w:rPr>
          <w:rFonts w:asciiTheme="majorBidi" w:hAnsiTheme="majorBidi" w:cstheme="majorBidi"/>
          <w:sz w:val="24"/>
          <w:szCs w:val="24"/>
          <w:highlight w:val="green"/>
        </w:rPr>
        <w:t xml:space="preserve"> </w:t>
      </w:r>
      <w:r w:rsidR="000C33F6" w:rsidRPr="00B05B61">
        <w:rPr>
          <w:rFonts w:asciiTheme="majorBidi" w:hAnsiTheme="majorBidi" w:cstheme="majorBidi"/>
          <w:sz w:val="24"/>
          <w:szCs w:val="24"/>
          <w:highlight w:val="green"/>
        </w:rPr>
        <w:t xml:space="preserve">The </w:t>
      </w:r>
      <w:r w:rsidR="002F0388">
        <w:rPr>
          <w:rFonts w:asciiTheme="majorBidi" w:hAnsiTheme="majorBidi" w:cstheme="majorBidi"/>
          <w:sz w:val="24"/>
          <w:szCs w:val="24"/>
          <w:highlight w:val="green"/>
        </w:rPr>
        <w:t>values are presented as</w:t>
      </w:r>
      <w:r w:rsidR="000C33F6" w:rsidRPr="00B05B61">
        <w:rPr>
          <w:rFonts w:asciiTheme="majorBidi" w:hAnsiTheme="majorBidi" w:cstheme="majorBidi"/>
          <w:sz w:val="24"/>
          <w:szCs w:val="24"/>
          <w:highlight w:val="green"/>
        </w:rPr>
        <w:t xml:space="preserve"> the</w:t>
      </w:r>
      <w:r w:rsidR="002F0388">
        <w:rPr>
          <w:rFonts w:asciiTheme="majorBidi" w:hAnsiTheme="majorBidi" w:cstheme="majorBidi"/>
          <w:sz w:val="24"/>
          <w:szCs w:val="24"/>
          <w:highlight w:val="green"/>
        </w:rPr>
        <w:t xml:space="preserve"> mean ± the</w:t>
      </w:r>
      <w:r w:rsidR="000C33F6" w:rsidRPr="00B05B61">
        <w:rPr>
          <w:rFonts w:asciiTheme="majorBidi" w:hAnsiTheme="majorBidi" w:cstheme="majorBidi"/>
          <w:sz w:val="24"/>
          <w:szCs w:val="24"/>
          <w:highlight w:val="green"/>
        </w:rPr>
        <w:t xml:space="preserve"> standard deviation.</w:t>
      </w:r>
    </w:p>
    <w:tbl>
      <w:tblPr>
        <w:tblW w:w="3760" w:type="dxa"/>
        <w:jc w:val="center"/>
        <w:tblCellMar>
          <w:left w:w="0" w:type="dxa"/>
          <w:right w:w="0" w:type="dxa"/>
        </w:tblCellMar>
        <w:tblLook w:val="04A0" w:firstRow="1" w:lastRow="0" w:firstColumn="1" w:lastColumn="0" w:noHBand="0" w:noVBand="1"/>
      </w:tblPr>
      <w:tblGrid>
        <w:gridCol w:w="1340"/>
        <w:gridCol w:w="1180"/>
        <w:gridCol w:w="1240"/>
      </w:tblGrid>
      <w:tr w:rsidR="003F026C" w:rsidRPr="00B05B61" w14:paraId="3ED7DB13" w14:textId="77777777" w:rsidTr="002562A5">
        <w:trPr>
          <w:trHeight w:val="1128"/>
          <w:jc w:val="center"/>
        </w:trPr>
        <w:tc>
          <w:tcPr>
            <w:tcW w:w="13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B97D439"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 xml:space="preserve">Zn fraction </w:t>
            </w:r>
          </w:p>
          <w:p w14:paraId="6AB581F2"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(wt%)</w:t>
            </w:r>
          </w:p>
        </w:tc>
        <w:tc>
          <w:tcPr>
            <w:tcW w:w="11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04708B0"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Rq</w:t>
            </w:r>
            <w:r w:rsidRPr="00B05B61">
              <w:rPr>
                <w:rFonts w:ascii="Calibri" w:eastAsia="Times New Roman" w:hAnsi="Calibri" w:cs="Calibri"/>
                <w:b/>
                <w:bCs/>
                <w:color w:val="000000"/>
                <w:highlight w:val="green"/>
              </w:rPr>
              <w:t xml:space="preserve"> (</w:t>
            </w:r>
            <m:oMath>
              <m:r>
                <m:rPr>
                  <m:sty m:val="bi"/>
                </m:rPr>
                <w:rPr>
                  <w:rFonts w:ascii="Cambria Math" w:eastAsia="Times New Roman" w:hAnsi="Cambria Math" w:cs="Calibri"/>
                  <w:color w:val="000000"/>
                  <w:highlight w:val="green"/>
                </w:rPr>
                <m:t>μm</m:t>
              </m:r>
            </m:oMath>
            <w:r w:rsidRPr="00B05B61">
              <w:rPr>
                <w:rFonts w:ascii="Calibri" w:eastAsia="Times New Roman" w:hAnsi="Calibri" w:cs="Calibri"/>
                <w:b/>
                <w:bCs/>
                <w:color w:val="000000"/>
                <w:highlight w:val="green"/>
              </w:rPr>
              <w:t>)</w:t>
            </w:r>
          </w:p>
        </w:tc>
        <w:tc>
          <w:tcPr>
            <w:tcW w:w="12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02537BB"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Ra</w:t>
            </w:r>
            <w:r w:rsidRPr="00B05B61">
              <w:rPr>
                <w:rFonts w:ascii="Calibri" w:eastAsia="Times New Roman" w:hAnsi="Calibri" w:cs="Calibri"/>
                <w:b/>
                <w:bCs/>
                <w:color w:val="000000"/>
                <w:highlight w:val="green"/>
              </w:rPr>
              <w:t xml:space="preserve"> (</w:t>
            </w:r>
            <m:oMath>
              <m:r>
                <m:rPr>
                  <m:sty m:val="bi"/>
                </m:rPr>
                <w:rPr>
                  <w:rFonts w:ascii="Cambria Math" w:eastAsia="Times New Roman" w:hAnsi="Cambria Math" w:cs="Calibri"/>
                  <w:color w:val="000000"/>
                  <w:highlight w:val="green"/>
                </w:rPr>
                <m:t>μm</m:t>
              </m:r>
            </m:oMath>
            <w:r w:rsidRPr="00B05B61">
              <w:rPr>
                <w:rFonts w:ascii="Calibri" w:eastAsia="Times New Roman" w:hAnsi="Calibri" w:cs="Calibri"/>
                <w:b/>
                <w:bCs/>
                <w:color w:val="000000"/>
                <w:highlight w:val="green"/>
              </w:rPr>
              <w:t>)</w:t>
            </w:r>
          </w:p>
        </w:tc>
      </w:tr>
      <w:tr w:rsidR="003F026C" w:rsidRPr="00B05B61" w14:paraId="2DD9D1B2" w14:textId="77777777" w:rsidTr="002562A5">
        <w:trPr>
          <w:trHeight w:val="380"/>
          <w:jc w:val="center"/>
        </w:trPr>
        <w:tc>
          <w:tcPr>
            <w:tcW w:w="13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9FC2F15"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0</w:t>
            </w:r>
          </w:p>
        </w:tc>
        <w:tc>
          <w:tcPr>
            <w:tcW w:w="11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A727E5" w14:textId="47D074FC"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2.6 ± 0.</w:t>
            </w:r>
            <w:r w:rsidR="0079715D">
              <w:rPr>
                <w:rFonts w:asciiTheme="majorBidi" w:hAnsiTheme="majorBidi" w:cstheme="majorBidi"/>
                <w:highlight w:val="green"/>
              </w:rPr>
              <w:t>7</w:t>
            </w:r>
          </w:p>
        </w:tc>
        <w:tc>
          <w:tcPr>
            <w:tcW w:w="12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9B2725A" w14:textId="0A1B1832"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1.7 ± 0.</w:t>
            </w:r>
            <w:r w:rsidR="0079715D">
              <w:rPr>
                <w:rFonts w:asciiTheme="majorBidi" w:hAnsiTheme="majorBidi" w:cstheme="majorBidi"/>
                <w:highlight w:val="green"/>
              </w:rPr>
              <w:t>5</w:t>
            </w:r>
          </w:p>
        </w:tc>
      </w:tr>
      <w:tr w:rsidR="003F026C" w:rsidRPr="00B05B61" w14:paraId="4712450C" w14:textId="77777777" w:rsidTr="002562A5">
        <w:trPr>
          <w:trHeight w:val="147"/>
          <w:jc w:val="center"/>
        </w:trPr>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184E5BD4"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0.74</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11259668" w14:textId="2324BDB7"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2.4 ± 0.3</w:t>
            </w:r>
          </w:p>
        </w:tc>
        <w:tc>
          <w:tcPr>
            <w:tcW w:w="1240" w:type="dxa"/>
            <w:tcBorders>
              <w:top w:val="nil"/>
              <w:left w:val="nil"/>
              <w:bottom w:val="nil"/>
              <w:right w:val="nil"/>
            </w:tcBorders>
            <w:shd w:val="clear" w:color="auto" w:fill="auto"/>
            <w:tcMar>
              <w:top w:w="15" w:type="dxa"/>
              <w:left w:w="15" w:type="dxa"/>
              <w:bottom w:w="0" w:type="dxa"/>
              <w:right w:w="15" w:type="dxa"/>
            </w:tcMar>
            <w:vAlign w:val="center"/>
            <w:hideMark/>
          </w:tcPr>
          <w:p w14:paraId="6A07C4B5" w14:textId="37004E8A"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1.6 ± 0.2</w:t>
            </w:r>
          </w:p>
        </w:tc>
      </w:tr>
      <w:tr w:rsidR="003F026C" w:rsidRPr="00B05B61" w14:paraId="502B0249" w14:textId="77777777" w:rsidTr="002562A5">
        <w:trPr>
          <w:trHeight w:val="380"/>
          <w:jc w:val="center"/>
        </w:trPr>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22EFA96A"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lastRenderedPageBreak/>
              <w:t>1.2</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5F4308FE" w14:textId="2CD935F7"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2.5 ± 0.</w:t>
            </w:r>
            <w:r w:rsidR="0079715D">
              <w:rPr>
                <w:rFonts w:asciiTheme="majorBidi" w:hAnsiTheme="majorBidi" w:cstheme="majorBidi"/>
                <w:highlight w:val="green"/>
              </w:rPr>
              <w:t>6</w:t>
            </w:r>
          </w:p>
        </w:tc>
        <w:tc>
          <w:tcPr>
            <w:tcW w:w="1240" w:type="dxa"/>
            <w:tcBorders>
              <w:top w:val="nil"/>
              <w:left w:val="nil"/>
              <w:bottom w:val="nil"/>
              <w:right w:val="nil"/>
            </w:tcBorders>
            <w:shd w:val="clear" w:color="auto" w:fill="auto"/>
            <w:tcMar>
              <w:top w:w="15" w:type="dxa"/>
              <w:left w:w="15" w:type="dxa"/>
              <w:bottom w:w="0" w:type="dxa"/>
              <w:right w:w="15" w:type="dxa"/>
            </w:tcMar>
            <w:vAlign w:val="center"/>
            <w:hideMark/>
          </w:tcPr>
          <w:p w14:paraId="29BCEF09" w14:textId="1F5FBDC7"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1.8 ± 0.3</w:t>
            </w:r>
          </w:p>
        </w:tc>
      </w:tr>
      <w:tr w:rsidR="003F026C" w:rsidRPr="00B05B61" w14:paraId="025EA7BE" w14:textId="77777777" w:rsidTr="002562A5">
        <w:trPr>
          <w:trHeight w:val="380"/>
          <w:jc w:val="center"/>
        </w:trPr>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1D039871"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2.6</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2DFBEC70" w14:textId="7C3BCC70"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1.5 ± 0.</w:t>
            </w:r>
            <w:r w:rsidR="0079715D">
              <w:rPr>
                <w:rFonts w:asciiTheme="majorBidi" w:hAnsiTheme="majorBidi" w:cstheme="majorBidi"/>
                <w:highlight w:val="green"/>
              </w:rPr>
              <w:t>5</w:t>
            </w:r>
          </w:p>
        </w:tc>
        <w:tc>
          <w:tcPr>
            <w:tcW w:w="1240" w:type="dxa"/>
            <w:tcBorders>
              <w:top w:val="nil"/>
              <w:left w:val="nil"/>
              <w:bottom w:val="nil"/>
              <w:right w:val="nil"/>
            </w:tcBorders>
            <w:shd w:val="clear" w:color="auto" w:fill="auto"/>
            <w:tcMar>
              <w:top w:w="15" w:type="dxa"/>
              <w:left w:w="15" w:type="dxa"/>
              <w:bottom w:w="0" w:type="dxa"/>
              <w:right w:w="15" w:type="dxa"/>
            </w:tcMar>
            <w:vAlign w:val="center"/>
            <w:hideMark/>
          </w:tcPr>
          <w:p w14:paraId="34AA3FCF" w14:textId="7427366C"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1.2 ± 0.3</w:t>
            </w:r>
          </w:p>
        </w:tc>
      </w:tr>
      <w:tr w:rsidR="003F026C" w:rsidRPr="00B05B61" w14:paraId="52ED90C7" w14:textId="77777777" w:rsidTr="002562A5">
        <w:trPr>
          <w:trHeight w:val="380"/>
          <w:jc w:val="center"/>
        </w:trPr>
        <w:tc>
          <w:tcPr>
            <w:tcW w:w="13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455D8B4" w14:textId="77777777" w:rsidR="003F026C" w:rsidRPr="00B05B61" w:rsidRDefault="003F026C" w:rsidP="00AB3F9D">
            <w:pPr>
              <w:spacing w:after="0" w:line="360" w:lineRule="auto"/>
              <w:jc w:val="center"/>
              <w:rPr>
                <w:rFonts w:asciiTheme="majorBidi" w:hAnsiTheme="majorBidi" w:cstheme="majorBidi"/>
                <w:b/>
                <w:bCs/>
                <w:highlight w:val="green"/>
              </w:rPr>
            </w:pPr>
            <w:r w:rsidRPr="00B05B61">
              <w:rPr>
                <w:rFonts w:asciiTheme="majorBidi" w:hAnsiTheme="majorBidi" w:cstheme="majorBidi"/>
                <w:b/>
                <w:bCs/>
                <w:highlight w:val="green"/>
              </w:rPr>
              <w:t>5.2</w:t>
            </w:r>
          </w:p>
        </w:tc>
        <w:tc>
          <w:tcPr>
            <w:tcW w:w="118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C67191A" w14:textId="1D1EE33E"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3.0 ± 0.6</w:t>
            </w:r>
          </w:p>
        </w:tc>
        <w:tc>
          <w:tcPr>
            <w:tcW w:w="12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A3AF59E" w14:textId="4D9BFC34" w:rsidR="003F026C" w:rsidRPr="00B05B61" w:rsidRDefault="003F026C" w:rsidP="00AB3F9D">
            <w:pPr>
              <w:spacing w:after="0" w:line="360" w:lineRule="auto"/>
              <w:jc w:val="center"/>
              <w:rPr>
                <w:rFonts w:asciiTheme="majorBidi" w:hAnsiTheme="majorBidi" w:cstheme="majorBidi"/>
                <w:highlight w:val="green"/>
              </w:rPr>
            </w:pPr>
            <w:r w:rsidRPr="00B05B61">
              <w:rPr>
                <w:rFonts w:asciiTheme="majorBidi" w:hAnsiTheme="majorBidi" w:cstheme="majorBidi"/>
                <w:highlight w:val="green"/>
              </w:rPr>
              <w:t>2.1 ± 0.4</w:t>
            </w:r>
          </w:p>
        </w:tc>
      </w:tr>
    </w:tbl>
    <w:p w14:paraId="7ED80F16" w14:textId="77777777" w:rsidR="003F026C" w:rsidRPr="00B05B61" w:rsidRDefault="003F026C" w:rsidP="00AB3F9D">
      <w:pPr>
        <w:spacing w:after="0" w:line="360" w:lineRule="auto"/>
        <w:rPr>
          <w:highlight w:val="green"/>
        </w:rPr>
      </w:pPr>
    </w:p>
    <w:p w14:paraId="7E0AE5FC" w14:textId="77777777" w:rsidR="003F026C" w:rsidRDefault="003F026C" w:rsidP="00AB3F9D">
      <w:pPr>
        <w:spacing w:after="0" w:line="360" w:lineRule="auto"/>
        <w:jc w:val="both"/>
        <w:rPr>
          <w:rFonts w:ascii="Times New Roman" w:hAnsi="Times New Roman" w:cs="Times New Roman"/>
          <w:sz w:val="24"/>
          <w:szCs w:val="24"/>
        </w:rPr>
      </w:pPr>
    </w:p>
    <w:p w14:paraId="516FF8B2" w14:textId="392C6153" w:rsidR="007669DD" w:rsidRPr="00FA37F8" w:rsidRDefault="00F3373B" w:rsidP="00AB3F9D">
      <w:pPr>
        <w:spacing w:after="0" w:line="360" w:lineRule="auto"/>
        <w:jc w:val="both"/>
        <w:rPr>
          <w:rFonts w:ascii="Times New Roman" w:hAnsi="Times New Roman" w:cs="Times New Roman"/>
          <w:sz w:val="24"/>
          <w:szCs w:val="24"/>
        </w:rPr>
      </w:pPr>
      <w:r>
        <w:rPr>
          <w:rFonts w:asciiTheme="majorBidi" w:hAnsiTheme="majorBidi" w:cstheme="majorBidi"/>
          <w:sz w:val="24"/>
          <w:szCs w:val="24"/>
        </w:rPr>
        <w:t>Overall, t</w:t>
      </w:r>
      <w:r w:rsidR="00AD2ED4">
        <w:rPr>
          <w:rFonts w:asciiTheme="majorBidi" w:hAnsiTheme="majorBidi" w:cstheme="majorBidi"/>
          <w:sz w:val="24"/>
          <w:szCs w:val="24"/>
        </w:rPr>
        <w:t xml:space="preserve">he synthetic MC analogs </w:t>
      </w:r>
      <w:r w:rsidR="0053135E">
        <w:rPr>
          <w:rFonts w:asciiTheme="majorBidi" w:hAnsiTheme="majorBidi" w:cstheme="majorBidi"/>
          <w:sz w:val="24"/>
          <w:szCs w:val="24"/>
        </w:rPr>
        <w:t xml:space="preserve">effectively </w:t>
      </w:r>
      <w:r w:rsidR="00BC4853">
        <w:rPr>
          <w:rFonts w:asciiTheme="majorBidi" w:hAnsiTheme="majorBidi" w:cstheme="majorBidi"/>
          <w:sz w:val="24"/>
          <w:szCs w:val="24"/>
        </w:rPr>
        <w:t>mimic</w:t>
      </w:r>
      <w:r w:rsidR="00AD2ED4">
        <w:rPr>
          <w:rFonts w:asciiTheme="majorBidi" w:hAnsiTheme="majorBidi" w:cstheme="majorBidi"/>
          <w:sz w:val="24"/>
          <w:szCs w:val="24"/>
        </w:rPr>
        <w:t xml:space="preserve"> the </w:t>
      </w:r>
      <w:r w:rsidR="00A737A7">
        <w:rPr>
          <w:rFonts w:asciiTheme="majorBidi" w:hAnsiTheme="majorBidi" w:cstheme="majorBidi"/>
          <w:sz w:val="24"/>
          <w:szCs w:val="24"/>
        </w:rPr>
        <w:t xml:space="preserve">crystal phase, particle sizes, </w:t>
      </w:r>
      <w:r>
        <w:rPr>
          <w:rFonts w:asciiTheme="majorBidi" w:hAnsiTheme="majorBidi" w:cstheme="majorBidi"/>
          <w:sz w:val="24"/>
          <w:szCs w:val="24"/>
        </w:rPr>
        <w:t xml:space="preserve">bulk </w:t>
      </w:r>
      <w:r w:rsidR="00A737A7">
        <w:rPr>
          <w:rFonts w:asciiTheme="majorBidi" w:hAnsiTheme="majorBidi" w:cstheme="majorBidi"/>
          <w:sz w:val="24"/>
          <w:szCs w:val="24"/>
        </w:rPr>
        <w:t xml:space="preserve">morphology, and composition of </w:t>
      </w:r>
      <w:r w:rsidR="00AD2ED4">
        <w:rPr>
          <w:rFonts w:asciiTheme="majorBidi" w:hAnsiTheme="majorBidi" w:cstheme="majorBidi"/>
          <w:sz w:val="24"/>
          <w:szCs w:val="24"/>
        </w:rPr>
        <w:t>pathological thyroid FNA MCs</w:t>
      </w:r>
      <w:r w:rsidR="00474C75">
        <w:rPr>
          <w:rFonts w:asciiTheme="majorBidi" w:hAnsiTheme="majorBidi" w:cstheme="majorBidi"/>
          <w:sz w:val="24"/>
          <w:szCs w:val="24"/>
        </w:rPr>
        <w:t>.</w:t>
      </w:r>
      <w:r w:rsidR="00A737A7">
        <w:rPr>
          <w:rFonts w:asciiTheme="majorBidi" w:hAnsiTheme="majorBidi" w:cstheme="majorBidi"/>
          <w:sz w:val="24"/>
          <w:szCs w:val="24"/>
        </w:rPr>
        <w:t xml:space="preserve"> </w:t>
      </w:r>
      <w:r w:rsidR="00474C75">
        <w:rPr>
          <w:rFonts w:asciiTheme="majorBidi" w:hAnsiTheme="majorBidi" w:cstheme="majorBidi"/>
          <w:sz w:val="24"/>
          <w:szCs w:val="24"/>
        </w:rPr>
        <w:t xml:space="preserve">As a </w:t>
      </w:r>
      <w:r w:rsidR="00FA1450">
        <w:rPr>
          <w:rFonts w:asciiTheme="majorBidi" w:hAnsiTheme="majorBidi" w:cstheme="majorBidi"/>
          <w:sz w:val="24"/>
          <w:szCs w:val="24"/>
        </w:rPr>
        <w:t>result, they</w:t>
      </w:r>
      <w:r w:rsidR="00474C75">
        <w:rPr>
          <w:rFonts w:asciiTheme="majorBidi" w:hAnsiTheme="majorBidi" w:cstheme="majorBidi"/>
          <w:sz w:val="24"/>
          <w:szCs w:val="24"/>
        </w:rPr>
        <w:t xml:space="preserve"> can be used to</w:t>
      </w:r>
      <w:r w:rsidR="00AD2ED4">
        <w:rPr>
          <w:rFonts w:asciiTheme="majorBidi" w:hAnsiTheme="majorBidi" w:cstheme="majorBidi"/>
          <w:sz w:val="24"/>
          <w:szCs w:val="24"/>
        </w:rPr>
        <w:t xml:space="preserve"> </w:t>
      </w:r>
      <w:r>
        <w:rPr>
          <w:rFonts w:asciiTheme="majorBidi" w:hAnsiTheme="majorBidi" w:cstheme="majorBidi"/>
          <w:sz w:val="24"/>
          <w:szCs w:val="24"/>
        </w:rPr>
        <w:t xml:space="preserve">investigate </w:t>
      </w:r>
      <w:r w:rsidR="00AD2ED4">
        <w:rPr>
          <w:rFonts w:asciiTheme="majorBidi" w:hAnsiTheme="majorBidi" w:cstheme="majorBidi"/>
          <w:sz w:val="24"/>
          <w:szCs w:val="24"/>
        </w:rPr>
        <w:t>the</w:t>
      </w:r>
      <w:r w:rsidR="00474C75">
        <w:rPr>
          <w:rFonts w:asciiTheme="majorBidi" w:hAnsiTheme="majorBidi" w:cstheme="majorBidi"/>
          <w:sz w:val="24"/>
          <w:szCs w:val="24"/>
        </w:rPr>
        <w:t xml:space="preserve"> </w:t>
      </w:r>
      <w:r w:rsidR="003C728F">
        <w:rPr>
          <w:rFonts w:asciiTheme="majorBidi" w:hAnsiTheme="majorBidi" w:cstheme="majorBidi"/>
          <w:sz w:val="24"/>
          <w:szCs w:val="24"/>
        </w:rPr>
        <w:t>direct</w:t>
      </w:r>
      <w:r w:rsidR="00AD2ED4">
        <w:rPr>
          <w:rFonts w:asciiTheme="majorBidi" w:hAnsiTheme="majorBidi" w:cstheme="majorBidi"/>
          <w:sz w:val="24"/>
          <w:szCs w:val="24"/>
        </w:rPr>
        <w:t xml:space="preserve"> effect of thyroid MCs on thyroid cancer cells</w:t>
      </w:r>
      <w:r w:rsidR="00C4482B">
        <w:rPr>
          <w:rFonts w:asciiTheme="majorBidi" w:hAnsiTheme="majorBidi" w:cstheme="majorBidi"/>
          <w:sz w:val="24"/>
          <w:szCs w:val="24"/>
        </w:rPr>
        <w:t xml:space="preserve"> in a controlled experimental setup</w:t>
      </w:r>
      <w:r w:rsidR="00AD2ED4">
        <w:rPr>
          <w:rFonts w:asciiTheme="majorBidi" w:hAnsiTheme="majorBidi" w:cstheme="majorBidi"/>
          <w:sz w:val="24"/>
          <w:szCs w:val="24"/>
        </w:rPr>
        <w:t>.</w:t>
      </w:r>
    </w:p>
    <w:p w14:paraId="4C4B447D" w14:textId="52C50B04" w:rsidR="003F1C44" w:rsidRDefault="00BB08F5"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crystal structure of the MC analogs </w:t>
      </w:r>
      <w:r w:rsidR="005967E1">
        <w:rPr>
          <w:rFonts w:asciiTheme="majorBidi" w:hAnsiTheme="majorBidi" w:cstheme="majorBidi"/>
          <w:sz w:val="24"/>
          <w:szCs w:val="24"/>
        </w:rPr>
        <w:t>was</w:t>
      </w:r>
      <w:r>
        <w:rPr>
          <w:rFonts w:asciiTheme="majorBidi" w:hAnsiTheme="majorBidi" w:cstheme="majorBidi"/>
          <w:sz w:val="24"/>
          <w:szCs w:val="24"/>
        </w:rPr>
        <w:t xml:space="preserve"> further characterized using XRD (Table </w:t>
      </w:r>
      <w:r w:rsidR="000F4543">
        <w:rPr>
          <w:rFonts w:asciiTheme="majorBidi" w:hAnsiTheme="majorBidi" w:cstheme="majorBidi"/>
          <w:sz w:val="24"/>
          <w:szCs w:val="24"/>
        </w:rPr>
        <w:t>3</w:t>
      </w:r>
      <w:r>
        <w:rPr>
          <w:rFonts w:asciiTheme="majorBidi" w:hAnsiTheme="majorBidi" w:cstheme="majorBidi"/>
          <w:sz w:val="24"/>
          <w:szCs w:val="24"/>
        </w:rPr>
        <w:t xml:space="preserve">, Fig. </w:t>
      </w:r>
      <w:r w:rsidR="000765DF">
        <w:rPr>
          <w:rFonts w:asciiTheme="majorBidi" w:hAnsiTheme="majorBidi" w:cstheme="majorBidi"/>
          <w:sz w:val="24"/>
          <w:szCs w:val="24"/>
        </w:rPr>
        <w:t xml:space="preserve">3, </w:t>
      </w:r>
      <w:r w:rsidR="000765DF" w:rsidRPr="004C428F">
        <w:rPr>
          <w:rFonts w:asciiTheme="majorBidi" w:hAnsiTheme="majorBidi" w:cstheme="majorBidi"/>
          <w:sz w:val="24"/>
          <w:szCs w:val="24"/>
        </w:rPr>
        <w:t xml:space="preserve">Fig. </w:t>
      </w:r>
      <w:r w:rsidRPr="004C428F">
        <w:rPr>
          <w:rFonts w:asciiTheme="majorBidi" w:hAnsiTheme="majorBidi" w:cstheme="majorBidi"/>
          <w:sz w:val="24"/>
          <w:szCs w:val="24"/>
        </w:rPr>
        <w:t>S</w:t>
      </w:r>
      <w:r w:rsidR="004C428F" w:rsidRPr="004C428F">
        <w:rPr>
          <w:rFonts w:asciiTheme="majorBidi" w:hAnsiTheme="majorBidi" w:cstheme="majorBidi"/>
          <w:sz w:val="24"/>
          <w:szCs w:val="24"/>
        </w:rPr>
        <w:t>2</w:t>
      </w:r>
      <w:r>
        <w:rPr>
          <w:rFonts w:asciiTheme="majorBidi" w:hAnsiTheme="majorBidi" w:cstheme="majorBidi"/>
          <w:sz w:val="24"/>
          <w:szCs w:val="24"/>
        </w:rPr>
        <w:t>)</w:t>
      </w:r>
      <w:r w:rsidR="005967E1">
        <w:rPr>
          <w:rFonts w:asciiTheme="majorBidi" w:hAnsiTheme="majorBidi" w:cstheme="majorBidi"/>
          <w:sz w:val="24"/>
          <w:szCs w:val="24"/>
        </w:rPr>
        <w:t xml:space="preserve">. </w:t>
      </w:r>
      <w:r w:rsidR="00FB1BC7">
        <w:rPr>
          <w:rFonts w:asciiTheme="majorBidi" w:hAnsiTheme="majorBidi" w:cstheme="majorBidi"/>
          <w:sz w:val="24"/>
          <w:szCs w:val="24"/>
        </w:rPr>
        <w:t>Both computed unit cell parameters (</w:t>
      </w:r>
      <w:r w:rsidR="004C1608">
        <w:rPr>
          <w:rFonts w:asciiTheme="majorBidi" w:hAnsiTheme="majorBidi" w:cstheme="majorBidi" w:hint="cs"/>
          <w:sz w:val="24"/>
          <w:szCs w:val="24"/>
          <w:rtl/>
        </w:rPr>
        <w:t>'</w:t>
      </w:r>
      <w:r w:rsidR="00FB1BC7">
        <w:rPr>
          <w:rFonts w:asciiTheme="majorBidi" w:hAnsiTheme="majorBidi" w:cstheme="majorBidi"/>
          <w:sz w:val="24"/>
          <w:szCs w:val="24"/>
        </w:rPr>
        <w:t>a</w:t>
      </w:r>
      <w:r w:rsidR="004C1608">
        <w:rPr>
          <w:rFonts w:asciiTheme="majorBidi" w:hAnsiTheme="majorBidi" w:cstheme="majorBidi" w:hint="cs"/>
          <w:sz w:val="24"/>
          <w:szCs w:val="24"/>
          <w:rtl/>
        </w:rPr>
        <w:t>'</w:t>
      </w:r>
      <w:r w:rsidR="00FB1BC7">
        <w:rPr>
          <w:rFonts w:asciiTheme="majorBidi" w:hAnsiTheme="majorBidi" w:cstheme="majorBidi"/>
          <w:sz w:val="24"/>
          <w:szCs w:val="24"/>
        </w:rPr>
        <w:t xml:space="preserve"> and </w:t>
      </w:r>
      <w:r w:rsidR="004C1608">
        <w:rPr>
          <w:rFonts w:asciiTheme="majorBidi" w:hAnsiTheme="majorBidi" w:cstheme="majorBidi" w:hint="cs"/>
          <w:sz w:val="24"/>
          <w:szCs w:val="24"/>
          <w:rtl/>
        </w:rPr>
        <w:t>'</w:t>
      </w:r>
      <w:r w:rsidR="00FB1BC7">
        <w:rPr>
          <w:rFonts w:asciiTheme="majorBidi" w:hAnsiTheme="majorBidi" w:cstheme="majorBidi"/>
          <w:sz w:val="24"/>
          <w:szCs w:val="24"/>
        </w:rPr>
        <w:t>c</w:t>
      </w:r>
      <w:r w:rsidR="004C1608">
        <w:rPr>
          <w:rFonts w:asciiTheme="majorBidi" w:hAnsiTheme="majorBidi" w:cstheme="majorBidi" w:hint="cs"/>
          <w:sz w:val="24"/>
          <w:szCs w:val="24"/>
          <w:rtl/>
        </w:rPr>
        <w:t>'</w:t>
      </w:r>
      <w:r w:rsidR="00FB1BC7">
        <w:rPr>
          <w:rFonts w:asciiTheme="majorBidi" w:hAnsiTheme="majorBidi" w:cstheme="majorBidi"/>
          <w:sz w:val="24"/>
          <w:szCs w:val="24"/>
        </w:rPr>
        <w:t>) decrease with increasing Zn fraction</w:t>
      </w:r>
      <w:r w:rsidR="00A50536">
        <w:rPr>
          <w:rFonts w:asciiTheme="majorBidi" w:hAnsiTheme="majorBidi" w:cstheme="majorBidi"/>
          <w:sz w:val="24"/>
          <w:szCs w:val="24"/>
        </w:rPr>
        <w:t xml:space="preserve"> (Fig. 3), which has previously been reported as an indication of Zn</w:t>
      </w:r>
      <w:r w:rsidR="00A50536">
        <w:rPr>
          <w:rFonts w:asciiTheme="majorBidi" w:hAnsiTheme="majorBidi" w:cstheme="majorBidi"/>
          <w:sz w:val="24"/>
          <w:szCs w:val="24"/>
          <w:vertAlign w:val="superscript"/>
        </w:rPr>
        <w:t xml:space="preserve">2+ </w:t>
      </w:r>
      <w:r w:rsidR="00A50536">
        <w:rPr>
          <w:rFonts w:asciiTheme="majorBidi" w:hAnsiTheme="majorBidi" w:cstheme="majorBidi"/>
          <w:sz w:val="24"/>
          <w:szCs w:val="24"/>
        </w:rPr>
        <w:t>substit</w:t>
      </w:r>
      <w:r w:rsidR="00F229D0">
        <w:rPr>
          <w:rFonts w:asciiTheme="majorBidi" w:hAnsiTheme="majorBidi" w:cstheme="majorBidi"/>
          <w:sz w:val="24"/>
          <w:szCs w:val="24"/>
        </w:rPr>
        <w:t>u</w:t>
      </w:r>
      <w:r w:rsidR="00A50536">
        <w:rPr>
          <w:rFonts w:asciiTheme="majorBidi" w:hAnsiTheme="majorBidi" w:cstheme="majorBidi"/>
          <w:sz w:val="24"/>
          <w:szCs w:val="24"/>
        </w:rPr>
        <w:t>tion for Ca</w:t>
      </w:r>
      <w:r w:rsidR="00A50536">
        <w:rPr>
          <w:rFonts w:asciiTheme="majorBidi" w:hAnsiTheme="majorBidi" w:cstheme="majorBidi"/>
          <w:sz w:val="24"/>
          <w:szCs w:val="24"/>
          <w:vertAlign w:val="superscript"/>
        </w:rPr>
        <w:t>2+</w:t>
      </w:r>
      <w:r w:rsidR="00A50536">
        <w:rPr>
          <w:rFonts w:asciiTheme="majorBidi" w:hAnsiTheme="majorBidi" w:cstheme="majorBidi"/>
          <w:sz w:val="24"/>
          <w:szCs w:val="24"/>
        </w:rPr>
        <w:t xml:space="preserve"> in the HA unit cell [26]</w:t>
      </w:r>
      <w:r w:rsidR="00FB1BC7">
        <w:rPr>
          <w:rFonts w:asciiTheme="majorBidi" w:hAnsiTheme="majorBidi" w:cstheme="majorBidi"/>
          <w:sz w:val="24"/>
          <w:szCs w:val="24"/>
        </w:rPr>
        <w:t xml:space="preserve">. </w:t>
      </w:r>
      <w:r w:rsidR="001E2462">
        <w:rPr>
          <w:rFonts w:asciiTheme="majorBidi" w:hAnsiTheme="majorBidi" w:cstheme="majorBidi"/>
          <w:sz w:val="24"/>
          <w:szCs w:val="24"/>
        </w:rPr>
        <w:t>Additionally, the crystallite size decreases with increasing Zn fraction</w:t>
      </w:r>
      <w:r w:rsidR="00162426">
        <w:rPr>
          <w:rFonts w:asciiTheme="majorBidi" w:hAnsiTheme="majorBidi" w:cstheme="majorBidi"/>
          <w:sz w:val="24"/>
          <w:szCs w:val="24"/>
        </w:rPr>
        <w:t xml:space="preserve"> for most MC analogs</w:t>
      </w:r>
      <w:r w:rsidR="00A50536">
        <w:rPr>
          <w:rFonts w:asciiTheme="majorBidi" w:hAnsiTheme="majorBidi" w:cstheme="majorBidi"/>
          <w:sz w:val="24"/>
          <w:szCs w:val="24"/>
        </w:rPr>
        <w:t xml:space="preserve"> (Table </w:t>
      </w:r>
      <w:r w:rsidR="000F4543" w:rsidRPr="00B05B61">
        <w:rPr>
          <w:rFonts w:asciiTheme="majorBidi" w:hAnsiTheme="majorBidi" w:cstheme="majorBidi"/>
          <w:sz w:val="24"/>
          <w:szCs w:val="24"/>
          <w:highlight w:val="green"/>
        </w:rPr>
        <w:t>3</w:t>
      </w:r>
      <w:r w:rsidR="00A50536">
        <w:rPr>
          <w:rFonts w:asciiTheme="majorBidi" w:hAnsiTheme="majorBidi" w:cstheme="majorBidi"/>
          <w:sz w:val="24"/>
          <w:szCs w:val="24"/>
        </w:rPr>
        <w:t>)</w:t>
      </w:r>
      <w:r w:rsidR="001E2462">
        <w:rPr>
          <w:rFonts w:asciiTheme="majorBidi" w:hAnsiTheme="majorBidi" w:cstheme="majorBidi"/>
          <w:sz w:val="24"/>
          <w:szCs w:val="24"/>
        </w:rPr>
        <w:t>. T</w:t>
      </w:r>
      <w:r w:rsidR="005967E1">
        <w:rPr>
          <w:rFonts w:asciiTheme="majorBidi" w:hAnsiTheme="majorBidi" w:cstheme="majorBidi"/>
          <w:sz w:val="24"/>
          <w:szCs w:val="24"/>
        </w:rPr>
        <w:t>he crystallite size is a proxy for sample crystallinity</w:t>
      </w:r>
      <w:r w:rsidR="00FB1BC7">
        <w:rPr>
          <w:rFonts w:asciiTheme="majorBidi" w:hAnsiTheme="majorBidi" w:cstheme="majorBidi"/>
          <w:sz w:val="24"/>
          <w:szCs w:val="24"/>
        </w:rPr>
        <w:t xml:space="preserve">: </w:t>
      </w:r>
      <w:r w:rsidR="001E2462">
        <w:rPr>
          <w:rFonts w:asciiTheme="majorBidi" w:hAnsiTheme="majorBidi" w:cstheme="majorBidi"/>
          <w:sz w:val="24"/>
          <w:szCs w:val="24"/>
        </w:rPr>
        <w:t>t</w:t>
      </w:r>
      <w:r w:rsidR="005967E1">
        <w:rPr>
          <w:rFonts w:asciiTheme="majorBidi" w:hAnsiTheme="majorBidi" w:cstheme="majorBidi"/>
          <w:sz w:val="24"/>
          <w:szCs w:val="24"/>
        </w:rPr>
        <w:t>he smaller the crystallite size, the le</w:t>
      </w:r>
      <w:r w:rsidR="001C11B3">
        <w:rPr>
          <w:rFonts w:asciiTheme="majorBidi" w:hAnsiTheme="majorBidi" w:cstheme="majorBidi"/>
          <w:sz w:val="24"/>
          <w:szCs w:val="24"/>
        </w:rPr>
        <w:t>ss well-crystalline the sample.</w:t>
      </w:r>
      <w:r w:rsidR="005F2466">
        <w:rPr>
          <w:rFonts w:asciiTheme="majorBidi" w:hAnsiTheme="majorBidi" w:cstheme="majorBidi"/>
          <w:sz w:val="24"/>
          <w:szCs w:val="24"/>
        </w:rPr>
        <w:t xml:space="preserve"> </w:t>
      </w:r>
      <w:r w:rsidR="005F2466" w:rsidRPr="005F2466">
        <w:rPr>
          <w:rFonts w:asciiTheme="majorBidi" w:hAnsiTheme="majorBidi" w:cstheme="majorBidi"/>
          <w:sz w:val="24"/>
          <w:szCs w:val="24"/>
        </w:rPr>
        <w:t>MC analogs exhibiting 0.74 wt% and 1.2 wt% share comparable crystallinity</w:t>
      </w:r>
      <w:r w:rsidR="003C728F">
        <w:rPr>
          <w:rFonts w:asciiTheme="majorBidi" w:hAnsiTheme="majorBidi" w:cstheme="majorBidi"/>
          <w:sz w:val="24"/>
          <w:szCs w:val="24"/>
        </w:rPr>
        <w:t xml:space="preserve"> but</w:t>
      </w:r>
      <w:r w:rsidR="005F2466" w:rsidRPr="005F2466">
        <w:rPr>
          <w:rFonts w:asciiTheme="majorBidi" w:hAnsiTheme="majorBidi" w:cstheme="majorBidi"/>
          <w:sz w:val="24"/>
          <w:szCs w:val="24"/>
        </w:rPr>
        <w:t xml:space="preserve"> diverge in their </w:t>
      </w:r>
      <w:r w:rsidR="00230A25">
        <w:rPr>
          <w:rFonts w:asciiTheme="majorBidi" w:hAnsiTheme="majorBidi" w:cstheme="majorBidi"/>
          <w:sz w:val="24"/>
          <w:szCs w:val="24"/>
        </w:rPr>
        <w:t>Zn</w:t>
      </w:r>
      <w:r w:rsidR="005F2466" w:rsidRPr="005F2466">
        <w:rPr>
          <w:rFonts w:asciiTheme="majorBidi" w:hAnsiTheme="majorBidi" w:cstheme="majorBidi"/>
          <w:sz w:val="24"/>
          <w:szCs w:val="24"/>
        </w:rPr>
        <w:t xml:space="preserve"> </w:t>
      </w:r>
      <w:r w:rsidR="00162426">
        <w:rPr>
          <w:rFonts w:asciiTheme="majorBidi" w:hAnsiTheme="majorBidi" w:cstheme="majorBidi"/>
          <w:sz w:val="24"/>
          <w:szCs w:val="24"/>
        </w:rPr>
        <w:t xml:space="preserve">and carbonate </w:t>
      </w:r>
      <w:r w:rsidR="005F2466" w:rsidRPr="00996F0B">
        <w:rPr>
          <w:rFonts w:asciiTheme="majorBidi" w:hAnsiTheme="majorBidi" w:cstheme="majorBidi"/>
          <w:sz w:val="24"/>
          <w:szCs w:val="24"/>
        </w:rPr>
        <w:t>content</w:t>
      </w:r>
      <w:r w:rsidR="00162426" w:rsidRPr="00996F0B">
        <w:rPr>
          <w:rFonts w:asciiTheme="majorBidi" w:hAnsiTheme="majorBidi" w:cstheme="majorBidi"/>
          <w:sz w:val="24"/>
          <w:szCs w:val="24"/>
        </w:rPr>
        <w:t>s</w:t>
      </w:r>
      <w:r w:rsidR="005F2466" w:rsidRPr="00996F0B">
        <w:rPr>
          <w:rFonts w:asciiTheme="majorBidi" w:hAnsiTheme="majorBidi" w:cstheme="majorBidi"/>
          <w:sz w:val="24"/>
          <w:szCs w:val="24"/>
        </w:rPr>
        <w:t xml:space="preserve">. This contrast establishes a platform to </w:t>
      </w:r>
      <w:r w:rsidR="003C728F" w:rsidRPr="00996F0B">
        <w:rPr>
          <w:rFonts w:asciiTheme="majorBidi" w:hAnsiTheme="majorBidi" w:cstheme="majorBidi"/>
          <w:sz w:val="24"/>
          <w:szCs w:val="24"/>
        </w:rPr>
        <w:t xml:space="preserve">assess </w:t>
      </w:r>
      <w:r w:rsidR="005F2466" w:rsidRPr="00996F0B">
        <w:rPr>
          <w:rFonts w:asciiTheme="majorBidi" w:hAnsiTheme="majorBidi" w:cstheme="majorBidi"/>
          <w:sz w:val="24"/>
          <w:szCs w:val="24"/>
        </w:rPr>
        <w:t>the individual influences of these factors on</w:t>
      </w:r>
      <w:r w:rsidR="00556AC4" w:rsidRPr="00996F0B">
        <w:rPr>
          <w:rFonts w:asciiTheme="majorBidi" w:hAnsiTheme="majorBidi" w:cstheme="majorBidi"/>
          <w:sz w:val="24"/>
          <w:szCs w:val="24"/>
        </w:rPr>
        <w:t xml:space="preserve"> </w:t>
      </w:r>
      <w:r w:rsidR="00556AC4" w:rsidRPr="000923EB">
        <w:rPr>
          <w:rFonts w:asciiTheme="majorBidi" w:hAnsiTheme="majorBidi" w:cstheme="majorBidi"/>
          <w:sz w:val="24"/>
          <w:szCs w:val="24"/>
        </w:rPr>
        <w:t>MDA-T32</w:t>
      </w:r>
      <w:r w:rsidR="005F2466" w:rsidRPr="00996F0B">
        <w:rPr>
          <w:rFonts w:asciiTheme="majorBidi" w:hAnsiTheme="majorBidi" w:cstheme="majorBidi"/>
          <w:sz w:val="24"/>
          <w:szCs w:val="24"/>
        </w:rPr>
        <w:t xml:space="preserve"> cell</w:t>
      </w:r>
      <w:r w:rsidR="00556AC4" w:rsidRPr="00996F0B">
        <w:rPr>
          <w:rFonts w:asciiTheme="majorBidi" w:hAnsiTheme="majorBidi" w:cstheme="majorBidi"/>
          <w:sz w:val="24"/>
          <w:szCs w:val="24"/>
        </w:rPr>
        <w:t xml:space="preserve"> </w:t>
      </w:r>
      <w:r w:rsidR="00556AC4">
        <w:rPr>
          <w:rFonts w:asciiTheme="majorBidi" w:hAnsiTheme="majorBidi" w:cstheme="majorBidi"/>
          <w:sz w:val="24"/>
          <w:szCs w:val="24"/>
        </w:rPr>
        <w:t>line malignant properties</w:t>
      </w:r>
      <w:r w:rsidR="005F2466">
        <w:rPr>
          <w:rFonts w:asciiTheme="majorBidi" w:hAnsiTheme="majorBidi" w:cstheme="majorBidi"/>
          <w:sz w:val="24"/>
          <w:szCs w:val="24"/>
        </w:rPr>
        <w:t>.</w:t>
      </w:r>
    </w:p>
    <w:p w14:paraId="50D851C4" w14:textId="77777777" w:rsidR="008915D7" w:rsidRDefault="008915D7" w:rsidP="008915D7">
      <w:pPr>
        <w:spacing w:after="0" w:line="360" w:lineRule="auto"/>
        <w:jc w:val="both"/>
        <w:rPr>
          <w:rFonts w:asciiTheme="majorBidi" w:hAnsiTheme="majorBidi" w:cstheme="majorBidi"/>
          <w:b/>
          <w:bCs/>
          <w:sz w:val="24"/>
          <w:szCs w:val="24"/>
        </w:rPr>
      </w:pPr>
    </w:p>
    <w:p w14:paraId="79B1FE90" w14:textId="14878600" w:rsidR="008915D7" w:rsidRDefault="008915D7" w:rsidP="00902C77">
      <w:pPr>
        <w:spacing w:after="0" w:line="360" w:lineRule="auto"/>
        <w:jc w:val="both"/>
        <w:rPr>
          <w:rFonts w:asciiTheme="majorBidi" w:hAnsiTheme="majorBidi" w:cstheme="majorBidi"/>
          <w:sz w:val="24"/>
          <w:szCs w:val="24"/>
        </w:rPr>
      </w:pPr>
      <w:r w:rsidRPr="00732866">
        <w:rPr>
          <w:rFonts w:asciiTheme="majorBidi" w:hAnsiTheme="majorBidi" w:cstheme="majorBidi"/>
          <w:b/>
          <w:bCs/>
          <w:sz w:val="24"/>
          <w:szCs w:val="24"/>
        </w:rPr>
        <w:t xml:space="preserve">Table </w:t>
      </w:r>
      <w:r w:rsidRPr="00B05B61">
        <w:rPr>
          <w:rFonts w:asciiTheme="majorBidi" w:hAnsiTheme="majorBidi" w:cstheme="majorBidi"/>
          <w:b/>
          <w:bCs/>
          <w:sz w:val="24"/>
          <w:szCs w:val="24"/>
          <w:highlight w:val="green"/>
        </w:rPr>
        <w:t>3</w:t>
      </w:r>
      <w:r>
        <w:rPr>
          <w:rFonts w:asciiTheme="majorBidi" w:hAnsiTheme="majorBidi" w:cstheme="majorBidi"/>
          <w:b/>
          <w:bCs/>
          <w:sz w:val="24"/>
          <w:szCs w:val="24"/>
        </w:rPr>
        <w:t>.</w:t>
      </w:r>
      <w:r w:rsidRPr="00732866">
        <w:rPr>
          <w:rFonts w:asciiTheme="majorBidi" w:hAnsiTheme="majorBidi" w:cstheme="majorBidi"/>
          <w:sz w:val="24"/>
          <w:szCs w:val="24"/>
        </w:rPr>
        <w:t xml:space="preserve"> XRD results of the synthetic MC analogs according to Zn fraction. The solid phase Zn fraction (wt%) was measured by ICP-OES. ESD is </w:t>
      </w:r>
      <w:r>
        <w:rPr>
          <w:rFonts w:asciiTheme="majorBidi" w:hAnsiTheme="majorBidi" w:cstheme="majorBidi"/>
          <w:sz w:val="24"/>
          <w:szCs w:val="24"/>
        </w:rPr>
        <w:t xml:space="preserve">the </w:t>
      </w:r>
      <w:r w:rsidRPr="00732866">
        <w:rPr>
          <w:rFonts w:asciiTheme="majorBidi" w:hAnsiTheme="majorBidi" w:cstheme="majorBidi"/>
          <w:sz w:val="24"/>
          <w:szCs w:val="24"/>
        </w:rPr>
        <w:t>estimated standard deviation of the crystallite size.</w:t>
      </w:r>
    </w:p>
    <w:tbl>
      <w:tblPr>
        <w:tblW w:w="6460" w:type="dxa"/>
        <w:jc w:val="center"/>
        <w:tblCellMar>
          <w:left w:w="0" w:type="dxa"/>
          <w:right w:w="0" w:type="dxa"/>
        </w:tblCellMar>
        <w:tblLook w:val="04A0" w:firstRow="1" w:lastRow="0" w:firstColumn="1" w:lastColumn="0" w:noHBand="0" w:noVBand="1"/>
      </w:tblPr>
      <w:tblGrid>
        <w:gridCol w:w="1340"/>
        <w:gridCol w:w="1180"/>
        <w:gridCol w:w="1240"/>
        <w:gridCol w:w="1340"/>
        <w:gridCol w:w="1360"/>
      </w:tblGrid>
      <w:tr w:rsidR="00BB08F5" w:rsidRPr="004F0361" w14:paraId="2671814E" w14:textId="77777777" w:rsidTr="00C83ACC">
        <w:trPr>
          <w:trHeight w:val="1128"/>
          <w:jc w:val="center"/>
        </w:trPr>
        <w:tc>
          <w:tcPr>
            <w:tcW w:w="13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EC31C08" w14:textId="6BD7960B"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 xml:space="preserve">Zn fraction </w:t>
            </w:r>
          </w:p>
          <w:p w14:paraId="2E174795"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(wt%)</w:t>
            </w:r>
          </w:p>
        </w:tc>
        <w:tc>
          <w:tcPr>
            <w:tcW w:w="11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E21EF74" w14:textId="3921D845" w:rsidR="00BB08F5" w:rsidRPr="00732866" w:rsidRDefault="00BC4853" w:rsidP="00AB3F9D">
            <w:pPr>
              <w:spacing w:after="0" w:line="360" w:lineRule="auto"/>
              <w:jc w:val="center"/>
              <w:rPr>
                <w:rFonts w:asciiTheme="majorBidi" w:hAnsiTheme="majorBidi" w:cstheme="majorBidi"/>
                <w:b/>
                <w:bCs/>
              </w:rPr>
            </w:pPr>
            <w:r>
              <w:rPr>
                <w:rFonts w:asciiTheme="majorBidi" w:hAnsiTheme="majorBidi" w:cstheme="majorBidi"/>
                <w:b/>
                <w:bCs/>
              </w:rPr>
              <w:t>‘</w:t>
            </w:r>
            <w:r w:rsidR="00BB08F5" w:rsidRPr="00732866">
              <w:rPr>
                <w:rFonts w:asciiTheme="majorBidi" w:hAnsiTheme="majorBidi" w:cstheme="majorBidi"/>
                <w:b/>
                <w:bCs/>
              </w:rPr>
              <w:t>a</w:t>
            </w:r>
            <w:r>
              <w:rPr>
                <w:rFonts w:asciiTheme="majorBidi" w:hAnsiTheme="majorBidi" w:cstheme="majorBidi"/>
                <w:b/>
                <w:bCs/>
              </w:rPr>
              <w:t>’</w:t>
            </w:r>
            <w:r w:rsidR="00BB08F5" w:rsidRPr="00732866">
              <w:rPr>
                <w:rFonts w:asciiTheme="majorBidi" w:hAnsiTheme="majorBidi" w:cstheme="majorBidi"/>
                <w:b/>
                <w:bCs/>
              </w:rPr>
              <w:t xml:space="preserve"> (</w:t>
            </w:r>
            <m:oMath>
              <m:r>
                <m:rPr>
                  <m:sty m:val="bi"/>
                </m:rPr>
                <w:rPr>
                  <w:rFonts w:ascii="Cambria Math" w:hAnsi="Cambria Math" w:cstheme="majorBidi"/>
                </w:rPr>
                <m:t>A</m:t>
              </m:r>
              <m:r>
                <m:rPr>
                  <m:sty m:val="b"/>
                </m:rPr>
                <w:rPr>
                  <w:rFonts w:ascii="Cambria Math" w:hAnsi="Cambria Math" w:cstheme="majorBidi"/>
                </w:rPr>
                <m:t>°</m:t>
              </m:r>
            </m:oMath>
            <w:r w:rsidR="00BB08F5" w:rsidRPr="00732866">
              <w:rPr>
                <w:rFonts w:asciiTheme="majorBidi" w:hAnsiTheme="majorBidi" w:cstheme="majorBidi"/>
                <w:b/>
                <w:bCs/>
              </w:rPr>
              <w:t>)</w:t>
            </w:r>
          </w:p>
        </w:tc>
        <w:tc>
          <w:tcPr>
            <w:tcW w:w="12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6EC0432" w14:textId="1BDFEA7C" w:rsidR="00BB08F5" w:rsidRPr="00732866" w:rsidRDefault="00BC4853" w:rsidP="00AB3F9D">
            <w:pPr>
              <w:spacing w:after="0" w:line="360" w:lineRule="auto"/>
              <w:jc w:val="center"/>
              <w:rPr>
                <w:rFonts w:asciiTheme="majorBidi" w:hAnsiTheme="majorBidi" w:cstheme="majorBidi"/>
                <w:b/>
                <w:bCs/>
              </w:rPr>
            </w:pPr>
            <w:r>
              <w:rPr>
                <w:rFonts w:asciiTheme="majorBidi" w:hAnsiTheme="majorBidi" w:cstheme="majorBidi"/>
                <w:b/>
                <w:bCs/>
              </w:rPr>
              <w:t>‘</w:t>
            </w:r>
            <w:r w:rsidR="00BB08F5" w:rsidRPr="00732866">
              <w:rPr>
                <w:rFonts w:asciiTheme="majorBidi" w:hAnsiTheme="majorBidi" w:cstheme="majorBidi"/>
                <w:b/>
                <w:bCs/>
              </w:rPr>
              <w:t>c</w:t>
            </w:r>
            <w:r>
              <w:rPr>
                <w:rFonts w:asciiTheme="majorBidi" w:hAnsiTheme="majorBidi" w:cstheme="majorBidi"/>
                <w:b/>
                <w:bCs/>
              </w:rPr>
              <w:t xml:space="preserve">’ </w:t>
            </w:r>
            <w:r w:rsidR="00BB08F5" w:rsidRPr="00732866">
              <w:rPr>
                <w:rFonts w:asciiTheme="majorBidi" w:hAnsiTheme="majorBidi" w:cstheme="majorBidi"/>
                <w:b/>
                <w:bCs/>
              </w:rPr>
              <w:t>(</w:t>
            </w:r>
            <m:oMath>
              <m:r>
                <m:rPr>
                  <m:sty m:val="bi"/>
                </m:rPr>
                <w:rPr>
                  <w:rFonts w:ascii="Cambria Math" w:hAnsi="Cambria Math" w:cstheme="majorBidi"/>
                </w:rPr>
                <m:t>A</m:t>
              </m:r>
              <m:r>
                <m:rPr>
                  <m:sty m:val="b"/>
                </m:rPr>
                <w:rPr>
                  <w:rFonts w:ascii="Cambria Math" w:hAnsi="Cambria Math" w:cstheme="majorBidi"/>
                </w:rPr>
                <m:t>°</m:t>
              </m:r>
            </m:oMath>
            <w:r w:rsidR="00BB08F5" w:rsidRPr="00732866">
              <w:rPr>
                <w:rFonts w:asciiTheme="majorBidi" w:hAnsiTheme="majorBidi" w:cstheme="majorBidi"/>
                <w:b/>
                <w:bCs/>
              </w:rPr>
              <w:t>)</w:t>
            </w:r>
          </w:p>
        </w:tc>
        <w:tc>
          <w:tcPr>
            <w:tcW w:w="13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769977B"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Crystallite size (</w:t>
            </w:r>
            <m:oMath>
              <m:r>
                <m:rPr>
                  <m:sty m:val="bi"/>
                </m:rPr>
                <w:rPr>
                  <w:rFonts w:ascii="Cambria Math" w:hAnsi="Cambria Math" w:cstheme="majorBidi"/>
                </w:rPr>
                <m:t>A</m:t>
              </m:r>
              <m:r>
                <m:rPr>
                  <m:sty m:val="b"/>
                </m:rPr>
                <w:rPr>
                  <w:rFonts w:ascii="Cambria Math" w:hAnsi="Cambria Math" w:cstheme="majorBidi"/>
                </w:rPr>
                <m:t>°</m:t>
              </m:r>
            </m:oMath>
            <w:r w:rsidRPr="00732866">
              <w:rPr>
                <w:rFonts w:asciiTheme="majorBidi" w:hAnsiTheme="majorBidi" w:cstheme="majorBidi"/>
                <w:b/>
                <w:bCs/>
              </w:rPr>
              <w:t>)</w:t>
            </w:r>
          </w:p>
        </w:tc>
        <w:tc>
          <w:tcPr>
            <w:tcW w:w="136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8E50EB2"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ESD (</w:t>
            </w:r>
            <m:oMath>
              <m:r>
                <m:rPr>
                  <m:sty m:val="bi"/>
                </m:rPr>
                <w:rPr>
                  <w:rFonts w:ascii="Cambria Math" w:hAnsi="Cambria Math" w:cstheme="majorBidi"/>
                </w:rPr>
                <m:t>A</m:t>
              </m:r>
              <m:r>
                <m:rPr>
                  <m:sty m:val="b"/>
                </m:rPr>
                <w:rPr>
                  <w:rFonts w:ascii="Cambria Math" w:hAnsi="Cambria Math" w:cstheme="majorBidi"/>
                </w:rPr>
                <m:t>°</m:t>
              </m:r>
            </m:oMath>
            <w:r w:rsidRPr="00732866">
              <w:rPr>
                <w:rFonts w:asciiTheme="majorBidi" w:hAnsiTheme="majorBidi" w:cstheme="majorBidi"/>
                <w:b/>
                <w:bCs/>
              </w:rPr>
              <w:t>)</w:t>
            </w:r>
          </w:p>
        </w:tc>
      </w:tr>
      <w:tr w:rsidR="00BB08F5" w:rsidRPr="004F0361" w14:paraId="5745492E" w14:textId="77777777" w:rsidTr="00C83ACC">
        <w:trPr>
          <w:trHeight w:val="380"/>
          <w:jc w:val="center"/>
        </w:trPr>
        <w:tc>
          <w:tcPr>
            <w:tcW w:w="13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B7A617A"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0</w:t>
            </w:r>
          </w:p>
        </w:tc>
        <w:tc>
          <w:tcPr>
            <w:tcW w:w="11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0FA84D9"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9.442</w:t>
            </w:r>
          </w:p>
        </w:tc>
        <w:tc>
          <w:tcPr>
            <w:tcW w:w="12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5C758AB"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6.876</w:t>
            </w:r>
          </w:p>
        </w:tc>
        <w:tc>
          <w:tcPr>
            <w:tcW w:w="13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BA157D0"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220.9</w:t>
            </w:r>
          </w:p>
        </w:tc>
        <w:tc>
          <w:tcPr>
            <w:tcW w:w="13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7B2892D"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0.134</w:t>
            </w:r>
          </w:p>
        </w:tc>
      </w:tr>
      <w:tr w:rsidR="00BB08F5" w:rsidRPr="004F0361" w14:paraId="589BB8B1" w14:textId="77777777" w:rsidTr="00C83ACC">
        <w:trPr>
          <w:trHeight w:val="147"/>
          <w:jc w:val="center"/>
        </w:trPr>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18154EA4"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0.74</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0476B6C2"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9.418</w:t>
            </w:r>
          </w:p>
        </w:tc>
        <w:tc>
          <w:tcPr>
            <w:tcW w:w="1240" w:type="dxa"/>
            <w:tcBorders>
              <w:top w:val="nil"/>
              <w:left w:val="nil"/>
              <w:bottom w:val="nil"/>
              <w:right w:val="nil"/>
            </w:tcBorders>
            <w:shd w:val="clear" w:color="auto" w:fill="auto"/>
            <w:tcMar>
              <w:top w:w="15" w:type="dxa"/>
              <w:left w:w="15" w:type="dxa"/>
              <w:bottom w:w="0" w:type="dxa"/>
              <w:right w:w="15" w:type="dxa"/>
            </w:tcMar>
            <w:vAlign w:val="center"/>
            <w:hideMark/>
          </w:tcPr>
          <w:p w14:paraId="594DE766"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6.872</w:t>
            </w:r>
          </w:p>
        </w:tc>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1CB3135E"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100.6</w:t>
            </w:r>
          </w:p>
        </w:tc>
        <w:tc>
          <w:tcPr>
            <w:tcW w:w="1360" w:type="dxa"/>
            <w:tcBorders>
              <w:top w:val="nil"/>
              <w:left w:val="nil"/>
              <w:bottom w:val="nil"/>
              <w:right w:val="nil"/>
            </w:tcBorders>
            <w:shd w:val="clear" w:color="auto" w:fill="auto"/>
            <w:tcMar>
              <w:top w:w="15" w:type="dxa"/>
              <w:left w:w="15" w:type="dxa"/>
              <w:bottom w:w="0" w:type="dxa"/>
              <w:right w:w="15" w:type="dxa"/>
            </w:tcMar>
            <w:vAlign w:val="center"/>
            <w:hideMark/>
          </w:tcPr>
          <w:p w14:paraId="1CFAB26D"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1.767</w:t>
            </w:r>
          </w:p>
        </w:tc>
      </w:tr>
      <w:tr w:rsidR="00BB08F5" w:rsidRPr="004F0361" w14:paraId="107A40B0" w14:textId="77777777" w:rsidTr="00C83ACC">
        <w:trPr>
          <w:trHeight w:val="380"/>
          <w:jc w:val="center"/>
        </w:trPr>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690947DF"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1.2</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24173398"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9.439</w:t>
            </w:r>
          </w:p>
        </w:tc>
        <w:tc>
          <w:tcPr>
            <w:tcW w:w="1240" w:type="dxa"/>
            <w:tcBorders>
              <w:top w:val="nil"/>
              <w:left w:val="nil"/>
              <w:bottom w:val="nil"/>
              <w:right w:val="nil"/>
            </w:tcBorders>
            <w:shd w:val="clear" w:color="auto" w:fill="auto"/>
            <w:tcMar>
              <w:top w:w="15" w:type="dxa"/>
              <w:left w:w="15" w:type="dxa"/>
              <w:bottom w:w="0" w:type="dxa"/>
              <w:right w:w="15" w:type="dxa"/>
            </w:tcMar>
            <w:vAlign w:val="center"/>
            <w:hideMark/>
          </w:tcPr>
          <w:p w14:paraId="2923122E"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6.877</w:t>
            </w:r>
          </w:p>
        </w:tc>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417D3EE2"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101.8</w:t>
            </w:r>
          </w:p>
        </w:tc>
        <w:tc>
          <w:tcPr>
            <w:tcW w:w="1360" w:type="dxa"/>
            <w:tcBorders>
              <w:top w:val="nil"/>
              <w:left w:val="nil"/>
              <w:bottom w:val="nil"/>
              <w:right w:val="nil"/>
            </w:tcBorders>
            <w:shd w:val="clear" w:color="auto" w:fill="auto"/>
            <w:tcMar>
              <w:top w:w="15" w:type="dxa"/>
              <w:left w:w="15" w:type="dxa"/>
              <w:bottom w:w="0" w:type="dxa"/>
              <w:right w:w="15" w:type="dxa"/>
            </w:tcMar>
            <w:vAlign w:val="center"/>
            <w:hideMark/>
          </w:tcPr>
          <w:p w14:paraId="7CE24B93"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0.013</w:t>
            </w:r>
          </w:p>
        </w:tc>
      </w:tr>
      <w:tr w:rsidR="00BB08F5" w:rsidRPr="004F0361" w14:paraId="5841912E" w14:textId="77777777" w:rsidTr="00C83ACC">
        <w:trPr>
          <w:trHeight w:val="380"/>
          <w:jc w:val="center"/>
        </w:trPr>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3D106433"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2.6</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38E0BE36"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9.395</w:t>
            </w:r>
          </w:p>
        </w:tc>
        <w:tc>
          <w:tcPr>
            <w:tcW w:w="1240" w:type="dxa"/>
            <w:tcBorders>
              <w:top w:val="nil"/>
              <w:left w:val="nil"/>
              <w:bottom w:val="nil"/>
              <w:right w:val="nil"/>
            </w:tcBorders>
            <w:shd w:val="clear" w:color="auto" w:fill="auto"/>
            <w:tcMar>
              <w:top w:w="15" w:type="dxa"/>
              <w:left w:w="15" w:type="dxa"/>
              <w:bottom w:w="0" w:type="dxa"/>
              <w:right w:w="15" w:type="dxa"/>
            </w:tcMar>
            <w:vAlign w:val="center"/>
            <w:hideMark/>
          </w:tcPr>
          <w:p w14:paraId="20EDF49C"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6.837</w:t>
            </w:r>
          </w:p>
        </w:tc>
        <w:tc>
          <w:tcPr>
            <w:tcW w:w="1340" w:type="dxa"/>
            <w:tcBorders>
              <w:top w:val="nil"/>
              <w:left w:val="nil"/>
              <w:bottom w:val="nil"/>
              <w:right w:val="nil"/>
            </w:tcBorders>
            <w:shd w:val="clear" w:color="auto" w:fill="auto"/>
            <w:tcMar>
              <w:top w:w="15" w:type="dxa"/>
              <w:left w:w="15" w:type="dxa"/>
              <w:bottom w:w="0" w:type="dxa"/>
              <w:right w:w="15" w:type="dxa"/>
            </w:tcMar>
            <w:vAlign w:val="center"/>
            <w:hideMark/>
          </w:tcPr>
          <w:p w14:paraId="63CDDA17"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75.3</w:t>
            </w:r>
          </w:p>
        </w:tc>
        <w:tc>
          <w:tcPr>
            <w:tcW w:w="1360" w:type="dxa"/>
            <w:tcBorders>
              <w:top w:val="nil"/>
              <w:left w:val="nil"/>
              <w:bottom w:val="nil"/>
              <w:right w:val="nil"/>
            </w:tcBorders>
            <w:shd w:val="clear" w:color="auto" w:fill="auto"/>
            <w:tcMar>
              <w:top w:w="15" w:type="dxa"/>
              <w:left w:w="15" w:type="dxa"/>
              <w:bottom w:w="0" w:type="dxa"/>
              <w:right w:w="15" w:type="dxa"/>
            </w:tcMar>
            <w:vAlign w:val="center"/>
            <w:hideMark/>
          </w:tcPr>
          <w:p w14:paraId="6B3480E4"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0.005</w:t>
            </w:r>
          </w:p>
        </w:tc>
      </w:tr>
      <w:tr w:rsidR="00BB08F5" w:rsidRPr="004F0361" w14:paraId="1230CC8E" w14:textId="77777777" w:rsidTr="00C83ACC">
        <w:trPr>
          <w:trHeight w:val="380"/>
          <w:jc w:val="center"/>
        </w:trPr>
        <w:tc>
          <w:tcPr>
            <w:tcW w:w="13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6B7058" w14:textId="77777777" w:rsidR="00BB08F5" w:rsidRPr="00732866" w:rsidRDefault="00BB08F5" w:rsidP="00AB3F9D">
            <w:pPr>
              <w:spacing w:after="0" w:line="360" w:lineRule="auto"/>
              <w:jc w:val="center"/>
              <w:rPr>
                <w:rFonts w:asciiTheme="majorBidi" w:hAnsiTheme="majorBidi" w:cstheme="majorBidi"/>
                <w:b/>
                <w:bCs/>
              </w:rPr>
            </w:pPr>
            <w:r w:rsidRPr="00732866">
              <w:rPr>
                <w:rFonts w:asciiTheme="majorBidi" w:hAnsiTheme="majorBidi" w:cstheme="majorBidi"/>
                <w:b/>
                <w:bCs/>
              </w:rPr>
              <w:t>5.2</w:t>
            </w:r>
          </w:p>
        </w:tc>
        <w:tc>
          <w:tcPr>
            <w:tcW w:w="118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2C1C99E"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9.321</w:t>
            </w:r>
          </w:p>
        </w:tc>
        <w:tc>
          <w:tcPr>
            <w:tcW w:w="12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F609096"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6.799</w:t>
            </w:r>
          </w:p>
        </w:tc>
        <w:tc>
          <w:tcPr>
            <w:tcW w:w="13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6978A54"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62.1</w:t>
            </w:r>
          </w:p>
        </w:tc>
        <w:tc>
          <w:tcPr>
            <w:tcW w:w="13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EA2AF6E" w14:textId="77777777" w:rsidR="00BB08F5" w:rsidRPr="00732866" w:rsidRDefault="00BB08F5" w:rsidP="00AB3F9D">
            <w:pPr>
              <w:spacing w:after="0" w:line="360" w:lineRule="auto"/>
              <w:jc w:val="center"/>
              <w:rPr>
                <w:rFonts w:asciiTheme="majorBidi" w:hAnsiTheme="majorBidi" w:cstheme="majorBidi"/>
              </w:rPr>
            </w:pPr>
            <w:r w:rsidRPr="00732866">
              <w:rPr>
                <w:rFonts w:asciiTheme="majorBidi" w:hAnsiTheme="majorBidi" w:cstheme="majorBidi"/>
              </w:rPr>
              <w:t>0.003</w:t>
            </w:r>
          </w:p>
        </w:tc>
      </w:tr>
    </w:tbl>
    <w:p w14:paraId="54F0BB3E" w14:textId="6592FDCF" w:rsidR="0049218F" w:rsidRPr="007256D9" w:rsidRDefault="00267FBF"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pict w14:anchorId="3E81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45pt">
            <v:imagedata r:id="rId8" o:title="XRD GG EDITION"/>
          </v:shape>
        </w:pict>
      </w:r>
    </w:p>
    <w:p w14:paraId="5D372A61" w14:textId="1DF18AB4" w:rsidR="000765DF" w:rsidRPr="00371A19" w:rsidRDefault="000765DF" w:rsidP="00AB3F9D">
      <w:pPr>
        <w:spacing w:after="0" w:line="360" w:lineRule="auto"/>
        <w:rPr>
          <w:rFonts w:asciiTheme="majorBidi" w:hAnsiTheme="majorBidi" w:cstheme="majorBidi"/>
          <w:sz w:val="24"/>
          <w:szCs w:val="24"/>
        </w:rPr>
      </w:pPr>
      <w:r w:rsidRPr="00732866">
        <w:rPr>
          <w:rFonts w:asciiTheme="majorBidi" w:hAnsiTheme="majorBidi" w:cstheme="majorBidi"/>
          <w:b/>
          <w:bCs/>
          <w:sz w:val="24"/>
          <w:szCs w:val="24"/>
        </w:rPr>
        <w:t xml:space="preserve">Figure 3. </w:t>
      </w:r>
      <w:r w:rsidRPr="00732866">
        <w:rPr>
          <w:rFonts w:asciiTheme="majorBidi" w:hAnsiTheme="majorBidi" w:cstheme="majorBidi"/>
          <w:sz w:val="24"/>
          <w:szCs w:val="24"/>
        </w:rPr>
        <w:t xml:space="preserve">Trends in changing unit cell parameters for MC analogs with increasing Zn </w:t>
      </w:r>
      <w:r w:rsidR="004712BC" w:rsidRPr="00732866">
        <w:rPr>
          <w:rFonts w:asciiTheme="majorBidi" w:hAnsiTheme="majorBidi" w:cstheme="majorBidi"/>
          <w:sz w:val="24"/>
          <w:szCs w:val="24"/>
        </w:rPr>
        <w:t>fraction</w:t>
      </w:r>
      <w:r w:rsidR="00DF0FD5">
        <w:rPr>
          <w:rFonts w:asciiTheme="majorBidi" w:hAnsiTheme="majorBidi" w:cstheme="majorBidi"/>
          <w:sz w:val="24"/>
          <w:szCs w:val="24"/>
        </w:rPr>
        <w:t>.</w:t>
      </w:r>
    </w:p>
    <w:p w14:paraId="46FCDC5C" w14:textId="77777777" w:rsidR="008E6E92" w:rsidRDefault="008E6E92" w:rsidP="00AB3F9D">
      <w:pPr>
        <w:spacing w:after="0" w:line="360" w:lineRule="auto"/>
        <w:jc w:val="both"/>
        <w:rPr>
          <w:rFonts w:asciiTheme="majorBidi" w:hAnsiTheme="majorBidi" w:cstheme="majorBidi"/>
          <w:sz w:val="24"/>
          <w:szCs w:val="24"/>
        </w:rPr>
      </w:pPr>
    </w:p>
    <w:p w14:paraId="691C1573" w14:textId="11E488FF" w:rsidR="00F94226" w:rsidRDefault="00835A0E"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zeta potential </w:t>
      </w:r>
      <w:r w:rsidR="008E6E92">
        <w:rPr>
          <w:rFonts w:asciiTheme="majorBidi" w:hAnsiTheme="majorBidi" w:cstheme="majorBidi"/>
          <w:sz w:val="24"/>
          <w:szCs w:val="24"/>
        </w:rPr>
        <w:t>of the synthetic MCs</w:t>
      </w:r>
      <w:r w:rsidR="008E6E92" w:rsidRPr="00793504">
        <w:rPr>
          <w:rFonts w:asciiTheme="majorBidi" w:hAnsiTheme="majorBidi" w:cstheme="majorBidi"/>
          <w:sz w:val="24"/>
          <w:szCs w:val="24"/>
        </w:rPr>
        <w:t xml:space="preserve"> </w:t>
      </w:r>
      <w:r w:rsidR="00F94226">
        <w:rPr>
          <w:rFonts w:asciiTheme="majorBidi" w:hAnsiTheme="majorBidi" w:cstheme="majorBidi"/>
          <w:sz w:val="24"/>
          <w:szCs w:val="24"/>
        </w:rPr>
        <w:t>exhibited a</w:t>
      </w:r>
      <w:r>
        <w:rPr>
          <w:rFonts w:asciiTheme="majorBidi" w:hAnsiTheme="majorBidi" w:cstheme="majorBidi"/>
          <w:sz w:val="24"/>
          <w:szCs w:val="24"/>
        </w:rPr>
        <w:t xml:space="preserve"> negative </w:t>
      </w:r>
      <w:r w:rsidR="00F94226">
        <w:rPr>
          <w:rFonts w:asciiTheme="majorBidi" w:hAnsiTheme="majorBidi" w:cstheme="majorBidi"/>
          <w:sz w:val="24"/>
          <w:szCs w:val="24"/>
        </w:rPr>
        <w:t xml:space="preserve">value across </w:t>
      </w:r>
      <w:r>
        <w:rPr>
          <w:rFonts w:asciiTheme="majorBidi" w:hAnsiTheme="majorBidi" w:cstheme="majorBidi"/>
          <w:sz w:val="24"/>
          <w:szCs w:val="24"/>
        </w:rPr>
        <w:t xml:space="preserve">all </w:t>
      </w:r>
      <w:r w:rsidR="008E6E92">
        <w:rPr>
          <w:rFonts w:asciiTheme="majorBidi" w:hAnsiTheme="majorBidi" w:cstheme="majorBidi"/>
          <w:sz w:val="24"/>
          <w:szCs w:val="24"/>
        </w:rPr>
        <w:t>crystal types</w:t>
      </w:r>
      <w:r>
        <w:rPr>
          <w:rFonts w:asciiTheme="majorBidi" w:hAnsiTheme="majorBidi" w:cstheme="majorBidi"/>
          <w:sz w:val="24"/>
          <w:szCs w:val="24"/>
        </w:rPr>
        <w:t xml:space="preserve">, </w:t>
      </w:r>
      <w:r w:rsidR="00F94226">
        <w:rPr>
          <w:rFonts w:asciiTheme="majorBidi" w:hAnsiTheme="majorBidi" w:cstheme="majorBidi"/>
          <w:sz w:val="24"/>
          <w:szCs w:val="24"/>
        </w:rPr>
        <w:t>with</w:t>
      </w:r>
      <w:r>
        <w:rPr>
          <w:rFonts w:asciiTheme="majorBidi" w:hAnsiTheme="majorBidi" w:cstheme="majorBidi"/>
          <w:sz w:val="24"/>
          <w:szCs w:val="24"/>
        </w:rPr>
        <w:t xml:space="preserve"> the least negative </w:t>
      </w:r>
      <w:r w:rsidR="00F94226">
        <w:rPr>
          <w:rFonts w:asciiTheme="majorBidi" w:hAnsiTheme="majorBidi" w:cstheme="majorBidi"/>
          <w:sz w:val="24"/>
          <w:szCs w:val="24"/>
        </w:rPr>
        <w:t>value in</w:t>
      </w:r>
      <w:r>
        <w:rPr>
          <w:rFonts w:asciiTheme="majorBidi" w:hAnsiTheme="majorBidi" w:cstheme="majorBidi"/>
          <w:sz w:val="24"/>
          <w:szCs w:val="24"/>
        </w:rPr>
        <w:t xml:space="preserve"> the 0 wt% Zn</w:t>
      </w:r>
      <w:r w:rsidR="00F94226">
        <w:rPr>
          <w:rFonts w:asciiTheme="majorBidi" w:hAnsiTheme="majorBidi" w:cstheme="majorBidi"/>
          <w:sz w:val="24"/>
          <w:szCs w:val="24"/>
        </w:rPr>
        <w:t xml:space="preserve"> samples,</w:t>
      </w:r>
      <w:r>
        <w:rPr>
          <w:rFonts w:asciiTheme="majorBidi" w:hAnsiTheme="majorBidi" w:cstheme="majorBidi"/>
          <w:sz w:val="24"/>
          <w:szCs w:val="24"/>
        </w:rPr>
        <w:t xml:space="preserve"> and the most negative </w:t>
      </w:r>
      <w:r w:rsidR="00F94226">
        <w:rPr>
          <w:rFonts w:asciiTheme="majorBidi" w:hAnsiTheme="majorBidi" w:cstheme="majorBidi"/>
          <w:sz w:val="24"/>
          <w:szCs w:val="24"/>
        </w:rPr>
        <w:t>in</w:t>
      </w:r>
      <w:r>
        <w:rPr>
          <w:rFonts w:asciiTheme="majorBidi" w:hAnsiTheme="majorBidi" w:cstheme="majorBidi"/>
          <w:sz w:val="24"/>
          <w:szCs w:val="24"/>
        </w:rPr>
        <w:t xml:space="preserve"> the 5.2 wt% Zn</w:t>
      </w:r>
      <w:r w:rsidR="00F94226">
        <w:rPr>
          <w:rFonts w:asciiTheme="majorBidi" w:hAnsiTheme="majorBidi" w:cstheme="majorBidi"/>
          <w:sz w:val="24"/>
          <w:szCs w:val="24"/>
        </w:rPr>
        <w:t xml:space="preserve"> samples</w:t>
      </w:r>
      <w:r w:rsidR="008E6E92">
        <w:rPr>
          <w:rFonts w:asciiTheme="majorBidi" w:hAnsiTheme="majorBidi" w:cstheme="majorBidi"/>
          <w:sz w:val="24"/>
          <w:szCs w:val="24"/>
        </w:rPr>
        <w:t xml:space="preserve"> </w:t>
      </w:r>
      <w:r w:rsidR="008E6E92" w:rsidRPr="00793504">
        <w:rPr>
          <w:rFonts w:asciiTheme="majorBidi" w:hAnsiTheme="majorBidi" w:cstheme="majorBidi"/>
          <w:sz w:val="24"/>
          <w:szCs w:val="24"/>
        </w:rPr>
        <w:t>(</w:t>
      </w:r>
      <w:r w:rsidR="008E6E92">
        <w:rPr>
          <w:rFonts w:asciiTheme="majorBidi" w:hAnsiTheme="majorBidi" w:cstheme="majorBidi"/>
          <w:sz w:val="24"/>
          <w:szCs w:val="24"/>
        </w:rPr>
        <w:t>Fig. 4</w:t>
      </w:r>
      <w:r w:rsidR="008E6E92" w:rsidRPr="00793504">
        <w:rPr>
          <w:rFonts w:asciiTheme="majorBidi" w:hAnsiTheme="majorBidi" w:cstheme="majorBidi"/>
          <w:sz w:val="24"/>
          <w:szCs w:val="24"/>
        </w:rPr>
        <w:t>)</w:t>
      </w:r>
      <w:r>
        <w:rPr>
          <w:rFonts w:asciiTheme="majorBidi" w:hAnsiTheme="majorBidi" w:cstheme="majorBidi"/>
          <w:sz w:val="24"/>
          <w:szCs w:val="24"/>
        </w:rPr>
        <w:t xml:space="preserve">. </w:t>
      </w:r>
      <w:r w:rsidR="00F94226">
        <w:rPr>
          <w:rFonts w:asciiTheme="majorBidi" w:hAnsiTheme="majorBidi" w:cstheme="majorBidi"/>
          <w:sz w:val="24"/>
          <w:szCs w:val="24"/>
        </w:rPr>
        <w:t>Intermediate zeta potential values were observed for</w:t>
      </w:r>
      <w:r>
        <w:rPr>
          <w:rFonts w:asciiTheme="majorBidi" w:hAnsiTheme="majorBidi" w:cstheme="majorBidi"/>
          <w:sz w:val="24"/>
          <w:szCs w:val="24"/>
        </w:rPr>
        <w:t xml:space="preserve"> MC analogs containing 0.74 – 2.6 wt% Zn.</w:t>
      </w:r>
    </w:p>
    <w:p w14:paraId="49396ED3" w14:textId="77777777" w:rsidR="00793504" w:rsidRDefault="00793504" w:rsidP="00AB3F9D">
      <w:pPr>
        <w:spacing w:after="0" w:line="360" w:lineRule="auto"/>
        <w:jc w:val="both"/>
        <w:rPr>
          <w:rFonts w:asciiTheme="majorBidi" w:hAnsiTheme="majorBidi" w:cstheme="majorBidi"/>
          <w:sz w:val="24"/>
          <w:szCs w:val="24"/>
        </w:rPr>
      </w:pPr>
    </w:p>
    <w:p w14:paraId="296876FD" w14:textId="5DD66743" w:rsidR="00A84ECD" w:rsidRDefault="00A84ECD" w:rsidP="00AB3F9D">
      <w:pPr>
        <w:spacing w:after="0" w:line="360" w:lineRule="auto"/>
        <w:jc w:val="center"/>
        <w:rPr>
          <w:rFonts w:asciiTheme="majorBidi" w:hAnsiTheme="majorBidi" w:cstheme="majorBidi"/>
          <w:sz w:val="24"/>
          <w:szCs w:val="24"/>
        </w:rPr>
      </w:pPr>
      <w:r w:rsidRPr="00A84ECD">
        <w:rPr>
          <w:rFonts w:asciiTheme="majorBidi" w:hAnsiTheme="majorBidi" w:cstheme="majorBidi"/>
          <w:noProof/>
          <w:sz w:val="24"/>
          <w:szCs w:val="24"/>
        </w:rPr>
        <w:lastRenderedPageBreak/>
        <w:drawing>
          <wp:inline distT="0" distB="0" distL="0" distR="0" wp14:anchorId="737B2C70" wp14:editId="725522E0">
            <wp:extent cx="4123426" cy="3323345"/>
            <wp:effectExtent l="0" t="0" r="0" b="0"/>
            <wp:docPr id="2" name="Picture 2" descr="C:\Users\gotnayer\Downloads\Zeta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tnayer\Downloads\Zeta .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58" t="8974" r="10809" b="4056"/>
                    <a:stretch/>
                  </pic:blipFill>
                  <pic:spPr bwMode="auto">
                    <a:xfrm>
                      <a:off x="0" y="0"/>
                      <a:ext cx="4129309" cy="3328087"/>
                    </a:xfrm>
                    <a:prstGeom prst="rect">
                      <a:avLst/>
                    </a:prstGeom>
                    <a:noFill/>
                    <a:ln>
                      <a:noFill/>
                    </a:ln>
                    <a:extLst>
                      <a:ext uri="{53640926-AAD7-44D8-BBD7-CCE9431645EC}">
                        <a14:shadowObscured xmlns:a14="http://schemas.microsoft.com/office/drawing/2010/main"/>
                      </a:ext>
                    </a:extLst>
                  </pic:spPr>
                </pic:pic>
              </a:graphicData>
            </a:graphic>
          </wp:inline>
        </w:drawing>
      </w:r>
    </w:p>
    <w:p w14:paraId="1BA1E32E" w14:textId="30F32ED4" w:rsidR="00A84ECD" w:rsidRPr="005233B1" w:rsidRDefault="00A84ECD" w:rsidP="009706A4">
      <w:pPr>
        <w:spacing w:after="0" w:line="360" w:lineRule="auto"/>
        <w:rPr>
          <w:rFonts w:asciiTheme="majorBidi" w:hAnsiTheme="majorBidi" w:cstheme="majorBidi"/>
          <w:sz w:val="24"/>
          <w:szCs w:val="24"/>
          <w:rtl/>
        </w:rPr>
      </w:pPr>
      <w:r w:rsidRPr="00F0601E">
        <w:rPr>
          <w:rFonts w:asciiTheme="majorBidi" w:hAnsiTheme="majorBidi" w:cstheme="majorBidi"/>
          <w:b/>
          <w:bCs/>
          <w:sz w:val="24"/>
          <w:szCs w:val="24"/>
        </w:rPr>
        <w:t>Figure 4</w:t>
      </w:r>
      <w:r w:rsidRPr="00F0601E">
        <w:rPr>
          <w:rFonts w:asciiTheme="majorBidi" w:hAnsiTheme="majorBidi" w:cstheme="majorBidi"/>
          <w:sz w:val="24"/>
          <w:szCs w:val="24"/>
        </w:rPr>
        <w:t xml:space="preserve">. </w:t>
      </w:r>
      <w:r w:rsidR="00793504" w:rsidRPr="005233B1">
        <w:rPr>
          <w:rFonts w:asciiTheme="majorBidi" w:hAnsiTheme="majorBidi" w:cstheme="majorBidi"/>
          <w:sz w:val="24"/>
          <w:szCs w:val="24"/>
        </w:rPr>
        <w:t xml:space="preserve">Zeta potential </w:t>
      </w:r>
      <w:r w:rsidR="00E45D4F">
        <w:rPr>
          <w:rFonts w:asciiTheme="majorBidi" w:hAnsiTheme="majorBidi" w:cstheme="majorBidi"/>
          <w:sz w:val="24"/>
          <w:szCs w:val="24"/>
        </w:rPr>
        <w:t xml:space="preserve">of </w:t>
      </w:r>
      <w:r w:rsidR="00CC0CEF">
        <w:rPr>
          <w:rFonts w:asciiTheme="majorBidi" w:hAnsiTheme="majorBidi" w:cstheme="majorBidi"/>
          <w:sz w:val="24"/>
          <w:szCs w:val="24"/>
        </w:rPr>
        <w:t xml:space="preserve">HA </w:t>
      </w:r>
      <w:r w:rsidR="00E45D4F">
        <w:rPr>
          <w:rFonts w:asciiTheme="majorBidi" w:hAnsiTheme="majorBidi" w:cstheme="majorBidi"/>
          <w:sz w:val="24"/>
          <w:szCs w:val="24"/>
        </w:rPr>
        <w:t xml:space="preserve">MC analogs </w:t>
      </w:r>
      <w:r w:rsidR="005233B1">
        <w:rPr>
          <w:rFonts w:asciiTheme="majorBidi" w:hAnsiTheme="majorBidi" w:cstheme="majorBidi"/>
          <w:sz w:val="24"/>
          <w:szCs w:val="24"/>
        </w:rPr>
        <w:t xml:space="preserve">in PBS </w:t>
      </w:r>
      <w:r w:rsidR="00793504" w:rsidRPr="005233B1">
        <w:rPr>
          <w:rFonts w:asciiTheme="majorBidi" w:hAnsiTheme="majorBidi" w:cstheme="majorBidi"/>
          <w:sz w:val="24"/>
          <w:szCs w:val="24"/>
        </w:rPr>
        <w:t>as a function of Zn fraction.</w:t>
      </w:r>
      <w:r w:rsidR="009706A4">
        <w:rPr>
          <w:rFonts w:asciiTheme="majorBidi" w:hAnsiTheme="majorBidi" w:cstheme="majorBidi"/>
          <w:sz w:val="24"/>
          <w:szCs w:val="24"/>
        </w:rPr>
        <w:t xml:space="preserve"> </w:t>
      </w:r>
      <w:r w:rsidR="009706A4" w:rsidRPr="00B05B61">
        <w:rPr>
          <w:rFonts w:asciiTheme="majorBidi" w:hAnsiTheme="majorBidi" w:cstheme="majorBidi"/>
          <w:sz w:val="24"/>
          <w:szCs w:val="24"/>
          <w:highlight w:val="green"/>
        </w:rPr>
        <w:t>The error bars represent the standard deviation.</w:t>
      </w:r>
    </w:p>
    <w:p w14:paraId="250C5853" w14:textId="77777777" w:rsidR="00BA5D48" w:rsidRDefault="00BA5D48" w:rsidP="00AB3F9D">
      <w:pPr>
        <w:pStyle w:val="Heading2"/>
        <w:spacing w:before="0" w:line="360" w:lineRule="auto"/>
        <w:rPr>
          <w:rFonts w:asciiTheme="majorBidi" w:eastAsiaTheme="minorHAnsi" w:hAnsiTheme="majorBidi"/>
          <w:b/>
          <w:bCs/>
          <w:color w:val="auto"/>
          <w:sz w:val="24"/>
          <w:szCs w:val="24"/>
        </w:rPr>
      </w:pPr>
    </w:p>
    <w:p w14:paraId="7247CF11" w14:textId="3700174E" w:rsidR="0018699E" w:rsidRPr="002D08AD" w:rsidRDefault="0018699E" w:rsidP="00AB3F9D">
      <w:pPr>
        <w:pStyle w:val="Heading2"/>
        <w:spacing w:before="0" w:line="360" w:lineRule="auto"/>
        <w:rPr>
          <w:rFonts w:asciiTheme="majorBidi" w:eastAsiaTheme="minorHAnsi" w:hAnsiTheme="majorBidi"/>
          <w:b/>
          <w:bCs/>
          <w:color w:val="auto"/>
          <w:sz w:val="24"/>
          <w:szCs w:val="24"/>
        </w:rPr>
      </w:pPr>
      <w:r w:rsidRPr="001E75DD">
        <w:rPr>
          <w:rFonts w:asciiTheme="majorBidi" w:eastAsiaTheme="minorHAnsi" w:hAnsiTheme="majorBidi"/>
          <w:b/>
          <w:bCs/>
          <w:i/>
          <w:iCs/>
          <w:color w:val="auto"/>
          <w:sz w:val="24"/>
          <w:szCs w:val="24"/>
        </w:rPr>
        <w:t>In vitro</w:t>
      </w:r>
      <w:r w:rsidRPr="002D08AD">
        <w:rPr>
          <w:rFonts w:asciiTheme="majorBidi" w:eastAsiaTheme="minorHAnsi" w:hAnsiTheme="majorBidi"/>
          <w:b/>
          <w:bCs/>
          <w:color w:val="auto"/>
          <w:sz w:val="24"/>
          <w:szCs w:val="24"/>
        </w:rPr>
        <w:t xml:space="preserve"> cell behavior in the presence of synthetic MC</w:t>
      </w:r>
      <w:r w:rsidR="005B1F7B">
        <w:rPr>
          <w:rFonts w:asciiTheme="majorBidi" w:eastAsiaTheme="minorHAnsi" w:hAnsiTheme="majorBidi"/>
          <w:b/>
          <w:bCs/>
          <w:color w:val="auto"/>
          <w:sz w:val="24"/>
          <w:szCs w:val="24"/>
        </w:rPr>
        <w:t xml:space="preserve"> analogs</w:t>
      </w:r>
    </w:p>
    <w:p w14:paraId="635F51B5" w14:textId="3D486CF6" w:rsidR="00DA107F" w:rsidRDefault="00E97E02"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t>Before conducting functional assays to examine the effect of the MC analogs on cancer cell behavior, a preliminary evaluation of MC analog cytotoxicity was conducted</w:t>
      </w:r>
      <w:r w:rsidR="0045441D">
        <w:rPr>
          <w:rFonts w:asciiTheme="majorBidi" w:hAnsiTheme="majorBidi" w:cstheme="majorBidi"/>
          <w:sz w:val="24"/>
          <w:szCs w:val="24"/>
        </w:rPr>
        <w:t xml:space="preserve">. </w:t>
      </w:r>
      <w:r w:rsidR="00D772D0">
        <w:rPr>
          <w:rFonts w:asciiTheme="majorBidi" w:hAnsiTheme="majorBidi" w:cstheme="majorBidi"/>
          <w:sz w:val="24"/>
          <w:szCs w:val="24"/>
        </w:rPr>
        <w:t xml:space="preserve">Cells were </w:t>
      </w:r>
      <w:r w:rsidR="0045441D">
        <w:rPr>
          <w:rFonts w:asciiTheme="majorBidi" w:hAnsiTheme="majorBidi" w:cstheme="majorBidi"/>
          <w:sz w:val="24"/>
          <w:szCs w:val="24"/>
        </w:rPr>
        <w:t xml:space="preserve">exposed </w:t>
      </w:r>
      <w:r w:rsidR="00EA6BB4">
        <w:rPr>
          <w:rFonts w:asciiTheme="majorBidi" w:hAnsiTheme="majorBidi" w:cstheme="majorBidi"/>
          <w:sz w:val="24"/>
          <w:szCs w:val="24"/>
        </w:rPr>
        <w:t xml:space="preserve">for 24 hours </w:t>
      </w:r>
      <w:r w:rsidR="0045441D">
        <w:rPr>
          <w:rFonts w:asciiTheme="majorBidi" w:hAnsiTheme="majorBidi" w:cstheme="majorBidi"/>
          <w:sz w:val="24"/>
          <w:szCs w:val="24"/>
        </w:rPr>
        <w:t>to MC analogs</w:t>
      </w:r>
      <w:r w:rsidR="00E151EA">
        <w:rPr>
          <w:rFonts w:asciiTheme="majorBidi" w:hAnsiTheme="majorBidi" w:cstheme="majorBidi"/>
          <w:sz w:val="24"/>
          <w:szCs w:val="24"/>
        </w:rPr>
        <w:t xml:space="preserve"> featuring varying Zn fractions. </w:t>
      </w:r>
      <w:r w:rsidR="004C428F">
        <w:rPr>
          <w:rFonts w:asciiTheme="majorBidi" w:hAnsiTheme="majorBidi" w:cstheme="majorBidi"/>
          <w:sz w:val="24"/>
          <w:szCs w:val="24"/>
        </w:rPr>
        <w:t>Subsequently, the</w:t>
      </w:r>
      <w:r w:rsidR="00B25910">
        <w:rPr>
          <w:rFonts w:asciiTheme="majorBidi" w:hAnsiTheme="majorBidi" w:cstheme="majorBidi"/>
          <w:sz w:val="24"/>
          <w:szCs w:val="24"/>
        </w:rPr>
        <w:t xml:space="preserve"> cell </w:t>
      </w:r>
      <w:r w:rsidR="00920680">
        <w:rPr>
          <w:rFonts w:asciiTheme="majorBidi" w:hAnsiTheme="majorBidi" w:cstheme="majorBidi"/>
          <w:sz w:val="24"/>
          <w:szCs w:val="24"/>
        </w:rPr>
        <w:t xml:space="preserve">viability </w:t>
      </w:r>
      <w:r w:rsidR="00B25910">
        <w:rPr>
          <w:rFonts w:asciiTheme="majorBidi" w:hAnsiTheme="majorBidi" w:cstheme="majorBidi"/>
          <w:sz w:val="24"/>
          <w:szCs w:val="24"/>
        </w:rPr>
        <w:t xml:space="preserve">was </w:t>
      </w:r>
      <w:r w:rsidR="003C728F">
        <w:rPr>
          <w:rFonts w:asciiTheme="majorBidi" w:hAnsiTheme="majorBidi" w:cstheme="majorBidi"/>
          <w:sz w:val="24"/>
          <w:szCs w:val="24"/>
        </w:rPr>
        <w:t xml:space="preserve">compared </w:t>
      </w:r>
      <w:r w:rsidR="00B25910">
        <w:rPr>
          <w:rFonts w:asciiTheme="majorBidi" w:hAnsiTheme="majorBidi" w:cstheme="majorBidi"/>
          <w:sz w:val="24"/>
          <w:szCs w:val="24"/>
        </w:rPr>
        <w:t xml:space="preserve">with that of untreated </w:t>
      </w:r>
      <w:r w:rsidR="00030ADB">
        <w:rPr>
          <w:rFonts w:asciiTheme="majorBidi" w:hAnsiTheme="majorBidi" w:cstheme="majorBidi"/>
          <w:sz w:val="24"/>
          <w:szCs w:val="24"/>
        </w:rPr>
        <w:t>cells</w:t>
      </w:r>
      <w:r w:rsidR="00B25910">
        <w:rPr>
          <w:rFonts w:asciiTheme="majorBidi" w:hAnsiTheme="majorBidi" w:cstheme="majorBidi"/>
          <w:sz w:val="24"/>
          <w:szCs w:val="24"/>
        </w:rPr>
        <w:t xml:space="preserve">, </w:t>
      </w:r>
      <w:r w:rsidR="003C728F" w:rsidRPr="00B05B61">
        <w:rPr>
          <w:rFonts w:asciiTheme="majorBidi" w:hAnsiTheme="majorBidi" w:cstheme="majorBidi"/>
          <w:sz w:val="24"/>
          <w:szCs w:val="24"/>
          <w:highlight w:val="green"/>
        </w:rPr>
        <w:t>using</w:t>
      </w:r>
      <w:r w:rsidR="00A170F5" w:rsidRPr="00B05B61">
        <w:rPr>
          <w:rFonts w:asciiTheme="majorBidi" w:hAnsiTheme="majorBidi" w:cstheme="majorBidi"/>
          <w:sz w:val="24"/>
          <w:szCs w:val="24"/>
          <w:highlight w:val="green"/>
        </w:rPr>
        <w:t xml:space="preserve"> </w:t>
      </w:r>
      <w:r w:rsidR="007E2D97" w:rsidRPr="00B05B61">
        <w:rPr>
          <w:rFonts w:asciiTheme="majorBidi" w:hAnsiTheme="majorBidi" w:cstheme="majorBidi"/>
          <w:sz w:val="24"/>
          <w:szCs w:val="24"/>
          <w:highlight w:val="green"/>
        </w:rPr>
        <w:t>live/dead and MTT</w:t>
      </w:r>
      <w:r w:rsidR="00B25910" w:rsidRPr="00B05B61">
        <w:rPr>
          <w:rFonts w:asciiTheme="majorBidi" w:hAnsiTheme="majorBidi" w:cstheme="majorBidi"/>
          <w:sz w:val="24"/>
          <w:szCs w:val="24"/>
          <w:highlight w:val="green"/>
        </w:rPr>
        <w:t xml:space="preserve"> assay</w:t>
      </w:r>
      <w:r w:rsidR="007E2D97" w:rsidRPr="00B05B61">
        <w:rPr>
          <w:rFonts w:asciiTheme="majorBidi" w:hAnsiTheme="majorBidi" w:cstheme="majorBidi"/>
          <w:sz w:val="24"/>
          <w:szCs w:val="24"/>
          <w:highlight w:val="green"/>
        </w:rPr>
        <w:t>s</w:t>
      </w:r>
      <w:r w:rsidR="00B25910">
        <w:rPr>
          <w:rFonts w:asciiTheme="majorBidi" w:hAnsiTheme="majorBidi" w:cstheme="majorBidi"/>
          <w:sz w:val="24"/>
          <w:szCs w:val="24"/>
        </w:rPr>
        <w:t xml:space="preserve"> </w:t>
      </w:r>
      <w:r w:rsidR="00DA107F">
        <w:rPr>
          <w:rFonts w:asciiTheme="majorBidi" w:hAnsiTheme="majorBidi" w:cstheme="majorBidi"/>
          <w:sz w:val="24"/>
          <w:szCs w:val="24"/>
        </w:rPr>
        <w:t xml:space="preserve">(Fig. </w:t>
      </w:r>
      <w:r w:rsidR="00A84ECD">
        <w:rPr>
          <w:rFonts w:asciiTheme="majorBidi" w:hAnsiTheme="majorBidi" w:cstheme="majorBidi"/>
          <w:sz w:val="24"/>
          <w:szCs w:val="24"/>
        </w:rPr>
        <w:t>5</w:t>
      </w:r>
      <w:r w:rsidR="00806952">
        <w:rPr>
          <w:rFonts w:asciiTheme="majorBidi" w:hAnsiTheme="majorBidi" w:cstheme="majorBidi"/>
          <w:sz w:val="24"/>
          <w:szCs w:val="24"/>
        </w:rPr>
        <w:t xml:space="preserve"> a, b</w:t>
      </w:r>
      <w:r w:rsidR="00DA107F">
        <w:rPr>
          <w:rFonts w:asciiTheme="majorBidi" w:hAnsiTheme="majorBidi" w:cstheme="majorBidi"/>
          <w:sz w:val="24"/>
          <w:szCs w:val="24"/>
        </w:rPr>
        <w:t xml:space="preserve">). </w:t>
      </w:r>
      <w:r w:rsidR="00DB432B">
        <w:rPr>
          <w:rFonts w:asciiTheme="majorBidi" w:hAnsiTheme="majorBidi" w:cstheme="majorBidi"/>
          <w:sz w:val="24"/>
          <w:szCs w:val="24"/>
        </w:rPr>
        <w:t xml:space="preserve">None of the </w:t>
      </w:r>
      <w:r w:rsidR="00DA107F">
        <w:rPr>
          <w:rFonts w:asciiTheme="majorBidi" w:hAnsiTheme="majorBidi" w:cstheme="majorBidi"/>
          <w:sz w:val="24"/>
          <w:szCs w:val="24"/>
        </w:rPr>
        <w:t>MC analogs</w:t>
      </w:r>
      <w:r w:rsidR="00DB432B">
        <w:rPr>
          <w:rFonts w:asciiTheme="majorBidi" w:hAnsiTheme="majorBidi" w:cstheme="majorBidi"/>
          <w:sz w:val="24"/>
          <w:szCs w:val="24"/>
        </w:rPr>
        <w:t xml:space="preserve"> displayed cytotoxic effects</w:t>
      </w:r>
      <w:r w:rsidR="00DA107F">
        <w:rPr>
          <w:rFonts w:asciiTheme="majorBidi" w:hAnsiTheme="majorBidi" w:cstheme="majorBidi"/>
          <w:sz w:val="24"/>
          <w:szCs w:val="24"/>
        </w:rPr>
        <w:t>.</w:t>
      </w:r>
    </w:p>
    <w:p w14:paraId="30B776A8" w14:textId="66515F99" w:rsidR="00F31F47" w:rsidRDefault="00DE11D8" w:rsidP="00AB3F9D">
      <w:pPr>
        <w:spacing w:after="0" w:line="360" w:lineRule="auto"/>
        <w:rPr>
          <w:rFonts w:asciiTheme="majorBidi" w:hAnsiTheme="majorBidi" w:cstheme="majorBidi"/>
          <w:b/>
          <w:bCs/>
          <w:sz w:val="24"/>
          <w:szCs w:val="24"/>
        </w:rPr>
      </w:pPr>
      <w:r w:rsidRPr="007730AF">
        <w:rPr>
          <w:rFonts w:asciiTheme="majorBidi" w:hAnsiTheme="majorBidi" w:cstheme="majorBidi"/>
          <w:noProof/>
          <w:sz w:val="24"/>
          <w:szCs w:val="24"/>
        </w:rPr>
        <w:drawing>
          <wp:inline distT="0" distB="0" distL="0" distR="0" wp14:anchorId="33D574CB" wp14:editId="0E779D44">
            <wp:extent cx="5731510" cy="2619375"/>
            <wp:effectExtent l="0" t="0" r="2540" b="9525"/>
            <wp:docPr id="1134664072" name="Picture 1134664072" descr="C:\Users\gotnayer\Downloads\Figure livedead cy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tnayer\Downloads\Figure livedead cy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619375"/>
                    </a:xfrm>
                    <a:prstGeom prst="rect">
                      <a:avLst/>
                    </a:prstGeom>
                    <a:noFill/>
                    <a:ln>
                      <a:noFill/>
                    </a:ln>
                  </pic:spPr>
                </pic:pic>
              </a:graphicData>
            </a:graphic>
          </wp:inline>
        </w:drawing>
      </w:r>
    </w:p>
    <w:p w14:paraId="6803984F" w14:textId="0C285C1E" w:rsidR="00DE11D8" w:rsidRDefault="00D772D0" w:rsidP="00AB3F9D">
      <w:pPr>
        <w:spacing w:after="0" w:line="360" w:lineRule="auto"/>
        <w:rPr>
          <w:rFonts w:asciiTheme="majorBidi" w:hAnsiTheme="majorBidi" w:cstheme="majorBidi"/>
          <w:sz w:val="24"/>
          <w:szCs w:val="24"/>
        </w:rPr>
      </w:pPr>
      <w:r w:rsidRPr="00B05B61">
        <w:rPr>
          <w:rFonts w:asciiTheme="majorBidi" w:hAnsiTheme="majorBidi" w:cstheme="majorBidi"/>
          <w:b/>
          <w:bCs/>
          <w:sz w:val="24"/>
          <w:szCs w:val="24"/>
          <w:highlight w:val="green"/>
        </w:rPr>
        <w:lastRenderedPageBreak/>
        <w:t xml:space="preserve">Figure </w:t>
      </w:r>
      <w:r w:rsidR="00A84ECD" w:rsidRPr="00B05B61">
        <w:rPr>
          <w:rFonts w:asciiTheme="majorBidi" w:hAnsiTheme="majorBidi" w:cstheme="majorBidi"/>
          <w:b/>
          <w:bCs/>
          <w:sz w:val="24"/>
          <w:szCs w:val="24"/>
          <w:highlight w:val="green"/>
        </w:rPr>
        <w:t>5</w:t>
      </w:r>
      <w:r w:rsidR="00DA107F" w:rsidRPr="00B05B61">
        <w:rPr>
          <w:rFonts w:asciiTheme="majorBidi" w:hAnsiTheme="majorBidi" w:cstheme="majorBidi"/>
          <w:sz w:val="24"/>
          <w:szCs w:val="24"/>
          <w:highlight w:val="green"/>
        </w:rPr>
        <w:t>.</w:t>
      </w:r>
      <w:r w:rsidRPr="00B05B61">
        <w:rPr>
          <w:rFonts w:asciiTheme="majorBidi" w:hAnsiTheme="majorBidi" w:cstheme="majorBidi"/>
          <w:sz w:val="24"/>
          <w:szCs w:val="24"/>
          <w:highlight w:val="green"/>
        </w:rPr>
        <w:t xml:space="preserve"> Cytotoxicity of the MC analogs</w:t>
      </w:r>
      <w:r w:rsidR="00DE11D8" w:rsidRPr="00B05B61">
        <w:rPr>
          <w:rFonts w:asciiTheme="majorBidi" w:hAnsiTheme="majorBidi" w:cstheme="majorBidi"/>
          <w:sz w:val="24"/>
          <w:szCs w:val="24"/>
          <w:highlight w:val="green"/>
        </w:rPr>
        <w:t xml:space="preserve"> according to the</w:t>
      </w:r>
      <w:r w:rsidR="00806952">
        <w:rPr>
          <w:rFonts w:asciiTheme="majorBidi" w:hAnsiTheme="majorBidi" w:cstheme="majorBidi"/>
          <w:sz w:val="24"/>
          <w:szCs w:val="24"/>
          <w:highlight w:val="green"/>
        </w:rPr>
        <w:t>ir</w:t>
      </w:r>
      <w:r w:rsidR="00DE11D8" w:rsidRPr="00B05B61">
        <w:rPr>
          <w:rFonts w:asciiTheme="majorBidi" w:hAnsiTheme="majorBidi" w:cstheme="majorBidi"/>
          <w:sz w:val="24"/>
          <w:szCs w:val="24"/>
          <w:highlight w:val="green"/>
        </w:rPr>
        <w:t xml:space="preserve"> Zn content. </w:t>
      </w:r>
      <w:r w:rsidR="00DE11D8" w:rsidRPr="00B05B61">
        <w:rPr>
          <w:rFonts w:asciiTheme="majorBidi" w:hAnsiTheme="majorBidi" w:cstheme="majorBidi"/>
          <w:b/>
          <w:bCs/>
          <w:sz w:val="24"/>
          <w:szCs w:val="24"/>
          <w:highlight w:val="green"/>
        </w:rPr>
        <w:t>a.</w:t>
      </w:r>
      <w:r w:rsidR="00DE11D8" w:rsidRPr="00B05B61">
        <w:rPr>
          <w:rFonts w:asciiTheme="majorBidi" w:hAnsiTheme="majorBidi" w:cstheme="majorBidi"/>
          <w:sz w:val="24"/>
          <w:szCs w:val="24"/>
          <w:highlight w:val="green"/>
        </w:rPr>
        <w:t xml:space="preserve"> Live/dead assay following 24 h treatment of MDA-T32 thyroid cancer cells with MCs analogs. Green - live, red - dead.</w:t>
      </w:r>
      <w:r w:rsidR="0070713D">
        <w:rPr>
          <w:rFonts w:asciiTheme="majorBidi" w:hAnsiTheme="majorBidi" w:cstheme="majorBidi"/>
          <w:sz w:val="24"/>
          <w:szCs w:val="24"/>
          <w:highlight w:val="green"/>
        </w:rPr>
        <w:t xml:space="preserve"> The control is cells cultured without the presence of MC analogs.</w:t>
      </w:r>
      <w:r w:rsidR="00DE11D8" w:rsidRPr="00B05B61">
        <w:rPr>
          <w:rFonts w:asciiTheme="majorBidi" w:hAnsiTheme="majorBidi" w:cstheme="majorBidi"/>
          <w:sz w:val="24"/>
          <w:szCs w:val="24"/>
          <w:highlight w:val="green"/>
        </w:rPr>
        <w:t xml:space="preserve"> </w:t>
      </w:r>
      <w:r w:rsidR="00DE11D8" w:rsidRPr="00B05B61">
        <w:rPr>
          <w:rFonts w:asciiTheme="majorBidi" w:hAnsiTheme="majorBidi" w:cstheme="majorBidi"/>
          <w:b/>
          <w:bCs/>
          <w:sz w:val="24"/>
          <w:szCs w:val="24"/>
          <w:highlight w:val="green"/>
        </w:rPr>
        <w:t xml:space="preserve">b. </w:t>
      </w:r>
      <w:r w:rsidR="00DE11D8" w:rsidRPr="00B05B61">
        <w:rPr>
          <w:rFonts w:asciiTheme="majorBidi" w:hAnsiTheme="majorBidi" w:cstheme="majorBidi"/>
          <w:sz w:val="24"/>
          <w:szCs w:val="24"/>
          <w:highlight w:val="green"/>
        </w:rPr>
        <w:t>Cytotoxicity of the MC analogs measured using MTT assay following 24-hour treatment of MDA-T32 thyroid cancer cells. The absorbance of each condition was normalized to the absorbance of the control (no treatment). The error bars represent the standard deviation.</w:t>
      </w:r>
    </w:p>
    <w:p w14:paraId="64554D6A" w14:textId="3772BF73" w:rsidR="00DE11D8" w:rsidRPr="00681E72" w:rsidRDefault="00DE11D8" w:rsidP="00AB3F9D">
      <w:pPr>
        <w:spacing w:after="0" w:line="360" w:lineRule="auto"/>
        <w:rPr>
          <w:rtl/>
        </w:rPr>
      </w:pPr>
    </w:p>
    <w:p w14:paraId="4DBCEC09" w14:textId="2F71BE8B" w:rsidR="00DE1127" w:rsidRDefault="00C12D31"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To </w:t>
      </w:r>
      <w:r w:rsidR="00D84BA5">
        <w:rPr>
          <w:rFonts w:asciiTheme="majorBidi" w:hAnsiTheme="majorBidi" w:cstheme="majorBidi"/>
          <w:sz w:val="24"/>
          <w:szCs w:val="24"/>
        </w:rPr>
        <w:t>investigate the impact of MC analogs on thyroid cell behavior, a</w:t>
      </w:r>
      <w:r w:rsidR="00AC7A05" w:rsidRPr="00AC7A05">
        <w:rPr>
          <w:rFonts w:asciiTheme="majorBidi" w:hAnsiTheme="majorBidi" w:cstheme="majorBidi"/>
          <w:sz w:val="24"/>
          <w:szCs w:val="24"/>
        </w:rPr>
        <w:t xml:space="preserve"> wound</w:t>
      </w:r>
      <w:r w:rsidR="002D53FA">
        <w:rPr>
          <w:rFonts w:asciiTheme="majorBidi" w:hAnsiTheme="majorBidi" w:cstheme="majorBidi"/>
          <w:sz w:val="24"/>
          <w:szCs w:val="24"/>
        </w:rPr>
        <w:t xml:space="preserve"> </w:t>
      </w:r>
      <w:r w:rsidR="00AC7A05" w:rsidRPr="00AC7A05">
        <w:rPr>
          <w:rFonts w:asciiTheme="majorBidi" w:hAnsiTheme="majorBidi" w:cstheme="majorBidi"/>
          <w:sz w:val="24"/>
          <w:szCs w:val="24"/>
        </w:rPr>
        <w:t xml:space="preserve">healing assay was performed to assess </w:t>
      </w:r>
      <w:r w:rsidRPr="00AC7A05">
        <w:rPr>
          <w:rFonts w:asciiTheme="majorBidi" w:hAnsiTheme="majorBidi" w:cstheme="majorBidi"/>
          <w:sz w:val="24"/>
          <w:szCs w:val="24"/>
        </w:rPr>
        <w:t xml:space="preserve">MDA-T32 cell </w:t>
      </w:r>
      <w:r w:rsidR="00AC7A05" w:rsidRPr="00AC7A05">
        <w:rPr>
          <w:rFonts w:asciiTheme="majorBidi" w:hAnsiTheme="majorBidi" w:cstheme="majorBidi"/>
          <w:sz w:val="24"/>
          <w:szCs w:val="24"/>
        </w:rPr>
        <w:t>migration. Images of the initial wound area were captured upon divider removal (t = 0)</w:t>
      </w:r>
      <w:r w:rsidR="00E0169E">
        <w:rPr>
          <w:rFonts w:asciiTheme="majorBidi" w:hAnsiTheme="majorBidi" w:cstheme="majorBidi"/>
          <w:sz w:val="24"/>
          <w:szCs w:val="24"/>
        </w:rPr>
        <w:t xml:space="preserve"> and</w:t>
      </w:r>
      <w:r w:rsidR="00AC7A05" w:rsidRPr="00AC7A05">
        <w:rPr>
          <w:rFonts w:asciiTheme="majorBidi" w:hAnsiTheme="majorBidi" w:cstheme="majorBidi"/>
          <w:sz w:val="24"/>
          <w:szCs w:val="24"/>
        </w:rPr>
        <w:t xml:space="preserve"> after 20 hours of culture (Fig. </w:t>
      </w:r>
      <w:r w:rsidR="00167167" w:rsidRPr="00B05B61">
        <w:rPr>
          <w:rFonts w:asciiTheme="majorBidi" w:hAnsiTheme="majorBidi" w:cstheme="majorBidi"/>
          <w:sz w:val="24"/>
          <w:szCs w:val="24"/>
          <w:highlight w:val="green"/>
        </w:rPr>
        <w:t>S3</w:t>
      </w:r>
      <w:r w:rsidR="00167167">
        <w:rPr>
          <w:rFonts w:asciiTheme="majorBidi" w:hAnsiTheme="majorBidi" w:cstheme="majorBidi"/>
          <w:sz w:val="24"/>
          <w:szCs w:val="24"/>
        </w:rPr>
        <w:t xml:space="preserve"> a</w:t>
      </w:r>
      <w:r w:rsidR="00DE033F">
        <w:rPr>
          <w:rFonts w:asciiTheme="majorBidi" w:hAnsiTheme="majorBidi" w:cstheme="majorBidi"/>
          <w:sz w:val="24"/>
          <w:szCs w:val="24"/>
        </w:rPr>
        <w:t>, b</w:t>
      </w:r>
      <w:r w:rsidR="00AC7A05" w:rsidRPr="00AC7A05">
        <w:rPr>
          <w:rFonts w:asciiTheme="majorBidi" w:hAnsiTheme="majorBidi" w:cstheme="majorBidi"/>
          <w:sz w:val="24"/>
          <w:szCs w:val="24"/>
        </w:rPr>
        <w:t xml:space="preserve">). Notably, cells treated with </w:t>
      </w:r>
      <w:r w:rsidR="00AC7A05">
        <w:rPr>
          <w:rFonts w:asciiTheme="majorBidi" w:hAnsiTheme="majorBidi" w:cstheme="majorBidi"/>
          <w:sz w:val="24"/>
          <w:szCs w:val="24"/>
        </w:rPr>
        <w:t>HA</w:t>
      </w:r>
      <w:r w:rsidR="00AC7A05" w:rsidRPr="00AC7A05">
        <w:rPr>
          <w:rFonts w:asciiTheme="majorBidi" w:hAnsiTheme="majorBidi" w:cstheme="majorBidi"/>
          <w:sz w:val="24"/>
          <w:szCs w:val="24"/>
        </w:rPr>
        <w:t xml:space="preserve"> containing 0.74 wt</w:t>
      </w:r>
      <w:r w:rsidR="00F622A1" w:rsidRPr="00AC7A05">
        <w:rPr>
          <w:rFonts w:asciiTheme="majorBidi" w:hAnsiTheme="majorBidi" w:cstheme="majorBidi"/>
          <w:sz w:val="24"/>
          <w:szCs w:val="24"/>
        </w:rPr>
        <w:t>% Zn</w:t>
      </w:r>
      <w:r w:rsidR="00AC7A05" w:rsidRPr="00AC7A05">
        <w:rPr>
          <w:rFonts w:asciiTheme="majorBidi" w:hAnsiTheme="majorBidi" w:cstheme="majorBidi"/>
          <w:sz w:val="24"/>
          <w:szCs w:val="24"/>
        </w:rPr>
        <w:t xml:space="preserve"> exhibited a significant increase in migration and cell coverage compared to the control </w:t>
      </w:r>
      <w:r w:rsidR="00D416C5">
        <w:rPr>
          <w:rFonts w:asciiTheme="majorBidi" w:hAnsiTheme="majorBidi" w:cstheme="majorBidi"/>
          <w:sz w:val="24"/>
          <w:szCs w:val="24"/>
        </w:rPr>
        <w:t xml:space="preserve">untreated </w:t>
      </w:r>
      <w:r w:rsidR="00AC7A05" w:rsidRPr="00AC7A05">
        <w:rPr>
          <w:rFonts w:asciiTheme="majorBidi" w:hAnsiTheme="majorBidi" w:cstheme="majorBidi"/>
          <w:sz w:val="24"/>
          <w:szCs w:val="24"/>
        </w:rPr>
        <w:t>cell</w:t>
      </w:r>
      <w:r w:rsidR="00DE033F">
        <w:rPr>
          <w:rFonts w:asciiTheme="majorBidi" w:hAnsiTheme="majorBidi" w:cstheme="majorBidi"/>
          <w:sz w:val="24"/>
          <w:szCs w:val="24"/>
        </w:rPr>
        <w:t>s</w:t>
      </w:r>
      <w:r w:rsidR="00AC7A05" w:rsidRPr="00AC7A05">
        <w:rPr>
          <w:rFonts w:asciiTheme="majorBidi" w:hAnsiTheme="majorBidi" w:cstheme="majorBidi"/>
          <w:sz w:val="24"/>
          <w:szCs w:val="24"/>
        </w:rPr>
        <w:t xml:space="preserve">. Conversely, cells </w:t>
      </w:r>
      <w:r w:rsidR="008D03EA">
        <w:rPr>
          <w:rFonts w:asciiTheme="majorBidi" w:hAnsiTheme="majorBidi" w:cstheme="majorBidi"/>
          <w:sz w:val="24"/>
          <w:szCs w:val="24"/>
        </w:rPr>
        <w:t>exposed to</w:t>
      </w:r>
      <w:r w:rsidR="008D03EA" w:rsidRPr="00AC7A05">
        <w:rPr>
          <w:rFonts w:asciiTheme="majorBidi" w:hAnsiTheme="majorBidi" w:cstheme="majorBidi"/>
          <w:sz w:val="24"/>
          <w:szCs w:val="24"/>
        </w:rPr>
        <w:t xml:space="preserve"> </w:t>
      </w:r>
      <w:r w:rsidR="00AC7A05" w:rsidRPr="00AC7A05">
        <w:rPr>
          <w:rFonts w:asciiTheme="majorBidi" w:hAnsiTheme="majorBidi" w:cstheme="majorBidi"/>
          <w:sz w:val="24"/>
          <w:szCs w:val="24"/>
        </w:rPr>
        <w:t xml:space="preserve">other MC analogs displayed </w:t>
      </w:r>
      <w:r w:rsidR="00846DC3" w:rsidRPr="00AC7A05">
        <w:rPr>
          <w:rFonts w:asciiTheme="majorBidi" w:hAnsiTheme="majorBidi" w:cstheme="majorBidi"/>
          <w:sz w:val="24"/>
          <w:szCs w:val="24"/>
        </w:rPr>
        <w:t>migration and cell coverage</w:t>
      </w:r>
      <w:r w:rsidR="00846DC3">
        <w:rPr>
          <w:rFonts w:asciiTheme="majorBidi" w:hAnsiTheme="majorBidi" w:cstheme="majorBidi"/>
          <w:sz w:val="24"/>
          <w:szCs w:val="24"/>
        </w:rPr>
        <w:t xml:space="preserve"> </w:t>
      </w:r>
      <w:r w:rsidR="00965DE1">
        <w:rPr>
          <w:rFonts w:asciiTheme="majorBidi" w:hAnsiTheme="majorBidi" w:cstheme="majorBidi"/>
          <w:sz w:val="24"/>
          <w:szCs w:val="24"/>
        </w:rPr>
        <w:t>similar</w:t>
      </w:r>
      <w:r w:rsidR="00965DE1" w:rsidRPr="00AC7A05">
        <w:rPr>
          <w:rFonts w:asciiTheme="majorBidi" w:hAnsiTheme="majorBidi" w:cstheme="majorBidi"/>
          <w:sz w:val="24"/>
          <w:szCs w:val="24"/>
        </w:rPr>
        <w:t xml:space="preserve"> </w:t>
      </w:r>
      <w:r w:rsidR="00965DE1">
        <w:rPr>
          <w:rFonts w:asciiTheme="majorBidi" w:hAnsiTheme="majorBidi" w:cstheme="majorBidi"/>
          <w:sz w:val="24"/>
          <w:szCs w:val="24"/>
        </w:rPr>
        <w:t xml:space="preserve">to </w:t>
      </w:r>
      <w:r w:rsidR="00DC25BE">
        <w:rPr>
          <w:rFonts w:asciiTheme="majorBidi" w:hAnsiTheme="majorBidi" w:cstheme="majorBidi"/>
          <w:sz w:val="24"/>
          <w:szCs w:val="24"/>
        </w:rPr>
        <w:t>the control</w:t>
      </w:r>
      <w:r w:rsidR="00AC7A05" w:rsidRPr="00AC7A05">
        <w:rPr>
          <w:rFonts w:asciiTheme="majorBidi" w:hAnsiTheme="majorBidi" w:cstheme="majorBidi"/>
          <w:sz w:val="24"/>
          <w:szCs w:val="24"/>
        </w:rPr>
        <w:t>.</w:t>
      </w:r>
    </w:p>
    <w:p w14:paraId="65275C2A" w14:textId="67FCA4B8" w:rsidR="00707BF6" w:rsidRDefault="003C728F"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t>To</w:t>
      </w:r>
      <w:r w:rsidR="006E38EC" w:rsidRPr="00F05F7F">
        <w:rPr>
          <w:rFonts w:asciiTheme="majorBidi" w:hAnsiTheme="majorBidi" w:cstheme="majorBidi"/>
          <w:sz w:val="24"/>
          <w:szCs w:val="24"/>
        </w:rPr>
        <w:t xml:space="preserve"> further in</w:t>
      </w:r>
      <w:r>
        <w:rPr>
          <w:rFonts w:asciiTheme="majorBidi" w:hAnsiTheme="majorBidi" w:cstheme="majorBidi"/>
          <w:sz w:val="24"/>
          <w:szCs w:val="24"/>
        </w:rPr>
        <w:t>vestigate</w:t>
      </w:r>
      <w:r w:rsidR="006E38EC" w:rsidRPr="00F05F7F">
        <w:rPr>
          <w:rFonts w:asciiTheme="majorBidi" w:hAnsiTheme="majorBidi" w:cstheme="majorBidi"/>
          <w:sz w:val="24"/>
          <w:szCs w:val="24"/>
        </w:rPr>
        <w:t xml:space="preserve"> the influence of synthetic MC analogs on cell behavior, particularly </w:t>
      </w:r>
      <w:r w:rsidR="00E0169E">
        <w:rPr>
          <w:rFonts w:asciiTheme="majorBidi" w:hAnsiTheme="majorBidi" w:cstheme="majorBidi"/>
          <w:sz w:val="24"/>
          <w:szCs w:val="24"/>
        </w:rPr>
        <w:t>concerning</w:t>
      </w:r>
      <w:r w:rsidR="006E38EC" w:rsidRPr="00F05F7F">
        <w:rPr>
          <w:rFonts w:asciiTheme="majorBidi" w:hAnsiTheme="majorBidi" w:cstheme="majorBidi"/>
          <w:sz w:val="24"/>
          <w:szCs w:val="24"/>
        </w:rPr>
        <w:t xml:space="preserve"> cell proliferation</w:t>
      </w:r>
      <w:r w:rsidR="006E38EC">
        <w:rPr>
          <w:rFonts w:asciiTheme="majorBidi" w:hAnsiTheme="majorBidi" w:cstheme="majorBidi"/>
          <w:sz w:val="24"/>
          <w:szCs w:val="24"/>
        </w:rPr>
        <w:t xml:space="preserve">, </w:t>
      </w:r>
      <w:r w:rsidR="006E38EC" w:rsidRPr="00B05B61">
        <w:rPr>
          <w:rFonts w:asciiTheme="majorBidi" w:hAnsiTheme="majorBidi" w:cstheme="majorBidi"/>
          <w:sz w:val="24"/>
          <w:szCs w:val="24"/>
          <w:highlight w:val="green"/>
        </w:rPr>
        <w:t xml:space="preserve">we </w:t>
      </w:r>
      <w:r w:rsidR="00485605" w:rsidRPr="00B05B61">
        <w:rPr>
          <w:rFonts w:asciiTheme="majorBidi" w:hAnsiTheme="majorBidi" w:cstheme="majorBidi"/>
          <w:sz w:val="24"/>
          <w:szCs w:val="24"/>
          <w:highlight w:val="green"/>
        </w:rPr>
        <w:t>conducted a crystal violet (CV) assay following</w:t>
      </w:r>
      <w:r w:rsidR="006E38EC" w:rsidRPr="00B05B61">
        <w:rPr>
          <w:rFonts w:asciiTheme="majorBidi" w:hAnsiTheme="majorBidi" w:cstheme="majorBidi"/>
          <w:sz w:val="24"/>
          <w:szCs w:val="24"/>
          <w:highlight w:val="green"/>
        </w:rPr>
        <w:t xml:space="preserve"> a 72-hour</w:t>
      </w:r>
      <w:r w:rsidR="006E38EC" w:rsidRPr="00F05F7F">
        <w:rPr>
          <w:rFonts w:asciiTheme="majorBidi" w:hAnsiTheme="majorBidi" w:cstheme="majorBidi"/>
          <w:sz w:val="24"/>
          <w:szCs w:val="24"/>
        </w:rPr>
        <w:t xml:space="preserve"> treatment of MDA-T32 thyroid cancer cells</w:t>
      </w:r>
      <w:r w:rsidR="006E38EC">
        <w:rPr>
          <w:rFonts w:asciiTheme="majorBidi" w:hAnsiTheme="majorBidi" w:cstheme="majorBidi"/>
          <w:sz w:val="24"/>
          <w:szCs w:val="24"/>
        </w:rPr>
        <w:t xml:space="preserve"> (Fig. 6 </w:t>
      </w:r>
      <w:r w:rsidR="001F44DF">
        <w:rPr>
          <w:rFonts w:asciiTheme="majorBidi" w:hAnsiTheme="majorBidi" w:cstheme="majorBidi"/>
          <w:sz w:val="24"/>
          <w:szCs w:val="24"/>
        </w:rPr>
        <w:t>a</w:t>
      </w:r>
      <w:r w:rsidR="006E38EC">
        <w:rPr>
          <w:rFonts w:asciiTheme="majorBidi" w:hAnsiTheme="majorBidi" w:cstheme="majorBidi"/>
          <w:sz w:val="24"/>
          <w:szCs w:val="24"/>
        </w:rPr>
        <w:t>)</w:t>
      </w:r>
      <w:r w:rsidR="006E38EC" w:rsidRPr="00F05F7F">
        <w:rPr>
          <w:rFonts w:asciiTheme="majorBidi" w:hAnsiTheme="majorBidi" w:cstheme="majorBidi"/>
          <w:sz w:val="24"/>
          <w:szCs w:val="24"/>
        </w:rPr>
        <w:t xml:space="preserve">. </w:t>
      </w:r>
      <w:r w:rsidR="00E90201" w:rsidRPr="00B06B70">
        <w:rPr>
          <w:rFonts w:asciiTheme="majorBidi" w:hAnsiTheme="majorBidi" w:cstheme="majorBidi"/>
          <w:sz w:val="24"/>
          <w:szCs w:val="24"/>
          <w:highlight w:val="green"/>
        </w:rPr>
        <w:t xml:space="preserve">Even though the statistical analysis did not show differences in proliferation with P&lt;0.05, </w:t>
      </w:r>
      <w:r w:rsidR="00DA6C45" w:rsidRPr="00B06B70">
        <w:rPr>
          <w:rFonts w:asciiTheme="majorBidi" w:hAnsiTheme="majorBidi" w:cstheme="majorBidi"/>
          <w:sz w:val="24"/>
          <w:szCs w:val="24"/>
          <w:highlight w:val="green"/>
        </w:rPr>
        <w:t xml:space="preserve">the results suggest that </w:t>
      </w:r>
      <w:r w:rsidR="006E38EC" w:rsidRPr="00B06B70">
        <w:rPr>
          <w:rFonts w:asciiTheme="majorBidi" w:hAnsiTheme="majorBidi" w:cstheme="majorBidi"/>
          <w:sz w:val="24"/>
          <w:szCs w:val="24"/>
          <w:highlight w:val="green"/>
        </w:rPr>
        <w:t xml:space="preserve">treatment with HA </w:t>
      </w:r>
      <w:r w:rsidR="00B04952" w:rsidRPr="00B06B70">
        <w:rPr>
          <w:rFonts w:asciiTheme="majorBidi" w:hAnsiTheme="majorBidi" w:cstheme="majorBidi"/>
          <w:sz w:val="24"/>
          <w:szCs w:val="24"/>
          <w:highlight w:val="green"/>
        </w:rPr>
        <w:t xml:space="preserve">containing 0.74 wt% Zn </w:t>
      </w:r>
      <w:r w:rsidR="006E38EC" w:rsidRPr="00B06B70">
        <w:rPr>
          <w:rFonts w:asciiTheme="majorBidi" w:hAnsiTheme="majorBidi" w:cstheme="majorBidi"/>
          <w:sz w:val="24"/>
          <w:szCs w:val="24"/>
          <w:highlight w:val="green"/>
        </w:rPr>
        <w:t>increased cell proliferation.</w:t>
      </w:r>
      <w:r w:rsidR="0007128D">
        <w:rPr>
          <w:rFonts w:asciiTheme="majorBidi" w:hAnsiTheme="majorBidi" w:cstheme="majorBidi"/>
          <w:sz w:val="24"/>
          <w:szCs w:val="24"/>
        </w:rPr>
        <w:t xml:space="preserve"> </w:t>
      </w:r>
    </w:p>
    <w:p w14:paraId="3CA8C09E" w14:textId="39A3887D" w:rsidR="00F505FF" w:rsidRPr="007B5E4B" w:rsidRDefault="00F505FF" w:rsidP="007B5E4B">
      <w:pPr>
        <w:spacing w:after="0" w:line="360" w:lineRule="auto"/>
        <w:jc w:val="both"/>
        <w:rPr>
          <w:rFonts w:asciiTheme="majorBidi" w:hAnsiTheme="majorBidi" w:cstheme="majorBidi"/>
          <w:sz w:val="24"/>
          <w:szCs w:val="24"/>
          <w:highlight w:val="green"/>
        </w:rPr>
      </w:pPr>
      <w:r w:rsidRPr="00B027FD">
        <w:rPr>
          <w:rFonts w:asciiTheme="majorBidi" w:hAnsiTheme="majorBidi" w:cstheme="majorBidi"/>
          <w:sz w:val="24"/>
          <w:szCs w:val="24"/>
          <w:highlight w:val="green"/>
        </w:rPr>
        <w:t xml:space="preserve">To further evaluate the effect of MC analogs with varying Zn fractions on thyroid cancer cells, the promotion of signaling pathways controlling cellular processes such as proliferation, differentiation, motility and apoptosis </w:t>
      </w:r>
      <w:r w:rsidR="008D4A4F" w:rsidRPr="00B027FD">
        <w:rPr>
          <w:rFonts w:asciiTheme="majorBidi" w:hAnsiTheme="majorBidi" w:cstheme="majorBidi"/>
          <w:sz w:val="24"/>
          <w:szCs w:val="24"/>
          <w:highlight w:val="green"/>
        </w:rPr>
        <w:t>was</w:t>
      </w:r>
      <w:r w:rsidRPr="00B027FD">
        <w:rPr>
          <w:rFonts w:asciiTheme="majorBidi" w:hAnsiTheme="majorBidi" w:cstheme="majorBidi"/>
          <w:sz w:val="24"/>
          <w:szCs w:val="24"/>
          <w:highlight w:val="green"/>
        </w:rPr>
        <w:t xml:space="preserve"> examined</w:t>
      </w:r>
      <w:r w:rsidRPr="00B027FD">
        <w:rPr>
          <w:rFonts w:asciiTheme="majorBidi" w:hAnsiTheme="majorBidi" w:cstheme="majorBidi"/>
          <w:sz w:val="24"/>
          <w:szCs w:val="24"/>
          <w:highlight w:val="green"/>
        </w:rPr>
        <w:fldChar w:fldCharType="begin" w:fldLock="1"/>
      </w:r>
      <w:r w:rsidRPr="00B027FD">
        <w:rPr>
          <w:rFonts w:asciiTheme="majorBidi" w:hAnsiTheme="majorBidi" w:cstheme="majorBidi"/>
          <w:sz w:val="24"/>
          <w:szCs w:val="24"/>
          <w:highlight w:val="green"/>
        </w:rPr>
        <w:instrText>ADDIN CSL_CITATION {"citationItems":[{"id":"ITEM-1","itemData":{"DOI":"10.1038/nrc3431","ISSN":"1474175X","PMID":"23429735","abstract":"Thyroid cancer is a common endocrine malignancy. There has been exciting progress in understanding its molecular pathogenesis in recent years, as best exemplified by the elucidation of the fundamental role of several major signalling pathways and related molecular derangements. Central to these mechanisms are the genetic and epigenetic alterations in these pathways, such as mutation, gene copy-number gain and aberrant gene methylation. Many of these molecular alterations represent novel diagnostic and prognostic molecular markers and therapeutic targets for thyroid cancer, which provide unprecedented opportunities for further research and clinical development of novel treatment strategies for this cancer.© 2013 Macmillan Publishers Limited. All rights reserved.","author":[{"dropping-particle":"","family":"Xing","given":"Mingzhao","non-dropping-particle":"","parse-names":false,"suffix":""}],"container-title":"Nature Reviews Cancer","id":"ITEM-1","issue":"3","issued":{"date-parts":[["2013"]]},"page":"184-199","publisher":"Nature Publishing Group","title":"Molecular pathogenesis and mechanisms of thyroid cancer","type":"article-journal","volume":"13"},"uris":["http://www.mendeley.com/documents/?uuid=70060adc-b89e-44e4-b36b-5c7b21172798"]}],"mendeley":{"formattedCitation":"[33]","plainTextFormattedCitation":"[33]","previouslyFormattedCitation":"[33]"},"properties":{"noteIndex":0},"schema":"https://github.com/citation-style-language/schema/raw/master/csl-citation.json"}</w:instrText>
      </w:r>
      <w:r w:rsidRPr="00B027FD">
        <w:rPr>
          <w:rFonts w:asciiTheme="majorBidi" w:hAnsiTheme="majorBidi" w:cstheme="majorBidi"/>
          <w:sz w:val="24"/>
          <w:szCs w:val="24"/>
          <w:highlight w:val="green"/>
        </w:rPr>
        <w:fldChar w:fldCharType="separate"/>
      </w:r>
      <w:r w:rsidRPr="00B027FD">
        <w:rPr>
          <w:rFonts w:asciiTheme="majorBidi" w:hAnsiTheme="majorBidi" w:cstheme="majorBidi"/>
          <w:noProof/>
          <w:sz w:val="24"/>
          <w:szCs w:val="24"/>
          <w:highlight w:val="green"/>
        </w:rPr>
        <w:t>[33]</w:t>
      </w:r>
      <w:r w:rsidRPr="00B027FD">
        <w:rPr>
          <w:rFonts w:asciiTheme="majorBidi" w:hAnsiTheme="majorBidi" w:cstheme="majorBidi"/>
          <w:sz w:val="24"/>
          <w:szCs w:val="24"/>
          <w:highlight w:val="green"/>
        </w:rPr>
        <w:fldChar w:fldCharType="end"/>
      </w:r>
      <w:r w:rsidRPr="00B027FD">
        <w:rPr>
          <w:rFonts w:asciiTheme="majorBidi" w:hAnsiTheme="majorBidi" w:cstheme="majorBidi"/>
          <w:sz w:val="24"/>
          <w:szCs w:val="24"/>
          <w:highlight w:val="green"/>
        </w:rPr>
        <w:t xml:space="preserve">. </w:t>
      </w:r>
      <w:r w:rsidR="00C65CAB">
        <w:rPr>
          <w:rFonts w:asciiTheme="majorBidi" w:hAnsiTheme="majorBidi" w:cstheme="majorBidi"/>
          <w:sz w:val="24"/>
          <w:szCs w:val="24"/>
          <w:highlight w:val="green"/>
        </w:rPr>
        <w:t xml:space="preserve">We analyzed the expression of </w:t>
      </w:r>
      <w:r w:rsidR="00C65CAB" w:rsidRPr="00B027FD">
        <w:rPr>
          <w:rFonts w:asciiTheme="majorBidi" w:hAnsiTheme="majorBidi" w:cstheme="majorBidi"/>
          <w:sz w:val="24"/>
          <w:szCs w:val="24"/>
          <w:highlight w:val="green"/>
        </w:rPr>
        <w:t>extracellular-signal-regulated kinase (ERK) and its phosphorylated form (p-ERK)</w:t>
      </w:r>
      <w:r w:rsidR="00C65CAB">
        <w:rPr>
          <w:rFonts w:asciiTheme="majorBidi" w:hAnsiTheme="majorBidi" w:cstheme="majorBidi"/>
          <w:sz w:val="24"/>
          <w:szCs w:val="24"/>
          <w:highlight w:val="green"/>
        </w:rPr>
        <w:t xml:space="preserve"> </w:t>
      </w:r>
      <w:r w:rsidR="008B1353">
        <w:rPr>
          <w:rFonts w:asciiTheme="majorBidi" w:hAnsiTheme="majorBidi" w:cstheme="majorBidi"/>
          <w:sz w:val="24"/>
          <w:szCs w:val="24"/>
          <w:highlight w:val="green"/>
        </w:rPr>
        <w:t>that take part at</w:t>
      </w:r>
      <w:r w:rsidR="00C65CAB">
        <w:rPr>
          <w:rFonts w:asciiTheme="majorBidi" w:hAnsiTheme="majorBidi" w:cstheme="majorBidi"/>
          <w:sz w:val="24"/>
          <w:szCs w:val="24"/>
          <w:highlight w:val="green"/>
        </w:rPr>
        <w:t xml:space="preserve"> the</w:t>
      </w:r>
      <w:r w:rsidRPr="00B027FD">
        <w:rPr>
          <w:rFonts w:asciiTheme="majorBidi" w:hAnsiTheme="majorBidi" w:cstheme="majorBidi"/>
          <w:sz w:val="24"/>
          <w:szCs w:val="24"/>
          <w:highlight w:val="green"/>
        </w:rPr>
        <w:t xml:space="preserve"> MAPK pathway</w:t>
      </w:r>
      <w:r w:rsidR="00C65CAB">
        <w:rPr>
          <w:rFonts w:asciiTheme="majorBidi" w:hAnsiTheme="majorBidi" w:cstheme="majorBidi"/>
          <w:sz w:val="24"/>
          <w:szCs w:val="24"/>
          <w:highlight w:val="green"/>
        </w:rPr>
        <w:t xml:space="preserve">, and the </w:t>
      </w:r>
      <w:r w:rsidR="00C65CAB" w:rsidRPr="00B027FD">
        <w:rPr>
          <w:rFonts w:asciiTheme="majorBidi" w:hAnsiTheme="majorBidi" w:cstheme="majorBidi"/>
          <w:sz w:val="24"/>
          <w:szCs w:val="24"/>
          <w:highlight w:val="green"/>
        </w:rPr>
        <w:t xml:space="preserve">protein kinase B (Akt) </w:t>
      </w:r>
      <w:r w:rsidR="008B1353">
        <w:rPr>
          <w:rFonts w:asciiTheme="majorBidi" w:hAnsiTheme="majorBidi" w:cstheme="majorBidi"/>
          <w:sz w:val="24"/>
          <w:szCs w:val="24"/>
          <w:highlight w:val="green"/>
        </w:rPr>
        <w:t xml:space="preserve">that </w:t>
      </w:r>
      <w:r w:rsidR="00F811C0">
        <w:rPr>
          <w:rFonts w:asciiTheme="majorBidi" w:hAnsiTheme="majorBidi" w:cstheme="majorBidi"/>
          <w:sz w:val="24"/>
          <w:szCs w:val="24"/>
          <w:highlight w:val="green"/>
        </w:rPr>
        <w:t>is</w:t>
      </w:r>
      <w:r w:rsidR="008B1353">
        <w:rPr>
          <w:rFonts w:asciiTheme="majorBidi" w:hAnsiTheme="majorBidi" w:cstheme="majorBidi"/>
          <w:sz w:val="24"/>
          <w:szCs w:val="24"/>
          <w:highlight w:val="green"/>
        </w:rPr>
        <w:t xml:space="preserve"> a part of</w:t>
      </w:r>
      <w:r w:rsidR="00C65CAB">
        <w:rPr>
          <w:rFonts w:asciiTheme="majorBidi" w:hAnsiTheme="majorBidi" w:cstheme="majorBidi"/>
          <w:sz w:val="24"/>
          <w:szCs w:val="24"/>
          <w:highlight w:val="green"/>
        </w:rPr>
        <w:t xml:space="preserve"> the</w:t>
      </w:r>
      <w:r w:rsidRPr="00B027FD">
        <w:rPr>
          <w:rFonts w:asciiTheme="majorBidi" w:hAnsiTheme="majorBidi" w:cstheme="majorBidi"/>
          <w:sz w:val="24"/>
          <w:szCs w:val="24"/>
          <w:highlight w:val="green"/>
        </w:rPr>
        <w:t xml:space="preserve"> PI3K/Akt pathway</w:t>
      </w:r>
      <w:r w:rsidR="00E96466">
        <w:rPr>
          <w:rFonts w:asciiTheme="majorBidi" w:hAnsiTheme="majorBidi" w:cstheme="majorBidi"/>
          <w:sz w:val="24"/>
          <w:szCs w:val="24"/>
          <w:highlight w:val="green"/>
        </w:rPr>
        <w:t xml:space="preserve">. </w:t>
      </w:r>
      <w:r w:rsidRPr="00B027FD">
        <w:rPr>
          <w:rFonts w:asciiTheme="majorBidi" w:hAnsiTheme="majorBidi" w:cstheme="majorBidi"/>
          <w:sz w:val="24"/>
          <w:szCs w:val="24"/>
          <w:highlight w:val="green"/>
        </w:rPr>
        <w:t>Additionally, the expression of epidermal growth factor receptor (EGFR), known for its association with aggressive thyroid cancers, was examined.</w:t>
      </w:r>
      <w:r w:rsidRPr="00B027FD">
        <w:rPr>
          <w:rFonts w:asciiTheme="majorBidi" w:hAnsiTheme="majorBidi" w:cstheme="majorBidi" w:hint="cs"/>
          <w:sz w:val="24"/>
          <w:szCs w:val="24"/>
          <w:highlight w:val="green"/>
          <w:rtl/>
        </w:rPr>
        <w:t xml:space="preserve"> </w:t>
      </w:r>
      <w:r w:rsidRPr="00B027FD">
        <w:rPr>
          <w:rFonts w:asciiTheme="majorBidi" w:hAnsiTheme="majorBidi" w:cstheme="majorBidi"/>
          <w:sz w:val="24"/>
          <w:szCs w:val="24"/>
          <w:highlight w:val="green"/>
        </w:rPr>
        <w:t>The expressions of ERK, p-ERK, AKT, and EGFR were determined after a 72-hour exposure to the crystals (</w:t>
      </w:r>
      <w:r w:rsidRPr="007B5E4B">
        <w:rPr>
          <w:rFonts w:asciiTheme="majorBidi" w:hAnsiTheme="majorBidi" w:cstheme="majorBidi"/>
          <w:sz w:val="24"/>
          <w:szCs w:val="24"/>
          <w:highlight w:val="green"/>
        </w:rPr>
        <w:t>Fig. 6 b</w:t>
      </w:r>
      <w:r w:rsidR="00267FBF">
        <w:rPr>
          <w:rFonts w:asciiTheme="majorBidi" w:hAnsiTheme="majorBidi" w:cstheme="majorBidi"/>
          <w:sz w:val="24"/>
          <w:szCs w:val="24"/>
          <w:highlight w:val="green"/>
        </w:rPr>
        <w:t>, Fig. S4</w:t>
      </w:r>
      <w:r w:rsidRPr="007B5E4B">
        <w:rPr>
          <w:rFonts w:asciiTheme="majorBidi" w:hAnsiTheme="majorBidi" w:cstheme="majorBidi"/>
          <w:sz w:val="24"/>
          <w:szCs w:val="24"/>
          <w:highlight w:val="green"/>
        </w:rPr>
        <w:t xml:space="preserve">). </w:t>
      </w:r>
      <w:r w:rsidR="00666F73" w:rsidRPr="007B5E4B">
        <w:rPr>
          <w:rFonts w:asciiTheme="majorBidi" w:hAnsiTheme="majorBidi" w:cstheme="majorBidi"/>
          <w:sz w:val="24"/>
          <w:szCs w:val="24"/>
          <w:highlight w:val="green"/>
        </w:rPr>
        <w:t xml:space="preserve">There were differences between protein expressions depending on the Zn fraction, with high variance between repetitions of the analysis, due to the cell heterogeneity. </w:t>
      </w:r>
      <w:r w:rsidR="007112EC" w:rsidRPr="007B5E4B">
        <w:rPr>
          <w:rFonts w:asciiTheme="majorBidi" w:hAnsiTheme="majorBidi" w:cstheme="majorBidi"/>
          <w:sz w:val="24"/>
          <w:szCs w:val="24"/>
          <w:highlight w:val="green"/>
        </w:rPr>
        <w:t>Untreated cell</w:t>
      </w:r>
      <w:r w:rsidR="002B1374" w:rsidRPr="007B5E4B">
        <w:rPr>
          <w:rFonts w:asciiTheme="majorBidi" w:hAnsiTheme="majorBidi" w:cstheme="majorBidi"/>
          <w:sz w:val="24"/>
          <w:szCs w:val="24"/>
          <w:highlight w:val="green"/>
        </w:rPr>
        <w:t>s</w:t>
      </w:r>
      <w:r w:rsidR="007112EC" w:rsidRPr="007B5E4B">
        <w:rPr>
          <w:rFonts w:asciiTheme="majorBidi" w:hAnsiTheme="majorBidi" w:cstheme="majorBidi"/>
          <w:sz w:val="24"/>
          <w:szCs w:val="24"/>
          <w:highlight w:val="green"/>
        </w:rPr>
        <w:t xml:space="preserve"> and cell</w:t>
      </w:r>
      <w:r w:rsidR="002B1374" w:rsidRPr="007B5E4B">
        <w:rPr>
          <w:rFonts w:asciiTheme="majorBidi" w:hAnsiTheme="majorBidi" w:cstheme="majorBidi"/>
          <w:sz w:val="24"/>
          <w:szCs w:val="24"/>
          <w:highlight w:val="green"/>
        </w:rPr>
        <w:t>s</w:t>
      </w:r>
      <w:r w:rsidR="007112EC" w:rsidRPr="007B5E4B">
        <w:rPr>
          <w:rFonts w:asciiTheme="majorBidi" w:hAnsiTheme="majorBidi" w:cstheme="majorBidi"/>
          <w:sz w:val="24"/>
          <w:szCs w:val="24"/>
          <w:highlight w:val="green"/>
        </w:rPr>
        <w:t xml:space="preserve"> treated with MC analogs containing 0-1.2 wt% Zn had similar expressions of </w:t>
      </w:r>
      <w:r w:rsidR="00531AE5" w:rsidRPr="007B5E4B">
        <w:rPr>
          <w:rFonts w:asciiTheme="majorBidi" w:hAnsiTheme="majorBidi" w:cstheme="majorBidi"/>
          <w:sz w:val="24"/>
          <w:szCs w:val="24"/>
          <w:highlight w:val="green"/>
        </w:rPr>
        <w:t>p-</w:t>
      </w:r>
      <w:r w:rsidR="007112EC" w:rsidRPr="007B5E4B">
        <w:rPr>
          <w:rFonts w:asciiTheme="majorBidi" w:hAnsiTheme="majorBidi" w:cstheme="majorBidi"/>
          <w:sz w:val="24"/>
          <w:szCs w:val="24"/>
          <w:highlight w:val="green"/>
        </w:rPr>
        <w:t>ERK</w:t>
      </w:r>
      <w:r w:rsidR="006F2C81" w:rsidRPr="007B5E4B">
        <w:rPr>
          <w:rFonts w:asciiTheme="majorBidi" w:hAnsiTheme="majorBidi" w:cstheme="majorBidi"/>
          <w:sz w:val="24"/>
          <w:szCs w:val="24"/>
          <w:highlight w:val="green"/>
        </w:rPr>
        <w:t xml:space="preserve"> and EGFR</w:t>
      </w:r>
      <w:r w:rsidR="007112EC" w:rsidRPr="007B5E4B">
        <w:rPr>
          <w:rFonts w:asciiTheme="majorBidi" w:hAnsiTheme="majorBidi" w:cstheme="majorBidi"/>
          <w:sz w:val="24"/>
          <w:szCs w:val="24"/>
          <w:highlight w:val="green"/>
        </w:rPr>
        <w:t xml:space="preserve">, </w:t>
      </w:r>
      <w:r w:rsidR="00B60930" w:rsidRPr="007B5E4B">
        <w:rPr>
          <w:rFonts w:asciiTheme="majorBidi" w:hAnsiTheme="majorBidi" w:cstheme="majorBidi"/>
          <w:sz w:val="24"/>
          <w:szCs w:val="24"/>
          <w:highlight w:val="green"/>
        </w:rPr>
        <w:t xml:space="preserve">and a lower expression </w:t>
      </w:r>
      <w:r w:rsidR="00E83C78" w:rsidRPr="007B5E4B">
        <w:rPr>
          <w:rFonts w:asciiTheme="majorBidi" w:hAnsiTheme="majorBidi" w:cstheme="majorBidi"/>
          <w:sz w:val="24"/>
          <w:szCs w:val="24"/>
          <w:highlight w:val="green"/>
        </w:rPr>
        <w:t>when</w:t>
      </w:r>
      <w:r w:rsidR="00B60930" w:rsidRPr="007B5E4B">
        <w:rPr>
          <w:rFonts w:asciiTheme="majorBidi" w:hAnsiTheme="majorBidi" w:cstheme="majorBidi"/>
          <w:sz w:val="24"/>
          <w:szCs w:val="24"/>
          <w:highlight w:val="green"/>
        </w:rPr>
        <w:t xml:space="preserve"> treated with 2.6</w:t>
      </w:r>
      <w:r w:rsidR="00531AE5" w:rsidRPr="007B5E4B">
        <w:rPr>
          <w:rFonts w:asciiTheme="majorBidi" w:hAnsiTheme="majorBidi" w:cstheme="majorBidi"/>
          <w:sz w:val="24"/>
          <w:szCs w:val="24"/>
          <w:highlight w:val="green"/>
        </w:rPr>
        <w:t xml:space="preserve"> and 5.2</w:t>
      </w:r>
      <w:r w:rsidR="00B60930" w:rsidRPr="007B5E4B">
        <w:rPr>
          <w:rFonts w:asciiTheme="majorBidi" w:hAnsiTheme="majorBidi" w:cstheme="majorBidi"/>
          <w:sz w:val="24"/>
          <w:szCs w:val="24"/>
          <w:highlight w:val="green"/>
        </w:rPr>
        <w:t xml:space="preserve"> wt% Zn.</w:t>
      </w:r>
      <w:r w:rsidR="00E83C78" w:rsidRPr="007B5E4B">
        <w:rPr>
          <w:rFonts w:asciiTheme="majorBidi" w:hAnsiTheme="majorBidi" w:cstheme="majorBidi"/>
          <w:sz w:val="24"/>
          <w:szCs w:val="24"/>
          <w:highlight w:val="green"/>
        </w:rPr>
        <w:t xml:space="preserve"> Untreated cells and cells treated with </w:t>
      </w:r>
      <w:r w:rsidR="00A9673F" w:rsidRPr="007B5E4B">
        <w:rPr>
          <w:rFonts w:asciiTheme="majorBidi" w:hAnsiTheme="majorBidi" w:cstheme="majorBidi"/>
          <w:sz w:val="24"/>
          <w:szCs w:val="24"/>
          <w:highlight w:val="green"/>
        </w:rPr>
        <w:t xml:space="preserve">all </w:t>
      </w:r>
      <w:r w:rsidR="00E83C78" w:rsidRPr="007B5E4B">
        <w:rPr>
          <w:rFonts w:asciiTheme="majorBidi" w:hAnsiTheme="majorBidi" w:cstheme="majorBidi"/>
          <w:sz w:val="24"/>
          <w:szCs w:val="24"/>
          <w:highlight w:val="green"/>
        </w:rPr>
        <w:t>MC analogs had similar expressions of A</w:t>
      </w:r>
      <w:r w:rsidR="006775D2">
        <w:rPr>
          <w:rFonts w:asciiTheme="majorBidi" w:hAnsiTheme="majorBidi" w:cstheme="majorBidi"/>
          <w:sz w:val="24"/>
          <w:szCs w:val="24"/>
          <w:highlight w:val="green"/>
        </w:rPr>
        <w:t>KT</w:t>
      </w:r>
      <w:r w:rsidR="00531AE5" w:rsidRPr="007B5E4B">
        <w:rPr>
          <w:rFonts w:asciiTheme="majorBidi" w:hAnsiTheme="majorBidi" w:cstheme="majorBidi"/>
          <w:sz w:val="24"/>
          <w:szCs w:val="24"/>
          <w:highlight w:val="green"/>
        </w:rPr>
        <w:t xml:space="preserve"> and ERK</w:t>
      </w:r>
      <w:r w:rsidR="00E83C78" w:rsidRPr="007B5E4B">
        <w:rPr>
          <w:rFonts w:asciiTheme="majorBidi" w:hAnsiTheme="majorBidi" w:cstheme="majorBidi"/>
          <w:sz w:val="24"/>
          <w:szCs w:val="24"/>
          <w:highlight w:val="green"/>
        </w:rPr>
        <w:t>.</w:t>
      </w:r>
    </w:p>
    <w:p w14:paraId="0C2295C5" w14:textId="668EC3D1" w:rsidR="0034511C" w:rsidRPr="00A42310" w:rsidRDefault="00137916" w:rsidP="0034511C">
      <w:pPr>
        <w:spacing w:after="0" w:line="360" w:lineRule="auto"/>
        <w:jc w:val="both"/>
        <w:rPr>
          <w:rFonts w:asciiTheme="majorBidi" w:hAnsiTheme="majorBidi" w:cstheme="majorBidi"/>
          <w:sz w:val="24"/>
          <w:szCs w:val="24"/>
        </w:rPr>
      </w:pPr>
      <w:r w:rsidRPr="00137916">
        <w:rPr>
          <w:rFonts w:asciiTheme="majorBidi" w:hAnsiTheme="majorBidi" w:cstheme="majorBidi"/>
          <w:sz w:val="24"/>
          <w:szCs w:val="24"/>
          <w:highlight w:val="green"/>
        </w:rPr>
        <w:t xml:space="preserve">To investigate how the MC crystal properties influence the cellular ability to form multicellular </w:t>
      </w:r>
      <w:r w:rsidRPr="006D48BC">
        <w:rPr>
          <w:rFonts w:asciiTheme="majorBidi" w:hAnsiTheme="majorBidi" w:cstheme="majorBidi"/>
          <w:sz w:val="24"/>
          <w:szCs w:val="24"/>
          <w:highlight w:val="green"/>
        </w:rPr>
        <w:t>spheroids</w:t>
      </w:r>
      <w:r w:rsidR="006D48BC" w:rsidRPr="006D48BC">
        <w:rPr>
          <w:rFonts w:asciiTheme="majorBidi" w:hAnsiTheme="majorBidi" w:cstheme="majorBidi"/>
          <w:sz w:val="24"/>
          <w:szCs w:val="24"/>
          <w:highlight w:val="green"/>
        </w:rPr>
        <w:t>, cell suspensions were mixed with MC analogs containing various Zn fractions</w:t>
      </w:r>
      <w:r w:rsidR="00B27516">
        <w:rPr>
          <w:rFonts w:asciiTheme="majorBidi" w:hAnsiTheme="majorBidi" w:cstheme="majorBidi"/>
          <w:sz w:val="24"/>
          <w:szCs w:val="24"/>
          <w:highlight w:val="green"/>
        </w:rPr>
        <w:t>. Then,</w:t>
      </w:r>
      <w:r w:rsidR="006D48BC" w:rsidRPr="006D48BC">
        <w:rPr>
          <w:rFonts w:asciiTheme="majorBidi" w:hAnsiTheme="majorBidi" w:cstheme="majorBidi"/>
          <w:sz w:val="24"/>
          <w:szCs w:val="24"/>
          <w:highlight w:val="green"/>
        </w:rPr>
        <w:t xml:space="preserve"> </w:t>
      </w:r>
      <w:r w:rsidR="00B27516">
        <w:rPr>
          <w:rFonts w:asciiTheme="majorBidi" w:hAnsiTheme="majorBidi" w:cstheme="majorBidi"/>
          <w:sz w:val="24"/>
          <w:szCs w:val="24"/>
          <w:highlight w:val="green"/>
        </w:rPr>
        <w:t>they</w:t>
      </w:r>
      <w:r w:rsidR="006D48BC" w:rsidRPr="006D48BC">
        <w:rPr>
          <w:rFonts w:asciiTheme="majorBidi" w:hAnsiTheme="majorBidi" w:cstheme="majorBidi"/>
          <w:sz w:val="24"/>
          <w:szCs w:val="24"/>
          <w:highlight w:val="green"/>
        </w:rPr>
        <w:t xml:space="preserve"> were seeded together in low adherence conditions that </w:t>
      </w:r>
      <w:r w:rsidR="00BC0E93">
        <w:rPr>
          <w:rFonts w:asciiTheme="majorBidi" w:hAnsiTheme="majorBidi" w:cstheme="majorBidi"/>
          <w:sz w:val="24"/>
          <w:szCs w:val="24"/>
          <w:highlight w:val="green"/>
        </w:rPr>
        <w:t xml:space="preserve">can </w:t>
      </w:r>
      <w:r w:rsidR="006D48BC" w:rsidRPr="0028098E">
        <w:rPr>
          <w:rFonts w:asciiTheme="majorBidi" w:hAnsiTheme="majorBidi" w:cstheme="majorBidi"/>
          <w:sz w:val="24"/>
          <w:szCs w:val="24"/>
          <w:highlight w:val="green"/>
        </w:rPr>
        <w:t xml:space="preserve">induce the formation of </w:t>
      </w:r>
      <w:r w:rsidR="006D48BC" w:rsidRPr="0028098E">
        <w:rPr>
          <w:rFonts w:asciiTheme="majorBidi" w:hAnsiTheme="majorBidi" w:cstheme="majorBidi"/>
          <w:sz w:val="24"/>
          <w:szCs w:val="24"/>
          <w:highlight w:val="green"/>
        </w:rPr>
        <w:lastRenderedPageBreak/>
        <w:t xml:space="preserve">3D structures that mimic tumors (Fig. 6 </w:t>
      </w:r>
      <w:r w:rsidR="00FA739A">
        <w:rPr>
          <w:rFonts w:asciiTheme="majorBidi" w:hAnsiTheme="majorBidi" w:cstheme="majorBidi"/>
          <w:sz w:val="24"/>
          <w:szCs w:val="24"/>
          <w:highlight w:val="green"/>
        </w:rPr>
        <w:t>c</w:t>
      </w:r>
      <w:r w:rsidR="006D48BC" w:rsidRPr="0028098E">
        <w:rPr>
          <w:rFonts w:asciiTheme="majorBidi" w:hAnsiTheme="majorBidi" w:cstheme="majorBidi"/>
          <w:sz w:val="24"/>
          <w:szCs w:val="24"/>
          <w:highlight w:val="green"/>
        </w:rPr>
        <w:t xml:space="preserve">). </w:t>
      </w:r>
      <w:r w:rsidR="00FF2AA9" w:rsidRPr="0028098E">
        <w:rPr>
          <w:rFonts w:asciiTheme="majorBidi" w:hAnsiTheme="majorBidi" w:cstheme="majorBidi"/>
          <w:sz w:val="24"/>
          <w:szCs w:val="24"/>
          <w:highlight w:val="green"/>
        </w:rPr>
        <w:t xml:space="preserve">Cells seeded without the presence of MC analogs (control) or those seeded in the presence of MC analogs containing 0-1.2 wt% Zn formed multicellular spheroids on Day 1 of the culture. On Day 5 of the culture, these spheroids had smaller diameters (Table 4). The decrease in spheroid size may be due to </w:t>
      </w:r>
      <w:r w:rsidR="008E2BF6">
        <w:rPr>
          <w:rFonts w:asciiTheme="majorBidi" w:hAnsiTheme="majorBidi" w:cstheme="majorBidi"/>
          <w:sz w:val="24"/>
          <w:szCs w:val="24"/>
          <w:highlight w:val="green"/>
        </w:rPr>
        <w:t xml:space="preserve">increased cell-cell </w:t>
      </w:r>
      <w:r w:rsidR="00D16835">
        <w:rPr>
          <w:rFonts w:asciiTheme="majorBidi" w:hAnsiTheme="majorBidi" w:cstheme="majorBidi"/>
          <w:sz w:val="24"/>
          <w:szCs w:val="24"/>
          <w:highlight w:val="green"/>
        </w:rPr>
        <w:t>adhesion</w:t>
      </w:r>
      <w:r w:rsidR="00FF2AA9" w:rsidRPr="0028098E">
        <w:rPr>
          <w:rFonts w:asciiTheme="majorBidi" w:hAnsiTheme="majorBidi" w:cstheme="majorBidi"/>
          <w:sz w:val="24"/>
          <w:szCs w:val="24"/>
          <w:highlight w:val="green"/>
        </w:rPr>
        <w:t xml:space="preserve"> to form </w:t>
      </w:r>
      <w:r w:rsidR="00932D25">
        <w:rPr>
          <w:rFonts w:asciiTheme="majorBidi" w:hAnsiTheme="majorBidi" w:cstheme="majorBidi"/>
          <w:sz w:val="24"/>
          <w:szCs w:val="24"/>
          <w:highlight w:val="green"/>
        </w:rPr>
        <w:t>compact</w:t>
      </w:r>
      <w:r w:rsidR="00FF2AA9" w:rsidRPr="0028098E">
        <w:rPr>
          <w:rFonts w:asciiTheme="majorBidi" w:hAnsiTheme="majorBidi" w:cstheme="majorBidi"/>
          <w:sz w:val="24"/>
          <w:szCs w:val="24"/>
          <w:highlight w:val="green"/>
        </w:rPr>
        <w:t xml:space="preserve"> </w:t>
      </w:r>
      <w:r w:rsidR="00FF2AA9" w:rsidRPr="00FA592C">
        <w:rPr>
          <w:rFonts w:asciiTheme="majorBidi" w:hAnsiTheme="majorBidi" w:cstheme="majorBidi"/>
          <w:sz w:val="24"/>
          <w:szCs w:val="24"/>
          <w:highlight w:val="green"/>
        </w:rPr>
        <w:t xml:space="preserve">spheroids, or migration of cells away from the spheroids. </w:t>
      </w:r>
      <w:r w:rsidR="0028098E" w:rsidRPr="00FA592C">
        <w:rPr>
          <w:rFonts w:asciiTheme="majorBidi" w:hAnsiTheme="majorBidi" w:cstheme="majorBidi"/>
          <w:sz w:val="24"/>
          <w:szCs w:val="24"/>
          <w:highlight w:val="green"/>
        </w:rPr>
        <w:t>Cells that were mixed with MC analogs containing the highest Zn fractions of 2.6 and 5.2 wt%</w:t>
      </w:r>
      <w:r w:rsidR="003307DF" w:rsidRPr="00FA592C">
        <w:rPr>
          <w:rFonts w:asciiTheme="majorBidi" w:hAnsiTheme="majorBidi" w:cstheme="majorBidi"/>
          <w:sz w:val="24"/>
          <w:szCs w:val="24"/>
          <w:highlight w:val="green"/>
        </w:rPr>
        <w:t>, which</w:t>
      </w:r>
      <w:r w:rsidR="0028098E" w:rsidRPr="00FA592C">
        <w:rPr>
          <w:rFonts w:asciiTheme="majorBidi" w:hAnsiTheme="majorBidi" w:cstheme="majorBidi"/>
          <w:sz w:val="24"/>
          <w:szCs w:val="24"/>
          <w:highlight w:val="green"/>
        </w:rPr>
        <w:t xml:space="preserve"> </w:t>
      </w:r>
      <w:r w:rsidR="003307DF" w:rsidRPr="00FA592C">
        <w:rPr>
          <w:rFonts w:asciiTheme="majorBidi" w:hAnsiTheme="majorBidi" w:cstheme="majorBidi"/>
          <w:sz w:val="24"/>
          <w:szCs w:val="24"/>
          <w:highlight w:val="green"/>
        </w:rPr>
        <w:t>had</w:t>
      </w:r>
      <w:r w:rsidR="00AF0F55" w:rsidRPr="00FA592C">
        <w:rPr>
          <w:rFonts w:asciiTheme="majorBidi" w:hAnsiTheme="majorBidi" w:cstheme="majorBidi"/>
          <w:sz w:val="24"/>
          <w:szCs w:val="24"/>
          <w:highlight w:val="green"/>
        </w:rPr>
        <w:t xml:space="preserve"> the lowest crystallinity, </w:t>
      </w:r>
      <w:r w:rsidR="0028098E" w:rsidRPr="00FA592C">
        <w:rPr>
          <w:rFonts w:asciiTheme="majorBidi" w:hAnsiTheme="majorBidi" w:cstheme="majorBidi"/>
          <w:sz w:val="24"/>
          <w:szCs w:val="24"/>
          <w:highlight w:val="green"/>
        </w:rPr>
        <w:t xml:space="preserve">did not form multicellular spheroids even after 5 days of incubation. </w:t>
      </w:r>
      <w:r w:rsidR="0034511C" w:rsidRPr="00FA592C">
        <w:rPr>
          <w:rFonts w:asciiTheme="majorBidi" w:hAnsiTheme="majorBidi" w:cstheme="majorBidi"/>
          <w:sz w:val="24"/>
          <w:szCs w:val="24"/>
          <w:highlight w:val="green"/>
        </w:rPr>
        <w:t>Inst</w:t>
      </w:r>
      <w:r w:rsidR="00BC0E93">
        <w:rPr>
          <w:rFonts w:asciiTheme="majorBidi" w:hAnsiTheme="majorBidi" w:cstheme="majorBidi"/>
          <w:sz w:val="24"/>
          <w:szCs w:val="24"/>
          <w:highlight w:val="green"/>
        </w:rPr>
        <w:t>e</w:t>
      </w:r>
      <w:r w:rsidR="0034511C" w:rsidRPr="00FA592C">
        <w:rPr>
          <w:rFonts w:asciiTheme="majorBidi" w:hAnsiTheme="majorBidi" w:cstheme="majorBidi"/>
          <w:sz w:val="24"/>
          <w:szCs w:val="24"/>
          <w:highlight w:val="green"/>
        </w:rPr>
        <w:t xml:space="preserve">ad, they formed loose aggregates with no clearly defined 3D spherical geometry, indicating a lack of </w:t>
      </w:r>
      <w:r w:rsidR="0034511C" w:rsidRPr="00FA592C">
        <w:rPr>
          <w:rFonts w:ascii="Georgia" w:hAnsi="Georgia"/>
          <w:color w:val="1F1F1F"/>
          <w:highlight w:val="green"/>
        </w:rPr>
        <w:t>cell–cell and cell–matrix interactions.</w:t>
      </w:r>
    </w:p>
    <w:p w14:paraId="5AAC7FF2" w14:textId="4457304E" w:rsidR="008478DC" w:rsidRDefault="008478DC" w:rsidP="00AB3F9D">
      <w:pPr>
        <w:spacing w:after="0" w:line="360" w:lineRule="auto"/>
        <w:jc w:val="both"/>
        <w:rPr>
          <w:lang w:val="en-GB"/>
        </w:rPr>
      </w:pPr>
      <w:bookmarkStart w:id="4" w:name="_Hlk143184576"/>
    </w:p>
    <w:p w14:paraId="79DBED52" w14:textId="09552719" w:rsidR="002E0568" w:rsidRPr="00D0673C" w:rsidRDefault="008478DC" w:rsidP="00D0673C">
      <w:pPr>
        <w:spacing w:after="0" w:line="360" w:lineRule="auto"/>
        <w:jc w:val="both"/>
      </w:pPr>
      <w:r>
        <w:rPr>
          <w:lang w:val="en-GB"/>
        </w:rPr>
        <w:t xml:space="preserve"> </w:t>
      </w:r>
      <w:r w:rsidR="00704A28">
        <w:rPr>
          <w:rFonts w:cs="Times New Roman"/>
          <w:noProof/>
        </w:rPr>
        <w:drawing>
          <wp:inline distT="0" distB="0" distL="0" distR="0" wp14:anchorId="4E43C9CD" wp14:editId="22C9A56D">
            <wp:extent cx="4495800" cy="3533775"/>
            <wp:effectExtent l="0" t="0" r="0" b="9525"/>
            <wp:docPr id="31356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495800" cy="3533775"/>
                    </a:xfrm>
                    <a:prstGeom prst="rect">
                      <a:avLst/>
                    </a:prstGeom>
                    <a:noFill/>
                    <a:ln>
                      <a:noFill/>
                    </a:ln>
                  </pic:spPr>
                </pic:pic>
              </a:graphicData>
            </a:graphic>
          </wp:inline>
        </w:drawing>
      </w:r>
    </w:p>
    <w:p w14:paraId="0706844C" w14:textId="492A7AEE" w:rsidR="001F44DF" w:rsidRDefault="008478DC" w:rsidP="00E07723">
      <w:pPr>
        <w:spacing w:after="0" w:line="360" w:lineRule="auto"/>
        <w:rPr>
          <w:rFonts w:asciiTheme="majorBidi" w:hAnsiTheme="majorBidi" w:cstheme="majorBidi"/>
          <w:sz w:val="24"/>
          <w:szCs w:val="24"/>
        </w:rPr>
      </w:pPr>
      <w:r w:rsidRPr="00B05B61">
        <w:rPr>
          <w:rFonts w:asciiTheme="majorBidi" w:hAnsiTheme="majorBidi" w:cstheme="majorBidi"/>
          <w:b/>
          <w:bCs/>
          <w:sz w:val="24"/>
          <w:szCs w:val="24"/>
          <w:highlight w:val="green"/>
        </w:rPr>
        <w:t>Figure 6.</w:t>
      </w:r>
      <w:r w:rsidRPr="00B05B61">
        <w:rPr>
          <w:highlight w:val="green"/>
        </w:rPr>
        <w:t xml:space="preserve"> </w:t>
      </w:r>
      <w:r w:rsidRPr="00B05B61">
        <w:rPr>
          <w:rFonts w:asciiTheme="majorBidi" w:hAnsiTheme="majorBidi" w:cstheme="majorBidi"/>
          <w:sz w:val="24"/>
          <w:szCs w:val="24"/>
          <w:highlight w:val="green"/>
        </w:rPr>
        <w:t xml:space="preserve">The cellular response to the Zn content in the MC analogs in terms of </w:t>
      </w:r>
      <w:r w:rsidR="00BC0E93">
        <w:rPr>
          <w:rFonts w:asciiTheme="majorBidi" w:hAnsiTheme="majorBidi" w:cstheme="majorBidi"/>
          <w:sz w:val="24"/>
          <w:szCs w:val="24"/>
          <w:highlight w:val="green"/>
        </w:rPr>
        <w:t>the cell</w:t>
      </w:r>
      <w:r w:rsidRPr="00B05B61">
        <w:rPr>
          <w:rFonts w:asciiTheme="majorBidi" w:hAnsiTheme="majorBidi" w:cstheme="majorBidi"/>
          <w:sz w:val="24"/>
          <w:szCs w:val="24"/>
          <w:highlight w:val="green"/>
        </w:rPr>
        <w:t xml:space="preserve"> tendency to form multicellular spheroids, cell proliferation, </w:t>
      </w:r>
      <w:r w:rsidRPr="004D7A51">
        <w:rPr>
          <w:rFonts w:asciiTheme="majorBidi" w:hAnsiTheme="majorBidi" w:cstheme="majorBidi"/>
          <w:sz w:val="24"/>
          <w:szCs w:val="24"/>
          <w:highlight w:val="green"/>
        </w:rPr>
        <w:t xml:space="preserve">and expression of cancer markers. </w:t>
      </w:r>
      <w:r w:rsidRPr="004D7A51">
        <w:rPr>
          <w:rFonts w:asciiTheme="majorBidi" w:hAnsiTheme="majorBidi" w:cstheme="majorBidi"/>
          <w:b/>
          <w:bCs/>
          <w:sz w:val="24"/>
          <w:szCs w:val="24"/>
          <w:highlight w:val="green"/>
        </w:rPr>
        <w:t>a.</w:t>
      </w:r>
      <w:r w:rsidR="00DE0124" w:rsidRPr="004D7A51">
        <w:rPr>
          <w:rFonts w:asciiTheme="majorBidi" w:hAnsiTheme="majorBidi" w:cstheme="majorBidi"/>
          <w:b/>
          <w:bCs/>
          <w:sz w:val="24"/>
          <w:szCs w:val="24"/>
          <w:highlight w:val="green"/>
        </w:rPr>
        <w:t xml:space="preserve"> </w:t>
      </w:r>
      <w:r w:rsidR="00DE0124" w:rsidRPr="004D7A51">
        <w:rPr>
          <w:rFonts w:asciiTheme="majorBidi" w:hAnsiTheme="majorBidi" w:cstheme="majorBidi"/>
          <w:highlight w:val="green"/>
        </w:rPr>
        <w:t xml:space="preserve">Cellular proliferation </w:t>
      </w:r>
      <w:r w:rsidR="00DE0124" w:rsidRPr="004D7A51">
        <w:rPr>
          <w:rFonts w:asciiTheme="majorBidi" w:hAnsiTheme="majorBidi" w:cstheme="majorBidi"/>
          <w:sz w:val="24"/>
          <w:szCs w:val="24"/>
          <w:highlight w:val="green"/>
        </w:rPr>
        <w:t xml:space="preserve">following 72 hours of treatment with </w:t>
      </w:r>
      <w:r w:rsidR="00DE0124" w:rsidRPr="00B05B61">
        <w:rPr>
          <w:rFonts w:asciiTheme="majorBidi" w:hAnsiTheme="majorBidi" w:cstheme="majorBidi"/>
          <w:sz w:val="24"/>
          <w:szCs w:val="24"/>
          <w:highlight w:val="green"/>
        </w:rPr>
        <w:t>MC analogs</w:t>
      </w:r>
      <w:r w:rsidR="00DE0124" w:rsidRPr="008478DC">
        <w:rPr>
          <w:rFonts w:asciiTheme="majorBidi" w:hAnsiTheme="majorBidi" w:cstheme="majorBidi"/>
          <w:sz w:val="24"/>
          <w:szCs w:val="24"/>
          <w:highlight w:val="green"/>
        </w:rPr>
        <w:t xml:space="preserve"> measured with</w:t>
      </w:r>
      <w:r w:rsidR="00DE0124" w:rsidRPr="00B05B61">
        <w:rPr>
          <w:rFonts w:asciiTheme="majorBidi" w:hAnsiTheme="majorBidi" w:cstheme="majorBidi"/>
          <w:sz w:val="24"/>
          <w:szCs w:val="24"/>
          <w:highlight w:val="green"/>
        </w:rPr>
        <w:t xml:space="preserve"> a CV assay. The cell numbers are normalized against the control, which </w:t>
      </w:r>
      <w:r w:rsidR="00DE0124">
        <w:rPr>
          <w:rFonts w:asciiTheme="majorBidi" w:hAnsiTheme="majorBidi" w:cstheme="majorBidi"/>
          <w:sz w:val="24"/>
          <w:szCs w:val="24"/>
          <w:highlight w:val="green"/>
        </w:rPr>
        <w:t>consisted of</w:t>
      </w:r>
      <w:r w:rsidR="00DE0124" w:rsidRPr="00B05B61">
        <w:rPr>
          <w:rFonts w:asciiTheme="majorBidi" w:hAnsiTheme="majorBidi" w:cstheme="majorBidi"/>
          <w:sz w:val="24"/>
          <w:szCs w:val="24"/>
          <w:highlight w:val="green"/>
        </w:rPr>
        <w:t xml:space="preserve"> untreated cells.</w:t>
      </w:r>
      <w:r w:rsidR="00DE0124">
        <w:rPr>
          <w:rFonts w:asciiTheme="majorBidi" w:hAnsiTheme="majorBidi" w:cstheme="majorBidi"/>
          <w:sz w:val="24"/>
          <w:szCs w:val="24"/>
        </w:rPr>
        <w:t xml:space="preserve"> </w:t>
      </w:r>
      <w:r w:rsidR="000B2A98" w:rsidRPr="00B05B61">
        <w:rPr>
          <w:rFonts w:asciiTheme="majorBidi" w:hAnsiTheme="majorBidi" w:cstheme="majorBidi"/>
          <w:sz w:val="24"/>
          <w:szCs w:val="24"/>
          <w:highlight w:val="green"/>
        </w:rPr>
        <w:t xml:space="preserve">The error bars represent the </w:t>
      </w:r>
      <w:r w:rsidR="0037286E" w:rsidRPr="0037286E">
        <w:rPr>
          <w:rFonts w:asciiTheme="majorBidi" w:hAnsiTheme="majorBidi" w:cstheme="majorBidi"/>
          <w:sz w:val="24"/>
          <w:szCs w:val="24"/>
          <w:highlight w:val="green"/>
        </w:rPr>
        <w:t>standard error</w:t>
      </w:r>
      <w:r w:rsidR="000B2A98" w:rsidRPr="00B05B61">
        <w:rPr>
          <w:rFonts w:asciiTheme="majorBidi" w:hAnsiTheme="majorBidi" w:cstheme="majorBidi"/>
          <w:sz w:val="24"/>
          <w:szCs w:val="24"/>
          <w:highlight w:val="green"/>
        </w:rPr>
        <w:t>.</w:t>
      </w:r>
      <w:r w:rsidR="000B2A98" w:rsidRPr="0037286E">
        <w:rPr>
          <w:rFonts w:asciiTheme="majorBidi" w:hAnsiTheme="majorBidi" w:cstheme="majorBidi"/>
          <w:sz w:val="24"/>
          <w:szCs w:val="24"/>
          <w:highlight w:val="green"/>
        </w:rPr>
        <w:t xml:space="preserve"> </w:t>
      </w:r>
      <w:r w:rsidR="00DE0124" w:rsidRPr="0031138E">
        <w:rPr>
          <w:rFonts w:asciiTheme="majorBidi" w:hAnsiTheme="majorBidi" w:cstheme="majorBidi"/>
          <w:b/>
          <w:bCs/>
          <w:sz w:val="24"/>
          <w:szCs w:val="24"/>
          <w:highlight w:val="green"/>
        </w:rPr>
        <w:t>b</w:t>
      </w:r>
      <w:r w:rsidR="00DE0124" w:rsidRPr="004D7A51">
        <w:rPr>
          <w:rFonts w:asciiTheme="majorBidi" w:hAnsiTheme="majorBidi" w:cstheme="majorBidi"/>
          <w:b/>
          <w:bCs/>
          <w:sz w:val="24"/>
          <w:szCs w:val="24"/>
          <w:highlight w:val="green"/>
        </w:rPr>
        <w:t>.</w:t>
      </w:r>
      <w:r w:rsidR="0031138E" w:rsidRPr="004D7A51">
        <w:rPr>
          <w:rFonts w:asciiTheme="majorBidi" w:hAnsiTheme="majorBidi" w:cstheme="majorBidi"/>
          <w:sz w:val="24"/>
          <w:szCs w:val="24"/>
          <w:highlight w:val="green"/>
        </w:rPr>
        <w:t xml:space="preserve"> </w:t>
      </w:r>
      <w:r w:rsidR="00D327E3" w:rsidRPr="004D7A51">
        <w:rPr>
          <w:rFonts w:asciiTheme="majorBidi" w:hAnsiTheme="majorBidi" w:cstheme="majorBidi"/>
          <w:sz w:val="24"/>
          <w:szCs w:val="24"/>
          <w:highlight w:val="green"/>
        </w:rPr>
        <w:t>Western blot</w:t>
      </w:r>
      <w:r w:rsidR="0031138E" w:rsidRPr="004D7A51">
        <w:rPr>
          <w:rFonts w:asciiTheme="majorBidi" w:hAnsiTheme="majorBidi" w:cstheme="majorBidi"/>
          <w:sz w:val="24"/>
          <w:szCs w:val="24"/>
          <w:highlight w:val="green"/>
        </w:rPr>
        <w:t xml:space="preserve"> </w:t>
      </w:r>
      <w:r w:rsidR="00C60A33" w:rsidRPr="004D7A51">
        <w:rPr>
          <w:rFonts w:asciiTheme="majorBidi" w:hAnsiTheme="majorBidi" w:cstheme="majorBidi"/>
          <w:sz w:val="24"/>
          <w:szCs w:val="24"/>
          <w:highlight w:val="green"/>
        </w:rPr>
        <w:t xml:space="preserve">analysis for </w:t>
      </w:r>
      <w:r w:rsidR="009907B6" w:rsidRPr="004D7A51">
        <w:rPr>
          <w:rFonts w:asciiTheme="majorBidi" w:hAnsiTheme="majorBidi" w:cstheme="majorBidi"/>
          <w:sz w:val="24"/>
          <w:szCs w:val="24"/>
          <w:highlight w:val="green"/>
        </w:rPr>
        <w:t xml:space="preserve">ERK, p-ERK, AKT, and EGFR </w:t>
      </w:r>
      <w:r w:rsidR="00C60A33" w:rsidRPr="004D7A51">
        <w:rPr>
          <w:rFonts w:asciiTheme="majorBidi" w:hAnsiTheme="majorBidi" w:cstheme="majorBidi"/>
          <w:sz w:val="24"/>
          <w:szCs w:val="24"/>
          <w:highlight w:val="green"/>
        </w:rPr>
        <w:t>expression following 7</w:t>
      </w:r>
      <w:r w:rsidR="005C4C0C" w:rsidRPr="004D7A51">
        <w:rPr>
          <w:rFonts w:asciiTheme="majorBidi" w:hAnsiTheme="majorBidi" w:cstheme="majorBidi"/>
          <w:sz w:val="24"/>
          <w:szCs w:val="24"/>
          <w:highlight w:val="green"/>
        </w:rPr>
        <w:t>2</w:t>
      </w:r>
      <w:r w:rsidR="00C60A33" w:rsidRPr="004D7A51">
        <w:rPr>
          <w:rFonts w:asciiTheme="majorBidi" w:hAnsiTheme="majorBidi" w:cstheme="majorBidi"/>
          <w:sz w:val="24"/>
          <w:szCs w:val="24"/>
          <w:highlight w:val="green"/>
        </w:rPr>
        <w:t xml:space="preserve"> h of the</w:t>
      </w:r>
      <w:r w:rsidR="00C60A33" w:rsidRPr="00C60A33">
        <w:rPr>
          <w:rFonts w:asciiTheme="majorBidi" w:hAnsiTheme="majorBidi" w:cstheme="majorBidi"/>
          <w:sz w:val="24"/>
          <w:szCs w:val="24"/>
          <w:highlight w:val="green"/>
        </w:rPr>
        <w:t xml:space="preserve"> culture according to the </w:t>
      </w:r>
      <w:r w:rsidR="00C60A33">
        <w:rPr>
          <w:rFonts w:asciiTheme="majorBidi" w:hAnsiTheme="majorBidi" w:cstheme="majorBidi"/>
          <w:sz w:val="24"/>
          <w:szCs w:val="24"/>
          <w:highlight w:val="green"/>
        </w:rPr>
        <w:t>Zn wt%</w:t>
      </w:r>
      <w:r w:rsidR="00C60A33" w:rsidRPr="00C60A33">
        <w:rPr>
          <w:rFonts w:asciiTheme="majorBidi" w:hAnsiTheme="majorBidi" w:cstheme="majorBidi"/>
          <w:sz w:val="24"/>
          <w:szCs w:val="24"/>
          <w:highlight w:val="green"/>
        </w:rPr>
        <w:t xml:space="preserve"> </w:t>
      </w:r>
      <w:r w:rsidR="00C60A33">
        <w:rPr>
          <w:rFonts w:asciiTheme="majorBidi" w:hAnsiTheme="majorBidi" w:cstheme="majorBidi"/>
          <w:sz w:val="24"/>
          <w:szCs w:val="24"/>
          <w:highlight w:val="green"/>
        </w:rPr>
        <w:t>in the MC analogs</w:t>
      </w:r>
      <w:r w:rsidR="00C60A33" w:rsidRPr="00C60A33">
        <w:rPr>
          <w:rFonts w:asciiTheme="majorBidi" w:hAnsiTheme="majorBidi" w:cstheme="majorBidi"/>
          <w:sz w:val="24"/>
          <w:szCs w:val="24"/>
          <w:highlight w:val="green"/>
        </w:rPr>
        <w:t>.</w:t>
      </w:r>
      <w:r w:rsidR="00C60A33" w:rsidRPr="007E233C">
        <w:rPr>
          <w:rFonts w:asciiTheme="minorBidi" w:hAnsiTheme="minorBidi"/>
        </w:rPr>
        <w:t xml:space="preserve"> </w:t>
      </w:r>
      <w:r w:rsidR="00DE0124" w:rsidRPr="0031138E">
        <w:rPr>
          <w:rFonts w:asciiTheme="majorBidi" w:hAnsiTheme="majorBidi" w:cstheme="majorBidi"/>
          <w:sz w:val="24"/>
          <w:szCs w:val="24"/>
          <w:highlight w:val="green"/>
        </w:rPr>
        <w:t xml:space="preserve"> </w:t>
      </w:r>
      <w:r w:rsidR="0031138E" w:rsidRPr="0031138E">
        <w:rPr>
          <w:rFonts w:asciiTheme="majorBidi" w:hAnsiTheme="majorBidi" w:cstheme="majorBidi"/>
          <w:b/>
          <w:bCs/>
          <w:sz w:val="24"/>
          <w:szCs w:val="24"/>
          <w:highlight w:val="green"/>
        </w:rPr>
        <w:t>c.</w:t>
      </w:r>
      <w:r w:rsidR="0031138E" w:rsidRPr="0031138E">
        <w:rPr>
          <w:rFonts w:asciiTheme="majorBidi" w:hAnsiTheme="majorBidi" w:cstheme="majorBidi"/>
          <w:sz w:val="24"/>
          <w:szCs w:val="24"/>
          <w:highlight w:val="green"/>
        </w:rPr>
        <w:t xml:space="preserve"> </w:t>
      </w:r>
      <w:r>
        <w:rPr>
          <w:rFonts w:asciiTheme="majorBidi" w:hAnsiTheme="majorBidi" w:cstheme="majorBidi"/>
          <w:sz w:val="24"/>
          <w:szCs w:val="24"/>
          <w:highlight w:val="green"/>
        </w:rPr>
        <w:t>L</w:t>
      </w:r>
      <w:r w:rsidRPr="00B05B61">
        <w:rPr>
          <w:rFonts w:asciiTheme="majorBidi" w:hAnsiTheme="majorBidi" w:cstheme="majorBidi"/>
          <w:sz w:val="24"/>
          <w:szCs w:val="24"/>
          <w:highlight w:val="green"/>
        </w:rPr>
        <w:t xml:space="preserve">ight microscopy images of MDA-T32 thyroid cancer cells </w:t>
      </w:r>
      <w:r>
        <w:rPr>
          <w:rFonts w:asciiTheme="majorBidi" w:hAnsiTheme="majorBidi" w:cstheme="majorBidi"/>
          <w:sz w:val="24"/>
          <w:szCs w:val="24"/>
          <w:highlight w:val="green"/>
        </w:rPr>
        <w:t xml:space="preserve">in the presence of MC analogs </w:t>
      </w:r>
      <w:r w:rsidR="00B04952">
        <w:rPr>
          <w:rFonts w:asciiTheme="majorBidi" w:hAnsiTheme="majorBidi" w:cstheme="majorBidi"/>
          <w:sz w:val="24"/>
          <w:szCs w:val="24"/>
          <w:highlight w:val="green"/>
        </w:rPr>
        <w:t xml:space="preserve">with varying Zn fractions </w:t>
      </w:r>
      <w:r>
        <w:rPr>
          <w:rFonts w:asciiTheme="majorBidi" w:hAnsiTheme="majorBidi" w:cstheme="majorBidi"/>
          <w:sz w:val="24"/>
          <w:szCs w:val="24"/>
          <w:highlight w:val="green"/>
        </w:rPr>
        <w:t xml:space="preserve">under </w:t>
      </w:r>
      <w:r w:rsidR="008636E4">
        <w:rPr>
          <w:rFonts w:asciiTheme="majorBidi" w:hAnsiTheme="majorBidi" w:cstheme="majorBidi"/>
          <w:sz w:val="24"/>
          <w:szCs w:val="24"/>
          <w:highlight w:val="green"/>
        </w:rPr>
        <w:t xml:space="preserve">low-adherence </w:t>
      </w:r>
      <w:r>
        <w:rPr>
          <w:rFonts w:asciiTheme="majorBidi" w:hAnsiTheme="majorBidi" w:cstheme="majorBidi"/>
          <w:sz w:val="24"/>
          <w:szCs w:val="24"/>
          <w:highlight w:val="green"/>
        </w:rPr>
        <w:t>conditions on days 1 and 5 of incubation</w:t>
      </w:r>
      <w:r w:rsidRPr="00B05B61">
        <w:rPr>
          <w:rFonts w:asciiTheme="majorBidi" w:hAnsiTheme="majorBidi" w:cstheme="majorBidi"/>
          <w:sz w:val="24"/>
          <w:szCs w:val="24"/>
          <w:highlight w:val="green"/>
        </w:rPr>
        <w:t xml:space="preserve">. </w:t>
      </w:r>
    </w:p>
    <w:p w14:paraId="19571833" w14:textId="151B742E" w:rsidR="009D7955" w:rsidRPr="00B05B61" w:rsidRDefault="009D7955" w:rsidP="009D7955">
      <w:pPr>
        <w:spacing w:after="0" w:line="360" w:lineRule="auto"/>
        <w:rPr>
          <w:rFonts w:asciiTheme="majorBidi" w:hAnsiTheme="majorBidi" w:cstheme="majorBidi"/>
          <w:sz w:val="24"/>
          <w:szCs w:val="24"/>
        </w:rPr>
      </w:pPr>
      <w:r w:rsidRPr="00B05B61">
        <w:rPr>
          <w:rFonts w:asciiTheme="majorBidi" w:hAnsiTheme="majorBidi" w:cstheme="majorBidi"/>
          <w:b/>
          <w:bCs/>
          <w:sz w:val="24"/>
          <w:szCs w:val="24"/>
          <w:highlight w:val="green"/>
        </w:rPr>
        <w:lastRenderedPageBreak/>
        <w:t>Table 4.</w:t>
      </w:r>
      <w:r w:rsidRPr="00B05B61">
        <w:rPr>
          <w:rFonts w:asciiTheme="majorBidi" w:hAnsiTheme="majorBidi" w:cstheme="majorBidi"/>
          <w:sz w:val="24"/>
          <w:szCs w:val="24"/>
          <w:highlight w:val="green"/>
        </w:rPr>
        <w:t xml:space="preserve"> The </w:t>
      </w:r>
      <w:r>
        <w:rPr>
          <w:rFonts w:asciiTheme="majorBidi" w:hAnsiTheme="majorBidi" w:cstheme="majorBidi"/>
          <w:sz w:val="24"/>
          <w:szCs w:val="24"/>
          <w:highlight w:val="green"/>
        </w:rPr>
        <w:t xml:space="preserve">diameters of the multicellular spheroids formed in the presence of MC analogs with various Zn fractions on </w:t>
      </w:r>
      <w:r w:rsidRPr="00B05B61">
        <w:rPr>
          <w:rFonts w:asciiTheme="majorBidi" w:hAnsiTheme="majorBidi" w:cstheme="majorBidi"/>
          <w:sz w:val="24"/>
          <w:szCs w:val="24"/>
          <w:highlight w:val="green"/>
        </w:rPr>
        <w:t>days 1 and 5</w:t>
      </w:r>
      <w:r>
        <w:rPr>
          <w:rFonts w:asciiTheme="majorBidi" w:hAnsiTheme="majorBidi" w:cstheme="majorBidi"/>
          <w:sz w:val="24"/>
          <w:szCs w:val="24"/>
          <w:highlight w:val="green"/>
        </w:rPr>
        <w:t xml:space="preserve"> of the incubation</w:t>
      </w:r>
      <w:r w:rsidRPr="00B05B61">
        <w:rPr>
          <w:rFonts w:asciiTheme="majorBidi" w:hAnsiTheme="majorBidi" w:cstheme="majorBidi"/>
          <w:sz w:val="24"/>
          <w:szCs w:val="24"/>
          <w:highlight w:val="green"/>
        </w:rPr>
        <w:t xml:space="preserve">. </w:t>
      </w:r>
      <w:r>
        <w:rPr>
          <w:rFonts w:asciiTheme="majorBidi" w:hAnsiTheme="majorBidi" w:cstheme="majorBidi"/>
          <w:sz w:val="24"/>
          <w:szCs w:val="24"/>
          <w:highlight w:val="green"/>
        </w:rPr>
        <w:t xml:space="preserve">The control is cells that were seeded without the presence of MC analogs. </w:t>
      </w:r>
      <w:r w:rsidRPr="00B05B61">
        <w:rPr>
          <w:rFonts w:asciiTheme="majorBidi" w:hAnsiTheme="majorBidi" w:cstheme="majorBidi"/>
          <w:sz w:val="24"/>
          <w:szCs w:val="24"/>
          <w:highlight w:val="green"/>
        </w:rPr>
        <w:t>The error</w:t>
      </w:r>
      <w:r>
        <w:rPr>
          <w:rFonts w:asciiTheme="majorBidi" w:hAnsiTheme="majorBidi" w:cstheme="majorBidi"/>
          <w:sz w:val="24"/>
          <w:szCs w:val="24"/>
          <w:highlight w:val="green"/>
        </w:rPr>
        <w:t xml:space="preserve">s </w:t>
      </w:r>
      <w:r w:rsidRPr="00B05B61">
        <w:rPr>
          <w:rFonts w:asciiTheme="majorBidi" w:hAnsiTheme="majorBidi" w:cstheme="majorBidi"/>
          <w:sz w:val="24"/>
          <w:szCs w:val="24"/>
          <w:highlight w:val="green"/>
        </w:rPr>
        <w:t>represent the standard deviation.</w:t>
      </w:r>
    </w:p>
    <w:tbl>
      <w:tblPr>
        <w:tblW w:w="5089" w:type="dxa"/>
        <w:jc w:val="center"/>
        <w:tblCellMar>
          <w:left w:w="0" w:type="dxa"/>
          <w:right w:w="0" w:type="dxa"/>
        </w:tblCellMar>
        <w:tblLook w:val="04A0" w:firstRow="1" w:lastRow="0" w:firstColumn="1" w:lastColumn="0" w:noHBand="0" w:noVBand="1"/>
      </w:tblPr>
      <w:tblGrid>
        <w:gridCol w:w="1415"/>
        <w:gridCol w:w="1878"/>
        <w:gridCol w:w="1796"/>
      </w:tblGrid>
      <w:tr w:rsidR="00403D63" w:rsidRPr="004F0361" w14:paraId="66D694BD" w14:textId="77777777" w:rsidTr="0013375F">
        <w:trPr>
          <w:trHeight w:val="1136"/>
          <w:jc w:val="center"/>
        </w:trPr>
        <w:tc>
          <w:tcPr>
            <w:tcW w:w="1415"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B656024" w14:textId="6218B0B0" w:rsidR="00403D63" w:rsidRPr="00732866" w:rsidRDefault="00403D63" w:rsidP="005F2D94">
            <w:pPr>
              <w:spacing w:after="0" w:line="360" w:lineRule="auto"/>
              <w:jc w:val="center"/>
              <w:rPr>
                <w:rFonts w:asciiTheme="majorBidi" w:hAnsiTheme="majorBidi" w:cstheme="majorBidi"/>
                <w:b/>
                <w:bCs/>
              </w:rPr>
            </w:pPr>
            <w:r w:rsidRPr="00732866">
              <w:rPr>
                <w:rFonts w:asciiTheme="majorBidi" w:hAnsiTheme="majorBidi" w:cstheme="majorBidi"/>
                <w:b/>
                <w:bCs/>
              </w:rPr>
              <w:t>Zn fraction</w:t>
            </w:r>
            <w:r w:rsidR="0028692E">
              <w:rPr>
                <w:rFonts w:asciiTheme="majorBidi" w:hAnsiTheme="majorBidi" w:cstheme="majorBidi"/>
                <w:b/>
                <w:bCs/>
              </w:rPr>
              <w:t xml:space="preserve"> in MC analogs</w:t>
            </w:r>
            <w:r w:rsidRPr="00732866">
              <w:rPr>
                <w:rFonts w:asciiTheme="majorBidi" w:hAnsiTheme="majorBidi" w:cstheme="majorBidi"/>
                <w:b/>
                <w:bCs/>
              </w:rPr>
              <w:t xml:space="preserve"> </w:t>
            </w:r>
          </w:p>
        </w:tc>
        <w:tc>
          <w:tcPr>
            <w:tcW w:w="187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B261673" w14:textId="72A326AE" w:rsidR="00403D63" w:rsidRPr="00732866" w:rsidRDefault="00403D63" w:rsidP="00AB3F9D">
            <w:pPr>
              <w:spacing w:after="0" w:line="360" w:lineRule="auto"/>
              <w:jc w:val="center"/>
              <w:rPr>
                <w:rFonts w:asciiTheme="majorBidi" w:hAnsiTheme="majorBidi" w:cstheme="majorBidi"/>
                <w:b/>
                <w:bCs/>
              </w:rPr>
            </w:pPr>
            <w:r>
              <w:rPr>
                <w:rFonts w:asciiTheme="majorBidi" w:hAnsiTheme="majorBidi" w:cstheme="majorBidi"/>
                <w:b/>
                <w:bCs/>
              </w:rPr>
              <w:t>Average diameter</w:t>
            </w:r>
            <w:r w:rsidR="0013375F">
              <w:rPr>
                <w:rFonts w:asciiTheme="majorBidi" w:hAnsiTheme="majorBidi" w:cstheme="majorBidi"/>
                <w:b/>
                <w:bCs/>
              </w:rPr>
              <w:t>,</w:t>
            </w:r>
            <w:r>
              <w:rPr>
                <w:rFonts w:asciiTheme="majorBidi" w:hAnsiTheme="majorBidi" w:cstheme="majorBidi"/>
                <w:b/>
                <w:bCs/>
              </w:rPr>
              <w:t xml:space="preserve"> day 1</w:t>
            </w:r>
            <w:r w:rsidRPr="00732866">
              <w:rPr>
                <w:rFonts w:asciiTheme="majorBidi" w:hAnsiTheme="majorBidi" w:cstheme="majorBidi"/>
                <w:b/>
                <w:bCs/>
              </w:rPr>
              <w:t xml:space="preserve"> (</w:t>
            </w:r>
            <m:oMath>
              <m:r>
                <m:rPr>
                  <m:sty m:val="bi"/>
                </m:rPr>
                <w:rPr>
                  <w:rFonts w:ascii="Cambria Math" w:hAnsi="Cambria Math" w:cstheme="majorBidi"/>
                </w:rPr>
                <m:t>μm</m:t>
              </m:r>
            </m:oMath>
            <w:r>
              <w:rPr>
                <w:rFonts w:asciiTheme="majorBidi" w:eastAsiaTheme="minorEastAsia" w:hAnsiTheme="majorBidi" w:cstheme="majorBidi"/>
                <w:b/>
              </w:rPr>
              <w:t>)</w:t>
            </w:r>
          </w:p>
        </w:tc>
        <w:tc>
          <w:tcPr>
            <w:tcW w:w="1796" w:type="dxa"/>
            <w:tcBorders>
              <w:top w:val="single" w:sz="8" w:space="0" w:color="000000"/>
              <w:left w:val="nil"/>
              <w:bottom w:val="single" w:sz="8" w:space="0" w:color="000000"/>
              <w:right w:val="nil"/>
            </w:tcBorders>
            <w:vAlign w:val="center"/>
          </w:tcPr>
          <w:p w14:paraId="3F381DA8" w14:textId="780FD45F" w:rsidR="00403D63" w:rsidRDefault="00403D63" w:rsidP="00AB3F9D">
            <w:pPr>
              <w:spacing w:after="0" w:line="360" w:lineRule="auto"/>
              <w:jc w:val="center"/>
              <w:rPr>
                <w:rFonts w:asciiTheme="majorBidi" w:hAnsiTheme="majorBidi" w:cstheme="majorBidi"/>
                <w:b/>
                <w:bCs/>
              </w:rPr>
            </w:pPr>
            <w:r>
              <w:rPr>
                <w:rFonts w:asciiTheme="majorBidi" w:hAnsiTheme="majorBidi" w:cstheme="majorBidi"/>
                <w:b/>
                <w:bCs/>
              </w:rPr>
              <w:t>Average diameter</w:t>
            </w:r>
            <w:r w:rsidR="0013375F">
              <w:rPr>
                <w:rFonts w:asciiTheme="majorBidi" w:hAnsiTheme="majorBidi" w:cstheme="majorBidi"/>
                <w:b/>
                <w:bCs/>
              </w:rPr>
              <w:t>,</w:t>
            </w:r>
            <w:r>
              <w:rPr>
                <w:rFonts w:asciiTheme="majorBidi" w:hAnsiTheme="majorBidi" w:cstheme="majorBidi"/>
                <w:b/>
                <w:bCs/>
              </w:rPr>
              <w:t xml:space="preserve"> day 5</w:t>
            </w:r>
            <w:r w:rsidRPr="00732866">
              <w:rPr>
                <w:rFonts w:asciiTheme="majorBidi" w:hAnsiTheme="majorBidi" w:cstheme="majorBidi"/>
                <w:b/>
                <w:bCs/>
              </w:rPr>
              <w:t xml:space="preserve"> (</w:t>
            </w:r>
            <m:oMath>
              <m:r>
                <m:rPr>
                  <m:sty m:val="bi"/>
                </m:rPr>
                <w:rPr>
                  <w:rFonts w:ascii="Cambria Math" w:hAnsi="Cambria Math" w:cstheme="majorBidi"/>
                </w:rPr>
                <m:t>μm</m:t>
              </m:r>
            </m:oMath>
            <w:r>
              <w:rPr>
                <w:rFonts w:asciiTheme="majorBidi" w:eastAsiaTheme="minorEastAsia" w:hAnsiTheme="majorBidi" w:cstheme="majorBidi"/>
                <w:b/>
              </w:rPr>
              <w:t>)</w:t>
            </w:r>
          </w:p>
        </w:tc>
      </w:tr>
      <w:tr w:rsidR="00403D63" w:rsidRPr="004F0361" w14:paraId="6B992BBD" w14:textId="77777777" w:rsidTr="0013375F">
        <w:trPr>
          <w:trHeight w:val="382"/>
          <w:jc w:val="center"/>
        </w:trPr>
        <w:tc>
          <w:tcPr>
            <w:tcW w:w="1415"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1150747" w14:textId="319C44E1" w:rsidR="00403D63" w:rsidRPr="00732866" w:rsidRDefault="0028692E" w:rsidP="00AB3F9D">
            <w:pPr>
              <w:spacing w:after="0" w:line="360" w:lineRule="auto"/>
              <w:jc w:val="center"/>
              <w:rPr>
                <w:rFonts w:asciiTheme="majorBidi" w:hAnsiTheme="majorBidi" w:cstheme="majorBidi"/>
                <w:b/>
                <w:bCs/>
              </w:rPr>
            </w:pPr>
            <w:r>
              <w:rPr>
                <w:rFonts w:asciiTheme="majorBidi" w:hAnsiTheme="majorBidi" w:cstheme="majorBidi"/>
                <w:b/>
                <w:bCs/>
              </w:rPr>
              <w:t>Control</w:t>
            </w:r>
          </w:p>
        </w:tc>
        <w:tc>
          <w:tcPr>
            <w:tcW w:w="1878"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2EC508DC"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320 ± 20</w:t>
            </w:r>
          </w:p>
        </w:tc>
        <w:tc>
          <w:tcPr>
            <w:tcW w:w="1796" w:type="dxa"/>
            <w:tcBorders>
              <w:top w:val="single" w:sz="8" w:space="0" w:color="000000"/>
              <w:left w:val="nil"/>
              <w:bottom w:val="nil"/>
              <w:right w:val="nil"/>
            </w:tcBorders>
          </w:tcPr>
          <w:p w14:paraId="57F1A022"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210 ± 9</w:t>
            </w:r>
          </w:p>
        </w:tc>
      </w:tr>
      <w:tr w:rsidR="00403D63" w:rsidRPr="004F0361" w14:paraId="47C60A4A" w14:textId="77777777" w:rsidTr="0013375F">
        <w:trPr>
          <w:trHeight w:val="148"/>
          <w:jc w:val="center"/>
        </w:trPr>
        <w:tc>
          <w:tcPr>
            <w:tcW w:w="1415" w:type="dxa"/>
            <w:tcBorders>
              <w:top w:val="nil"/>
              <w:left w:val="nil"/>
              <w:bottom w:val="nil"/>
              <w:right w:val="nil"/>
            </w:tcBorders>
            <w:shd w:val="clear" w:color="auto" w:fill="auto"/>
            <w:tcMar>
              <w:top w:w="15" w:type="dxa"/>
              <w:left w:w="15" w:type="dxa"/>
              <w:bottom w:w="0" w:type="dxa"/>
              <w:right w:w="15" w:type="dxa"/>
            </w:tcMar>
            <w:vAlign w:val="center"/>
          </w:tcPr>
          <w:p w14:paraId="6E2FE75F" w14:textId="55BE5C5F" w:rsidR="00403D63" w:rsidRPr="00732866" w:rsidRDefault="00403D63" w:rsidP="00AB3F9D">
            <w:pPr>
              <w:spacing w:after="0" w:line="360" w:lineRule="auto"/>
              <w:jc w:val="center"/>
              <w:rPr>
                <w:rFonts w:asciiTheme="majorBidi" w:hAnsiTheme="majorBidi" w:cstheme="majorBidi"/>
                <w:b/>
                <w:bCs/>
              </w:rPr>
            </w:pPr>
            <w:r w:rsidRPr="00732866">
              <w:rPr>
                <w:rFonts w:asciiTheme="majorBidi" w:hAnsiTheme="majorBidi" w:cstheme="majorBidi"/>
                <w:b/>
                <w:bCs/>
              </w:rPr>
              <w:t>0</w:t>
            </w:r>
            <w:r w:rsidR="005F2D94">
              <w:rPr>
                <w:rFonts w:asciiTheme="majorBidi" w:hAnsiTheme="majorBidi" w:cstheme="majorBidi"/>
                <w:b/>
                <w:bCs/>
              </w:rPr>
              <w:t xml:space="preserve"> </w:t>
            </w:r>
            <w:r w:rsidR="005F2D94" w:rsidRPr="00732866">
              <w:rPr>
                <w:rFonts w:asciiTheme="majorBidi" w:hAnsiTheme="majorBidi" w:cstheme="majorBidi"/>
                <w:b/>
                <w:bCs/>
              </w:rPr>
              <w:t>wt%</w:t>
            </w:r>
          </w:p>
        </w:tc>
        <w:tc>
          <w:tcPr>
            <w:tcW w:w="1878" w:type="dxa"/>
            <w:tcBorders>
              <w:top w:val="nil"/>
              <w:left w:val="nil"/>
              <w:bottom w:val="nil"/>
              <w:right w:val="nil"/>
            </w:tcBorders>
            <w:shd w:val="clear" w:color="auto" w:fill="auto"/>
            <w:tcMar>
              <w:top w:w="15" w:type="dxa"/>
              <w:left w:w="15" w:type="dxa"/>
              <w:bottom w:w="0" w:type="dxa"/>
              <w:right w:w="15" w:type="dxa"/>
            </w:tcMar>
            <w:vAlign w:val="center"/>
          </w:tcPr>
          <w:p w14:paraId="3ECC0F23"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280 ± 10</w:t>
            </w:r>
          </w:p>
        </w:tc>
        <w:tc>
          <w:tcPr>
            <w:tcW w:w="1796" w:type="dxa"/>
            <w:tcBorders>
              <w:top w:val="nil"/>
              <w:left w:val="nil"/>
              <w:bottom w:val="nil"/>
              <w:right w:val="nil"/>
            </w:tcBorders>
          </w:tcPr>
          <w:p w14:paraId="356D93A6"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204 ± 8</w:t>
            </w:r>
          </w:p>
        </w:tc>
      </w:tr>
      <w:tr w:rsidR="00403D63" w:rsidRPr="004F0361" w14:paraId="39EAA95D" w14:textId="77777777" w:rsidTr="0013375F">
        <w:trPr>
          <w:trHeight w:val="148"/>
          <w:jc w:val="center"/>
        </w:trPr>
        <w:tc>
          <w:tcPr>
            <w:tcW w:w="1415" w:type="dxa"/>
            <w:tcBorders>
              <w:top w:val="nil"/>
              <w:left w:val="nil"/>
              <w:bottom w:val="nil"/>
              <w:right w:val="nil"/>
            </w:tcBorders>
            <w:shd w:val="clear" w:color="auto" w:fill="auto"/>
            <w:tcMar>
              <w:top w:w="15" w:type="dxa"/>
              <w:left w:w="15" w:type="dxa"/>
              <w:bottom w:w="0" w:type="dxa"/>
              <w:right w:w="15" w:type="dxa"/>
            </w:tcMar>
            <w:vAlign w:val="center"/>
            <w:hideMark/>
          </w:tcPr>
          <w:p w14:paraId="1385A190" w14:textId="6ACEF01D" w:rsidR="00403D63" w:rsidRPr="00732866" w:rsidRDefault="00403D63" w:rsidP="00AB3F9D">
            <w:pPr>
              <w:spacing w:after="0" w:line="360" w:lineRule="auto"/>
              <w:jc w:val="center"/>
              <w:rPr>
                <w:rFonts w:asciiTheme="majorBidi" w:hAnsiTheme="majorBidi" w:cstheme="majorBidi"/>
                <w:b/>
                <w:bCs/>
              </w:rPr>
            </w:pPr>
            <w:r w:rsidRPr="00732866">
              <w:rPr>
                <w:rFonts w:asciiTheme="majorBidi" w:hAnsiTheme="majorBidi" w:cstheme="majorBidi"/>
                <w:b/>
                <w:bCs/>
              </w:rPr>
              <w:t>0.74</w:t>
            </w:r>
            <w:r w:rsidR="005F2D94">
              <w:rPr>
                <w:rFonts w:asciiTheme="majorBidi" w:hAnsiTheme="majorBidi" w:cstheme="majorBidi"/>
                <w:b/>
                <w:bCs/>
              </w:rPr>
              <w:t xml:space="preserve"> </w:t>
            </w:r>
            <w:r w:rsidR="005F2D94" w:rsidRPr="00732866">
              <w:rPr>
                <w:rFonts w:asciiTheme="majorBidi" w:hAnsiTheme="majorBidi" w:cstheme="majorBidi"/>
                <w:b/>
                <w:bCs/>
              </w:rPr>
              <w:t>wt%</w:t>
            </w:r>
          </w:p>
        </w:tc>
        <w:tc>
          <w:tcPr>
            <w:tcW w:w="1878" w:type="dxa"/>
            <w:tcBorders>
              <w:top w:val="nil"/>
              <w:left w:val="nil"/>
              <w:bottom w:val="nil"/>
              <w:right w:val="nil"/>
            </w:tcBorders>
            <w:shd w:val="clear" w:color="auto" w:fill="auto"/>
            <w:tcMar>
              <w:top w:w="15" w:type="dxa"/>
              <w:left w:w="15" w:type="dxa"/>
              <w:bottom w:w="0" w:type="dxa"/>
              <w:right w:w="15" w:type="dxa"/>
            </w:tcMar>
            <w:vAlign w:val="center"/>
          </w:tcPr>
          <w:p w14:paraId="0893BB47"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290 ± 20</w:t>
            </w:r>
          </w:p>
        </w:tc>
        <w:tc>
          <w:tcPr>
            <w:tcW w:w="1796" w:type="dxa"/>
            <w:tcBorders>
              <w:top w:val="nil"/>
              <w:left w:val="nil"/>
              <w:bottom w:val="nil"/>
              <w:right w:val="nil"/>
            </w:tcBorders>
          </w:tcPr>
          <w:p w14:paraId="26843B7B"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220 ± 10</w:t>
            </w:r>
          </w:p>
        </w:tc>
      </w:tr>
      <w:tr w:rsidR="00403D63" w:rsidRPr="004F0361" w14:paraId="37CC0C5B" w14:textId="77777777" w:rsidTr="0013375F">
        <w:trPr>
          <w:trHeight w:val="382"/>
          <w:jc w:val="center"/>
        </w:trPr>
        <w:tc>
          <w:tcPr>
            <w:tcW w:w="1415" w:type="dxa"/>
            <w:tcBorders>
              <w:top w:val="nil"/>
              <w:left w:val="nil"/>
              <w:bottom w:val="nil"/>
              <w:right w:val="nil"/>
            </w:tcBorders>
            <w:shd w:val="clear" w:color="auto" w:fill="auto"/>
            <w:tcMar>
              <w:top w:w="15" w:type="dxa"/>
              <w:left w:w="15" w:type="dxa"/>
              <w:bottom w:w="0" w:type="dxa"/>
              <w:right w:w="15" w:type="dxa"/>
            </w:tcMar>
            <w:vAlign w:val="center"/>
            <w:hideMark/>
          </w:tcPr>
          <w:p w14:paraId="7A7019CA" w14:textId="31F228BA" w:rsidR="00403D63" w:rsidRPr="00732866" w:rsidRDefault="00403D63" w:rsidP="00AB3F9D">
            <w:pPr>
              <w:spacing w:after="0" w:line="360" w:lineRule="auto"/>
              <w:jc w:val="center"/>
              <w:rPr>
                <w:rFonts w:asciiTheme="majorBidi" w:hAnsiTheme="majorBidi" w:cstheme="majorBidi"/>
                <w:b/>
                <w:bCs/>
              </w:rPr>
            </w:pPr>
            <w:r w:rsidRPr="00732866">
              <w:rPr>
                <w:rFonts w:asciiTheme="majorBidi" w:hAnsiTheme="majorBidi" w:cstheme="majorBidi"/>
                <w:b/>
                <w:bCs/>
              </w:rPr>
              <w:t>1.2</w:t>
            </w:r>
            <w:r w:rsidR="005F2D94">
              <w:rPr>
                <w:rFonts w:asciiTheme="majorBidi" w:hAnsiTheme="majorBidi" w:cstheme="majorBidi"/>
                <w:b/>
                <w:bCs/>
              </w:rPr>
              <w:t xml:space="preserve"> </w:t>
            </w:r>
            <w:r w:rsidR="005F2D94" w:rsidRPr="00732866">
              <w:rPr>
                <w:rFonts w:asciiTheme="majorBidi" w:hAnsiTheme="majorBidi" w:cstheme="majorBidi"/>
                <w:b/>
                <w:bCs/>
              </w:rPr>
              <w:t>wt%</w:t>
            </w:r>
          </w:p>
        </w:tc>
        <w:tc>
          <w:tcPr>
            <w:tcW w:w="1878" w:type="dxa"/>
            <w:tcBorders>
              <w:top w:val="nil"/>
              <w:left w:val="nil"/>
              <w:bottom w:val="nil"/>
              <w:right w:val="nil"/>
            </w:tcBorders>
            <w:shd w:val="clear" w:color="auto" w:fill="auto"/>
            <w:tcMar>
              <w:top w:w="15" w:type="dxa"/>
              <w:left w:w="15" w:type="dxa"/>
              <w:bottom w:w="0" w:type="dxa"/>
              <w:right w:w="15" w:type="dxa"/>
            </w:tcMar>
            <w:vAlign w:val="center"/>
          </w:tcPr>
          <w:p w14:paraId="399A65C0"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280 ± 20</w:t>
            </w:r>
          </w:p>
        </w:tc>
        <w:tc>
          <w:tcPr>
            <w:tcW w:w="1796" w:type="dxa"/>
            <w:tcBorders>
              <w:top w:val="nil"/>
              <w:left w:val="nil"/>
              <w:bottom w:val="nil"/>
              <w:right w:val="nil"/>
            </w:tcBorders>
          </w:tcPr>
          <w:p w14:paraId="733E4AE4"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210 ± 20</w:t>
            </w:r>
          </w:p>
        </w:tc>
      </w:tr>
      <w:tr w:rsidR="00403D63" w:rsidRPr="004F0361" w14:paraId="771A3850" w14:textId="77777777" w:rsidTr="0013375F">
        <w:trPr>
          <w:trHeight w:val="382"/>
          <w:jc w:val="center"/>
        </w:trPr>
        <w:tc>
          <w:tcPr>
            <w:tcW w:w="1415" w:type="dxa"/>
            <w:tcBorders>
              <w:top w:val="nil"/>
              <w:left w:val="nil"/>
              <w:bottom w:val="nil"/>
              <w:right w:val="nil"/>
            </w:tcBorders>
            <w:shd w:val="clear" w:color="auto" w:fill="auto"/>
            <w:tcMar>
              <w:top w:w="15" w:type="dxa"/>
              <w:left w:w="15" w:type="dxa"/>
              <w:bottom w:w="0" w:type="dxa"/>
              <w:right w:w="15" w:type="dxa"/>
            </w:tcMar>
            <w:vAlign w:val="center"/>
            <w:hideMark/>
          </w:tcPr>
          <w:p w14:paraId="2A02DEE5" w14:textId="5BEA4099" w:rsidR="00403D63" w:rsidRPr="00732866" w:rsidRDefault="00403D63" w:rsidP="00AB3F9D">
            <w:pPr>
              <w:spacing w:after="0" w:line="360" w:lineRule="auto"/>
              <w:jc w:val="center"/>
              <w:rPr>
                <w:rFonts w:asciiTheme="majorBidi" w:hAnsiTheme="majorBidi" w:cstheme="majorBidi"/>
                <w:b/>
                <w:bCs/>
              </w:rPr>
            </w:pPr>
            <w:r w:rsidRPr="00732866">
              <w:rPr>
                <w:rFonts w:asciiTheme="majorBidi" w:hAnsiTheme="majorBidi" w:cstheme="majorBidi"/>
                <w:b/>
                <w:bCs/>
              </w:rPr>
              <w:t>2.6</w:t>
            </w:r>
            <w:r w:rsidR="005F2D94">
              <w:rPr>
                <w:rFonts w:asciiTheme="majorBidi" w:hAnsiTheme="majorBidi" w:cstheme="majorBidi"/>
                <w:b/>
                <w:bCs/>
              </w:rPr>
              <w:t xml:space="preserve"> </w:t>
            </w:r>
            <w:r w:rsidR="005F2D94" w:rsidRPr="00732866">
              <w:rPr>
                <w:rFonts w:asciiTheme="majorBidi" w:hAnsiTheme="majorBidi" w:cstheme="majorBidi"/>
                <w:b/>
                <w:bCs/>
              </w:rPr>
              <w:t>wt%</w:t>
            </w:r>
          </w:p>
        </w:tc>
        <w:tc>
          <w:tcPr>
            <w:tcW w:w="1878" w:type="dxa"/>
            <w:tcBorders>
              <w:top w:val="nil"/>
              <w:left w:val="nil"/>
              <w:bottom w:val="nil"/>
              <w:right w:val="nil"/>
            </w:tcBorders>
            <w:shd w:val="clear" w:color="auto" w:fill="auto"/>
            <w:tcMar>
              <w:top w:w="15" w:type="dxa"/>
              <w:left w:w="15" w:type="dxa"/>
              <w:bottom w:w="0" w:type="dxa"/>
              <w:right w:w="15" w:type="dxa"/>
            </w:tcMar>
            <w:vAlign w:val="center"/>
          </w:tcPr>
          <w:p w14:paraId="4B2DB6E1"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w:t>
            </w:r>
          </w:p>
        </w:tc>
        <w:tc>
          <w:tcPr>
            <w:tcW w:w="1796" w:type="dxa"/>
            <w:tcBorders>
              <w:top w:val="nil"/>
              <w:left w:val="nil"/>
              <w:bottom w:val="nil"/>
              <w:right w:val="nil"/>
            </w:tcBorders>
          </w:tcPr>
          <w:p w14:paraId="33CDBEB7"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w:t>
            </w:r>
          </w:p>
        </w:tc>
      </w:tr>
      <w:tr w:rsidR="00403D63" w:rsidRPr="004F0361" w14:paraId="59476603" w14:textId="77777777" w:rsidTr="0013375F">
        <w:trPr>
          <w:trHeight w:val="382"/>
          <w:jc w:val="center"/>
        </w:trPr>
        <w:tc>
          <w:tcPr>
            <w:tcW w:w="1415"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3EF39FE" w14:textId="25B54AAC" w:rsidR="00403D63" w:rsidRPr="00732866" w:rsidRDefault="00403D63" w:rsidP="00AB3F9D">
            <w:pPr>
              <w:spacing w:after="0" w:line="360" w:lineRule="auto"/>
              <w:jc w:val="center"/>
              <w:rPr>
                <w:rFonts w:asciiTheme="majorBidi" w:hAnsiTheme="majorBidi" w:cstheme="majorBidi"/>
                <w:b/>
                <w:bCs/>
              </w:rPr>
            </w:pPr>
            <w:r w:rsidRPr="00732866">
              <w:rPr>
                <w:rFonts w:asciiTheme="majorBidi" w:hAnsiTheme="majorBidi" w:cstheme="majorBidi"/>
                <w:b/>
                <w:bCs/>
              </w:rPr>
              <w:t>5.2</w:t>
            </w:r>
            <w:r w:rsidR="005F2D94">
              <w:rPr>
                <w:rFonts w:asciiTheme="majorBidi" w:hAnsiTheme="majorBidi" w:cstheme="majorBidi"/>
                <w:b/>
                <w:bCs/>
              </w:rPr>
              <w:t xml:space="preserve"> </w:t>
            </w:r>
            <w:r w:rsidR="005F2D94" w:rsidRPr="00732866">
              <w:rPr>
                <w:rFonts w:asciiTheme="majorBidi" w:hAnsiTheme="majorBidi" w:cstheme="majorBidi"/>
                <w:b/>
                <w:bCs/>
              </w:rPr>
              <w:t>wt%</w:t>
            </w:r>
          </w:p>
        </w:tc>
        <w:tc>
          <w:tcPr>
            <w:tcW w:w="1878"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4B909286"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w:t>
            </w:r>
          </w:p>
        </w:tc>
        <w:tc>
          <w:tcPr>
            <w:tcW w:w="1796" w:type="dxa"/>
            <w:tcBorders>
              <w:top w:val="nil"/>
              <w:left w:val="nil"/>
              <w:bottom w:val="single" w:sz="8" w:space="0" w:color="000000"/>
              <w:right w:val="nil"/>
            </w:tcBorders>
          </w:tcPr>
          <w:p w14:paraId="045202F0" w14:textId="77777777" w:rsidR="00403D63" w:rsidRPr="00732866" w:rsidRDefault="00403D63" w:rsidP="00AB3F9D">
            <w:pPr>
              <w:spacing w:after="0" w:line="360" w:lineRule="auto"/>
              <w:jc w:val="center"/>
              <w:rPr>
                <w:rFonts w:asciiTheme="majorBidi" w:hAnsiTheme="majorBidi" w:cstheme="majorBidi"/>
              </w:rPr>
            </w:pPr>
            <w:r>
              <w:rPr>
                <w:rFonts w:asciiTheme="majorBidi" w:hAnsiTheme="majorBidi" w:cstheme="majorBidi"/>
              </w:rPr>
              <w:t>-</w:t>
            </w:r>
          </w:p>
        </w:tc>
      </w:tr>
      <w:bookmarkEnd w:id="4"/>
    </w:tbl>
    <w:p w14:paraId="56AE3BCA" w14:textId="77777777" w:rsidR="00BA6BC2" w:rsidRDefault="00BA6BC2" w:rsidP="00AB3F9D">
      <w:pPr>
        <w:spacing w:after="0" w:line="360" w:lineRule="auto"/>
        <w:jc w:val="both"/>
        <w:rPr>
          <w:rFonts w:asciiTheme="majorBidi" w:hAnsiTheme="majorBidi" w:cstheme="majorBidi"/>
          <w:sz w:val="24"/>
          <w:szCs w:val="24"/>
        </w:rPr>
      </w:pPr>
    </w:p>
    <w:p w14:paraId="466FA3E2" w14:textId="33429550" w:rsidR="00D772D0" w:rsidRPr="003F1C44" w:rsidRDefault="00D772D0" w:rsidP="00AB3F9D">
      <w:pPr>
        <w:pStyle w:val="ListParagraph"/>
        <w:numPr>
          <w:ilvl w:val="0"/>
          <w:numId w:val="1"/>
        </w:numPr>
        <w:spacing w:after="0" w:line="360" w:lineRule="auto"/>
        <w:rPr>
          <w:rFonts w:asciiTheme="majorBidi" w:hAnsiTheme="majorBidi" w:cstheme="majorBidi"/>
          <w:b/>
          <w:bCs/>
          <w:sz w:val="24"/>
          <w:szCs w:val="24"/>
        </w:rPr>
      </w:pPr>
      <w:r w:rsidRPr="003F1C44">
        <w:rPr>
          <w:rFonts w:asciiTheme="majorBidi" w:hAnsiTheme="majorBidi" w:cstheme="majorBidi"/>
          <w:b/>
          <w:bCs/>
          <w:sz w:val="24"/>
          <w:szCs w:val="24"/>
        </w:rPr>
        <w:t>Discussion</w:t>
      </w:r>
    </w:p>
    <w:p w14:paraId="435D2E0F" w14:textId="375A1200" w:rsidR="00F459FC" w:rsidRDefault="00057746"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MC analogs </w:t>
      </w:r>
      <w:r w:rsidR="00BB473F">
        <w:rPr>
          <w:rFonts w:asciiTheme="majorBidi" w:hAnsiTheme="majorBidi" w:cstheme="majorBidi"/>
          <w:sz w:val="24"/>
          <w:szCs w:val="24"/>
        </w:rPr>
        <w:t xml:space="preserve">made from HA </w:t>
      </w:r>
      <w:r w:rsidR="003C728F">
        <w:rPr>
          <w:rFonts w:asciiTheme="majorBidi" w:hAnsiTheme="majorBidi" w:cstheme="majorBidi"/>
          <w:sz w:val="24"/>
          <w:szCs w:val="24"/>
        </w:rPr>
        <w:t xml:space="preserve">containing </w:t>
      </w:r>
      <w:r>
        <w:rPr>
          <w:rFonts w:asciiTheme="majorBidi" w:hAnsiTheme="majorBidi" w:cstheme="majorBidi"/>
          <w:sz w:val="24"/>
          <w:szCs w:val="24"/>
        </w:rPr>
        <w:t xml:space="preserve">Zn fractions </w:t>
      </w:r>
      <w:r w:rsidR="00BB473F">
        <w:rPr>
          <w:rFonts w:asciiTheme="majorBidi" w:hAnsiTheme="majorBidi" w:cstheme="majorBidi"/>
          <w:sz w:val="24"/>
          <w:szCs w:val="24"/>
        </w:rPr>
        <w:t>ranging from</w:t>
      </w:r>
      <w:r w:rsidR="00D9751E">
        <w:rPr>
          <w:rFonts w:asciiTheme="majorBidi" w:hAnsiTheme="majorBidi" w:cstheme="majorBidi" w:hint="cs"/>
          <w:sz w:val="24"/>
          <w:szCs w:val="24"/>
          <w:rtl/>
        </w:rPr>
        <w:t xml:space="preserve"> </w:t>
      </w:r>
      <w:r w:rsidR="00D9751E">
        <w:rPr>
          <w:rFonts w:asciiTheme="majorBidi" w:hAnsiTheme="majorBidi" w:cstheme="majorBidi"/>
          <w:sz w:val="24"/>
          <w:szCs w:val="24"/>
        </w:rPr>
        <w:t>0 wt% to 2.6 wt%</w:t>
      </w:r>
      <w:r>
        <w:rPr>
          <w:rFonts w:asciiTheme="majorBidi" w:hAnsiTheme="majorBidi" w:cstheme="majorBidi"/>
          <w:sz w:val="24"/>
          <w:szCs w:val="24"/>
        </w:rPr>
        <w:t xml:space="preserve"> and </w:t>
      </w:r>
      <w:r w:rsidR="00227E6D">
        <w:rPr>
          <w:rFonts w:asciiTheme="majorBidi" w:hAnsiTheme="majorBidi" w:cstheme="majorBidi"/>
          <w:sz w:val="24"/>
          <w:szCs w:val="24"/>
        </w:rPr>
        <w:t xml:space="preserve">even </w:t>
      </w:r>
      <w:r>
        <w:rPr>
          <w:rFonts w:asciiTheme="majorBidi" w:hAnsiTheme="majorBidi" w:cstheme="majorBidi"/>
          <w:sz w:val="24"/>
          <w:szCs w:val="24"/>
        </w:rPr>
        <w:t>high</w:t>
      </w:r>
      <w:r w:rsidR="00227E6D">
        <w:rPr>
          <w:rFonts w:asciiTheme="majorBidi" w:hAnsiTheme="majorBidi" w:cstheme="majorBidi"/>
          <w:sz w:val="24"/>
          <w:szCs w:val="24"/>
        </w:rPr>
        <w:t>er than physiological</w:t>
      </w:r>
      <w:r>
        <w:rPr>
          <w:rFonts w:asciiTheme="majorBidi" w:hAnsiTheme="majorBidi" w:cstheme="majorBidi"/>
          <w:sz w:val="24"/>
          <w:szCs w:val="24"/>
        </w:rPr>
        <w:t xml:space="preserve"> </w:t>
      </w:r>
      <w:r w:rsidR="00227E6D">
        <w:rPr>
          <w:rFonts w:asciiTheme="majorBidi" w:hAnsiTheme="majorBidi" w:cstheme="majorBidi"/>
          <w:sz w:val="24"/>
          <w:szCs w:val="24"/>
        </w:rPr>
        <w:t>Zn</w:t>
      </w:r>
      <w:r>
        <w:rPr>
          <w:rFonts w:asciiTheme="majorBidi" w:hAnsiTheme="majorBidi" w:cstheme="majorBidi"/>
          <w:sz w:val="24"/>
          <w:szCs w:val="24"/>
        </w:rPr>
        <w:t xml:space="preserve"> </w:t>
      </w:r>
      <w:r w:rsidR="008E5C90">
        <w:rPr>
          <w:rFonts w:asciiTheme="majorBidi" w:hAnsiTheme="majorBidi" w:cstheme="majorBidi"/>
          <w:sz w:val="24"/>
          <w:szCs w:val="24"/>
        </w:rPr>
        <w:t xml:space="preserve">values </w:t>
      </w:r>
      <w:r w:rsidR="005F7F79">
        <w:rPr>
          <w:rFonts w:asciiTheme="majorBidi" w:hAnsiTheme="majorBidi" w:cstheme="majorBidi"/>
          <w:sz w:val="24"/>
          <w:szCs w:val="24"/>
        </w:rPr>
        <w:t xml:space="preserve">were synthesized. These crystals </w:t>
      </w:r>
      <w:r w:rsidR="00227E6D">
        <w:rPr>
          <w:rFonts w:asciiTheme="majorBidi" w:hAnsiTheme="majorBidi" w:cstheme="majorBidi"/>
          <w:sz w:val="24"/>
          <w:szCs w:val="24"/>
        </w:rPr>
        <w:t>exhibited</w:t>
      </w:r>
      <w:r w:rsidR="008E5C90">
        <w:rPr>
          <w:rFonts w:asciiTheme="majorBidi" w:hAnsiTheme="majorBidi" w:cstheme="majorBidi"/>
          <w:sz w:val="24"/>
          <w:szCs w:val="24"/>
        </w:rPr>
        <w:t xml:space="preserve"> similar morphology </w:t>
      </w:r>
      <w:r w:rsidR="00F62C75">
        <w:rPr>
          <w:rFonts w:asciiTheme="majorBidi" w:hAnsiTheme="majorBidi" w:cstheme="majorBidi"/>
          <w:sz w:val="24"/>
          <w:szCs w:val="24"/>
        </w:rPr>
        <w:t xml:space="preserve">to </w:t>
      </w:r>
      <w:r w:rsidR="004A563A">
        <w:rPr>
          <w:rFonts w:asciiTheme="majorBidi" w:hAnsiTheme="majorBidi" w:cstheme="majorBidi"/>
          <w:sz w:val="24"/>
          <w:szCs w:val="24"/>
        </w:rPr>
        <w:t xml:space="preserve">MCs found in </w:t>
      </w:r>
      <w:r w:rsidR="008D7F70">
        <w:rPr>
          <w:rFonts w:asciiTheme="majorBidi" w:hAnsiTheme="majorBidi" w:cstheme="majorBidi"/>
          <w:sz w:val="24"/>
          <w:szCs w:val="24"/>
        </w:rPr>
        <w:t xml:space="preserve">cancerous </w:t>
      </w:r>
      <w:r w:rsidR="004A563A">
        <w:rPr>
          <w:rFonts w:asciiTheme="majorBidi" w:hAnsiTheme="majorBidi" w:cstheme="majorBidi"/>
          <w:sz w:val="24"/>
          <w:szCs w:val="24"/>
        </w:rPr>
        <w:t>thyroid nodules</w:t>
      </w:r>
      <w:r w:rsidR="004E16F4">
        <w:rPr>
          <w:rFonts w:asciiTheme="majorBidi" w:hAnsiTheme="majorBidi" w:cstheme="majorBidi"/>
          <w:sz w:val="24"/>
          <w:szCs w:val="24"/>
        </w:rPr>
        <w:t xml:space="preserve"> and </w:t>
      </w:r>
      <w:r w:rsidR="004E16F4" w:rsidRPr="008F360B">
        <w:rPr>
          <w:rFonts w:asciiTheme="majorBidi" w:hAnsiTheme="majorBidi" w:cstheme="majorBidi"/>
          <w:sz w:val="24"/>
          <w:szCs w:val="24"/>
        </w:rPr>
        <w:t>ha</w:t>
      </w:r>
      <w:r w:rsidR="004E16F4">
        <w:rPr>
          <w:rFonts w:asciiTheme="majorBidi" w:hAnsiTheme="majorBidi" w:cstheme="majorBidi"/>
          <w:sz w:val="24"/>
          <w:szCs w:val="24"/>
        </w:rPr>
        <w:t>d</w:t>
      </w:r>
      <w:r w:rsidR="004E16F4" w:rsidRPr="008F360B">
        <w:rPr>
          <w:rFonts w:asciiTheme="majorBidi" w:hAnsiTheme="majorBidi" w:cstheme="majorBidi"/>
          <w:sz w:val="24"/>
          <w:szCs w:val="24"/>
        </w:rPr>
        <w:t xml:space="preserve"> sub-micron crystallite sizes. </w:t>
      </w:r>
      <w:r w:rsidR="005E224C">
        <w:rPr>
          <w:rFonts w:asciiTheme="majorBidi" w:hAnsiTheme="majorBidi" w:cstheme="majorBidi"/>
          <w:sz w:val="24"/>
          <w:szCs w:val="24"/>
        </w:rPr>
        <w:t xml:space="preserve"> Zn</w:t>
      </w:r>
      <w:r w:rsidR="00F7660A" w:rsidRPr="00A42310">
        <w:rPr>
          <w:rFonts w:asciiTheme="majorBidi" w:hAnsiTheme="majorBidi" w:cstheme="majorBidi"/>
          <w:sz w:val="24"/>
          <w:szCs w:val="24"/>
          <w:vertAlign w:val="superscript"/>
        </w:rPr>
        <w:t>2+</w:t>
      </w:r>
      <w:r w:rsidR="005E224C">
        <w:rPr>
          <w:rFonts w:asciiTheme="majorBidi" w:hAnsiTheme="majorBidi" w:cstheme="majorBidi"/>
          <w:sz w:val="24"/>
          <w:szCs w:val="24"/>
        </w:rPr>
        <w:t xml:space="preserve"> </w:t>
      </w:r>
      <w:r w:rsidR="00A07457">
        <w:rPr>
          <w:rFonts w:asciiTheme="majorBidi" w:hAnsiTheme="majorBidi" w:cstheme="majorBidi"/>
          <w:sz w:val="24"/>
          <w:szCs w:val="24"/>
        </w:rPr>
        <w:t xml:space="preserve">ions </w:t>
      </w:r>
      <w:r w:rsidR="005E224C">
        <w:rPr>
          <w:rFonts w:asciiTheme="majorBidi" w:hAnsiTheme="majorBidi" w:cstheme="majorBidi"/>
          <w:sz w:val="24"/>
          <w:szCs w:val="24"/>
        </w:rPr>
        <w:t xml:space="preserve">likely </w:t>
      </w:r>
      <w:r w:rsidR="00A07457">
        <w:rPr>
          <w:rFonts w:asciiTheme="majorBidi" w:hAnsiTheme="majorBidi" w:cstheme="majorBidi"/>
          <w:sz w:val="24"/>
          <w:szCs w:val="24"/>
        </w:rPr>
        <w:t>substituted</w:t>
      </w:r>
      <w:r w:rsidR="005E224C">
        <w:rPr>
          <w:rFonts w:asciiTheme="majorBidi" w:hAnsiTheme="majorBidi" w:cstheme="majorBidi"/>
          <w:sz w:val="24"/>
          <w:szCs w:val="24"/>
        </w:rPr>
        <w:t xml:space="preserve"> Ca</w:t>
      </w:r>
      <w:r w:rsidR="00F7660A" w:rsidRPr="00A42310">
        <w:rPr>
          <w:rFonts w:asciiTheme="majorBidi" w:hAnsiTheme="majorBidi" w:cstheme="majorBidi"/>
          <w:sz w:val="24"/>
          <w:szCs w:val="24"/>
          <w:vertAlign w:val="superscript"/>
        </w:rPr>
        <w:t>2+</w:t>
      </w:r>
      <w:r w:rsidR="005E224C">
        <w:rPr>
          <w:rFonts w:asciiTheme="majorBidi" w:hAnsiTheme="majorBidi" w:cstheme="majorBidi"/>
          <w:sz w:val="24"/>
          <w:szCs w:val="24"/>
        </w:rPr>
        <w:t xml:space="preserve"> ion</w:t>
      </w:r>
      <w:r w:rsidR="00A07457">
        <w:rPr>
          <w:rFonts w:asciiTheme="majorBidi" w:hAnsiTheme="majorBidi" w:cstheme="majorBidi"/>
          <w:sz w:val="24"/>
          <w:szCs w:val="24"/>
        </w:rPr>
        <w:t>s</w:t>
      </w:r>
      <w:r w:rsidR="00E31D7F">
        <w:rPr>
          <w:rFonts w:asciiTheme="majorBidi" w:hAnsiTheme="majorBidi" w:cstheme="majorBidi"/>
          <w:sz w:val="24"/>
          <w:szCs w:val="24"/>
        </w:rPr>
        <w:t>,</w:t>
      </w:r>
      <w:r w:rsidR="00A07457">
        <w:rPr>
          <w:rFonts w:asciiTheme="majorBidi" w:hAnsiTheme="majorBidi" w:cstheme="majorBidi"/>
          <w:sz w:val="24"/>
          <w:szCs w:val="24"/>
        </w:rPr>
        <w:t xml:space="preserve"> resulting in crystals </w:t>
      </w:r>
      <w:r w:rsidR="00B45A3A">
        <w:rPr>
          <w:rFonts w:asciiTheme="majorBidi" w:hAnsiTheme="majorBidi" w:cstheme="majorBidi"/>
          <w:sz w:val="24"/>
          <w:szCs w:val="24"/>
        </w:rPr>
        <w:t>characterized by</w:t>
      </w:r>
      <w:r w:rsidR="00097426">
        <w:rPr>
          <w:rFonts w:asciiTheme="majorBidi" w:hAnsiTheme="majorBidi" w:cstheme="majorBidi"/>
          <w:sz w:val="24"/>
          <w:szCs w:val="24"/>
        </w:rPr>
        <w:t xml:space="preserve"> reduced </w:t>
      </w:r>
      <w:r w:rsidR="00A07457">
        <w:rPr>
          <w:rFonts w:asciiTheme="majorBidi" w:hAnsiTheme="majorBidi" w:cstheme="majorBidi"/>
          <w:sz w:val="24"/>
          <w:szCs w:val="24"/>
        </w:rPr>
        <w:t xml:space="preserve">crystallinity and unit cell parameters. </w:t>
      </w:r>
      <w:r w:rsidR="00E60C02">
        <w:rPr>
          <w:rFonts w:asciiTheme="majorBidi" w:hAnsiTheme="majorBidi" w:cstheme="majorBidi"/>
          <w:sz w:val="24"/>
          <w:szCs w:val="24"/>
        </w:rPr>
        <w:t xml:space="preserve">This does not rule out the possibility of Zn adsorption onto the crystal surface. </w:t>
      </w:r>
      <w:r w:rsidR="00AC3C6F">
        <w:rPr>
          <w:rFonts w:asciiTheme="majorBidi" w:hAnsiTheme="majorBidi" w:cstheme="majorBidi"/>
          <w:sz w:val="24"/>
          <w:szCs w:val="24"/>
        </w:rPr>
        <w:t xml:space="preserve">Additional parameters that </w:t>
      </w:r>
      <w:r w:rsidR="003C728F">
        <w:rPr>
          <w:rFonts w:asciiTheme="majorBidi" w:hAnsiTheme="majorBidi" w:cstheme="majorBidi"/>
          <w:sz w:val="24"/>
          <w:szCs w:val="24"/>
        </w:rPr>
        <w:t>distinguished</w:t>
      </w:r>
      <w:r w:rsidR="00AC3C6F">
        <w:rPr>
          <w:rFonts w:asciiTheme="majorBidi" w:hAnsiTheme="majorBidi" w:cstheme="majorBidi"/>
          <w:sz w:val="24"/>
          <w:szCs w:val="24"/>
        </w:rPr>
        <w:t xml:space="preserve"> the MC analogs included carbonate content</w:t>
      </w:r>
      <w:r w:rsidR="001D4B0A">
        <w:rPr>
          <w:rFonts w:asciiTheme="majorBidi" w:hAnsiTheme="majorBidi" w:cstheme="majorBidi"/>
          <w:sz w:val="24"/>
          <w:szCs w:val="24"/>
        </w:rPr>
        <w:t xml:space="preserve">, </w:t>
      </w:r>
      <w:r w:rsidR="001D4B0A" w:rsidRPr="001D4B0A">
        <w:rPr>
          <w:rFonts w:asciiTheme="majorBidi" w:hAnsiTheme="majorBidi" w:cstheme="majorBidi"/>
          <w:sz w:val="24"/>
          <w:szCs w:val="24"/>
          <w:highlight w:val="green"/>
        </w:rPr>
        <w:t>surface roughness</w:t>
      </w:r>
      <w:r w:rsidR="001D4B0A">
        <w:rPr>
          <w:rFonts w:asciiTheme="majorBidi" w:hAnsiTheme="majorBidi" w:cstheme="majorBidi"/>
          <w:sz w:val="24"/>
          <w:szCs w:val="24"/>
        </w:rPr>
        <w:t>,</w:t>
      </w:r>
      <w:r w:rsidR="00AC3C6F">
        <w:rPr>
          <w:rFonts w:asciiTheme="majorBidi" w:hAnsiTheme="majorBidi" w:cstheme="majorBidi"/>
          <w:sz w:val="24"/>
          <w:szCs w:val="24"/>
        </w:rPr>
        <w:t xml:space="preserve"> and zeta potential. </w:t>
      </w:r>
    </w:p>
    <w:p w14:paraId="14A61E90" w14:textId="4C3F0373" w:rsidR="003B1942" w:rsidRPr="008A082B" w:rsidRDefault="00E754E0" w:rsidP="00AB3F9D">
      <w:pPr>
        <w:spacing w:after="0" w:line="360" w:lineRule="auto"/>
        <w:jc w:val="both"/>
        <w:rPr>
          <w:rFonts w:asciiTheme="majorBidi" w:hAnsiTheme="majorBidi" w:cstheme="majorBidi"/>
          <w:sz w:val="24"/>
          <w:szCs w:val="24"/>
          <w:rtl/>
        </w:rPr>
      </w:pPr>
      <w:r>
        <w:rPr>
          <w:rStyle w:val="cf01"/>
          <w:rFonts w:asciiTheme="majorBidi" w:hAnsiTheme="majorBidi" w:cstheme="majorBidi"/>
          <w:sz w:val="24"/>
          <w:szCs w:val="24"/>
        </w:rPr>
        <w:t>Overall, o</w:t>
      </w:r>
      <w:r w:rsidR="00B63401" w:rsidRPr="00732866">
        <w:rPr>
          <w:rStyle w:val="cf01"/>
          <w:rFonts w:asciiTheme="majorBidi" w:hAnsiTheme="majorBidi" w:cstheme="majorBidi"/>
          <w:sz w:val="24"/>
          <w:szCs w:val="24"/>
        </w:rPr>
        <w:t xml:space="preserve">ur </w:t>
      </w:r>
      <w:r>
        <w:rPr>
          <w:rStyle w:val="cf01"/>
          <w:rFonts w:asciiTheme="majorBidi" w:hAnsiTheme="majorBidi" w:cstheme="majorBidi"/>
          <w:sz w:val="24"/>
          <w:szCs w:val="24"/>
        </w:rPr>
        <w:t xml:space="preserve">synthetic MC analog </w:t>
      </w:r>
      <w:r w:rsidR="00C366C3" w:rsidRPr="00732866">
        <w:rPr>
          <w:rStyle w:val="cf01"/>
          <w:rFonts w:asciiTheme="majorBidi" w:hAnsiTheme="majorBidi" w:cstheme="majorBidi"/>
          <w:sz w:val="24"/>
          <w:szCs w:val="24"/>
        </w:rPr>
        <w:t xml:space="preserve">XRD </w:t>
      </w:r>
      <w:r w:rsidR="00B63401" w:rsidRPr="00732866">
        <w:rPr>
          <w:rStyle w:val="cf01"/>
          <w:rFonts w:asciiTheme="majorBidi" w:hAnsiTheme="majorBidi" w:cstheme="majorBidi"/>
          <w:sz w:val="24"/>
          <w:szCs w:val="24"/>
        </w:rPr>
        <w:t>results are consistent with previous studies where increasing the Zn fraction leads to less well crystalline minerals with smaller observed crystallite sizes, both by XRD and other methods</w:t>
      </w:r>
      <w:r w:rsidR="00B63401" w:rsidRPr="00C366C3">
        <w:rPr>
          <w:rFonts w:asciiTheme="majorBidi" w:hAnsiTheme="majorBidi" w:cstheme="majorBidi"/>
          <w:sz w:val="24"/>
          <w:szCs w:val="24"/>
        </w:rPr>
        <w:t xml:space="preserve"> </w:t>
      </w:r>
      <w:r w:rsidR="00B63401" w:rsidRPr="00C366C3">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{"citationItems":[{"id":"ITEM-1","itemData":{"DOI":"10.1016/j.biomaterials.2009.01.043","abstract":"By theoretical modeling and X-ray absorption spectroscopy, the local coordination structure of Zn incorporated into hydroxylapatite was examined. Density function theory (DFT) calculations show that Zn favors the Ca2 site over the Ca1 site, and favors tetrahedral coordination. X-ray absorption near edge structure (XANES) spectroscopy results suggest one dominant coordination environment for the incorporated Zn, and no evidence was observed for other Zn-containing phases. Extended X-ray absorption fine structure (EXAFS) fitting of the synthetic samples confirms that Zn occurs in tetrahedral coordination , with two P shells at w2.85-3.07 Å, and two higher Ca shells at w3.71-4.02 Å. These fit results are consistent with the most favored DFT model for Zn substitution in the Ca2 site.","author":[{"dropping-particle":"","family":"Tang","given":"Yuanzhi","non-dropping-particle":"","parse-names":false,"suffix":""},{"dropping-particle":"","family":"Chappell","given":"Helen F","non-dropping-particle":"","parse-names":false,"suffix":""},{"dropping-particle":"","family":"Dove","given":"Martin T","non-dropping-particle":"","parse-names":false,"suffix":""},{"dropping-particle":"","family":"Reeder","given":"Richard J","non-dropping-particle":"","parse-names":false,"suffix":""},{"dropping-particle":"","family":"Lee","given":"Young J","non-dropping-particle":"","parse-names":false,"suffix":""}],"container-title":"Biomaterials","id":"ITEM-1","issued":{"date-parts":[["2009"]]},"page":"2864-2872","title":"Zinc incorporation into hydroxylapatite","type":"article-journal"},"uris":["http://www.mendeley.com/documents/?uuid=1d42e019-eda7-3035-b1d9-93c9c6286644"]},{"id":"ITEM-2","itemData":{"DOI":"10.1016/j.ceramint.2020.02.192","abstract":"Ionic substituted calcium phosphates have received much attention for their use as implant materials because of their ability to mimic natural hard tissues. In this work, the properties of hydroxyapatite ceramic doped with small amounts of zinc ions (5, 10, and 15 mol%) by using a wet chemical precipitation route were studied. XRD spectra revealed that adding zinc led to the development of a biphasic mixture composed of hydroxyapatite (HA) and β-TCP phases, which affected the morphology, crystallinity, and crystallite size of the precipitates. With increasing zinc ion substitution in the HA lattices, the degree of crystallinity of the powders reduces due to the additional formation of β-TCP phase. Slender, elongated, and highly agglomerated particles were observed for all synthesized powders. However, calcination at 700 °C caused the particles to become more spherical, having diameters ranging from 30 to 37 nm. An increase in the concentration of zinc ions promoted the β-TCP phase, which ultimately altered the lattice parameters of the HA structure and suppressed the growth of particles.","author":[{"dropping-particle":"","family":"Mardziah","given":"C M","non-dropping-particle":"","parse-names":false,"suffix":""},{"dropping-particle":"","family":"Ramesh","given":"S","non-dropping-particle":"","parse-names":false,"suffix":""},{"dropping-particle":"","family":"Wahid","given":"M F Abdul","non-dropping-particle":"","parse-names":false,"suffix":""},{"dropping-particle":"","family":"Chandran","given":"Hari","non-dropping-particle":"","parse-names":false,"suffix":""},{"dropping-particle":"","family":"Sidhu","given":"Amritpal","non-dropping-particle":"","parse-names":false,"suffix":""},{"dropping-particle":"","family":"Krishnasamy","given":"S","non-dropping-particle":"","parse-names":false,"suffix":""},{"dropping-particle":"","family":"Purbolaksono","given":"J","non-dropping-particle":"","parse-names":false,"suffix":""}],"container-title":"Ceramics International","id":"ITEM-2","issue":"9","issued":{"date-parts":[["2020"]]},"page":"13945-13952.","title":"Effect of zinc ions on the structural characteristics of hydroxyapatite bioceramics","type":"article-journal","volume":"46"},"uris":["http://www.mendeley.com/documents/?uuid=0fcd69fa-734c-3c28-811f-00ceffa6c662"]},{"id":"ITEM-3","itemData":{"DOI":"10.1016/j.materresbull.2004.10.020","ISSN":"00255408","abstract":"Zn-substituted Ca hydroxyapatites were synthesized by precipitation method under the specific conditions (pH 8, 90°C) and their structural properties were investigated. The substituting limit of Zn was estimated at about 15 mol%. The lattice parameter a decreased up to 5 mol% Zn, and started to increase over 5 mol% Zn. The lattice parameter c monotonously decreased with increase in Zn fraction. The increase in lattice parameter a for higher Zn fraction was ascribed to increasing amount of lattice H2O which substituted for OH sites in the apatite structure. The lattice H2O in the Zn-substituted apatites was lost by the heat treatment at 400°C. As a result, both the lattice parameters a and c of the heat-treated apatites decreased with increasing Zn fraction. Only the difference in ionic radius between Zn2+ (0.074 nm) and Ca2+ (0.099 nm) was decisive to the change in both lattice parameters after the heat treatment at 400°C. © 2004 Elsevier Ltd. All rights reserved.","author":[{"dropping-particle":"","family":"Miyaji","given":"Fumiaki","non-dropping-particle":"","parse-names":false,"suffix":""},{"dropping-particle":"","family":"Kono","given":"Yoshiteru","non-dropping-particle":"","parse-names":false,"suffix":""},{"dropping-particle":"","family":"Suyama","given":"Yoko","non-dropping-particle":"","parse-names":false,"suffix":""}],"container-title":"Materials Research Bulletin","id":"ITEM-3","issue":"2","issued":{"date-parts":[["2005"]]},"page":"209-220","title":"Formation and structure of zinc-substituted calcium hydroxyapatite","type":"article-journal","volume":"40"},"uris":["http://www.mendeley.com/documents/?uuid=c03ccc34-9abc-4928-99b7-c2f43d5effd8"]},{"id":"ITEM-4","itemData":{"DOI":"10.1016/j.actbio.2009.04.014","ISSN":"17427061","PMID":"19446055","abstract":"The substitution of Zn in hydroxyapatite (HA) crystals was examined via comprehensive characterization techniques. Nanosized HA crystals were synthesized by the wet chemical method in aqueous solutions including various amounts of Zn ions. X-ray fluorescent spectroscopy was used to examine the amount of Zn in the HA precipitates. Scanning electron microscopy and high-resolution transmission electron microscopy were employed to examine the effects of Zn on the morphology and crystal size of the precipitates. Conventional powder X-ray diffraction and the Rietveld refinement method revealed the apatite lattice parameters and phase changes with the inclusion of Zn. The results indicated that Zn ions partially substituted for Ca ions in the apatite structure. They were not simply adsorbed on the apatite surface or in the amorphous phase. The precipitates maintained the apatite phase up to a Zn:(Zn + Ca) ratio of 15-20 mol.% in the solution. Pure HA was well crystallized and the crystals had regular shapes, whereas the Zn-substituted apatite crystals became irregular and formed agglomerates. The lattice parameters, a and c, decreased at a Zn:(Zn + Ca) ratio of 10 mol.%. © 2009 Acta Materialia Inc.","author":[{"dropping-particle":"","family":"Ren","given":"Fuzeng","non-dropping-particle":"","parse-names":false,"suffix":""},{"dropping-particle":"","family":"Xin","given":"Renlong","non-dropping-particle":"","parse-names":false,"suffix":""},{"dropping-particle":"","family":"Ge","given":"Xiang","non-dropping-particle":"","parse-names":false,"suffix":""},{"dropping-particle":"","family":"Leng","given":"Yang","non-dropping-particle":"","parse-names":false,"suffix":""}],"container-title":"Acta Biomaterialia","id":"ITEM-4","issue":"8","issued":{"date-parts":[["2009"]]},"page":"3141-3149","publisher":"Acta Materialia Inc.","title":"Characterization and structural analysis of zinc-substituted hydroxyapatites","type":"article-journal","volume":"5"},"uris":["http://www.mendeley.com/documents/?uuid=bc52df63-5efd-47ca-bb52-808c2bd21e6f"]}],"mendeley":{"formattedCitation":"[24–27]","plainTextFormattedCitation":"[24–27]","previouslyFormattedCitation":"[24–27]"},"properties":{"noteIndex":0},"schema":"https://github.com/citation-style-language/schema/raw/master/csl-citation.json"}</w:instrText>
      </w:r>
      <w:r w:rsidR="00B63401" w:rsidRPr="00C366C3">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[24–27]</w:t>
      </w:r>
      <w:r w:rsidR="00B63401" w:rsidRPr="00C366C3">
        <w:rPr>
          <w:rFonts w:asciiTheme="majorBidi" w:hAnsiTheme="majorBidi" w:cstheme="majorBidi"/>
          <w:sz w:val="24"/>
          <w:szCs w:val="24"/>
        </w:rPr>
        <w:fldChar w:fldCharType="end"/>
      </w:r>
      <w:r w:rsidR="00B63401" w:rsidRPr="00732866">
        <w:rPr>
          <w:rStyle w:val="cf01"/>
          <w:rFonts w:asciiTheme="majorBidi" w:hAnsiTheme="majorBidi" w:cstheme="majorBidi"/>
          <w:sz w:val="24"/>
          <w:szCs w:val="24"/>
        </w:rPr>
        <w:t xml:space="preserve">. </w:t>
      </w:r>
      <w:r w:rsidR="00C366C3" w:rsidRPr="00C366C3">
        <w:rPr>
          <w:rFonts w:asciiTheme="majorBidi" w:hAnsiTheme="majorBidi" w:cstheme="majorBidi"/>
          <w:sz w:val="24"/>
          <w:szCs w:val="24"/>
        </w:rPr>
        <w:t>The synthetic MC analogs produced for this study show XRD results dominated by a poorly crystalline HA with evidence for Zn substitution of Ca in the unit cell</w:t>
      </w:r>
      <w:r w:rsidR="00D155A3">
        <w:rPr>
          <w:rStyle w:val="cf01"/>
          <w:rFonts w:asciiTheme="majorBidi" w:hAnsiTheme="majorBidi" w:cstheme="majorBidi"/>
          <w:sz w:val="24"/>
          <w:szCs w:val="24"/>
        </w:rPr>
        <w:t xml:space="preserve"> </w:t>
      </w:r>
      <w:r>
        <w:rPr>
          <w:rStyle w:val="cf01"/>
          <w:rFonts w:asciiTheme="majorBidi" w:hAnsiTheme="majorBidi" w:cstheme="majorBidi"/>
          <w:sz w:val="24"/>
          <w:szCs w:val="24"/>
        </w:rPr>
        <w:t>via</w:t>
      </w:r>
      <w:r w:rsidR="00D155A3">
        <w:rPr>
          <w:rStyle w:val="cf01"/>
          <w:rFonts w:asciiTheme="majorBidi" w:hAnsiTheme="majorBidi" w:cstheme="majorBidi"/>
          <w:sz w:val="24"/>
          <w:szCs w:val="24"/>
        </w:rPr>
        <w:t xml:space="preserve"> a </w:t>
      </w:r>
      <w:r w:rsidR="00C366C3" w:rsidRPr="00732866">
        <w:rPr>
          <w:rStyle w:val="cf01"/>
          <w:rFonts w:asciiTheme="majorBidi" w:hAnsiTheme="majorBidi" w:cstheme="majorBidi"/>
          <w:sz w:val="24"/>
          <w:szCs w:val="24"/>
        </w:rPr>
        <w:t xml:space="preserve">steady decrease in both the </w:t>
      </w:r>
      <w:r w:rsidR="00205971">
        <w:rPr>
          <w:rStyle w:val="cf01"/>
          <w:rFonts w:asciiTheme="majorBidi" w:hAnsiTheme="majorBidi" w:cstheme="majorBidi"/>
          <w:sz w:val="24"/>
          <w:szCs w:val="24"/>
        </w:rPr>
        <w:t>‘</w:t>
      </w:r>
      <w:r w:rsidR="00C366C3" w:rsidRPr="00732866">
        <w:rPr>
          <w:rStyle w:val="cf01"/>
          <w:rFonts w:asciiTheme="majorBidi" w:hAnsiTheme="majorBidi" w:cstheme="majorBidi"/>
          <w:sz w:val="24"/>
          <w:szCs w:val="24"/>
        </w:rPr>
        <w:t>a</w:t>
      </w:r>
      <w:r w:rsidR="00205971">
        <w:rPr>
          <w:rStyle w:val="cf01"/>
          <w:rFonts w:asciiTheme="majorBidi" w:hAnsiTheme="majorBidi" w:cstheme="majorBidi"/>
          <w:sz w:val="24"/>
          <w:szCs w:val="24"/>
        </w:rPr>
        <w:t>’</w:t>
      </w:r>
      <w:r w:rsidR="00C366C3" w:rsidRPr="00732866">
        <w:rPr>
          <w:rStyle w:val="cf01"/>
          <w:rFonts w:asciiTheme="majorBidi" w:hAnsiTheme="majorBidi" w:cstheme="majorBidi"/>
          <w:sz w:val="24"/>
          <w:szCs w:val="24"/>
        </w:rPr>
        <w:t xml:space="preserve"> and </w:t>
      </w:r>
      <w:r w:rsidR="00205971">
        <w:rPr>
          <w:rStyle w:val="cf01"/>
          <w:rFonts w:asciiTheme="majorBidi" w:hAnsiTheme="majorBidi" w:cstheme="majorBidi"/>
          <w:sz w:val="24"/>
          <w:szCs w:val="24"/>
        </w:rPr>
        <w:t>‘</w:t>
      </w:r>
      <w:r w:rsidR="00C366C3" w:rsidRPr="00732866">
        <w:rPr>
          <w:rStyle w:val="cf01"/>
          <w:rFonts w:asciiTheme="majorBidi" w:hAnsiTheme="majorBidi" w:cstheme="majorBidi"/>
          <w:sz w:val="24"/>
          <w:szCs w:val="24"/>
        </w:rPr>
        <w:t>c</w:t>
      </w:r>
      <w:r w:rsidR="00205971">
        <w:rPr>
          <w:rStyle w:val="cf01"/>
          <w:rFonts w:asciiTheme="majorBidi" w:hAnsiTheme="majorBidi" w:cstheme="majorBidi"/>
          <w:sz w:val="24"/>
          <w:szCs w:val="24"/>
        </w:rPr>
        <w:t>’</w:t>
      </w:r>
      <w:r w:rsidR="00C366C3" w:rsidRPr="00732866">
        <w:rPr>
          <w:rStyle w:val="cf01"/>
          <w:rFonts w:asciiTheme="majorBidi" w:hAnsiTheme="majorBidi" w:cstheme="majorBidi"/>
          <w:sz w:val="24"/>
          <w:szCs w:val="24"/>
        </w:rPr>
        <w:t xml:space="preserve"> unit cell parameters with increasing Zn substitution. This is consistent </w:t>
      </w:r>
      <w:r w:rsidR="00205971" w:rsidRPr="00732866">
        <w:rPr>
          <w:rStyle w:val="cf01"/>
          <w:rFonts w:asciiTheme="majorBidi" w:hAnsiTheme="majorBidi" w:cstheme="majorBidi"/>
          <w:sz w:val="24"/>
          <w:szCs w:val="24"/>
        </w:rPr>
        <w:t>with results</w:t>
      </w:r>
      <w:r w:rsidR="00C366C3" w:rsidRPr="00732866">
        <w:rPr>
          <w:rStyle w:val="cf01"/>
          <w:rFonts w:asciiTheme="majorBidi" w:hAnsiTheme="majorBidi" w:cstheme="majorBidi"/>
          <w:sz w:val="24"/>
          <w:szCs w:val="24"/>
        </w:rPr>
        <w:t xml:space="preserve"> reported previously [26], where both HA unit cell parameters decreased with increasing Zn substitution. </w:t>
      </w:r>
      <w:r w:rsidR="00C366C3" w:rsidRPr="00C366C3">
        <w:rPr>
          <w:rFonts w:asciiTheme="majorBidi" w:hAnsiTheme="majorBidi" w:cstheme="majorBidi"/>
          <w:sz w:val="24"/>
          <w:szCs w:val="24"/>
        </w:rPr>
        <w:t xml:space="preserve">The results are also generally consistent with the results reported by Miyaji et al. </w:t>
      </w:r>
      <w:r w:rsidR="00C366C3" w:rsidRPr="00C366C3">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{"citationItems":[{"id":"ITEM-1","itemData":{"DOI":"10.1016/j.materresbull.2004.10.020","ISSN":"00255408","abstract":"Zn-substituted Ca hydroxyapatites were synthesized by precipitation method under the specific conditions (pH 8, 90°C) and their structural properties were investigated. The substituting limit of Zn was estimated at about 15 mol%. The lattice parameter a decreased up to 5 mol% Zn, and started to increase over 5 mol% Zn. The lattice parameter c monotonously decreased with increase in Zn fraction. The increase in lattice parameter a for higher Zn fraction was ascribed to increasing amount of lattice H2O which substituted for OH sites in the apatite structure. The lattice H2O in the Zn-substituted apatites was lost by the heat treatment at 400°C. As a result, both the lattice parameters a and c of the heat-treated apatites decreased with increasing Zn fraction. Only the difference in ionic radius between Zn2+ (0.074 nm) and Ca2+ (0.099 nm) was decisive to the change in both lattice parameters after the heat treatment at 400°C. © 2004 Elsevier Ltd. All rights reserved.","author":[{"dropping-particle":"","family":"Miyaji","given":"Fumiaki","non-dropping-particle":"","parse-names":false,"suffix":""},{"dropping-particle":"","family":"Kono","given":"Yoshiteru","non-dropping-particle":"","parse-names":false,"suffix":""},{"dropping-particle":"","family":"Suyama","given":"Yoko","non-dropping-particle":"","parse-names":false,"suffix":""}],"container-title":"Materials Research Bulletin","id":"ITEM-1","issue":"2","issued":{"date-parts":[["2005"]]},"page":"209-220","title":"Formation and structure of zinc-substituted calcium hydroxyapatite","type":"article-journal","volume":"40"},"uris":["http://www.mendeley.com/documents/?uuid=c03ccc34-9abc-4928-99b7-c2f43d5effd8"]}],"mendeley":{"formattedCitation":"[26]","plainTextFormattedCitation":"[26]","previouslyFormattedCitation":"[26]"},"properties":{"noteIndex":0},"schema":"https://github.com/citation-style-language/schema/raw/master/csl-citation.json"}</w:instrText>
      </w:r>
      <w:r w:rsidR="00C366C3" w:rsidRPr="00C366C3">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[26]</w:t>
      </w:r>
      <w:r w:rsidR="00C366C3" w:rsidRPr="00C366C3">
        <w:rPr>
          <w:rFonts w:asciiTheme="majorBidi" w:hAnsiTheme="majorBidi" w:cstheme="majorBidi"/>
          <w:sz w:val="24"/>
          <w:szCs w:val="24"/>
        </w:rPr>
        <w:fldChar w:fldCharType="end"/>
      </w:r>
      <w:r w:rsidR="00C366C3" w:rsidRPr="00C366C3">
        <w:rPr>
          <w:rFonts w:asciiTheme="majorBidi" w:hAnsiTheme="majorBidi" w:cstheme="majorBidi"/>
          <w:sz w:val="24"/>
          <w:szCs w:val="24"/>
        </w:rPr>
        <w:t xml:space="preserve"> and Ren et al. </w:t>
      </w:r>
      <w:r w:rsidR="00C366C3" w:rsidRPr="00C366C3">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{"citationItems":[{"id":"ITEM-1","itemData":{"DOI":"10.1016/j.actbio.2009.04.014","ISSN":"17427061","PMID":"19446055","abstract":"The substitution of Zn in hydroxyapatite (HA) crystals was examined via comprehensive characterization techniques. Nanosized HA crystals were synthesized by the wet chemical method in aqueous solutions including various amounts of Zn ions. X-ray fluorescent spectroscopy was used to examine the amount of Zn in the HA precipitates. Scanning electron microscopy and high-resolution transmission electron microscopy were employed to examine the effects of Zn on the morphology and crystal size of the precipitates. Conventional powder X-ray diffraction and the Rietveld refinement method revealed the apatite lattice parameters and phase changes with the inclusion of Zn. The results indicated that Zn ions partially substituted for Ca ions in the apatite structure. They were not simply adsorbed on the apatite surface or in the amorphous phase. The precipitates maintained the apatite phase up to a Zn:(Zn + Ca) ratio of 15-20 mol.% in the solution. Pure HA was well crystallized and the crystals had regular shapes, whereas the Zn-substituted apatite crystals became irregular and formed agglomerates. The lattice parameters, a and c, decreased at a Zn:(Zn + Ca) ratio of 10 mol.%. © 2009 Acta Materialia Inc.","author":[{"dropping-particle":"","family":"Ren","given":"Fuzeng","non-dropping-particle":"","parse-names":false,"suffix":""},{"dropping-particle":"","family":"Xin","given":"Renlong","non-dropping-particle":"","parse-names":false,"suffix":""},{"dropping-particle":"","family":"Ge","given":"Xiang","non-dropping-particle":"","parse-names":false,"suffix":""},{"dropping-particle":"","family":"Leng","given":"Yang","non-dropping-particle":"","parse-names":false,"suffix":""}],"container-title":"Acta Biomaterialia","id":"ITEM-1","issue":"8","issued":{"date-parts":[["2009"]]},"page":"3141-3149","publisher":"Acta Materialia Inc.","title":"Characterization and structural analysis of zinc-substituted hydroxyapatites","type":"article-journal","volume":"5"},"uris":["http://www.mendeley.com/documents/?uuid=bc52df63-5efd-47ca-bb52-808c2bd21e6f"]}],"mendeley":{"formattedCitation":"[27]","plainTextFormattedCitation":"[27]","previouslyFormattedCitation":"[27]"},"properties":{"noteIndex":0},"schema":"https://github.com/citation-style-language/schema/raw/master/csl-citation.json"}</w:instrText>
      </w:r>
      <w:r w:rsidR="00C366C3" w:rsidRPr="00C366C3">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[27]</w:t>
      </w:r>
      <w:r w:rsidR="00C366C3" w:rsidRPr="00C366C3">
        <w:rPr>
          <w:rFonts w:asciiTheme="majorBidi" w:hAnsiTheme="majorBidi" w:cstheme="majorBidi"/>
          <w:sz w:val="24"/>
          <w:szCs w:val="24"/>
        </w:rPr>
        <w:fldChar w:fldCharType="end"/>
      </w:r>
      <w:r w:rsidR="00C366C3" w:rsidRPr="00C366C3">
        <w:rPr>
          <w:rFonts w:asciiTheme="majorBidi" w:hAnsiTheme="majorBidi" w:cstheme="majorBidi"/>
          <w:sz w:val="24"/>
          <w:szCs w:val="24"/>
        </w:rPr>
        <w:t xml:space="preserve">, although both these studies observed an increase in the </w:t>
      </w:r>
      <w:r w:rsidR="004C1608">
        <w:rPr>
          <w:rFonts w:asciiTheme="majorBidi" w:hAnsiTheme="majorBidi" w:cstheme="majorBidi" w:hint="cs"/>
          <w:sz w:val="24"/>
          <w:szCs w:val="24"/>
          <w:rtl/>
        </w:rPr>
        <w:t>'</w:t>
      </w:r>
      <w:r w:rsidR="00C366C3" w:rsidRPr="00C366C3">
        <w:rPr>
          <w:rFonts w:asciiTheme="majorBidi" w:hAnsiTheme="majorBidi" w:cstheme="majorBidi"/>
          <w:sz w:val="24"/>
          <w:szCs w:val="24"/>
        </w:rPr>
        <w:t>a</w:t>
      </w:r>
      <w:r w:rsidR="004C1608">
        <w:rPr>
          <w:rFonts w:asciiTheme="majorBidi" w:hAnsiTheme="majorBidi" w:cstheme="majorBidi" w:hint="cs"/>
          <w:sz w:val="24"/>
          <w:szCs w:val="24"/>
          <w:rtl/>
        </w:rPr>
        <w:t>'</w:t>
      </w:r>
      <w:r w:rsidR="00C366C3" w:rsidRPr="00C366C3">
        <w:rPr>
          <w:rFonts w:asciiTheme="majorBidi" w:hAnsiTheme="majorBidi" w:cstheme="majorBidi"/>
          <w:sz w:val="24"/>
          <w:szCs w:val="24"/>
        </w:rPr>
        <w:t xml:space="preserve"> unit cell parameter at high Zn </w:t>
      </w:r>
      <w:r w:rsidR="00205971">
        <w:rPr>
          <w:rFonts w:asciiTheme="majorBidi" w:hAnsiTheme="majorBidi" w:cstheme="majorBidi"/>
          <w:sz w:val="24"/>
          <w:szCs w:val="24"/>
        </w:rPr>
        <w:t>fractions</w:t>
      </w:r>
      <w:r w:rsidR="00C366C3" w:rsidRPr="00C366C3">
        <w:rPr>
          <w:rFonts w:asciiTheme="majorBidi" w:hAnsiTheme="majorBidi" w:cstheme="majorBidi"/>
          <w:sz w:val="24"/>
          <w:szCs w:val="24"/>
        </w:rPr>
        <w:t xml:space="preserve"> (above 5 mol%). Inconsistencies reported in previous observations of the effects of Zn substitution on the synthetic HA structure and unit cell parameters are probably related to the flexibility of the HA unit cell and the mineral's capacity to take up and release OH</w:t>
      </w:r>
      <w:r w:rsidR="00C366C3" w:rsidRPr="00C366C3">
        <w:rPr>
          <w:rFonts w:asciiTheme="majorBidi" w:hAnsiTheme="majorBidi" w:cstheme="majorBidi"/>
          <w:sz w:val="24"/>
          <w:szCs w:val="24"/>
          <w:vertAlign w:val="superscript"/>
        </w:rPr>
        <w:t>-</w:t>
      </w:r>
      <w:r w:rsidR="00C366C3" w:rsidRPr="00C366C3">
        <w:rPr>
          <w:rFonts w:asciiTheme="majorBidi" w:hAnsiTheme="majorBidi" w:cstheme="majorBidi"/>
          <w:sz w:val="24"/>
          <w:szCs w:val="24"/>
        </w:rPr>
        <w:t xml:space="preserve">, water, and other anions in solution. This makes it difficult to </w:t>
      </w:r>
      <w:r w:rsidR="0039783D">
        <w:rPr>
          <w:rFonts w:asciiTheme="majorBidi" w:hAnsiTheme="majorBidi" w:cstheme="majorBidi"/>
          <w:sz w:val="24"/>
          <w:szCs w:val="24"/>
        </w:rPr>
        <w:t xml:space="preserve">definitively relate structural changes to </w:t>
      </w:r>
      <w:r w:rsidR="0039783D">
        <w:rPr>
          <w:rFonts w:asciiTheme="majorBidi" w:hAnsiTheme="majorBidi" w:cstheme="majorBidi"/>
          <w:sz w:val="24"/>
          <w:szCs w:val="24"/>
        </w:rPr>
        <w:lastRenderedPageBreak/>
        <w:t>Zn substitution [27,28]</w:t>
      </w:r>
      <w:r w:rsidR="00C366C3" w:rsidRPr="00C366C3">
        <w:rPr>
          <w:rFonts w:asciiTheme="majorBidi" w:hAnsiTheme="majorBidi" w:cstheme="majorBidi"/>
          <w:sz w:val="24"/>
          <w:szCs w:val="24"/>
        </w:rPr>
        <w:t xml:space="preserve">. For this reason, a pure HA control was included as the starting point in the Rietveld refinement of all the XRD results presented here. </w:t>
      </w:r>
      <w:r w:rsidR="00B63401" w:rsidRPr="00732866">
        <w:rPr>
          <w:rStyle w:val="cf01"/>
          <w:rFonts w:asciiTheme="majorBidi" w:hAnsiTheme="majorBidi" w:cstheme="majorBidi"/>
          <w:sz w:val="24"/>
          <w:szCs w:val="24"/>
        </w:rPr>
        <w:t>The decrease in the HA hexagonal unit cell parameters with increasing Zn fractions is thought to be related to the difference in the ionic radii between Zn</w:t>
      </w:r>
      <w:r w:rsidR="00B63401" w:rsidRPr="00732866">
        <w:rPr>
          <w:rStyle w:val="cf01"/>
          <w:rFonts w:asciiTheme="majorBidi" w:hAnsiTheme="majorBidi" w:cstheme="majorBidi"/>
          <w:sz w:val="24"/>
          <w:szCs w:val="24"/>
          <w:vertAlign w:val="superscript"/>
        </w:rPr>
        <w:t>2+</w:t>
      </w:r>
      <w:r w:rsidR="00B63401" w:rsidRPr="00732866">
        <w:rPr>
          <w:rStyle w:val="cf01"/>
          <w:rFonts w:asciiTheme="majorBidi" w:hAnsiTheme="majorBidi" w:cstheme="majorBidi"/>
          <w:sz w:val="24"/>
          <w:szCs w:val="24"/>
        </w:rPr>
        <w:t xml:space="preserve"> and Ca</w:t>
      </w:r>
      <w:r w:rsidR="00B63401" w:rsidRPr="00732866">
        <w:rPr>
          <w:rStyle w:val="cf01"/>
          <w:rFonts w:asciiTheme="majorBidi" w:hAnsiTheme="majorBidi" w:cstheme="majorBidi"/>
          <w:sz w:val="24"/>
          <w:szCs w:val="24"/>
          <w:vertAlign w:val="superscript"/>
        </w:rPr>
        <w:t>2+</w:t>
      </w:r>
      <w:r w:rsidR="00B63401" w:rsidRPr="00732866">
        <w:rPr>
          <w:rStyle w:val="cf01"/>
          <w:rFonts w:asciiTheme="majorBidi" w:hAnsiTheme="majorBidi" w:cstheme="majorBidi"/>
          <w:sz w:val="24"/>
          <w:szCs w:val="24"/>
        </w:rPr>
        <w:t>. Zn</w:t>
      </w:r>
      <w:r w:rsidR="00B63401" w:rsidRPr="00732866">
        <w:rPr>
          <w:rStyle w:val="cf01"/>
          <w:rFonts w:asciiTheme="majorBidi" w:hAnsiTheme="majorBidi" w:cstheme="majorBidi"/>
          <w:sz w:val="24"/>
          <w:szCs w:val="24"/>
          <w:vertAlign w:val="superscript"/>
        </w:rPr>
        <w:t>2+</w:t>
      </w:r>
      <w:r w:rsidR="00B63401" w:rsidRPr="00732866">
        <w:rPr>
          <w:rStyle w:val="cf01"/>
          <w:rFonts w:asciiTheme="majorBidi" w:hAnsiTheme="majorBidi" w:cstheme="majorBidi"/>
          <w:sz w:val="24"/>
          <w:szCs w:val="24"/>
        </w:rPr>
        <w:t>, at 0.74 Å has a significantly smaller ionic radius than Ca</w:t>
      </w:r>
      <w:r w:rsidR="00B63401" w:rsidRPr="00732866">
        <w:rPr>
          <w:rStyle w:val="cf01"/>
          <w:rFonts w:asciiTheme="majorBidi" w:hAnsiTheme="majorBidi" w:cstheme="majorBidi"/>
          <w:sz w:val="24"/>
          <w:szCs w:val="24"/>
          <w:vertAlign w:val="superscript"/>
        </w:rPr>
        <w:t>2+</w:t>
      </w:r>
      <w:r w:rsidR="00B63401" w:rsidRPr="00732866">
        <w:rPr>
          <w:rStyle w:val="cf01"/>
          <w:rFonts w:asciiTheme="majorBidi" w:hAnsiTheme="majorBidi" w:cstheme="majorBidi"/>
          <w:sz w:val="24"/>
          <w:szCs w:val="24"/>
        </w:rPr>
        <w:t xml:space="preserve"> at 0.99 Å and, as a result, decreases </w:t>
      </w:r>
      <w:r>
        <w:rPr>
          <w:rStyle w:val="cf01"/>
          <w:rFonts w:asciiTheme="majorBidi" w:hAnsiTheme="majorBidi" w:cstheme="majorBidi"/>
          <w:sz w:val="24"/>
          <w:szCs w:val="24"/>
        </w:rPr>
        <w:t xml:space="preserve">in the HA </w:t>
      </w:r>
      <w:r w:rsidR="00B63401" w:rsidRPr="00732866">
        <w:rPr>
          <w:rStyle w:val="cf01"/>
          <w:rFonts w:asciiTheme="majorBidi" w:hAnsiTheme="majorBidi" w:cstheme="majorBidi"/>
          <w:sz w:val="24"/>
          <w:szCs w:val="24"/>
        </w:rPr>
        <w:t>un</w:t>
      </w:r>
      <w:r>
        <w:rPr>
          <w:rStyle w:val="cf01"/>
          <w:rFonts w:asciiTheme="majorBidi" w:hAnsiTheme="majorBidi" w:cstheme="majorBidi"/>
          <w:sz w:val="24"/>
          <w:szCs w:val="24"/>
        </w:rPr>
        <w:t>it</w:t>
      </w:r>
      <w:r w:rsidR="00B63401" w:rsidRPr="00732866">
        <w:rPr>
          <w:rStyle w:val="cf01"/>
          <w:rFonts w:asciiTheme="majorBidi" w:hAnsiTheme="majorBidi" w:cstheme="majorBidi"/>
          <w:sz w:val="24"/>
          <w:szCs w:val="24"/>
        </w:rPr>
        <w:t xml:space="preserve"> cell parameters are often presented as evidence for Zn substitution of Ca in synthetic HA [28].</w:t>
      </w:r>
      <w:r w:rsidR="00473DBF" w:rsidRPr="00473DBF">
        <w:rPr>
          <w:rFonts w:asciiTheme="majorBidi" w:hAnsiTheme="majorBidi" w:cstheme="majorBidi"/>
          <w:sz w:val="24"/>
          <w:szCs w:val="24"/>
        </w:rPr>
        <w:t xml:space="preserve"> </w:t>
      </w:r>
      <w:r w:rsidR="00473DBF">
        <w:rPr>
          <w:rFonts w:asciiTheme="majorBidi" w:hAnsiTheme="majorBidi" w:cstheme="majorBidi"/>
          <w:sz w:val="24"/>
          <w:szCs w:val="24"/>
        </w:rPr>
        <w:t xml:space="preserve">These minor differences may have a bearing on the observed </w:t>
      </w:r>
      <w:r w:rsidR="00473DBF">
        <w:rPr>
          <w:rFonts w:asciiTheme="majorBidi" w:hAnsiTheme="majorBidi" w:cstheme="majorBidi"/>
          <w:i/>
          <w:iCs/>
          <w:sz w:val="24"/>
          <w:szCs w:val="24"/>
        </w:rPr>
        <w:t>in-</w:t>
      </w:r>
      <w:r w:rsidR="00473DBF" w:rsidRPr="00F3373B">
        <w:rPr>
          <w:rFonts w:asciiTheme="majorBidi" w:hAnsiTheme="majorBidi" w:cstheme="majorBidi"/>
          <w:i/>
          <w:iCs/>
          <w:sz w:val="24"/>
          <w:szCs w:val="24"/>
        </w:rPr>
        <w:t>vitro</w:t>
      </w:r>
      <w:r w:rsidR="00473DBF">
        <w:rPr>
          <w:rFonts w:asciiTheme="majorBidi" w:hAnsiTheme="majorBidi" w:cstheme="majorBidi"/>
          <w:sz w:val="24"/>
          <w:szCs w:val="24"/>
        </w:rPr>
        <w:t xml:space="preserve"> </w:t>
      </w:r>
      <w:r w:rsidR="005C61BB">
        <w:rPr>
          <w:rFonts w:asciiTheme="majorBidi" w:hAnsiTheme="majorBidi" w:cstheme="majorBidi"/>
          <w:sz w:val="24"/>
          <w:szCs w:val="24"/>
        </w:rPr>
        <w:t>tumorigenesis</w:t>
      </w:r>
      <w:r w:rsidR="00A07B77">
        <w:rPr>
          <w:rFonts w:asciiTheme="majorBidi" w:hAnsiTheme="majorBidi" w:cstheme="majorBidi"/>
          <w:sz w:val="24"/>
          <w:szCs w:val="24"/>
        </w:rPr>
        <w:t xml:space="preserve"> effects</w:t>
      </w:r>
      <w:r w:rsidR="00473DBF">
        <w:rPr>
          <w:rFonts w:asciiTheme="majorBidi" w:hAnsiTheme="majorBidi" w:cstheme="majorBidi"/>
          <w:sz w:val="24"/>
          <w:szCs w:val="24"/>
        </w:rPr>
        <w:t xml:space="preserve"> of the synthetic MC analogs, especially </w:t>
      </w:r>
      <w:r w:rsidR="00A07B77">
        <w:rPr>
          <w:rFonts w:asciiTheme="majorBidi" w:hAnsiTheme="majorBidi" w:cstheme="majorBidi"/>
          <w:sz w:val="24"/>
          <w:szCs w:val="24"/>
        </w:rPr>
        <w:t>concerning</w:t>
      </w:r>
      <w:r w:rsidR="00473DBF">
        <w:rPr>
          <w:rFonts w:asciiTheme="majorBidi" w:hAnsiTheme="majorBidi" w:cstheme="majorBidi"/>
          <w:sz w:val="24"/>
          <w:szCs w:val="24"/>
        </w:rPr>
        <w:t xml:space="preserve"> the analog with no Zn. </w:t>
      </w:r>
    </w:p>
    <w:p w14:paraId="2D949CFD" w14:textId="26E4C856" w:rsidR="00EE593F" w:rsidRDefault="0044090E" w:rsidP="00AB3F9D">
      <w:pPr>
        <w:spacing w:after="0" w:line="360" w:lineRule="auto"/>
        <w:jc w:val="both"/>
        <w:rPr>
          <w:rFonts w:asciiTheme="majorBidi" w:hAnsiTheme="majorBidi" w:cstheme="majorBidi"/>
          <w:sz w:val="24"/>
          <w:szCs w:val="24"/>
        </w:rPr>
      </w:pPr>
      <w:r w:rsidRPr="0044090E">
        <w:rPr>
          <w:rFonts w:asciiTheme="majorBidi" w:hAnsiTheme="majorBidi" w:cstheme="majorBidi"/>
          <w:sz w:val="24"/>
          <w:szCs w:val="24"/>
        </w:rPr>
        <w:t>The observed negative</w:t>
      </w:r>
      <w:r w:rsidR="007F6D1B">
        <w:rPr>
          <w:rFonts w:asciiTheme="majorBidi" w:hAnsiTheme="majorBidi" w:cstheme="majorBidi"/>
          <w:sz w:val="24"/>
          <w:szCs w:val="24"/>
        </w:rPr>
        <w:t xml:space="preserve"> z</w:t>
      </w:r>
      <w:r w:rsidRPr="0044090E">
        <w:rPr>
          <w:rFonts w:asciiTheme="majorBidi" w:hAnsiTheme="majorBidi" w:cstheme="majorBidi"/>
          <w:sz w:val="24"/>
          <w:szCs w:val="24"/>
        </w:rPr>
        <w:t>eta potential across all MC analogs is consistent with the findings for Zn-substituted HA particles within a similar Zn fraction range, where negative zeta potentials have been reported</w:t>
      </w:r>
      <w:r w:rsidR="008531BC">
        <w:rPr>
          <w:rFonts w:asciiTheme="majorBidi" w:hAnsiTheme="majorBidi" w:cstheme="majorBidi"/>
          <w:sz w:val="24"/>
          <w:szCs w:val="24"/>
        </w:rPr>
        <w:t xml:space="preserve"> </w:t>
      </w:r>
      <w:r w:rsidR="00B41177">
        <w:rPr>
          <w:rFonts w:asciiTheme="majorBidi" w:hAnsiTheme="majorBidi" w:cstheme="majorBidi"/>
          <w:sz w:val="24"/>
          <w:szCs w:val="24"/>
        </w:rPr>
        <w:fldChar w:fldCharType="begin" w:fldLock="1"/>
      </w:r>
      <w:r w:rsidR="000C33F6">
        <w:rPr>
          <w:rFonts w:asciiTheme="majorBidi" w:hAnsiTheme="majorBidi" w:cstheme="majorBidi"/>
          <w:sz w:val="24"/>
          <w:szCs w:val="24"/>
        </w:rPr>
        <w:instrText>ADDIN CSL_CITATION {"citationItems":[{"id":"ITEM-1","itemData":{"DOI":"10.3390/ma10030229","ISSN":"19961944","abstract":"The present work was focused on the synthesis and characterization of hydroxyapatite doped with low concentrations of zinc (Zn:HAp) (0.01 &lt; xZn &lt; 0.05). The incorporation of low concentrations of Zn2+ ions in the hydroxyapatite (HAp) structure was achieved by co-precipitation method. The physico-chemical properties of the samples were characterized by X-ray Diffraction (XRD), Fourier Transform Infrared Spectroscopy (FTIR), X-ray photoelectron spectroscopy (XPS), Scanning Electron Microscopy (SEM), zeta-potential, and DLS and N2-BET measurements. The results obtained by XRD and FTIR studies demonstrated that doping hydroxyapatite with low concentrations of zinc leads to the formation of a hexagonal structure with lattice parameters characteristic to hydroxyapatite. The XRD studies have also shown that the crystallite size and lattice parameters of the unit cell depend on the substitutions of Ca2+ with Zn2+ in the apatitic structure. Moreover, the FTIR analysis revealed that the water content increases with the increase of zinc concentration. Furthermore, the Energy Dispersive X-ray Analysis (EDAX) and XPS analyses showed that the elements Ca, P, O, and Zn were found in all the Zn:HAp samples suggesting that the synthesized materials were zinc doped hydroxyapatite, Ca10-xZnx(PO4)6(OH), with 0.01 ≤ xZn ≤ 0.05. Antimicrobial assays on Staphylococcus aureus and Escherichia coli bacterial strains and HepG2 cell viability assay were carried out.","author":[{"dropping-particle":"","family":"Predoi","given":"Daniela","non-dropping-particle":"","parse-names":false,"suffix":""},{"dropping-particle":"","family":"Iconaru","given":"Simona Liliana","non-dropping-particle":"","parse-names":false,"suffix":""},{"dropping-particle":"","family":"Deniaud","given":"Aurélien","non-dropping-particle":"","parse-names":false,"suffix":""},{"dropping-particle":"","family":"Chevallet","given":"Mireille","non-dropping-particle":"","parse-names":false,"suffix":""},{"dropping-particle":"","family":"Michaud-Soret","given":"Isabelle","non-dropping-particle":"","parse-names":false,"suffix":""},{"dropping-particle":"","family":"Buton","given":"Nicolas","non-dropping-particle":"","parse-names":false,"suffix":""},{"dropping-particle":"","family":"Prodan","given":"Alina Mihaela","non-dropping-particle":"","parse-names":false,"suffix":""}],"container-title":"Materials","id":"ITEM-1","issued":{"date-parts":[["2017"]]},"page":"229","title":"Textural, structural and biological evaluation of hydroxyapatite doped with zinc at low concentrations","type":"article-journal","volume":"10(3)"},"uris":["http://www.mendeley.com/documents/?uuid=c7e2a7de-26b8-4e82-bd69-d55b347fbf87"]}],"mendeley":{"formattedCitation":"[34]","plainTextFormattedCitation":"[34]","previouslyFormattedCitation":"[34]"},"properties":{"noteIndex":0},"schema":"https://github.com/citation-style-language/schema/raw/master/csl-citation.json"}</w:instrText>
      </w:r>
      <w:r w:rsidR="00B41177">
        <w:rPr>
          <w:rFonts w:asciiTheme="majorBidi" w:hAnsiTheme="majorBidi" w:cstheme="majorBidi"/>
          <w:sz w:val="24"/>
          <w:szCs w:val="24"/>
        </w:rPr>
        <w:fldChar w:fldCharType="separate"/>
      </w:r>
      <w:r w:rsidR="000C33F6" w:rsidRPr="000C33F6">
        <w:rPr>
          <w:rFonts w:asciiTheme="majorBidi" w:hAnsiTheme="majorBidi" w:cstheme="majorBidi"/>
          <w:noProof/>
          <w:sz w:val="24"/>
          <w:szCs w:val="24"/>
        </w:rPr>
        <w:t>[34]</w:t>
      </w:r>
      <w:r w:rsidR="00B41177">
        <w:rPr>
          <w:rFonts w:asciiTheme="majorBidi" w:hAnsiTheme="majorBidi" w:cstheme="majorBidi"/>
          <w:sz w:val="24"/>
          <w:szCs w:val="24"/>
        </w:rPr>
        <w:fldChar w:fldCharType="end"/>
      </w:r>
      <w:r w:rsidRPr="0044090E">
        <w:rPr>
          <w:rFonts w:asciiTheme="majorBidi" w:hAnsiTheme="majorBidi" w:cstheme="majorBidi"/>
          <w:sz w:val="24"/>
          <w:szCs w:val="24"/>
        </w:rPr>
        <w:t>.</w:t>
      </w:r>
      <w:r w:rsidR="000C24D9">
        <w:rPr>
          <w:rFonts w:asciiTheme="majorBidi" w:hAnsiTheme="majorBidi" w:cstheme="majorBidi"/>
          <w:sz w:val="24"/>
          <w:szCs w:val="24"/>
        </w:rPr>
        <w:t xml:space="preserve"> </w:t>
      </w:r>
      <w:r w:rsidR="007F6D1B">
        <w:rPr>
          <w:rFonts w:asciiTheme="majorBidi" w:hAnsiTheme="majorBidi" w:cstheme="majorBidi"/>
          <w:sz w:val="24"/>
          <w:szCs w:val="24"/>
        </w:rPr>
        <w:t xml:space="preserve">Some </w:t>
      </w:r>
      <w:r w:rsidR="00AC2D2E">
        <w:rPr>
          <w:rFonts w:asciiTheme="majorBidi" w:hAnsiTheme="majorBidi" w:cstheme="majorBidi"/>
          <w:sz w:val="24"/>
          <w:szCs w:val="24"/>
        </w:rPr>
        <w:t>variance could arise due to different synthesis protocols yielding varying morphologies</w:t>
      </w:r>
      <w:r w:rsidR="002B0DD2">
        <w:rPr>
          <w:rFonts w:asciiTheme="majorBidi" w:hAnsiTheme="majorBidi" w:cstheme="majorBidi"/>
          <w:sz w:val="24"/>
          <w:szCs w:val="24"/>
        </w:rPr>
        <w:t>, carbonate content,</w:t>
      </w:r>
      <w:r w:rsidR="00AC2D2E">
        <w:rPr>
          <w:rFonts w:asciiTheme="majorBidi" w:hAnsiTheme="majorBidi" w:cstheme="majorBidi"/>
          <w:sz w:val="24"/>
          <w:szCs w:val="24"/>
        </w:rPr>
        <w:t xml:space="preserve"> and crystallite sizes. </w:t>
      </w:r>
      <w:r w:rsidR="00F21C74">
        <w:rPr>
          <w:rFonts w:asciiTheme="majorBidi" w:hAnsiTheme="majorBidi" w:cstheme="majorBidi"/>
          <w:sz w:val="24"/>
          <w:szCs w:val="24"/>
        </w:rPr>
        <w:t>Notably, t</w:t>
      </w:r>
      <w:r w:rsidR="00F270E6">
        <w:rPr>
          <w:rFonts w:asciiTheme="majorBidi" w:hAnsiTheme="majorBidi" w:cstheme="majorBidi"/>
          <w:sz w:val="24"/>
          <w:szCs w:val="24"/>
        </w:rPr>
        <w:t xml:space="preserve">he measured zeta potential values </w:t>
      </w:r>
      <w:r w:rsidR="00F21C74">
        <w:rPr>
          <w:rFonts w:asciiTheme="majorBidi" w:hAnsiTheme="majorBidi" w:cstheme="majorBidi"/>
          <w:sz w:val="24"/>
          <w:szCs w:val="24"/>
        </w:rPr>
        <w:t>fell below</w:t>
      </w:r>
      <w:r w:rsidR="00F270E6">
        <w:rPr>
          <w:rFonts w:asciiTheme="majorBidi" w:hAnsiTheme="majorBidi" w:cstheme="majorBidi"/>
          <w:sz w:val="24"/>
          <w:szCs w:val="24"/>
        </w:rPr>
        <w:t xml:space="preserve"> 25 mV</w:t>
      </w:r>
      <w:r w:rsidR="00F21C74">
        <w:rPr>
          <w:rFonts w:asciiTheme="majorBidi" w:hAnsiTheme="majorBidi" w:cstheme="majorBidi"/>
          <w:sz w:val="24"/>
          <w:szCs w:val="24"/>
        </w:rPr>
        <w:t xml:space="preserve"> </w:t>
      </w:r>
      <w:r w:rsidR="000C24D9">
        <w:rPr>
          <w:rFonts w:asciiTheme="majorBidi" w:hAnsiTheme="majorBidi" w:cstheme="majorBidi"/>
          <w:sz w:val="24"/>
          <w:szCs w:val="24"/>
        </w:rPr>
        <w:t>in both our case and</w:t>
      </w:r>
      <w:r w:rsidR="00F21C74">
        <w:rPr>
          <w:rFonts w:asciiTheme="majorBidi" w:hAnsiTheme="majorBidi" w:cstheme="majorBidi"/>
          <w:sz w:val="24"/>
          <w:szCs w:val="24"/>
        </w:rPr>
        <w:t xml:space="preserve"> the literature</w:t>
      </w:r>
      <w:r w:rsidR="00F270E6">
        <w:rPr>
          <w:rFonts w:asciiTheme="majorBidi" w:hAnsiTheme="majorBidi" w:cstheme="majorBidi"/>
          <w:sz w:val="24"/>
          <w:szCs w:val="24"/>
        </w:rPr>
        <w:t xml:space="preserve">, indicating unstable particle dispersion. </w:t>
      </w:r>
    </w:p>
    <w:p w14:paraId="753C8847" w14:textId="0BD011A9" w:rsidR="003A0807" w:rsidRDefault="00567C11" w:rsidP="00C538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When thyroid cancer cells were exposed to </w:t>
      </w:r>
      <w:r w:rsidR="00EF0BD7">
        <w:rPr>
          <w:rFonts w:asciiTheme="majorBidi" w:hAnsiTheme="majorBidi" w:cstheme="majorBidi"/>
          <w:sz w:val="24"/>
          <w:szCs w:val="24"/>
        </w:rPr>
        <w:t>the</w:t>
      </w:r>
      <w:r>
        <w:rPr>
          <w:rFonts w:asciiTheme="majorBidi" w:hAnsiTheme="majorBidi" w:cstheme="majorBidi"/>
          <w:sz w:val="24"/>
          <w:szCs w:val="24"/>
        </w:rPr>
        <w:t xml:space="preserve"> non-cytotoxic MC analogs, their malignancy potential </w:t>
      </w:r>
      <w:r w:rsidRPr="003F0BDD">
        <w:rPr>
          <w:rFonts w:asciiTheme="majorBidi" w:hAnsiTheme="majorBidi" w:cstheme="majorBidi"/>
          <w:sz w:val="24"/>
          <w:szCs w:val="24"/>
          <w:highlight w:val="green"/>
        </w:rPr>
        <w:t xml:space="preserve">was investigated by cell migration and proliferation </w:t>
      </w:r>
      <w:r>
        <w:rPr>
          <w:rFonts w:asciiTheme="majorBidi" w:hAnsiTheme="majorBidi" w:cstheme="majorBidi"/>
          <w:sz w:val="24"/>
          <w:szCs w:val="24"/>
          <w:highlight w:val="green"/>
        </w:rPr>
        <w:t>assays</w:t>
      </w:r>
      <w:r w:rsidRPr="003F0BDD">
        <w:rPr>
          <w:rFonts w:asciiTheme="majorBidi" w:hAnsiTheme="majorBidi" w:cstheme="majorBidi"/>
          <w:sz w:val="24"/>
          <w:szCs w:val="24"/>
          <w:highlight w:val="green"/>
        </w:rPr>
        <w:t xml:space="preserve">, as well as by their ability to form multicellular spheroids in low-adherence </w:t>
      </w:r>
      <w:r w:rsidRPr="000F143F">
        <w:rPr>
          <w:rFonts w:asciiTheme="majorBidi" w:hAnsiTheme="majorBidi" w:cstheme="majorBidi"/>
          <w:sz w:val="24"/>
          <w:szCs w:val="24"/>
          <w:highlight w:val="green"/>
        </w:rPr>
        <w:t>conditions and the expression of cancer markers.</w:t>
      </w:r>
      <w:r w:rsidR="00EF0BD7">
        <w:rPr>
          <w:rFonts w:asciiTheme="majorBidi" w:hAnsiTheme="majorBidi" w:cstheme="majorBidi"/>
          <w:sz w:val="24"/>
          <w:szCs w:val="24"/>
        </w:rPr>
        <w:t xml:space="preserve"> </w:t>
      </w:r>
      <w:r>
        <w:rPr>
          <w:rFonts w:asciiTheme="majorBidi" w:hAnsiTheme="majorBidi" w:cstheme="majorBidi"/>
          <w:sz w:val="24"/>
          <w:szCs w:val="24"/>
        </w:rPr>
        <w:t xml:space="preserve">Cell migration and proliferation were increased the most upon exposure to MC analogs containing 0.74 wt% Zn. These MC analog crystals featured the lowest carbonate content, together with intermediate crystallinity, </w:t>
      </w:r>
      <w:r w:rsidRPr="00242060">
        <w:rPr>
          <w:rFonts w:asciiTheme="majorBidi" w:hAnsiTheme="majorBidi" w:cstheme="majorBidi"/>
          <w:sz w:val="24"/>
          <w:szCs w:val="24"/>
          <w:highlight w:val="green"/>
        </w:rPr>
        <w:t>surface roughness</w:t>
      </w:r>
      <w:r>
        <w:rPr>
          <w:rFonts w:asciiTheme="majorBidi" w:hAnsiTheme="majorBidi" w:cstheme="majorBidi"/>
          <w:sz w:val="24"/>
          <w:szCs w:val="24"/>
        </w:rPr>
        <w:t xml:space="preserve">, and zeta potential values. </w:t>
      </w:r>
      <w:r w:rsidR="003A0807" w:rsidRPr="000F143F">
        <w:rPr>
          <w:rFonts w:asciiTheme="majorBidi" w:hAnsiTheme="majorBidi" w:cstheme="majorBidi"/>
          <w:sz w:val="24"/>
          <w:szCs w:val="24"/>
          <w:highlight w:val="green"/>
        </w:rPr>
        <w:t xml:space="preserve">We did not observe </w:t>
      </w:r>
      <w:r w:rsidR="00C538FE" w:rsidRPr="000F143F">
        <w:rPr>
          <w:rFonts w:asciiTheme="majorBidi" w:hAnsiTheme="majorBidi" w:cstheme="majorBidi"/>
          <w:sz w:val="24"/>
          <w:szCs w:val="24"/>
          <w:highlight w:val="green"/>
        </w:rPr>
        <w:t>changes in</w:t>
      </w:r>
      <w:r w:rsidR="003A0807" w:rsidRPr="000F143F">
        <w:rPr>
          <w:rFonts w:asciiTheme="majorBidi" w:hAnsiTheme="majorBidi" w:cstheme="majorBidi"/>
          <w:sz w:val="24"/>
          <w:szCs w:val="24"/>
          <w:highlight w:val="green"/>
        </w:rPr>
        <w:t xml:space="preserve"> </w:t>
      </w:r>
      <w:r w:rsidR="00026528" w:rsidRPr="000F143F">
        <w:rPr>
          <w:rFonts w:asciiTheme="majorBidi" w:hAnsiTheme="majorBidi" w:cstheme="majorBidi"/>
          <w:sz w:val="24"/>
          <w:szCs w:val="24"/>
          <w:highlight w:val="green"/>
        </w:rPr>
        <w:t>A</w:t>
      </w:r>
      <w:r w:rsidR="000F143F" w:rsidRPr="000F143F">
        <w:rPr>
          <w:rFonts w:asciiTheme="majorBidi" w:hAnsiTheme="majorBidi" w:cstheme="majorBidi"/>
          <w:sz w:val="24"/>
          <w:szCs w:val="24"/>
          <w:highlight w:val="green"/>
        </w:rPr>
        <w:t>KT</w:t>
      </w:r>
      <w:r w:rsidR="00026528" w:rsidRPr="000F143F">
        <w:rPr>
          <w:rFonts w:asciiTheme="majorBidi" w:hAnsiTheme="majorBidi" w:cstheme="majorBidi"/>
          <w:sz w:val="24"/>
          <w:szCs w:val="24"/>
          <w:highlight w:val="green"/>
        </w:rPr>
        <w:t xml:space="preserve"> </w:t>
      </w:r>
      <w:r w:rsidR="000F143F" w:rsidRPr="000F143F">
        <w:rPr>
          <w:rFonts w:asciiTheme="majorBidi" w:hAnsiTheme="majorBidi" w:cstheme="majorBidi"/>
          <w:sz w:val="24"/>
          <w:szCs w:val="24"/>
          <w:highlight w:val="green"/>
        </w:rPr>
        <w:t xml:space="preserve">and ERK </w:t>
      </w:r>
      <w:r w:rsidR="00026528" w:rsidRPr="000F143F">
        <w:rPr>
          <w:rFonts w:asciiTheme="majorBidi" w:hAnsiTheme="majorBidi" w:cstheme="majorBidi"/>
          <w:sz w:val="24"/>
          <w:szCs w:val="24"/>
          <w:highlight w:val="green"/>
        </w:rPr>
        <w:t xml:space="preserve">signaling, </w:t>
      </w:r>
      <w:r w:rsidR="003A0807" w:rsidRPr="000F143F">
        <w:rPr>
          <w:rFonts w:asciiTheme="majorBidi" w:hAnsiTheme="majorBidi" w:cstheme="majorBidi"/>
          <w:sz w:val="24"/>
          <w:szCs w:val="24"/>
          <w:highlight w:val="green"/>
        </w:rPr>
        <w:t xml:space="preserve">as all </w:t>
      </w:r>
      <w:r w:rsidR="00EF79A0" w:rsidRPr="000F143F">
        <w:rPr>
          <w:rFonts w:asciiTheme="majorBidi" w:hAnsiTheme="majorBidi" w:cstheme="majorBidi"/>
          <w:sz w:val="24"/>
          <w:szCs w:val="24"/>
          <w:highlight w:val="green"/>
        </w:rPr>
        <w:t>cells</w:t>
      </w:r>
      <w:r w:rsidR="003A0807" w:rsidRPr="000F143F">
        <w:rPr>
          <w:rFonts w:asciiTheme="majorBidi" w:hAnsiTheme="majorBidi" w:cstheme="majorBidi"/>
          <w:sz w:val="24"/>
          <w:szCs w:val="24"/>
          <w:highlight w:val="green"/>
        </w:rPr>
        <w:t xml:space="preserve"> had similar </w:t>
      </w:r>
      <w:r w:rsidR="00C538FE" w:rsidRPr="000F143F">
        <w:rPr>
          <w:rFonts w:asciiTheme="majorBidi" w:hAnsiTheme="majorBidi" w:cstheme="majorBidi"/>
          <w:sz w:val="24"/>
          <w:szCs w:val="24"/>
          <w:highlight w:val="green"/>
        </w:rPr>
        <w:t xml:space="preserve">and high </w:t>
      </w:r>
      <w:r w:rsidR="003A0807" w:rsidRPr="000F143F">
        <w:rPr>
          <w:rFonts w:asciiTheme="majorBidi" w:hAnsiTheme="majorBidi" w:cstheme="majorBidi"/>
          <w:sz w:val="24"/>
          <w:szCs w:val="24"/>
          <w:highlight w:val="green"/>
        </w:rPr>
        <w:t>expressions independen</w:t>
      </w:r>
      <w:r w:rsidR="00145BC7" w:rsidRPr="000F143F">
        <w:rPr>
          <w:rFonts w:asciiTheme="majorBidi" w:hAnsiTheme="majorBidi" w:cstheme="majorBidi"/>
          <w:sz w:val="24"/>
          <w:szCs w:val="24"/>
          <w:highlight w:val="green"/>
        </w:rPr>
        <w:t>t</w:t>
      </w:r>
      <w:r w:rsidR="003A0807" w:rsidRPr="000F143F">
        <w:rPr>
          <w:rFonts w:asciiTheme="majorBidi" w:hAnsiTheme="majorBidi" w:cstheme="majorBidi"/>
          <w:sz w:val="24"/>
          <w:szCs w:val="24"/>
          <w:highlight w:val="green"/>
        </w:rPr>
        <w:t xml:space="preserve"> of whether they were treated with MC analogs, or the type of mineral.</w:t>
      </w:r>
      <w:r w:rsidR="00EF79A0" w:rsidRPr="000F143F">
        <w:rPr>
          <w:rFonts w:asciiTheme="majorBidi" w:hAnsiTheme="majorBidi" w:cstheme="majorBidi"/>
          <w:sz w:val="24"/>
          <w:szCs w:val="24"/>
          <w:highlight w:val="green"/>
        </w:rPr>
        <w:t xml:space="preserve"> However, the cells showed lower expression of the cancer markers </w:t>
      </w:r>
      <w:r w:rsidR="000F143F" w:rsidRPr="000F143F">
        <w:rPr>
          <w:rFonts w:asciiTheme="majorBidi" w:hAnsiTheme="majorBidi" w:cstheme="majorBidi"/>
          <w:sz w:val="24"/>
          <w:szCs w:val="24"/>
          <w:highlight w:val="green"/>
        </w:rPr>
        <w:t xml:space="preserve">p-ERK </w:t>
      </w:r>
      <w:r w:rsidR="00EF79A0" w:rsidRPr="000F143F">
        <w:rPr>
          <w:rFonts w:asciiTheme="majorBidi" w:hAnsiTheme="majorBidi" w:cstheme="majorBidi"/>
          <w:sz w:val="24"/>
          <w:szCs w:val="24"/>
          <w:highlight w:val="green"/>
        </w:rPr>
        <w:t>and EGFR when treated with MC analogs of higher Zn fraction</w:t>
      </w:r>
      <w:r w:rsidR="002B29A7" w:rsidRPr="000F143F">
        <w:rPr>
          <w:rFonts w:asciiTheme="majorBidi" w:hAnsiTheme="majorBidi" w:cstheme="majorBidi"/>
          <w:sz w:val="24"/>
          <w:szCs w:val="24"/>
          <w:highlight w:val="green"/>
        </w:rPr>
        <w:t>s</w:t>
      </w:r>
      <w:r w:rsidR="00EF79A0" w:rsidRPr="000F143F">
        <w:rPr>
          <w:rFonts w:asciiTheme="majorBidi" w:hAnsiTheme="majorBidi" w:cstheme="majorBidi"/>
          <w:sz w:val="24"/>
          <w:szCs w:val="24"/>
          <w:highlight w:val="green"/>
        </w:rPr>
        <w:t>.</w:t>
      </w:r>
    </w:p>
    <w:p w14:paraId="4EE8CC81" w14:textId="1E7B504A" w:rsidR="00567C11" w:rsidRPr="004F4F43" w:rsidRDefault="00CA648E" w:rsidP="005379B7">
      <w:pPr>
        <w:spacing w:after="0" w:line="360" w:lineRule="auto"/>
        <w:jc w:val="both"/>
        <w:rPr>
          <w:rFonts w:asciiTheme="majorBidi" w:hAnsiTheme="majorBidi" w:cstheme="majorBidi"/>
          <w:sz w:val="24"/>
          <w:szCs w:val="24"/>
          <w:highlight w:val="green"/>
        </w:rPr>
      </w:pPr>
      <w:r w:rsidRPr="00BA66A4">
        <w:rPr>
          <w:rFonts w:asciiTheme="majorBidi" w:hAnsiTheme="majorBidi" w:cstheme="majorBidi"/>
          <w:sz w:val="24"/>
          <w:szCs w:val="24"/>
          <w:highlight w:val="green"/>
        </w:rPr>
        <w:t>The association between the ability to form multicellular spheroids and malignancy potential depends on the cell type and methodology</w:t>
      </w:r>
      <w:r w:rsidR="005379B7">
        <w:rPr>
          <w:rFonts w:asciiTheme="majorBidi" w:hAnsiTheme="majorBidi" w:cstheme="majorBidi"/>
          <w:sz w:val="24"/>
          <w:szCs w:val="24"/>
          <w:highlight w:val="green"/>
        </w:rPr>
        <w:fldChar w:fldCharType="begin" w:fldLock="1"/>
      </w:r>
      <w:r w:rsidR="005379B7">
        <w:rPr>
          <w:rFonts w:asciiTheme="majorBidi" w:hAnsiTheme="majorBidi" w:cstheme="majorBidi"/>
          <w:sz w:val="24"/>
          <w:szCs w:val="24"/>
          <w:highlight w:val="green"/>
        </w:rPr>
        <w:instrText>ADDIN CSL_CITATION {"citationItems":[{"id":"ITEM-1","itemData":{"DOI":"10.1038/nprot.2008.226","ISSN":"17542189","PMID":"19214182","abstract":"Although used in academic research for several decades, 3D culture models have long been regarded expensive, cumbersome and unnecessary in drug development processes. Technical advances, coupled with recent observations showing that gene expression in 3D is much closer to clinical expression profiles than those seen in 2D, have renewed attention and generated hope in the feasibility of maturing organotypic 3D systems to therapy test platforms with greater power to predict clinical efficacies. Here we describe a standardized setup for reproducible, easy-handling culture, treatment and routine analysis of multicellular spheroids, the classical 3D culture system resembling many aspects of the pathophysiological situation in human tumor tissue. We discuss essential conceptual and practical considerations for an adequate establishment and use of spheroid-based drug screening platforms and also provide a list of human carcinoma cell lines, partly on the basis of the NCI-DTP 60-cell line screen, that produce treatable spheroids under identical culture conditions. In contrast to many other settings with which to achieve similar results, the protocol is particularly useful to be integrated into standardized large-scale drug test routines as it requires a minimum number of defined spheroids and a limited amount of drug. The estimated time to run the complete screening protocol described herein - including spheroid initiation, drug treatment and determination of the analytical end points (spheroid integrity, and cell survival through the acid phosphatase assay) - is about 170 h. Monitoring of spheroid growth kinetics to determine growth delay and regrowth, respectively, after drug treatment requires long-term culturing (≥14 d).","author":[{"dropping-particle":"","family":"Friedrich","given":"Juergen","non-dropping-particle":"","parse-names":false,"suffix":""},{"dropping-particle":"","family":"Seidel","given":"Claudia","non-dropping-particle":"","parse-names":false,"suffix":""},{"dropping-particle":"","family":"Ebner","given":"Reinhard","non-dropping-particle":"","parse-names":false,"suffix":""},{"dropping-particle":"","family":"Kunz-Schughart","given":"Leoni A.","non-dropping-particle":"","parse-names":false,"suffix":""}],"container-title":"Nature Protocols","id":"ITEM-1","issue":"3","issued":{"date-parts":[["2009"]]},"page":"309-324","title":"Spheroid-based drug screen: Considerations and practical approach","type":"article-journal","volume":"4"},"uris":["http://www.mendeley.com/documents/?uuid=00ce51e0-82c3-454e-8e85-a9f8b516412c"]},{"id":"ITEM-2","itemData":{"DOI":"10.1016/j.neo.2014.12.004","ISSN":"14765586","PMID":"25622895","abstract":"Three-dimensional (3D) in vitro models have been used in cancer research as an intermediate model between in vitro cancer cell line cultures and in vivo tumor. Spherical cancer models represent major 3D in vitro models that have been described over the past 4 decades. These models have gained popularity in cancer stem cell research using tumorospheres. Thus, it is crucial to define and clarify the different spherical cancer models thus far described. Here, we focus on in vitro multicellular spheres used in cancer research. All these spherelike structures are characterized by their well-rounded shape, the presence of cancer cells, and their capacity to be maintained as free-floating cultures. We propose a rational classification of the four most commonly used spherical cancer models in cancer research based on culture methods for obtaining them and on subsequent differences in sphere biology: the multicellular tumor spheroid model, first described in the early 70s and obtained by culture of cancer cell lines under nonadherent conditions; tumorospheres, a model of cancer stem cell expansion established in a serum-free medium supplemented with growth factors; tissue-derived tumor spheres and organotypic multicellular spheroids, obtained by tumor tissue mechanical dissociation and cutting. In addition, we describe their applications to and interest in cancer research; in particular, we describe their contribution to chemoresistance, radioresistance, tumorigenicity, and invasion and migration studies. Although these models share a common 3D conformation, each displays its own intrinsic properties. Therefore, the most relevant spherical cancer model must be carefully selected, as a function of the study aim and cancer type.","author":[{"dropping-particle":"","family":"Weiswald","given":"Louis Bastien","non-dropping-particle":"","parse-names":false,"suffix":""},{"dropping-particle":"","family":"Bellet","given":"Dominique","non-dropping-particle":"","parse-names":false,"suffix":""},{"dropping-particle":"","family":"Dangles-Marie","given":"Virginie","non-dropping-particle":"","parse-names":false,"suffix":""}],"container-title":"Neoplasia (United States)","id":"ITEM-2","issue":"1","issued":{"date-parts":[["2015"]]},"page":"1-15","publisher":"Neoplasia Press, Inc.","title":"Spherical Cancer Models in Tumor Biology","type":"article-journal","volume":"17"},"uris":["http://www.mendeley.com/documents/?uuid=88f00ab3-555f-414a-bd00-fac269724cf8"]}],"mendeley":{"formattedCitation":"[35,36]","plainTextFormattedCitation":"[35,36]","previouslyFormattedCitation":"[35,36]"},"properties":{"noteIndex":0},"schema":"https://github.com/citation-style-language/schema/raw/master/csl-citation.json"}</w:instrText>
      </w:r>
      <w:r w:rsidR="005379B7">
        <w:rPr>
          <w:rFonts w:asciiTheme="majorBidi" w:hAnsiTheme="majorBidi" w:cstheme="majorBidi"/>
          <w:sz w:val="24"/>
          <w:szCs w:val="24"/>
          <w:highlight w:val="green"/>
        </w:rPr>
        <w:fldChar w:fldCharType="separate"/>
      </w:r>
      <w:r w:rsidR="005379B7" w:rsidRPr="005379B7">
        <w:rPr>
          <w:rFonts w:asciiTheme="majorBidi" w:hAnsiTheme="majorBidi" w:cstheme="majorBidi"/>
          <w:noProof/>
          <w:sz w:val="24"/>
          <w:szCs w:val="24"/>
          <w:highlight w:val="green"/>
        </w:rPr>
        <w:t>[35,36]</w:t>
      </w:r>
      <w:r w:rsidR="005379B7">
        <w:rPr>
          <w:rFonts w:asciiTheme="majorBidi" w:hAnsiTheme="majorBidi" w:cstheme="majorBidi"/>
          <w:sz w:val="24"/>
          <w:szCs w:val="24"/>
          <w:highlight w:val="green"/>
        </w:rPr>
        <w:fldChar w:fldCharType="end"/>
      </w:r>
      <w:r w:rsidR="00BA66A4" w:rsidRPr="00BA66A4">
        <w:rPr>
          <w:rFonts w:asciiTheme="majorBidi" w:hAnsiTheme="majorBidi" w:cstheme="majorBidi"/>
          <w:sz w:val="24"/>
          <w:szCs w:val="24"/>
          <w:highlight w:val="green"/>
        </w:rPr>
        <w:t>. While not consistently observed, it is common for cells exhibiting increased invasive behavior to form compact multicellular spheroids</w:t>
      </w:r>
      <w:r w:rsidR="005379B7">
        <w:rPr>
          <w:rFonts w:asciiTheme="majorBidi" w:hAnsiTheme="majorBidi" w:cstheme="majorBidi"/>
          <w:sz w:val="24"/>
          <w:szCs w:val="24"/>
          <w:highlight w:val="green"/>
        </w:rPr>
        <w:fldChar w:fldCharType="begin" w:fldLock="1"/>
      </w:r>
      <w:r w:rsidR="005379B7">
        <w:rPr>
          <w:rFonts w:asciiTheme="majorBidi" w:hAnsiTheme="majorBidi" w:cstheme="majorBidi"/>
          <w:sz w:val="24"/>
          <w:szCs w:val="24"/>
          <w:highlight w:val="green"/>
        </w:rPr>
        <w:instrText>ADDIN CSL_CITATION {"citationItems":[{"id":"ITEM-1","itemData":{"DOI":"10.1002/ijc.24188","ISSN":"00207136","PMID":"19132753","abstract":"Ovarian cancer cells are present in malignant ascites both as individual cells and as multicellular spheroid aggregates. Although spheroid formation affords protection of cancer cells against some chemotherapeutic agents, it has not been established whether a relationship exists between invasive behavior and predisposition to spheroid formation. Aspects of spheroid formation, including cell-matrix adhesion, remodeling and contractility are characteristic myofibroblast-like behaviors associated with fibrosis that contribute to tumor growth and dissemination. We explored the possibility that cell behaviors that promote spheroid formation also facilitate invasion. Our analysis of 6 human ovarian cancer cell lines indicated that ovarian cancer cells possessing myofibroblast-like properties formed compact spheroids and invaded 3D matrices. These cells readily contracted collagen I gels, possessed a spindle-like morphology, and had elevated expression of genes associated with the TGFβ-mediated fibrotic response and/or β1 integrin function, including fibronectin (FN), connective tissue growth factor (CTGF/CCN2), lysyl oxidase (LOX1), tissue transglutaminase 2 (TGM2) and urinary plasminogen activator receptor (uPAR). Whereas cell aggregation was induced by TGFβ, and by β1-integrin overexpression and activation, these treatments did not stimulate the contractile activity required for spheroid compaction. The positive relationship found between compact spheroid formation and invasive behavior implies a preferential survival of an invasive subpopulation of ovarian cancer cells, as cells in spheroids are more resistant to several chemotherapeutics. Preventing the formation of ovarian cancer spheroids may represent a novel strategy to improve the efficacy of existing therapeutics. © 2008 Wiley-Liss, Inc.","author":[{"dropping-particle":"","family":"Sodek","given":"Katharine L.","non-dropping-particle":"","parse-names":false,"suffix":""},{"dropping-particle":"","family":"Ringuette","given":"Maurice J.","non-dropping-particle":"","parse-names":false,"suffix":""},{"dropping-particle":"","family":"Brown","given":"Theodore J.","non-dropping-particle":"","parse-names":false,"suffix":""}],"container-title":"International Journal of Cancer","id":"ITEM-1","issue":"9","issued":{"date-parts":[["2009"]]},"page":"2060-2070","title":"Compact spheroid formation by ovarian cancer cells is associated with contractile behavior and an invasive phenotype","type":"article-journal","volume":"124"},"uris":["http://www.mendeley.com/documents/?uuid=da4c179a-4c36-45be-b817-b4b356c3ce9a"]},{"id":"ITEM-2","itemData":{"DOI":"10.1016/j.biomaterials.2018.06.030","ISSN":"18785905","PMID":"29980076","abstract":"Microcalcifications serve as diagnostic markers for breast cancer, yet their formation pathway(s) and role in cancer progression are debated due in part to a lack of relevant 3D culture models that allow studying the extent of cellular regulation over mineralization. Previous studies have suggested processes ranging from dystrophic mineralization associated with cell death to bone-like mineral deposition. Here, we evaluated microcalcification formation in 3D multicellular spheroids, generated from non-malignant, pre-cancer, and invasive cell lines from the MCF10A human breast tumor progression series. The spheroids with greater malignancy potential developed necrotic cores, thus recapitulating spatially distinct viable and non-viable areas known to regulate cellular behavior in tumors in vivo. The spatial distribution of the microcalcifications, as well as their compositions, were characterized using nanoCT, electron-microscopy, and X-ray spectroscopy. Apatite microcalcifications were primarily detected within the viable cell regions and their number and size increased with malignancy potential of the spheroids. Levels of alkaline phosphatase decreased with malignancy potential, whereas levels of osteopontin increased. These findings support a mineralization pathway in which cancer cells induce mineralization in a manner that is linked to their malignancy potential, but that is distinct from physiological osteogenic mineralization.","author":[{"dropping-particle":"","family":"Vidavsky","given":"Netta","non-dropping-particle":"","parse-names":false,"suffix":""},{"dropping-particle":"","family":"Kunitake","given":"Jennie AMR","non-dropping-particle":"","parse-names":false,"suffix":""},{"dropping-particle":"","family":"Chiou","given":"Aaron E.","non-dropping-particle":"","parse-names":false,"suffix":""},{"dropping-particle":"","family":"Northrup","given":"Paul A.","non-dropping-particle":"","parse-names":false,"suffix":""},{"dropping-particle":"","family":"Porri","given":"Teresa J.","non-dropping-particle":"","parse-names":false,"suffix":""},{"dropping-particle":"","family":"Ling","given":"Lu","non-dropping-particle":"","parse-names":false,"suffix":""},{"dropping-particle":"","family":"Fischbach","given":"Claudia","non-dropping-particle":"","parse-names":false,"suffix":""},{"dropping-particle":"","family":"Estroff","given":"Lara A.","non-dropping-particle":"","parse-names":false,"suffix":""}],"container-title":"Biomaterials","id":"ITEM-2","issued":{"date-parts":[["2018"]]},"page":"71-82","publisher":"Elsevier Ltd","title":"Studying biomineralization pathways in a 3D culture model of breast cancer microcalcifications","type":"article-journal","volume":"179"},"uris":["http://www.mendeley.com/documents/?uuid=42fa1fc5-9e65-4df8-ae8f-23a8f2e1cdca"]}],"mendeley":{"formattedCitation":"[37,38]","plainTextFormattedCitation":"[37,38]","previouslyFormattedCitation":"[37,38]"},"properties":{"noteIndex":0},"schema":"https://github.com/citation-style-language/schema/raw/master/csl-citation.json"}</w:instrText>
      </w:r>
      <w:r w:rsidR="005379B7">
        <w:rPr>
          <w:rFonts w:asciiTheme="majorBidi" w:hAnsiTheme="majorBidi" w:cstheme="majorBidi"/>
          <w:sz w:val="24"/>
          <w:szCs w:val="24"/>
          <w:highlight w:val="green"/>
        </w:rPr>
        <w:fldChar w:fldCharType="separate"/>
      </w:r>
      <w:r w:rsidR="005379B7" w:rsidRPr="005379B7">
        <w:rPr>
          <w:rFonts w:asciiTheme="majorBidi" w:hAnsiTheme="majorBidi" w:cstheme="majorBidi"/>
          <w:noProof/>
          <w:sz w:val="24"/>
          <w:szCs w:val="24"/>
          <w:highlight w:val="green"/>
        </w:rPr>
        <w:t>[37,38]</w:t>
      </w:r>
      <w:r w:rsidR="005379B7">
        <w:rPr>
          <w:rFonts w:asciiTheme="majorBidi" w:hAnsiTheme="majorBidi" w:cstheme="majorBidi"/>
          <w:sz w:val="24"/>
          <w:szCs w:val="24"/>
          <w:highlight w:val="green"/>
        </w:rPr>
        <w:fldChar w:fldCharType="end"/>
      </w:r>
      <w:r w:rsidR="00BA66A4" w:rsidRPr="00BA66A4">
        <w:rPr>
          <w:rFonts w:asciiTheme="majorBidi" w:hAnsiTheme="majorBidi" w:cstheme="majorBidi"/>
          <w:sz w:val="24"/>
          <w:szCs w:val="24"/>
          <w:highlight w:val="green"/>
        </w:rPr>
        <w:t>.</w:t>
      </w:r>
      <w:r w:rsidR="00BA66A4">
        <w:rPr>
          <w:rFonts w:asciiTheme="majorBidi" w:hAnsiTheme="majorBidi" w:cstheme="majorBidi"/>
          <w:sz w:val="24"/>
          <w:szCs w:val="24"/>
          <w:highlight w:val="green"/>
        </w:rPr>
        <w:t xml:space="preserve"> </w:t>
      </w:r>
      <w:r w:rsidR="00567C11" w:rsidRPr="00BA66A4">
        <w:rPr>
          <w:rFonts w:asciiTheme="majorBidi" w:hAnsiTheme="majorBidi" w:cstheme="majorBidi"/>
          <w:sz w:val="24"/>
          <w:szCs w:val="24"/>
          <w:highlight w:val="green"/>
        </w:rPr>
        <w:t xml:space="preserve">The formation of multicellular spheroids was observed for untreated cells, and in the presence of MC </w:t>
      </w:r>
      <w:r w:rsidR="00567C11" w:rsidRPr="001C6D9D">
        <w:rPr>
          <w:rFonts w:asciiTheme="majorBidi" w:hAnsiTheme="majorBidi" w:cstheme="majorBidi"/>
          <w:sz w:val="24"/>
          <w:szCs w:val="24"/>
          <w:highlight w:val="green"/>
        </w:rPr>
        <w:t xml:space="preserve">analogs containing 0.74 and 1.2 </w:t>
      </w:r>
      <w:r w:rsidR="00567C11" w:rsidRPr="005152E1">
        <w:rPr>
          <w:rFonts w:asciiTheme="majorBidi" w:hAnsiTheme="majorBidi" w:cstheme="majorBidi"/>
          <w:sz w:val="24"/>
          <w:szCs w:val="24"/>
          <w:highlight w:val="green"/>
        </w:rPr>
        <w:t>wt%, but not higher Zn fractions</w:t>
      </w:r>
      <w:r w:rsidR="00386036">
        <w:rPr>
          <w:rFonts w:asciiTheme="majorBidi" w:hAnsiTheme="majorBidi" w:cstheme="majorBidi"/>
          <w:sz w:val="24"/>
          <w:szCs w:val="24"/>
          <w:highlight w:val="green"/>
        </w:rPr>
        <w:t xml:space="preserve"> that </w:t>
      </w:r>
      <w:r w:rsidR="000034B7">
        <w:rPr>
          <w:rFonts w:asciiTheme="majorBidi" w:hAnsiTheme="majorBidi" w:cstheme="majorBidi"/>
          <w:sz w:val="24"/>
          <w:szCs w:val="24"/>
          <w:highlight w:val="green"/>
        </w:rPr>
        <w:t xml:space="preserve">also </w:t>
      </w:r>
      <w:r w:rsidR="00386036">
        <w:rPr>
          <w:rFonts w:asciiTheme="majorBidi" w:hAnsiTheme="majorBidi" w:cstheme="majorBidi"/>
          <w:sz w:val="24"/>
          <w:szCs w:val="24"/>
          <w:highlight w:val="green"/>
        </w:rPr>
        <w:t>showed lower expression of cancer markers</w:t>
      </w:r>
      <w:r w:rsidR="003032B0">
        <w:rPr>
          <w:rFonts w:asciiTheme="majorBidi" w:hAnsiTheme="majorBidi" w:cstheme="majorBidi"/>
          <w:sz w:val="24"/>
          <w:szCs w:val="24"/>
          <w:highlight w:val="green"/>
        </w:rPr>
        <w:t>. This indicates that</w:t>
      </w:r>
      <w:r w:rsidR="00B21F7E">
        <w:rPr>
          <w:rFonts w:asciiTheme="majorBidi" w:hAnsiTheme="majorBidi" w:cstheme="majorBidi"/>
          <w:sz w:val="24"/>
          <w:szCs w:val="24"/>
          <w:highlight w:val="green"/>
        </w:rPr>
        <w:t xml:space="preserve"> cells respond differently to varying crystal properties of MC analogs</w:t>
      </w:r>
      <w:r w:rsidR="008E22E9">
        <w:rPr>
          <w:rFonts w:asciiTheme="majorBidi" w:hAnsiTheme="majorBidi" w:cstheme="majorBidi"/>
          <w:sz w:val="24"/>
          <w:szCs w:val="24"/>
          <w:highlight w:val="green"/>
        </w:rPr>
        <w:t>, and that most likely the formation of multicellular spheroids is associated with higher malignancy potential</w:t>
      </w:r>
      <w:r w:rsidR="00567C11" w:rsidRPr="005152E1">
        <w:rPr>
          <w:rFonts w:asciiTheme="majorBidi" w:hAnsiTheme="majorBidi" w:cstheme="majorBidi"/>
          <w:sz w:val="24"/>
          <w:szCs w:val="24"/>
          <w:highlight w:val="green"/>
        </w:rPr>
        <w:t>.</w:t>
      </w:r>
      <w:r w:rsidR="00567C11">
        <w:rPr>
          <w:rFonts w:asciiTheme="majorBidi" w:hAnsiTheme="majorBidi" w:cstheme="majorBidi"/>
          <w:sz w:val="24"/>
          <w:szCs w:val="24"/>
          <w:highlight w:val="green"/>
        </w:rPr>
        <w:t xml:space="preserve"> The MC analogs that in their presence the cells did not form multicellular spheroids have the highest Zn fractions and lowest crystallinities. They also present both the lowest and highest surface roughness from all </w:t>
      </w:r>
      <w:r w:rsidR="00567C11">
        <w:rPr>
          <w:rFonts w:asciiTheme="majorBidi" w:hAnsiTheme="majorBidi" w:cstheme="majorBidi"/>
          <w:sz w:val="24"/>
          <w:szCs w:val="24"/>
          <w:highlight w:val="green"/>
        </w:rPr>
        <w:lastRenderedPageBreak/>
        <w:t>MC analogs, intermediate and low zeta potentials, and intermediate carbonate contents. Putting it all together, this suggests that Zn fraction and crystallinity, rather than surface roughness, zeta potential, and carbonate content are the main parameters affecting the cellular tendency to form multicellular spheroids.</w:t>
      </w:r>
    </w:p>
    <w:p w14:paraId="5B0227E2" w14:textId="48CA4207" w:rsidR="008F3B31" w:rsidRDefault="00567C11" w:rsidP="003A0807">
      <w:pPr>
        <w:spacing w:after="0" w:line="360" w:lineRule="auto"/>
        <w:jc w:val="both"/>
        <w:rPr>
          <w:rFonts w:asciiTheme="majorBidi" w:hAnsiTheme="majorBidi" w:cstheme="majorBidi"/>
          <w:sz w:val="24"/>
          <w:szCs w:val="24"/>
        </w:rPr>
      </w:pPr>
      <w:r w:rsidRPr="008F360B">
        <w:rPr>
          <w:rFonts w:asciiTheme="majorBidi" w:hAnsiTheme="majorBidi" w:cstheme="majorBidi"/>
          <w:sz w:val="24"/>
          <w:szCs w:val="24"/>
        </w:rPr>
        <w:t>There is no one clear parameter that controls</w:t>
      </w:r>
      <w:r>
        <w:rPr>
          <w:rFonts w:asciiTheme="majorBidi" w:hAnsiTheme="majorBidi" w:cstheme="majorBidi"/>
          <w:sz w:val="24"/>
          <w:szCs w:val="24"/>
        </w:rPr>
        <w:t xml:space="preserve"> the effect of HA on thyroid cancer cells </w:t>
      </w:r>
      <w:r w:rsidRPr="00460713">
        <w:rPr>
          <w:rFonts w:asciiTheme="majorBidi" w:hAnsiTheme="majorBidi" w:cstheme="majorBidi"/>
          <w:i/>
          <w:iCs/>
          <w:sz w:val="24"/>
          <w:szCs w:val="24"/>
        </w:rPr>
        <w:t>in vitro</w:t>
      </w:r>
      <w:r>
        <w:rPr>
          <w:rFonts w:asciiTheme="majorBidi" w:hAnsiTheme="majorBidi" w:cstheme="majorBidi"/>
          <w:sz w:val="24"/>
          <w:szCs w:val="24"/>
        </w:rPr>
        <w:t xml:space="preserve">. A complex combination of morphology, crystallite size (crystallinity), zeta potential, surface roughness, Zn and carbonate content, and most likely solubility that is a derivative of all the abovementioned parameters interacts to increase or decrease HA tumorigenesis influence </w:t>
      </w:r>
      <w:r>
        <w:rPr>
          <w:rFonts w:asciiTheme="majorBidi" w:hAnsiTheme="majorBidi" w:cstheme="majorBidi"/>
          <w:i/>
          <w:iCs/>
          <w:sz w:val="24"/>
          <w:szCs w:val="24"/>
        </w:rPr>
        <w:t>in vitro</w:t>
      </w:r>
      <w:r>
        <w:rPr>
          <w:rFonts w:asciiTheme="majorBidi" w:hAnsiTheme="majorBidi" w:cstheme="majorBidi"/>
          <w:sz w:val="24"/>
          <w:szCs w:val="24"/>
        </w:rPr>
        <w:t xml:space="preserve">. Our results suggest that high crystallinity and low carbonate and Zn content, </w:t>
      </w:r>
      <w:r w:rsidRPr="00567C11">
        <w:rPr>
          <w:rFonts w:asciiTheme="majorBidi" w:hAnsiTheme="majorBidi" w:cstheme="majorBidi"/>
          <w:sz w:val="24"/>
          <w:szCs w:val="24"/>
          <w:highlight w:val="green"/>
        </w:rPr>
        <w:t>which are at the range detected in cancerous FNA MCs</w:t>
      </w:r>
      <w:r>
        <w:rPr>
          <w:rFonts w:asciiTheme="majorBidi" w:hAnsiTheme="majorBidi" w:cstheme="majorBidi"/>
          <w:sz w:val="24"/>
          <w:szCs w:val="24"/>
        </w:rPr>
        <w:t xml:space="preserve">, are associated with inducing more cancerous cellular behavior. </w:t>
      </w:r>
    </w:p>
    <w:p w14:paraId="3922E4CC" w14:textId="05C83990" w:rsidR="00F0323D" w:rsidRPr="00B43D93" w:rsidRDefault="00F53EF3" w:rsidP="00B43D93">
      <w:pPr>
        <w:spacing w:after="0" w:line="360" w:lineRule="auto"/>
        <w:jc w:val="both"/>
        <w:rPr>
          <w:rFonts w:asciiTheme="majorBidi" w:hAnsiTheme="majorBidi" w:cstheme="majorBidi"/>
          <w:sz w:val="24"/>
          <w:szCs w:val="24"/>
          <w:rtl/>
        </w:rPr>
      </w:pPr>
      <w:r w:rsidRPr="00157FE4">
        <w:rPr>
          <w:rFonts w:asciiTheme="majorBidi" w:hAnsiTheme="majorBidi" w:cstheme="majorBidi"/>
          <w:sz w:val="24"/>
          <w:szCs w:val="24"/>
        </w:rPr>
        <w:t xml:space="preserve">Earlier research has highlighted that the interaction of biological molecules is affected by the </w:t>
      </w:r>
      <w:r w:rsidR="00422F46">
        <w:rPr>
          <w:rFonts w:asciiTheme="majorBidi" w:hAnsiTheme="majorBidi" w:cstheme="majorBidi"/>
          <w:sz w:val="24"/>
          <w:szCs w:val="24"/>
        </w:rPr>
        <w:t>physio</w:t>
      </w:r>
      <w:r w:rsidRPr="00157FE4">
        <w:rPr>
          <w:rFonts w:asciiTheme="majorBidi" w:hAnsiTheme="majorBidi" w:cstheme="majorBidi"/>
          <w:sz w:val="24"/>
          <w:szCs w:val="24"/>
        </w:rPr>
        <w:t xml:space="preserve">chemical </w:t>
      </w:r>
      <w:r w:rsidR="00422F46">
        <w:rPr>
          <w:rFonts w:asciiTheme="majorBidi" w:hAnsiTheme="majorBidi" w:cstheme="majorBidi"/>
          <w:sz w:val="24"/>
          <w:szCs w:val="24"/>
        </w:rPr>
        <w:t>properties</w:t>
      </w:r>
      <w:r w:rsidR="00422F46" w:rsidRPr="00157FE4">
        <w:rPr>
          <w:rFonts w:asciiTheme="majorBidi" w:hAnsiTheme="majorBidi" w:cstheme="majorBidi"/>
          <w:sz w:val="24"/>
          <w:szCs w:val="24"/>
        </w:rPr>
        <w:t xml:space="preserve"> </w:t>
      </w:r>
      <w:r w:rsidRPr="00157FE4">
        <w:rPr>
          <w:rFonts w:asciiTheme="majorBidi" w:hAnsiTheme="majorBidi" w:cstheme="majorBidi"/>
          <w:sz w:val="24"/>
          <w:szCs w:val="24"/>
        </w:rPr>
        <w:t xml:space="preserve">of HA, encompassing factors like crystallinity, surface area, surface charge, and ion </w:t>
      </w:r>
      <w:r w:rsidR="00505600">
        <w:rPr>
          <w:rFonts w:asciiTheme="majorBidi" w:hAnsiTheme="majorBidi" w:cstheme="majorBidi"/>
          <w:sz w:val="24"/>
          <w:szCs w:val="24"/>
        </w:rPr>
        <w:t>substitution</w:t>
      </w:r>
      <w:r w:rsidR="002B0DD2">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5379B7">
        <w:rPr>
          <w:rFonts w:asciiTheme="majorBidi" w:hAnsiTheme="majorBidi" w:cstheme="majorBidi"/>
          <w:sz w:val="24"/>
          <w:szCs w:val="24"/>
        </w:rPr>
        <w:instrText>ADDIN CSL_CITATION {"citationItems":[{"id":"ITEM-1","itemData":{"DOI":"10.1016/S1385-8947(01)00248-0","abstract":"Knowledge of the adsorption mechanism of biological molecules on hydroxyapatite (HAP) is essential to the application of HAP chromatography and to the development of HAP-based biomedical materials. Centered on the surface charge of HAP and its impacts on adsorption of proteins, the present study started with the characterization of-potential of HAP as a function of the chemical properties of solution in terms of concentration of ions of different types, ionic strength and pH. Then the adsorption of bovine serum albumin (BSA) on HAP was carried out at the same conditions to elucidate the effects of-potential on BSA adsorption and the replacement of BSA with PO 4 3− in acidic buffer. A Langmuir isotherm was obtained, indicating a single layer adsorption of BSA on HAP. Finally, the apparent activation energy and the adsorption heat were interpreted from the adsorption at different temperatures. The low magnitude of both the apparent activation energy and the adsorption heat indicated that the fast adsorption of BSA on HAP was a physical adsorption process.","author":[{"dropping-particle":"","family":"Yin","given":"Gang","non-dropping-particle":"","parse-names":false,"suffix":""},{"dropping-particle":"","family":"Liu","given":"Zheng","non-dropping-particle":"","parse-names":false,"suffix":""},{"dropping-particle":"","family":"Zhan","given":"Jin","non-dropping-particle":"","parse-names":false,"suffix":""},{"dropping-particle":"","family":"Ding","given":"Fuxin","non-dropping-particle":"","parse-names":false,"suffix":""},{"dropping-particle":"","family":"Yuan","given":"Naiju","non-dropping-particle":"","parse-names":false,"suffix":""}],"container-title":"Chemical Engineering Journal","id":"ITEM-1","issued":{"date-parts":[["2002"]]},"page":"181-186","title":"Impacts of the surface charge property on protein adsorption on hydroxyapatite","type":"article-journal","volume":"87"},"uris":["http://www.mendeley.com/documents/?uuid=800c480a-8685-3950-b92a-3ce9f494391e"]},{"id":"ITEM-2","itemData":{"DOI":"10.1002/JBM.A.34528","ISSN":"1552-4965","PMID":"23359512","abstract":"Protein-surface interaction may determine the success or failure of an implanted device. Not much attention have been paid to the specific surface parametes of hydroxyapatite (OHAp) that modulates and determines the formation and potential activity of the layer of proteins that is first formed when the material get in contact with the host tissue. the influence of specific surface area (SSA), crystallite size (CS) and particle size (PS) of OHAp on the adsorption of proteins relevant for bone regeneration is evaluated in this article. OHAp have been prepared by a wet chemical reaction of Ca(OH) 2 with H3PO4. One set of reactions included poly acrylic acid in the reactant solution to modify the properties of the powder. Fibrinogen (Fg) Fraction I, type I: from Human plasma, (67% Protein), and Fibronectin (Fn) from Human plasma were selected to perform the adsorption experiments. The analysis of protein adsorption was carried out by UV/Vis spectrometry. A lower SSA and a different aspect ratio are obtained when the acrylic acid is included in the reaction badge. The deconvolution of the amide I band on the Raman spectra of free and adsorbed proteins reveals that the interaction apatite-protein happens through the carboxylate groups of the proteins. The combined analysis of CS, SSA and PS should be considered on the design of OHAp materials intended to interact with proteins. Copyright © 2013 Wiley Periodicals, Inc.","author":[{"dropping-particle":"","family":"Fernández-Montes Moraleda","given":"Belén","non-dropping-particle":"","parse-names":false,"suffix":""},{"dropping-particle":"","family":"Román","given":"Julio San","non-dropping-particle":"","parse-names":false,"suffix":""},{"dropping-particle":"","family":"Rodríguez-Lorenzo","given":"Luís M.","non-dropping-particle":"","parse-names":false,"suffix":""}],"container-title":"Journal of biomedical materials research. Part A","id":"ITEM-2","issue":"8","issued":{"date-parts":[["2013"]]},"page":"2332-2339","publisher":"J Biomed Mater Res A","title":"Influence of surface features of hydroxyapatite on the adsorption of proteins relevant to bone regeneration","type":"article-journal","volume":"101"},"uris":["http://www.mendeley.com/documents/?uuid=f9b0a0f1-53d7-3216-94e0-6614f5938b81"]},{"id":"ITEM-3","itemData":{"DOI":"10.1016/j.biomaterials.2003.10.081","ISSN":"01429612","PMID":"15020156","abstract":"This study examines the possibility of using hydroxyapatite (HAp) particles as a controlled release carrier of protein. In order to achieve effective protein release from HAp particles, it is necessary to regulate the conjugated amount of protein on HAp and the resorption of HAp. HAp particles were synthesized at different temperatures (40°C, 60°C, 80°C) in wet condition and the physico-chemical properties of synthesized HAp particles were examined. HAp particles synthesized at low temperatures showed low crystallinity, high solubility and large specific surface area. The useful growth factors for bone regeneration, such as BMP, bFGF and TGF-β, are basic proteins, so cytochrome c (pI=10.2) was used as a model protein and the adsorptive property of protein on HAp particles was investigated. The protein adsorption on HAp particles changed depending on its specific surface area and the chart of protein adsorption on HAp particles showed a typical Langmuir curve. These findings suggest that the adsorbed amount of protein on HAp particles could be regulated by HAp synthesizing temperature and the concentrations of protein solution. The release kinetics of protein from the HAp particles that adsorbed the protein (HAp-pro) was also evaluated in different pH solutions (pH 4.0 and 7.0). The released protein gradually increased time dependently when HAp-pro were immersed in pH 4.0 solution, but the released protein was significantly smaller when HAp-pro were immersed in pH 7.0 solution. Moreover, the release rate of protein from HAp-pro differed in each HAp that was synthesized at different temperatures, suggesting that the release of protein from HAp-pro depended on HAp resorption. These results suggest that HAp particles synthesized at different temperature are useful as a controlled release carrier of protein. © 2003 Elsevier Ltd. All rights reserved.","author":[{"dropping-particle":"","family":"Matsumoto","given":"T.","non-dropping-particle":"","parse-names":false,"suffix":""},{"dropping-particle":"","family":"Okazaki","given":"M.","non-dropping-particle":"","parse-names":false,"suffix":""},{"dropping-particle":"","family":"Inoue","given":"M.","non-dropping-particle":"","parse-names":false,"suffix":""},{"dropping-particle":"","family":"Yamaguchi","given":"S.","non-dropping-particle":"","parse-names":false,"suffix":""},{"dropping-particle":"","family":"Kusunose","given":"T.","non-dropping-particle":"","parse-names":false,"suffix":""},{"dropping-particle":"","family":"Toyonaga","given":"T.","non-dropping-particle":"","parse-names":false,"suffix":""},{"dropping-particle":"","family":"Hamada","given":"Y.","non-dropping-particle":"","parse-names":false,"suffix":""},{"dropping-particle":"","family":"Takahashi","given":"J.","non-dropping-particle":"","parse-names":false,"suffix":""}],"container-title":"Biomaterials","id":"ITEM-3","issue":"17","issued":{"date-parts":[["2004","8"]]},"page":"3807-3812","title":"Hydroxyapatite particles as a controlled release carrier of protein","type":"article-journal","volume":"25"},"uris":["http://www.mendeley.com/documents/?uuid=6d935da1-553f-35f0-a0cc-7aee7c0a97e8"]},{"id":"ITEM-4","itemData":{"DOI":"10.1021/ACS.CGD.5B00231","ISSN":"15287505","abstract":"Hydroxyapatite (HAP, Ca&lt;inf&gt;10&lt;/inf&gt;(PO&lt;inf&gt;4&lt;/inf&gt;)&lt;inf&gt;6&lt;/inf&gt;(OH)&lt;inf&gt;2&lt;/inf&gt;) nanoparticles with controlled materials properties have been synthesized through a two-step hydrothermal aging method to investigate fibronectin (Fn) adsorption. Two distinct populations of HAP nanoparticles have been generated: HAP1 particles had smaller size, plate-like shape, lower crystallinity, and more negative ζ potential than HAP2 particles. We then developed two-dimensional platforms containing HAP and Fn and analyzed both the amount and the conformation of Fn via Förster resonance energy transfer (FRET) at various HAP concentrations. Our FRET analysis reveals that larger amounts of more compact Fn molecules were adsorbed onto HAP1 than onto HAP2 particles. Additionally, our data show that the amount of compact Fn adsorbed increased with increasing HAP concentration due to the formation of nanoparticle agglomerates. We propose that both the surface chemistry of single nanoparticles and the size and morphology of HAP agglomerates play significant roles in the interaction of Fn with HAP. Collectively, our findings suggest that the HAP-induced conformational changes of Fn, a critical mechanotransducer protein involved in the communication of cells with their environment, will ultimately affect downstream cellular behaviors. These results have important implications for our understanding of organic-inorganic interactions in physiological and pathological biomineralization processes such as HAP-related inflammation.","author":[{"dropping-particle":"","family":"Wu","given":"Fei","non-dropping-particle":"","parse-names":false,"suffix":""},{"dropping-particle":"","family":"Lin","given":"Debra D.W.","non-dropping-particle":"","parse-names":false,"suffix":""},{"dropping-particle":"","family":"Chang","given":"Jin Ho","non-dropping-particle":"","parse-names":false,"suffix":""},{"dropping-particle":"","family":"Fischbach","given":"Claudia","non-dropping-particle":"","parse-names":false,"suffix":""},{"dropping-particle":"","family":"Estroff","given":"Lara A.","non-dropping-particle":"","parse-names":false,"suffix":""},{"dropping-particle":"","family":"Gourdon","given":"Delphine","non-dropping-particle":"","parse-names":false,"suffix":""}],"container-title":"Crystal Growth and Design","id":"ITEM-4","issue":"5","issued":{"date-parts":[["2015","5","6"]]},"page":"2452-2460","publisher":"American Chemical Society","title":"Effect of the materials properties of hydroxyapatite nanoparticles on fibronectin deposition and conformation","type":"article-journal","volume":"15"},"uris":["http://www.mendeley.com/documents/?uuid=fe577a84-2366-3ab0-ab30-034e51806835"]}],"mendeley":{"formattedCitation":"[39–42]","plainTextFormattedCitation":"[39–42]","previouslyFormattedCitation":"[39–42]"},"properties":{"noteIndex":0},"schema":"https://github.com/citation-style-language/schema/raw/master/csl-citation.json"}</w:instrText>
      </w:r>
      <w:r>
        <w:rPr>
          <w:rFonts w:asciiTheme="majorBidi" w:hAnsiTheme="majorBidi" w:cstheme="majorBidi"/>
          <w:sz w:val="24"/>
          <w:szCs w:val="24"/>
        </w:rPr>
        <w:fldChar w:fldCharType="separate"/>
      </w:r>
      <w:r w:rsidR="005379B7" w:rsidRPr="005379B7">
        <w:rPr>
          <w:rFonts w:asciiTheme="majorBidi" w:hAnsiTheme="majorBidi" w:cstheme="majorBidi"/>
          <w:noProof/>
          <w:sz w:val="24"/>
          <w:szCs w:val="24"/>
        </w:rPr>
        <w:t>[39–42]</w:t>
      </w:r>
      <w:r>
        <w:rPr>
          <w:rFonts w:asciiTheme="majorBidi" w:hAnsiTheme="majorBidi" w:cstheme="majorBidi"/>
          <w:sz w:val="24"/>
          <w:szCs w:val="24"/>
        </w:rPr>
        <w:fldChar w:fldCharType="end"/>
      </w:r>
      <w:r w:rsidRPr="00157FE4">
        <w:rPr>
          <w:rFonts w:asciiTheme="majorBidi" w:hAnsiTheme="majorBidi" w:cstheme="majorBidi"/>
          <w:sz w:val="24"/>
          <w:szCs w:val="24"/>
        </w:rPr>
        <w:t xml:space="preserve">. For instance, changes in HA composition due to ion substitution can influence protein adsorption, with the specific type of ions substituted playing a role in modulating this interaction. </w:t>
      </w:r>
      <w:bookmarkStart w:id="5" w:name="_Hlk143695252"/>
      <w:r w:rsidR="001B38BE">
        <w:rPr>
          <w:rFonts w:asciiTheme="majorBidi" w:hAnsiTheme="majorBidi" w:cstheme="majorBidi"/>
          <w:sz w:val="24"/>
          <w:szCs w:val="24"/>
        </w:rPr>
        <w:t>Incorporating carbonate ions into HA crystals</w:t>
      </w:r>
      <w:r w:rsidRPr="00157FE4">
        <w:rPr>
          <w:rFonts w:asciiTheme="majorBidi" w:hAnsiTheme="majorBidi" w:cstheme="majorBidi"/>
          <w:sz w:val="24"/>
          <w:szCs w:val="24"/>
        </w:rPr>
        <w:t xml:space="preserve"> can </w:t>
      </w:r>
      <w:r w:rsidR="00F0323D">
        <w:rPr>
          <w:rFonts w:asciiTheme="majorBidi" w:hAnsiTheme="majorBidi" w:cstheme="majorBidi"/>
          <w:sz w:val="24"/>
          <w:szCs w:val="24"/>
        </w:rPr>
        <w:t>alter</w:t>
      </w:r>
      <w:r w:rsidR="00422F46">
        <w:rPr>
          <w:rFonts w:asciiTheme="majorBidi" w:hAnsiTheme="majorBidi" w:cstheme="majorBidi"/>
          <w:sz w:val="24"/>
          <w:szCs w:val="24"/>
        </w:rPr>
        <w:t xml:space="preserve"> </w:t>
      </w:r>
      <w:r w:rsidR="00F0323D">
        <w:rPr>
          <w:rFonts w:asciiTheme="majorBidi" w:hAnsiTheme="majorBidi" w:cstheme="majorBidi"/>
          <w:sz w:val="24"/>
          <w:szCs w:val="24"/>
        </w:rPr>
        <w:t xml:space="preserve">crystal </w:t>
      </w:r>
      <w:r w:rsidRPr="00157FE4">
        <w:rPr>
          <w:rFonts w:asciiTheme="majorBidi" w:hAnsiTheme="majorBidi" w:cstheme="majorBidi"/>
          <w:sz w:val="24"/>
          <w:szCs w:val="24"/>
        </w:rPr>
        <w:t>surface</w:t>
      </w:r>
      <w:r w:rsidR="001B38BE">
        <w:rPr>
          <w:rFonts w:asciiTheme="majorBidi" w:hAnsiTheme="majorBidi" w:cstheme="majorBidi"/>
          <w:sz w:val="24"/>
          <w:szCs w:val="24"/>
        </w:rPr>
        <w:t xml:space="preserve"> </w:t>
      </w:r>
      <w:r w:rsidR="00F0323D">
        <w:rPr>
          <w:rFonts w:asciiTheme="majorBidi" w:hAnsiTheme="majorBidi" w:cstheme="majorBidi"/>
          <w:sz w:val="24"/>
          <w:szCs w:val="24"/>
        </w:rPr>
        <w:t xml:space="preserve">properties such as </w:t>
      </w:r>
      <w:r w:rsidR="001B38BE">
        <w:rPr>
          <w:rFonts w:asciiTheme="majorBidi" w:hAnsiTheme="majorBidi" w:cstheme="majorBidi"/>
          <w:sz w:val="24"/>
          <w:szCs w:val="24"/>
        </w:rPr>
        <w:t xml:space="preserve">roughness, area, and crystallinity, </w:t>
      </w:r>
      <w:r w:rsidR="00F0323D">
        <w:rPr>
          <w:rFonts w:asciiTheme="majorBidi" w:hAnsiTheme="majorBidi" w:cstheme="majorBidi"/>
          <w:sz w:val="24"/>
          <w:szCs w:val="24"/>
        </w:rPr>
        <w:t xml:space="preserve">consequently influencing </w:t>
      </w:r>
      <w:r w:rsidR="00040524">
        <w:rPr>
          <w:rFonts w:asciiTheme="majorBidi" w:hAnsiTheme="majorBidi" w:cstheme="majorBidi"/>
          <w:sz w:val="24"/>
          <w:szCs w:val="24"/>
        </w:rPr>
        <w:t xml:space="preserve">protein adsorption and </w:t>
      </w:r>
      <w:r w:rsidR="00F0323D">
        <w:rPr>
          <w:rFonts w:asciiTheme="majorBidi" w:hAnsiTheme="majorBidi" w:cstheme="majorBidi"/>
          <w:sz w:val="24"/>
          <w:szCs w:val="24"/>
        </w:rPr>
        <w:t xml:space="preserve">the behavior of </w:t>
      </w:r>
      <w:r w:rsidR="001B38BE">
        <w:rPr>
          <w:rFonts w:asciiTheme="majorBidi" w:hAnsiTheme="majorBidi" w:cstheme="majorBidi"/>
          <w:sz w:val="24"/>
          <w:szCs w:val="24"/>
        </w:rPr>
        <w:t>cancer cell</w:t>
      </w:r>
      <w:r w:rsidR="00F0323D">
        <w:rPr>
          <w:rFonts w:asciiTheme="majorBidi" w:hAnsiTheme="majorBidi" w:cstheme="majorBidi"/>
          <w:sz w:val="24"/>
          <w:szCs w:val="24"/>
        </w:rPr>
        <w:t>s</w:t>
      </w:r>
      <w:r w:rsidR="001B38BE">
        <w:rPr>
          <w:rFonts w:asciiTheme="majorBidi" w:hAnsiTheme="majorBidi" w:cstheme="majorBidi"/>
          <w:sz w:val="24"/>
          <w:szCs w:val="24"/>
        </w:rPr>
        <w:t xml:space="preserve"> </w:t>
      </w:r>
      <w:r w:rsidR="00423EDA">
        <w:rPr>
          <w:rFonts w:asciiTheme="majorBidi" w:hAnsiTheme="majorBidi" w:cstheme="majorBidi"/>
          <w:sz w:val="24"/>
          <w:szCs w:val="24"/>
        </w:rPr>
        <w:fldChar w:fldCharType="begin" w:fldLock="1"/>
      </w:r>
      <w:r w:rsidR="005379B7">
        <w:rPr>
          <w:rFonts w:asciiTheme="majorBidi" w:hAnsiTheme="majorBidi" w:cstheme="majorBidi"/>
          <w:sz w:val="24"/>
          <w:szCs w:val="24"/>
        </w:rPr>
        <w:instrText>ADDIN CSL_CITATION {"citationItems":[{"id":"ITEM-1","itemData":{"DOI":"10.1016/j.actbio.2015.06.001","abstract":"Breast microcalcifications are routinely explored for mammographic detection of breast cancer and are primarily composed of non-stoichiometric hydroxyapatite (Ca 10Àx (PO 4) 6Àx (CO 3) x (OH) 2Àx) (HA). Interestingly, HA morphology and carbonate substitution vary in malignant vs. benign lesions. However, whether or not these changes (i) are functionally linked and (ii) impact malignancy remains unclear due in part to lack of model systems that permit evaluating these possibilities. Here, we have adapted a 96 well-based mineralized culture platform to investigate breast cancer cell behavior in response to systematic changes in the chemical and physical properties of HA. By adjusting the carbonate content of the simulated body fluid (SBF) solutions used during growth, we can control the morphology and carbonate substitution of the deposited HA. Our results suggest that both the combined and individual effects of these differences alter breast cancer cell growth and secretion of tumorigenic interleukin-8 (IL-8). Consequently, changes in both HA carbonate incorporation and morphology impact the behavior of breast cancer cells. Collectively, our data underline the importance of biomineralized culture platforms to evaluate the functional contribution of HA material properties to the pathogenesis of breast cancer. Statement of Significance Breast microcalcifications are small mineral deposits primarily composed of hydroxyapatite (HA). HA physicochemical properties have been of considerable interest, as these are often altered during breast cancer progression and linked to malignancy. However, the functional relationship between these changes and malignancy remains unclear due in part to lack of model systems. Here, we have adapted a previously developed a 96 well-based culture platform to evaluate breast cancer cell behavior in response to systematic changes in HA properties. Our results demonstrate that changes in HA morphology and carbonate content influence breast cancer cell growth and interleukin-8 secretion, and suggest that characterizing the effect of HA properties on breast cancer cells may improve our understanding of breast cancer development and progression.","author":[{"dropping-particle":"","family":"Choi","given":"Siyoung","non-dropping-particle":"","parse-names":false,"suffix":""},{"dropping-particle":"","family":"Coonrod","given":"Scott","non-dropping-particle":"","parse-names":false,"suffix":""},{"dropping-particle":"","family":"Estroff","given":"Lara","non-dropping-particle":"","parse-names":false,"suffix":""},{"dropping-particle":"","family":"Fischbach","given":"Claudia","non-dropping-particle":"","parse-names":false,"suffix":""}],"container-title":"Acta Biomaterialia","id":"ITEM-1","issued":{"date-parts":[["2015"]]},"page":"333-342","title":"Chemical and physical properties of carbonated hydroxyapatite affect breast cancer cell behavior","type":"article-journal","volume":"24"},"uris":["http://www.mendeley.com/documents/?uuid=5534c216-c379-35f9-b7fc-51264b8e64bb"]},{"id":"ITEM-2","itemData":{"DOI":"10.1002/JBM.A.30039","ISSN":"1549-3296","PMID":"15127401","abstract":"We examined the blood compatibility and protein adsorption on hydroxyapatite and hydroxy-carbonate apatite. Those apatites were synthesized under a 0, 5, or 15% CO2-containing N2 atmosphere by a wet-chemical method with a strong ammonia alkali solution of calcium nitrate and diammonium hydrogen phosphate (5:3 in molar ratio) and subsequent calcination in the range of 105-700°C. From infrared (IR) analysis, the carbonate ions substituted both phosphate ions and hydroxyl ions in the hydroxyapatite lattice; the intensities of IR bands assignable to phosphate ions and hydroxyl ions were reduced on calcinations. The specific surface areas of synthesized apatites decreased with increasing calcination temperature. Blood-clotting properties were evaluated in terms of active partial thromboplastin time, prothrombin time, and the amount of fibrinogen for the plasma in contact with the apatites, indicating that all the apatites barely influenced the blood clotting system. The apatites were in contact with a solution containing both bovine serum albumin (BSA) and β 2-microglobulin (β2-MG), and the amounts of those proteins adsorbed on them were examined: the amount of absorbed BSA and β2-MG gradually increased with the calcination temperature below 500°C, while it showed a sudden increase when more than 600°C. Hydroxy-carbonate apatite synthesized under a 15% CO2containing N2 atmosphere and calcined below 400°C had the greatest selectivity in adsorbing β2-MG. Thus, a higher selectivity for β2-MG adsorption was empirically correlated to carbonate ions incorporated in the hydroxyapatite lattice. © 2004 Wiley Periodicals, Inc.","author":[{"dropping-particle":"","family":"Takemoto","given":"Shinji","non-dropping-particle":"","parse-names":false,"suffix":""},{"dropping-particle":"","family":"Kusudo","given":"Yuko","non-dropping-particle":"","parse-names":false,"suffix":""},{"dropping-particle":"","family":"Tsuru","given":"Kanji","non-dropping-particle":"","parse-names":false,"suffix":""},{"dropping-particle":"","family":"Hayakawa","given":"Satoshi","non-dropping-particle":"","parse-names":false,"suffix":""},{"dropping-particle":"","family":"Osaka","given":"Akiyoshi","non-dropping-particle":"","parse-names":false,"suffix":""},{"dropping-particle":"","family":"Takashima","given":"Seisuke","non-dropping-particle":"","parse-names":false,"suffix":""}],"container-title":"Journal of biomedical materials research. Part A","id":"ITEM-2","issue":"3","issued":{"date-parts":[["2004","6","1"]]},"page":"544-551","publisher":"J Biomed Mater Res A","title":"Selective protein adsorption and blood compatibility of hydroxy-carbonate apatites","type":"article-journal","volume":"69"},"uris":["http://www.mendeley.com/documents/?uuid=83285710-396d-3ddd-a1df-7dd692298e75"]}],"mendeley":{"formattedCitation":"[43,44]","plainTextFormattedCitation":"[43,44]","previouslyFormattedCitation":"[43,44]"},"properties":{"noteIndex":0},"schema":"https://github.com/citation-style-language/schema/raw/master/csl-citation.json"}</w:instrText>
      </w:r>
      <w:r w:rsidR="00423EDA">
        <w:rPr>
          <w:rFonts w:asciiTheme="majorBidi" w:hAnsiTheme="majorBidi" w:cstheme="majorBidi"/>
          <w:sz w:val="24"/>
          <w:szCs w:val="24"/>
        </w:rPr>
        <w:fldChar w:fldCharType="separate"/>
      </w:r>
      <w:r w:rsidR="005379B7" w:rsidRPr="005379B7">
        <w:rPr>
          <w:rFonts w:asciiTheme="majorBidi" w:hAnsiTheme="majorBidi" w:cstheme="majorBidi"/>
          <w:noProof/>
          <w:sz w:val="24"/>
          <w:szCs w:val="24"/>
        </w:rPr>
        <w:t>[43,44]</w:t>
      </w:r>
      <w:r w:rsidR="00423EDA">
        <w:rPr>
          <w:rFonts w:asciiTheme="majorBidi" w:hAnsiTheme="majorBidi" w:cstheme="majorBidi"/>
          <w:sz w:val="24"/>
          <w:szCs w:val="24"/>
        </w:rPr>
        <w:fldChar w:fldCharType="end"/>
      </w:r>
      <w:r w:rsidRPr="00157FE4">
        <w:rPr>
          <w:rFonts w:asciiTheme="majorBidi" w:hAnsiTheme="majorBidi" w:cstheme="majorBidi"/>
          <w:sz w:val="24"/>
          <w:szCs w:val="24"/>
        </w:rPr>
        <w:t>.</w:t>
      </w:r>
      <w:r w:rsidR="00040524">
        <w:rPr>
          <w:rFonts w:asciiTheme="majorBidi" w:hAnsiTheme="majorBidi" w:cstheme="majorBidi"/>
          <w:sz w:val="24"/>
          <w:szCs w:val="24"/>
        </w:rPr>
        <w:t xml:space="preserve"> </w:t>
      </w:r>
      <w:r w:rsidR="00F0323D">
        <w:rPr>
          <w:rFonts w:asciiTheme="majorBidi" w:hAnsiTheme="majorBidi" w:cstheme="majorBidi"/>
          <w:sz w:val="24"/>
          <w:szCs w:val="24"/>
        </w:rPr>
        <w:t>These effects are likely connected to the crystal surface charge, given that interactions between proteins, cells, and HA surface</w:t>
      </w:r>
      <w:r w:rsidR="00BF44F5">
        <w:rPr>
          <w:rFonts w:asciiTheme="majorBidi" w:hAnsiTheme="majorBidi" w:cstheme="majorBidi"/>
          <w:sz w:val="24"/>
          <w:szCs w:val="24"/>
        </w:rPr>
        <w:t>s</w:t>
      </w:r>
      <w:r w:rsidR="00F0323D">
        <w:rPr>
          <w:rFonts w:asciiTheme="majorBidi" w:hAnsiTheme="majorBidi" w:cstheme="majorBidi"/>
          <w:sz w:val="24"/>
          <w:szCs w:val="24"/>
        </w:rPr>
        <w:t xml:space="preserve"> are primarily governed by electrostatic forces</w:t>
      </w:r>
      <w:r w:rsidR="008531BC">
        <w:rPr>
          <w:rFonts w:asciiTheme="majorBidi" w:hAnsiTheme="majorBidi" w:cstheme="majorBidi"/>
          <w:sz w:val="24"/>
          <w:szCs w:val="24"/>
        </w:rPr>
        <w:t xml:space="preserve"> </w:t>
      </w:r>
      <w:r w:rsidR="0044090E">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{"citationItems":[{"id":"ITEM-1","itemData":{"DOI":"10.1016/j.colsurfb.2014.07.029","abstract":"Calcium phosphates (CaPs) are ideal biomaterials for bone repair because of the similarities between their chemical structure and the mineral phase of hard biological tissues (e.g., bones and teeth). Since CaP bone grafts exhibit superior biocompatibility and strong osseointegration properties, they have been widely investigated for use as an in situ carrier for delivery of anti-resorptive and osteogenic drugs. The surface properties of CaP govern the affinity and the binding mechanisms between biological macromolecules (e.g., proteins) and the CaP surface, which indirectly determines the interactions between bone cells and implanted CaP biomaterials. These surface properties ultimately play a pivotal role in determining the success of CaP as bone implants and/or drug carriers. This review provides an in-depth discussion of the current methodologies used to regulate the surface chemistry of CaP and their subsequent effects in regards to protein adsorption and delivery, as well as cell/materials interactions.","author":[{"dropping-particle":"","family":"Lee","given":"Wing-Hin","non-dropping-particle":"","parse-names":false,"suffix":""},{"dropping-particle":"","family":"Loo","given":"Ching-Yee","non-dropping-particle":"","parse-names":false,"suffix":""},{"dropping-particle":"","family":"Rohanizadeh","given":"Ramin","non-dropping-particle":"","parse-names":false,"suffix":""}],"container-title":"Colloids and Surfaces B: Biointerfaces","id":"ITEM-1","issued":{"date-parts":[["2014"]]},"page":"823-834","title":"A review of chemical surface modification of bioceramics: Effects on protein adsorption and cellular response","type":"article-journal","volume":"122"},"uris":["http://www.mendeley.com/documents/?uuid=1e2e0226-9192-3ccb-b9af-12ec25a49459"]}],"mendeley":{"formattedCitation":"[28]","plainTextFormattedCitation":"[28]","previouslyFormattedCitation":"[28]"},"properties":{"noteIndex":0},"schema":"https://github.com/citation-style-language/schema/raw/master/csl-citation.json"}</w:instrText>
      </w:r>
      <w:r w:rsidR="0044090E">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[28]</w:t>
      </w:r>
      <w:r w:rsidR="0044090E">
        <w:rPr>
          <w:rFonts w:asciiTheme="majorBidi" w:hAnsiTheme="majorBidi" w:cstheme="majorBidi"/>
          <w:sz w:val="24"/>
          <w:szCs w:val="24"/>
        </w:rPr>
        <w:fldChar w:fldCharType="end"/>
      </w:r>
      <w:r w:rsidR="00F0323D">
        <w:rPr>
          <w:rFonts w:asciiTheme="majorBidi" w:hAnsiTheme="majorBidi" w:cstheme="majorBidi"/>
          <w:sz w:val="24"/>
          <w:szCs w:val="24"/>
        </w:rPr>
        <w:t>. With t</w:t>
      </w:r>
      <w:r w:rsidR="00F0323D" w:rsidRPr="00157FE4">
        <w:rPr>
          <w:rFonts w:asciiTheme="majorBidi" w:hAnsiTheme="majorBidi" w:cstheme="majorBidi"/>
          <w:sz w:val="24"/>
          <w:szCs w:val="24"/>
        </w:rPr>
        <w:t>he substitution of Zn</w:t>
      </w:r>
      <w:r w:rsidR="00F0323D" w:rsidRPr="00157FE4">
        <w:rPr>
          <w:rFonts w:asciiTheme="majorBidi" w:hAnsiTheme="majorBidi" w:cstheme="majorBidi"/>
          <w:sz w:val="24"/>
          <w:szCs w:val="24"/>
          <w:vertAlign w:val="superscript"/>
        </w:rPr>
        <w:t>2+</w:t>
      </w:r>
      <w:r w:rsidR="00F0323D" w:rsidRPr="00157FE4">
        <w:rPr>
          <w:rFonts w:asciiTheme="majorBidi" w:hAnsiTheme="majorBidi" w:cstheme="majorBidi"/>
          <w:sz w:val="24"/>
          <w:szCs w:val="24"/>
        </w:rPr>
        <w:t xml:space="preserve"> ions</w:t>
      </w:r>
      <w:r w:rsidR="00F0323D">
        <w:rPr>
          <w:rFonts w:asciiTheme="majorBidi" w:hAnsiTheme="majorBidi" w:cstheme="majorBidi"/>
          <w:sz w:val="24"/>
          <w:szCs w:val="24"/>
        </w:rPr>
        <w:t>,</w:t>
      </w:r>
      <w:r w:rsidR="00F0323D" w:rsidRPr="00157FE4">
        <w:rPr>
          <w:rFonts w:asciiTheme="majorBidi" w:hAnsiTheme="majorBidi" w:cstheme="majorBidi"/>
          <w:sz w:val="24"/>
          <w:szCs w:val="24"/>
        </w:rPr>
        <w:t xml:space="preserve"> the </w:t>
      </w:r>
      <w:r w:rsidR="009367AD">
        <w:rPr>
          <w:rFonts w:asciiTheme="majorBidi" w:hAnsiTheme="majorBidi" w:cstheme="majorBidi"/>
          <w:sz w:val="24"/>
          <w:szCs w:val="24"/>
        </w:rPr>
        <w:t>zeta potential</w:t>
      </w:r>
      <w:r w:rsidR="00F0323D" w:rsidRPr="00157FE4">
        <w:rPr>
          <w:rFonts w:asciiTheme="majorBidi" w:hAnsiTheme="majorBidi" w:cstheme="majorBidi"/>
          <w:sz w:val="24"/>
          <w:szCs w:val="24"/>
        </w:rPr>
        <w:t xml:space="preserve"> of the synthetic MCs</w:t>
      </w:r>
      <w:r w:rsidR="00F0323D">
        <w:rPr>
          <w:rFonts w:asciiTheme="majorBidi" w:hAnsiTheme="majorBidi" w:cstheme="majorBidi"/>
          <w:sz w:val="24"/>
          <w:szCs w:val="24"/>
        </w:rPr>
        <w:t xml:space="preserve"> decreased, leading to a probable reduction in the adsorption of negatively charged proteins and plasma membranes.</w:t>
      </w:r>
      <w:r w:rsidR="00F0323D" w:rsidRPr="00157FE4">
        <w:rPr>
          <w:rFonts w:asciiTheme="majorBidi" w:hAnsiTheme="majorBidi" w:cstheme="majorBidi"/>
          <w:sz w:val="24"/>
          <w:szCs w:val="24"/>
        </w:rPr>
        <w:t xml:space="preserve"> </w:t>
      </w:r>
      <w:r w:rsidR="001331D6">
        <w:rPr>
          <w:rFonts w:asciiTheme="majorBidi" w:hAnsiTheme="majorBidi" w:cstheme="majorBidi"/>
          <w:sz w:val="24"/>
          <w:szCs w:val="24"/>
        </w:rPr>
        <w:t>Hence, t</w:t>
      </w:r>
      <w:r w:rsidR="00F0323D">
        <w:rPr>
          <w:rFonts w:asciiTheme="majorBidi" w:hAnsiTheme="majorBidi" w:cstheme="majorBidi"/>
          <w:sz w:val="24"/>
          <w:szCs w:val="24"/>
        </w:rPr>
        <w:t>he</w:t>
      </w:r>
      <w:r w:rsidR="00F0323D" w:rsidRPr="00157FE4">
        <w:rPr>
          <w:rFonts w:asciiTheme="majorBidi" w:hAnsiTheme="majorBidi" w:cstheme="majorBidi"/>
          <w:sz w:val="24"/>
          <w:szCs w:val="24"/>
        </w:rPr>
        <w:t xml:space="preserve"> </w:t>
      </w:r>
      <w:r w:rsidR="00B43D93">
        <w:rPr>
          <w:rFonts w:asciiTheme="majorBidi" w:hAnsiTheme="majorBidi" w:cstheme="majorBidi"/>
          <w:sz w:val="24"/>
          <w:szCs w:val="24"/>
        </w:rPr>
        <w:t>less</w:t>
      </w:r>
      <w:r w:rsidR="00F0323D">
        <w:rPr>
          <w:rFonts w:asciiTheme="majorBidi" w:hAnsiTheme="majorBidi" w:cstheme="majorBidi"/>
          <w:sz w:val="24"/>
          <w:szCs w:val="24"/>
        </w:rPr>
        <w:t xml:space="preserve"> negatively charged surface of the</w:t>
      </w:r>
      <w:r w:rsidR="00F0323D" w:rsidRPr="00157FE4">
        <w:rPr>
          <w:rFonts w:asciiTheme="majorBidi" w:hAnsiTheme="majorBidi" w:cstheme="majorBidi"/>
          <w:sz w:val="24"/>
          <w:szCs w:val="24"/>
        </w:rPr>
        <w:t xml:space="preserve"> </w:t>
      </w:r>
      <w:r w:rsidR="00B43D93">
        <w:rPr>
          <w:rFonts w:asciiTheme="majorBidi" w:hAnsiTheme="majorBidi" w:cstheme="majorBidi"/>
          <w:sz w:val="24"/>
          <w:szCs w:val="24"/>
        </w:rPr>
        <w:t>low Zn</w:t>
      </w:r>
      <w:r w:rsidR="00F0323D">
        <w:rPr>
          <w:rFonts w:asciiTheme="majorBidi" w:hAnsiTheme="majorBidi" w:cstheme="majorBidi"/>
          <w:sz w:val="24"/>
          <w:szCs w:val="24"/>
        </w:rPr>
        <w:t xml:space="preserve"> MC analog can partially </w:t>
      </w:r>
      <w:r w:rsidR="003C728F">
        <w:rPr>
          <w:rFonts w:asciiTheme="majorBidi" w:hAnsiTheme="majorBidi" w:cstheme="majorBidi"/>
          <w:sz w:val="24"/>
          <w:szCs w:val="24"/>
        </w:rPr>
        <w:t xml:space="preserve">explain </w:t>
      </w:r>
      <w:r w:rsidR="00F0323D">
        <w:rPr>
          <w:rFonts w:asciiTheme="majorBidi" w:hAnsiTheme="majorBidi" w:cstheme="majorBidi"/>
          <w:sz w:val="24"/>
          <w:szCs w:val="24"/>
        </w:rPr>
        <w:t xml:space="preserve">the </w:t>
      </w:r>
      <w:r w:rsidR="00B43D93">
        <w:rPr>
          <w:rFonts w:asciiTheme="majorBidi" w:hAnsiTheme="majorBidi" w:cstheme="majorBidi"/>
          <w:sz w:val="24"/>
          <w:szCs w:val="24"/>
        </w:rPr>
        <w:t>more</w:t>
      </w:r>
      <w:r w:rsidR="00F0323D">
        <w:rPr>
          <w:rFonts w:asciiTheme="majorBidi" w:hAnsiTheme="majorBidi" w:cstheme="majorBidi"/>
          <w:sz w:val="24"/>
          <w:szCs w:val="24"/>
        </w:rPr>
        <w:t xml:space="preserve"> pronounced aggressive cell behav</w:t>
      </w:r>
      <w:r w:rsidR="00BB095D">
        <w:rPr>
          <w:rFonts w:asciiTheme="majorBidi" w:hAnsiTheme="majorBidi" w:cstheme="majorBidi"/>
          <w:sz w:val="24"/>
          <w:szCs w:val="24"/>
        </w:rPr>
        <w:t>io</w:t>
      </w:r>
      <w:r w:rsidR="00F0323D">
        <w:rPr>
          <w:rFonts w:asciiTheme="majorBidi" w:hAnsiTheme="majorBidi" w:cstheme="majorBidi"/>
          <w:sz w:val="24"/>
          <w:szCs w:val="24"/>
        </w:rPr>
        <w:t>r observed</w:t>
      </w:r>
      <w:r w:rsidR="00F0323D" w:rsidRPr="00157FE4">
        <w:rPr>
          <w:rFonts w:asciiTheme="majorBidi" w:hAnsiTheme="majorBidi" w:cstheme="majorBidi"/>
          <w:sz w:val="24"/>
          <w:szCs w:val="24"/>
        </w:rPr>
        <w:t>.</w:t>
      </w:r>
      <w:r w:rsidR="0094145B">
        <w:rPr>
          <w:rFonts w:asciiTheme="majorBidi" w:hAnsiTheme="majorBidi" w:cstheme="majorBidi"/>
          <w:sz w:val="24"/>
          <w:szCs w:val="24"/>
        </w:rPr>
        <w:t xml:space="preserve"> Given also that both biologic MCs and synthetic MC analogs form aggregates from smaller crystals, there is a strong possibility that aggregate crystal size and morphology</w:t>
      </w:r>
      <w:r w:rsidR="004D18FE">
        <w:rPr>
          <w:rFonts w:asciiTheme="majorBidi" w:hAnsiTheme="majorBidi" w:cstheme="majorBidi"/>
          <w:sz w:val="24"/>
          <w:szCs w:val="24"/>
        </w:rPr>
        <w:t xml:space="preserve">, </w:t>
      </w:r>
      <w:r w:rsidR="0094145B">
        <w:rPr>
          <w:rFonts w:asciiTheme="majorBidi" w:hAnsiTheme="majorBidi" w:cstheme="majorBidi"/>
          <w:sz w:val="24"/>
          <w:szCs w:val="24"/>
        </w:rPr>
        <w:t>especially surface roughness</w:t>
      </w:r>
      <w:r w:rsidR="004D18FE">
        <w:rPr>
          <w:rFonts w:asciiTheme="majorBidi" w:hAnsiTheme="majorBidi" w:cstheme="majorBidi"/>
          <w:sz w:val="24"/>
          <w:szCs w:val="24"/>
        </w:rPr>
        <w:t>,</w:t>
      </w:r>
      <w:r w:rsidR="0094145B">
        <w:rPr>
          <w:rFonts w:asciiTheme="majorBidi" w:hAnsiTheme="majorBidi" w:cstheme="majorBidi"/>
          <w:sz w:val="24"/>
          <w:szCs w:val="24"/>
        </w:rPr>
        <w:t xml:space="preserve"> play a stronger role in generating cellular aggressiveness than crystallite</w:t>
      </w:r>
      <w:r w:rsidR="00857D0F">
        <w:rPr>
          <w:rFonts w:asciiTheme="majorBidi" w:hAnsiTheme="majorBidi" w:cstheme="majorBidi"/>
          <w:sz w:val="24"/>
          <w:szCs w:val="24"/>
        </w:rPr>
        <w:t xml:space="preserve"> size</w:t>
      </w:r>
      <w:r w:rsidR="0094145B">
        <w:rPr>
          <w:rFonts w:asciiTheme="majorBidi" w:hAnsiTheme="majorBidi" w:cstheme="majorBidi"/>
          <w:sz w:val="24"/>
          <w:szCs w:val="24"/>
        </w:rPr>
        <w:t>.</w:t>
      </w:r>
    </w:p>
    <w:bookmarkEnd w:id="5"/>
    <w:p w14:paraId="1D94E872" w14:textId="5F9F4C6D" w:rsidR="00337695" w:rsidRDefault="007074C0" w:rsidP="00337695">
      <w:pPr>
        <w:spacing w:after="0" w:line="360" w:lineRule="auto"/>
        <w:jc w:val="both"/>
        <w:rPr>
          <w:rFonts w:asciiTheme="majorBidi" w:hAnsiTheme="majorBidi" w:cstheme="majorBidi"/>
          <w:sz w:val="24"/>
          <w:szCs w:val="24"/>
          <w:rtl/>
        </w:rPr>
      </w:pPr>
      <w:r w:rsidRPr="00A42310">
        <w:rPr>
          <w:rFonts w:asciiTheme="majorBidi" w:hAnsiTheme="majorBidi" w:cstheme="majorBidi"/>
          <w:sz w:val="24"/>
          <w:szCs w:val="24"/>
        </w:rPr>
        <w:t xml:space="preserve">Nonetheless, </w:t>
      </w:r>
      <w:r>
        <w:rPr>
          <w:rFonts w:asciiTheme="majorBidi" w:hAnsiTheme="majorBidi" w:cstheme="majorBidi"/>
          <w:sz w:val="24"/>
          <w:szCs w:val="24"/>
        </w:rPr>
        <w:t>it is</w:t>
      </w:r>
      <w:r w:rsidRPr="00A42310">
        <w:rPr>
          <w:rFonts w:asciiTheme="majorBidi" w:hAnsiTheme="majorBidi" w:cstheme="majorBidi"/>
          <w:sz w:val="24"/>
          <w:szCs w:val="24"/>
        </w:rPr>
        <w:t xml:space="preserve"> important to acknowledge </w:t>
      </w:r>
      <w:r w:rsidR="003F7087">
        <w:rPr>
          <w:rFonts w:asciiTheme="majorBidi" w:hAnsiTheme="majorBidi" w:cstheme="majorBidi"/>
          <w:sz w:val="24"/>
          <w:szCs w:val="24"/>
        </w:rPr>
        <w:t xml:space="preserve">the </w:t>
      </w:r>
      <w:r w:rsidRPr="00A42310">
        <w:rPr>
          <w:rFonts w:asciiTheme="majorBidi" w:hAnsiTheme="majorBidi" w:cstheme="majorBidi"/>
          <w:sz w:val="24"/>
          <w:szCs w:val="24"/>
        </w:rPr>
        <w:t xml:space="preserve">limitations </w:t>
      </w:r>
      <w:r w:rsidR="003F7087">
        <w:rPr>
          <w:rFonts w:asciiTheme="majorBidi" w:hAnsiTheme="majorBidi" w:cstheme="majorBidi"/>
          <w:sz w:val="24"/>
          <w:szCs w:val="24"/>
        </w:rPr>
        <w:t>of</w:t>
      </w:r>
      <w:r w:rsidRPr="00A42310">
        <w:rPr>
          <w:rFonts w:asciiTheme="majorBidi" w:hAnsiTheme="majorBidi" w:cstheme="majorBidi"/>
          <w:sz w:val="24"/>
          <w:szCs w:val="24"/>
        </w:rPr>
        <w:t xml:space="preserve"> these </w:t>
      </w:r>
      <w:r w:rsidR="00F10466">
        <w:rPr>
          <w:rFonts w:asciiTheme="majorBidi" w:hAnsiTheme="majorBidi" w:cstheme="majorBidi"/>
          <w:sz w:val="24"/>
          <w:szCs w:val="24"/>
        </w:rPr>
        <w:t>findings</w:t>
      </w:r>
      <w:r w:rsidRPr="00A42310">
        <w:rPr>
          <w:rFonts w:asciiTheme="majorBidi" w:hAnsiTheme="majorBidi" w:cstheme="majorBidi"/>
          <w:sz w:val="24"/>
          <w:szCs w:val="24"/>
        </w:rPr>
        <w:t xml:space="preserve">. For instance, </w:t>
      </w:r>
      <w:r>
        <w:rPr>
          <w:rFonts w:asciiTheme="majorBidi" w:hAnsiTheme="majorBidi" w:cstheme="majorBidi"/>
          <w:sz w:val="24"/>
          <w:szCs w:val="24"/>
        </w:rPr>
        <w:t>i</w:t>
      </w:r>
      <w:r w:rsidRPr="00A77C8E">
        <w:rPr>
          <w:rFonts w:asciiTheme="majorBidi" w:hAnsiTheme="majorBidi" w:cstheme="majorBidi"/>
          <w:sz w:val="24"/>
          <w:szCs w:val="24"/>
        </w:rPr>
        <w:t xml:space="preserve">n this </w:t>
      </w:r>
      <w:r w:rsidRPr="001614DB">
        <w:rPr>
          <w:rFonts w:asciiTheme="majorBidi" w:hAnsiTheme="majorBidi" w:cstheme="majorBidi"/>
          <w:i/>
          <w:iCs/>
          <w:sz w:val="24"/>
          <w:szCs w:val="24"/>
        </w:rPr>
        <w:t>in vitro</w:t>
      </w:r>
      <w:r w:rsidRPr="00A77C8E">
        <w:rPr>
          <w:rFonts w:asciiTheme="majorBidi" w:hAnsiTheme="majorBidi" w:cstheme="majorBidi"/>
          <w:sz w:val="24"/>
          <w:szCs w:val="24"/>
        </w:rPr>
        <w:t xml:space="preserve"> study, the morphology of the 0% </w:t>
      </w:r>
      <w:r w:rsidR="00230A25">
        <w:rPr>
          <w:rFonts w:asciiTheme="majorBidi" w:hAnsiTheme="majorBidi" w:cstheme="majorBidi"/>
          <w:sz w:val="24"/>
          <w:szCs w:val="24"/>
        </w:rPr>
        <w:t>Zn</w:t>
      </w:r>
      <w:r w:rsidRPr="00A77C8E">
        <w:rPr>
          <w:rFonts w:asciiTheme="majorBidi" w:hAnsiTheme="majorBidi" w:cstheme="majorBidi"/>
          <w:sz w:val="24"/>
          <w:szCs w:val="24"/>
        </w:rPr>
        <w:t xml:space="preserve"> </w:t>
      </w:r>
      <w:r w:rsidR="00624E96">
        <w:rPr>
          <w:rFonts w:asciiTheme="majorBidi" w:hAnsiTheme="majorBidi" w:cstheme="majorBidi"/>
          <w:sz w:val="24"/>
          <w:szCs w:val="24"/>
        </w:rPr>
        <w:t>MCs</w:t>
      </w:r>
      <w:r w:rsidRPr="00A77C8E">
        <w:rPr>
          <w:rFonts w:asciiTheme="majorBidi" w:hAnsiTheme="majorBidi" w:cstheme="majorBidi"/>
          <w:sz w:val="24"/>
          <w:szCs w:val="24"/>
        </w:rPr>
        <w:t xml:space="preserve"> </w:t>
      </w:r>
      <w:r w:rsidR="003C728F">
        <w:rPr>
          <w:rFonts w:asciiTheme="majorBidi" w:hAnsiTheme="majorBidi" w:cstheme="majorBidi"/>
          <w:sz w:val="24"/>
          <w:szCs w:val="24"/>
        </w:rPr>
        <w:t>differed</w:t>
      </w:r>
      <w:r w:rsidR="003C728F" w:rsidRPr="00A77C8E">
        <w:rPr>
          <w:rFonts w:asciiTheme="majorBidi" w:hAnsiTheme="majorBidi" w:cstheme="majorBidi"/>
          <w:sz w:val="24"/>
          <w:szCs w:val="24"/>
        </w:rPr>
        <w:t xml:space="preserve"> from </w:t>
      </w:r>
      <w:r w:rsidR="003C728F">
        <w:rPr>
          <w:rFonts w:asciiTheme="majorBidi" w:hAnsiTheme="majorBidi" w:cstheme="majorBidi"/>
          <w:sz w:val="24"/>
          <w:szCs w:val="24"/>
        </w:rPr>
        <w:t xml:space="preserve">the </w:t>
      </w:r>
      <w:r w:rsidR="003C728F" w:rsidRPr="00A77C8E">
        <w:rPr>
          <w:rFonts w:asciiTheme="majorBidi" w:hAnsiTheme="majorBidi" w:cstheme="majorBidi"/>
          <w:sz w:val="24"/>
          <w:szCs w:val="24"/>
        </w:rPr>
        <w:t xml:space="preserve">observations </w:t>
      </w:r>
      <w:r w:rsidR="003C728F">
        <w:rPr>
          <w:rFonts w:asciiTheme="majorBidi" w:hAnsiTheme="majorBidi" w:cstheme="majorBidi"/>
          <w:sz w:val="24"/>
          <w:szCs w:val="24"/>
        </w:rPr>
        <w:t>of morphology</w:t>
      </w:r>
      <w:r w:rsidRPr="00A77C8E">
        <w:rPr>
          <w:rFonts w:asciiTheme="majorBidi" w:hAnsiTheme="majorBidi" w:cstheme="majorBidi"/>
          <w:sz w:val="24"/>
          <w:szCs w:val="24"/>
        </w:rPr>
        <w:t xml:space="preserve"> in benign thyroid nodules</w:t>
      </w:r>
      <w:r w:rsidRPr="00A42310">
        <w:rPr>
          <w:rFonts w:asciiTheme="majorBidi" w:hAnsiTheme="majorBidi" w:cstheme="majorBidi"/>
          <w:sz w:val="24"/>
          <w:szCs w:val="24"/>
        </w:rPr>
        <w:t>,</w:t>
      </w:r>
      <w:r>
        <w:rPr>
          <w:rFonts w:asciiTheme="majorBidi" w:hAnsiTheme="majorBidi" w:cstheme="majorBidi"/>
          <w:sz w:val="24"/>
          <w:szCs w:val="24"/>
        </w:rPr>
        <w:t xml:space="preserve"> which</w:t>
      </w:r>
      <w:r w:rsidRPr="00A42310">
        <w:rPr>
          <w:rFonts w:asciiTheme="majorBidi" w:hAnsiTheme="majorBidi" w:cstheme="majorBidi"/>
          <w:sz w:val="24"/>
          <w:szCs w:val="24"/>
        </w:rPr>
        <w:t xml:space="preserve"> </w:t>
      </w:r>
      <w:r w:rsidR="00624E96">
        <w:rPr>
          <w:rFonts w:asciiTheme="majorBidi" w:hAnsiTheme="majorBidi" w:cstheme="majorBidi"/>
          <w:sz w:val="24"/>
          <w:szCs w:val="24"/>
        </w:rPr>
        <w:t xml:space="preserve">typically </w:t>
      </w:r>
      <w:r w:rsidRPr="00A42310">
        <w:rPr>
          <w:rFonts w:asciiTheme="majorBidi" w:hAnsiTheme="majorBidi" w:cstheme="majorBidi"/>
          <w:sz w:val="24"/>
          <w:szCs w:val="24"/>
        </w:rPr>
        <w:t>featur</w:t>
      </w:r>
      <w:r>
        <w:rPr>
          <w:rFonts w:asciiTheme="majorBidi" w:hAnsiTheme="majorBidi" w:cstheme="majorBidi"/>
          <w:sz w:val="24"/>
          <w:szCs w:val="24"/>
        </w:rPr>
        <w:t>e</w:t>
      </w:r>
      <w:r w:rsidRPr="00A42310">
        <w:rPr>
          <w:rFonts w:asciiTheme="majorBidi" w:hAnsiTheme="majorBidi" w:cstheme="majorBidi"/>
          <w:sz w:val="24"/>
          <w:szCs w:val="24"/>
        </w:rPr>
        <w:t xml:space="preserve"> more faceted minerals. Additionally, the cell line employed in this study represents cancerous cells, albeit no</w:t>
      </w:r>
      <w:r w:rsidR="00624E96">
        <w:rPr>
          <w:rFonts w:asciiTheme="majorBidi" w:hAnsiTheme="majorBidi" w:cstheme="majorBidi"/>
          <w:sz w:val="24"/>
          <w:szCs w:val="24"/>
        </w:rPr>
        <w:t>n-</w:t>
      </w:r>
      <w:r w:rsidRPr="00A42310">
        <w:rPr>
          <w:rFonts w:asciiTheme="majorBidi" w:hAnsiTheme="majorBidi" w:cstheme="majorBidi"/>
          <w:sz w:val="24"/>
          <w:szCs w:val="24"/>
        </w:rPr>
        <w:t>metastatic, and not benign thyroid nodule cells.</w:t>
      </w:r>
      <w:r>
        <w:rPr>
          <w:rFonts w:asciiTheme="majorBidi" w:hAnsiTheme="majorBidi" w:cstheme="majorBidi"/>
          <w:sz w:val="24"/>
          <w:szCs w:val="24"/>
        </w:rPr>
        <w:t xml:space="preserve"> </w:t>
      </w:r>
      <w:r w:rsidR="00337695">
        <w:rPr>
          <w:rFonts w:asciiTheme="majorBidi" w:hAnsiTheme="majorBidi" w:cstheme="majorBidi"/>
          <w:sz w:val="24"/>
          <w:szCs w:val="24"/>
        </w:rPr>
        <w:t xml:space="preserve">Regarding the proliferation data, the influence of the MC analogs was not statistically significant. </w:t>
      </w:r>
    </w:p>
    <w:p w14:paraId="38F49F41" w14:textId="5C2AE01B" w:rsidR="003217E5" w:rsidRDefault="00493143"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Our </w:t>
      </w:r>
      <w:r w:rsidR="0094145B">
        <w:rPr>
          <w:rFonts w:asciiTheme="majorBidi" w:hAnsiTheme="majorBidi" w:cstheme="majorBidi"/>
          <w:sz w:val="24"/>
          <w:szCs w:val="24"/>
        </w:rPr>
        <w:t>findings rule out the notion that the previously observed correlation between elevated Zn content in thyroid FNA MCs and thyroid nodule malignancy</w:t>
      </w:r>
      <w:r w:rsidR="008531BC">
        <w:rPr>
          <w:rFonts w:asciiTheme="majorBidi" w:hAnsiTheme="majorBidi" w:cstheme="majorBidi"/>
          <w:sz w:val="24"/>
          <w:szCs w:val="24"/>
        </w:rPr>
        <w:t xml:space="preserve"> </w:t>
      </w:r>
      <w:r w:rsidR="0094145B">
        <w:rPr>
          <w:rFonts w:asciiTheme="majorBidi" w:hAnsiTheme="majorBidi" w:cstheme="majorBidi"/>
          <w:sz w:val="24"/>
          <w:szCs w:val="24"/>
        </w:rPr>
        <w:fldChar w:fldCharType="begin" w:fldLock="1"/>
      </w:r>
      <w:r w:rsidR="002562A5">
        <w:rPr>
          <w:rFonts w:asciiTheme="majorBidi" w:hAnsiTheme="majorBidi" w:cstheme="majorBidi"/>
          <w:sz w:val="24"/>
          <w:szCs w:val="24"/>
        </w:rPr>
        <w:instrText>ADDIN CSL_CITATION {"citationItems":[{"id":"ITEM-1","itemData":{"DOI":"10.1016/j.actbio.2023.03.010","abstract":"Thyroid nodules (TNs) are common neck ultrasonography (US) findings, yet only 5-10% of these nodules harbor thyroid cancer (TC). When US characteristics are consistent with an intermediate or high suspicion for TN malignancy, fine needle aspiration for cytology (FNAC) is indicated. The main limitation of FNAC is that cytological results can be indeterminate in up to 30% of cases, necessitating reevaluation through repeated FNAC, expensive molecular testing, or diagnostic thyroid lobe resection. As such, there is a need for further refinement of current diagnostic algorithms for TNs without subjecting patients to additional invasive procedures. As calcifications detected during thyroid US are considered a high-risk feature for malignancy, we used the material remaining following routine thyroid FNAC to isolate microscopic cal-cifications (MCs). We then characterized the elemental composition, morphology, and crystal phases of these MCs, ultimately revealing differences between the MCs from benign and malignant TNs. Specifically , thyroid MCs were identified as calcium phosphate crystals containing varying levels of magnesium, sodium, iron, and zinc. MCs obtained from malignant TNs, mainly papillary thyroid carcinoma, were composed of sub-micrometer spherical particles, whereas MCs from benign TNs consisted of faceted particles. While samples from most patients with a final diagnosis of malignant TNs (50% of them with indeterminate cytology) harbored zinc-containing MCs, zinc was largely absent in MCs from benign TNs (23% with indeterminate or non-diagnostic cytology). Together, these data suggest that the presence of zinc in MCs isolated from samples collected during routine FNAC may potentially offer value as a biomarker of TN malignancy. Statement of significance As up to 40% of patients assessed for thyroid malignancy do not receive a definite diagnosis following thyroid nodule (TN) fine needle aspiration (FNA), there is a pressing need to improve the accuracy of current diagnostic algorithms. Chemical analyses of microscopic calcifications (MCs) may serve as a diagnostic target. We developed a straightforward protocol to chemically characterize MCs from excess material collected from TNs during routine FNA and found that these MCs differed between benign and malignant TNs. Specifically, zinc in TN-derived MCs may indicate a higher nodule malignancy risk, thus increasing the diagnostic accuracy of the FNA procedure, reducing the need for recurrent bio…","author":[{"dropping-particle":"","family":"Gotnayer","given":"L","non-dropping-particle":"","parse-names":false,"suffix":""},{"dropping-particle":"","family":"Aranovich","given":"D","non-dropping-particle":"","parse-names":false,"suffix":""},{"dropping-particle":"","family":"Fraenkel","given":"M","non-dropping-particle":"","parse-names":false,"suffix":""}],"container-title":"Acta Biomaterialia","id":"ITEM-1","issued":{"date-parts":[["2023"]]},"page":"275-284","title":"Zinc in microscopic calcifications isolated from thyroid fine needle aspiration may serve as a biomarker of thyroid nodule malignancy: A promising proof-of-concept","type":"article-journal","volume":"161"},"uris":["http://www.mendeley.com/documents/?uuid=56223c94-6e12-3dfb-a337-5749a3cf9d50"]}],"mendeley":{"formattedCitation":"[19]","plainTextFormattedCitation":"[19]","previouslyFormattedCitation":"[19]"},"properties":{"noteIndex":0},"schema":"https://github.com/citation-style-language/schema/raw/master/csl-citation.json"}</w:instrText>
      </w:r>
      <w:r w:rsidR="0094145B">
        <w:rPr>
          <w:rFonts w:asciiTheme="majorBidi" w:hAnsiTheme="majorBidi" w:cstheme="majorBidi"/>
          <w:sz w:val="24"/>
          <w:szCs w:val="24"/>
        </w:rPr>
        <w:fldChar w:fldCharType="separate"/>
      </w:r>
      <w:r w:rsidR="009D5330" w:rsidRPr="009D5330">
        <w:rPr>
          <w:rFonts w:asciiTheme="majorBidi" w:hAnsiTheme="majorBidi" w:cstheme="majorBidi"/>
          <w:noProof/>
          <w:sz w:val="24"/>
          <w:szCs w:val="24"/>
        </w:rPr>
        <w:t>[19]</w:t>
      </w:r>
      <w:r w:rsidR="0094145B">
        <w:rPr>
          <w:rFonts w:asciiTheme="majorBidi" w:hAnsiTheme="majorBidi" w:cstheme="majorBidi"/>
          <w:sz w:val="24"/>
          <w:szCs w:val="24"/>
        </w:rPr>
        <w:fldChar w:fldCharType="end"/>
      </w:r>
      <w:r w:rsidR="0094145B">
        <w:rPr>
          <w:rFonts w:asciiTheme="majorBidi" w:hAnsiTheme="majorBidi" w:cstheme="majorBidi"/>
          <w:sz w:val="24"/>
          <w:szCs w:val="24"/>
        </w:rPr>
        <w:t xml:space="preserve"> can be solely attributed to Zn-enriched MCs promoting cancerous cell behavior due to their composition. Instead, they imply an intricate interplay among crystal parameters, including Zn and carbonate levels, crystallite size (crystallinity), and zeta potential. </w:t>
      </w:r>
      <w:r w:rsidR="007074C0">
        <w:rPr>
          <w:rFonts w:asciiTheme="majorBidi" w:hAnsiTheme="majorBidi" w:cstheme="majorBidi"/>
          <w:sz w:val="24"/>
          <w:szCs w:val="24"/>
        </w:rPr>
        <w:t xml:space="preserve">These </w:t>
      </w:r>
      <w:r w:rsidR="003C728F">
        <w:rPr>
          <w:rFonts w:asciiTheme="majorBidi" w:hAnsiTheme="majorBidi" w:cstheme="majorBidi"/>
          <w:sz w:val="24"/>
          <w:szCs w:val="24"/>
        </w:rPr>
        <w:t>idea</w:t>
      </w:r>
      <w:r w:rsidR="0094145B">
        <w:rPr>
          <w:rFonts w:asciiTheme="majorBidi" w:hAnsiTheme="majorBidi" w:cstheme="majorBidi"/>
          <w:sz w:val="24"/>
          <w:szCs w:val="24"/>
        </w:rPr>
        <w:t>s</w:t>
      </w:r>
      <w:r w:rsidR="003C728F">
        <w:rPr>
          <w:rFonts w:asciiTheme="majorBidi" w:hAnsiTheme="majorBidi" w:cstheme="majorBidi"/>
          <w:sz w:val="24"/>
          <w:szCs w:val="24"/>
        </w:rPr>
        <w:t xml:space="preserve"> </w:t>
      </w:r>
      <w:r w:rsidR="007074C0">
        <w:rPr>
          <w:rFonts w:asciiTheme="majorBidi" w:hAnsiTheme="majorBidi" w:cstheme="majorBidi"/>
          <w:sz w:val="24"/>
          <w:szCs w:val="24"/>
        </w:rPr>
        <w:t xml:space="preserve">can </w:t>
      </w:r>
      <w:r w:rsidR="00624E96">
        <w:rPr>
          <w:rFonts w:asciiTheme="majorBidi" w:hAnsiTheme="majorBidi" w:cstheme="majorBidi"/>
          <w:sz w:val="24"/>
          <w:szCs w:val="24"/>
        </w:rPr>
        <w:t>coexist</w:t>
      </w:r>
      <w:r w:rsidR="007074C0">
        <w:rPr>
          <w:rFonts w:asciiTheme="majorBidi" w:hAnsiTheme="majorBidi" w:cstheme="majorBidi"/>
          <w:sz w:val="24"/>
          <w:szCs w:val="24"/>
        </w:rPr>
        <w:t xml:space="preserve"> with the </w:t>
      </w:r>
      <w:r w:rsidR="000A5F48">
        <w:rPr>
          <w:rFonts w:asciiTheme="majorBidi" w:hAnsiTheme="majorBidi" w:cstheme="majorBidi"/>
          <w:sz w:val="24"/>
          <w:szCs w:val="24"/>
        </w:rPr>
        <w:t>p</w:t>
      </w:r>
      <w:r w:rsidR="000A5F48" w:rsidRPr="00A77C8E">
        <w:rPr>
          <w:rFonts w:asciiTheme="majorBidi" w:hAnsiTheme="majorBidi" w:cstheme="majorBidi"/>
          <w:sz w:val="24"/>
          <w:szCs w:val="24"/>
        </w:rPr>
        <w:t xml:space="preserve">ossibility </w:t>
      </w:r>
      <w:r w:rsidR="007074C0">
        <w:rPr>
          <w:rFonts w:asciiTheme="majorBidi" w:hAnsiTheme="majorBidi" w:cstheme="majorBidi"/>
          <w:sz w:val="24"/>
          <w:szCs w:val="24"/>
        </w:rPr>
        <w:t xml:space="preserve">that </w:t>
      </w:r>
      <w:r w:rsidR="000A5F48">
        <w:rPr>
          <w:rFonts w:asciiTheme="majorBidi" w:hAnsiTheme="majorBidi" w:cstheme="majorBidi"/>
          <w:sz w:val="24"/>
          <w:szCs w:val="24"/>
        </w:rPr>
        <w:t>the</w:t>
      </w:r>
      <w:r w:rsidR="000A5F48" w:rsidRPr="00A77C8E">
        <w:rPr>
          <w:rFonts w:asciiTheme="majorBidi" w:hAnsiTheme="majorBidi" w:cstheme="majorBidi"/>
          <w:sz w:val="24"/>
          <w:szCs w:val="24"/>
        </w:rPr>
        <w:t xml:space="preserve"> </w:t>
      </w:r>
      <w:r w:rsidR="00624E96">
        <w:rPr>
          <w:rFonts w:asciiTheme="majorBidi" w:hAnsiTheme="majorBidi" w:cstheme="majorBidi"/>
          <w:sz w:val="24"/>
          <w:szCs w:val="24"/>
        </w:rPr>
        <w:t>increase</w:t>
      </w:r>
      <w:r w:rsidR="000A5F48" w:rsidRPr="00A77C8E">
        <w:rPr>
          <w:rFonts w:asciiTheme="majorBidi" w:hAnsiTheme="majorBidi" w:cstheme="majorBidi"/>
          <w:sz w:val="24"/>
          <w:szCs w:val="24"/>
        </w:rPr>
        <w:t xml:space="preserve"> of </w:t>
      </w:r>
      <w:r w:rsidR="00230A25">
        <w:rPr>
          <w:rFonts w:asciiTheme="majorBidi" w:hAnsiTheme="majorBidi" w:cstheme="majorBidi"/>
          <w:sz w:val="24"/>
          <w:szCs w:val="24"/>
        </w:rPr>
        <w:t>Zn</w:t>
      </w:r>
      <w:r w:rsidR="000A5F48" w:rsidRPr="00A77C8E">
        <w:rPr>
          <w:rFonts w:asciiTheme="majorBidi" w:hAnsiTheme="majorBidi" w:cstheme="majorBidi"/>
          <w:sz w:val="24"/>
          <w:szCs w:val="24"/>
        </w:rPr>
        <w:t xml:space="preserve"> </w:t>
      </w:r>
      <w:r w:rsidR="00624E96">
        <w:rPr>
          <w:rFonts w:asciiTheme="majorBidi" w:hAnsiTheme="majorBidi" w:cstheme="majorBidi"/>
          <w:sz w:val="24"/>
          <w:szCs w:val="24"/>
        </w:rPr>
        <w:t>with</w:t>
      </w:r>
      <w:r w:rsidR="000A5F48" w:rsidRPr="00A77C8E">
        <w:rPr>
          <w:rFonts w:asciiTheme="majorBidi" w:hAnsiTheme="majorBidi" w:cstheme="majorBidi"/>
          <w:sz w:val="24"/>
          <w:szCs w:val="24"/>
        </w:rPr>
        <w:t xml:space="preserve">in cancerous thyroid nodule MCs might arise </w:t>
      </w:r>
      <w:r w:rsidR="000A5F48">
        <w:rPr>
          <w:rFonts w:asciiTheme="majorBidi" w:hAnsiTheme="majorBidi" w:cstheme="majorBidi"/>
          <w:sz w:val="24"/>
          <w:szCs w:val="24"/>
        </w:rPr>
        <w:t>from</w:t>
      </w:r>
      <w:r w:rsidR="000A5F48" w:rsidRPr="00A77C8E">
        <w:rPr>
          <w:rFonts w:asciiTheme="majorBidi" w:hAnsiTheme="majorBidi" w:cstheme="majorBidi"/>
          <w:sz w:val="24"/>
          <w:szCs w:val="24"/>
        </w:rPr>
        <w:t xml:space="preserve"> shifting conditions within the tumor microenvironment during disease progression</w:t>
      </w:r>
      <w:r w:rsidR="000A5F48">
        <w:rPr>
          <w:rFonts w:asciiTheme="majorBidi" w:hAnsiTheme="majorBidi" w:cstheme="majorBidi"/>
          <w:sz w:val="24"/>
          <w:szCs w:val="24"/>
        </w:rPr>
        <w:t xml:space="preserve">. </w:t>
      </w:r>
    </w:p>
    <w:p w14:paraId="3E829A0B" w14:textId="608D5354" w:rsidR="00D772D0" w:rsidRPr="00A42310" w:rsidRDefault="00D772D0" w:rsidP="00AB3F9D">
      <w:pPr>
        <w:pStyle w:val="ListParagraph"/>
        <w:numPr>
          <w:ilvl w:val="0"/>
          <w:numId w:val="1"/>
        </w:numPr>
        <w:spacing w:after="0" w:line="360" w:lineRule="auto"/>
        <w:rPr>
          <w:rFonts w:asciiTheme="majorBidi" w:hAnsiTheme="majorBidi" w:cstheme="majorBidi"/>
          <w:b/>
          <w:bCs/>
          <w:sz w:val="24"/>
          <w:szCs w:val="24"/>
        </w:rPr>
      </w:pPr>
      <w:r w:rsidRPr="008F1A9A">
        <w:rPr>
          <w:rFonts w:asciiTheme="majorBidi" w:hAnsiTheme="majorBidi" w:cstheme="majorBidi"/>
          <w:b/>
          <w:bCs/>
          <w:sz w:val="24"/>
          <w:szCs w:val="24"/>
        </w:rPr>
        <w:t>Conclusions</w:t>
      </w:r>
    </w:p>
    <w:p w14:paraId="335C7CB3" w14:textId="60CBDD0F" w:rsidR="00D772D0" w:rsidRPr="00C01FD3" w:rsidRDefault="00DB3B32" w:rsidP="00AB3F9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Synthetic </w:t>
      </w:r>
      <w:r w:rsidR="004353A1">
        <w:rPr>
          <w:rFonts w:asciiTheme="majorBidi" w:hAnsiTheme="majorBidi" w:cstheme="majorBidi"/>
          <w:sz w:val="24"/>
          <w:szCs w:val="24"/>
        </w:rPr>
        <w:t xml:space="preserve">MC analogs </w:t>
      </w:r>
      <w:r>
        <w:rPr>
          <w:rFonts w:asciiTheme="majorBidi" w:hAnsiTheme="majorBidi" w:cstheme="majorBidi"/>
          <w:sz w:val="24"/>
          <w:szCs w:val="24"/>
        </w:rPr>
        <w:t xml:space="preserve">of HA with varied </w:t>
      </w:r>
      <w:r w:rsidR="004353A1">
        <w:rPr>
          <w:rFonts w:asciiTheme="majorBidi" w:hAnsiTheme="majorBidi" w:cstheme="majorBidi"/>
          <w:sz w:val="24"/>
          <w:szCs w:val="24"/>
        </w:rPr>
        <w:t xml:space="preserve">Zn fractions </w:t>
      </w:r>
      <w:r>
        <w:rPr>
          <w:rFonts w:asciiTheme="majorBidi" w:hAnsiTheme="majorBidi" w:cstheme="majorBidi"/>
          <w:sz w:val="24"/>
          <w:szCs w:val="24"/>
        </w:rPr>
        <w:t>have</w:t>
      </w:r>
      <w:r w:rsidR="004353A1">
        <w:rPr>
          <w:rFonts w:asciiTheme="majorBidi" w:hAnsiTheme="majorBidi" w:cstheme="majorBidi"/>
          <w:sz w:val="24"/>
          <w:szCs w:val="24"/>
        </w:rPr>
        <w:t xml:space="preserve"> similar morphology to </w:t>
      </w:r>
      <w:r w:rsidR="004A2E15">
        <w:rPr>
          <w:rFonts w:asciiTheme="majorBidi" w:hAnsiTheme="majorBidi" w:cstheme="majorBidi"/>
          <w:sz w:val="24"/>
          <w:szCs w:val="24"/>
        </w:rPr>
        <w:t>malignant thyroid FNA MCs</w:t>
      </w:r>
      <w:r w:rsidR="004353A1">
        <w:rPr>
          <w:rFonts w:asciiTheme="majorBidi" w:hAnsiTheme="majorBidi" w:cstheme="majorBidi"/>
          <w:sz w:val="24"/>
          <w:szCs w:val="24"/>
        </w:rPr>
        <w:t xml:space="preserve">. </w:t>
      </w:r>
      <w:r w:rsidR="003F7087">
        <w:rPr>
          <w:rFonts w:asciiTheme="majorBidi" w:hAnsiTheme="majorBidi" w:cstheme="majorBidi"/>
          <w:sz w:val="24"/>
          <w:szCs w:val="24"/>
        </w:rPr>
        <w:t>Incorporating Zn</w:t>
      </w:r>
      <w:r w:rsidR="003F7087" w:rsidRPr="003F7087">
        <w:rPr>
          <w:rFonts w:asciiTheme="majorBidi" w:hAnsiTheme="majorBidi" w:cstheme="majorBidi"/>
          <w:sz w:val="24"/>
          <w:szCs w:val="24"/>
          <w:vertAlign w:val="superscript"/>
        </w:rPr>
        <w:t>2+</w:t>
      </w:r>
      <w:r w:rsidR="003F7087">
        <w:rPr>
          <w:rFonts w:asciiTheme="majorBidi" w:hAnsiTheme="majorBidi" w:cstheme="majorBidi"/>
          <w:sz w:val="24"/>
          <w:szCs w:val="24"/>
        </w:rPr>
        <w:t xml:space="preserve"> ions within the HA lattice reduces</w:t>
      </w:r>
      <w:r w:rsidR="00D41455">
        <w:rPr>
          <w:rFonts w:asciiTheme="majorBidi" w:hAnsiTheme="majorBidi" w:cstheme="majorBidi"/>
          <w:sz w:val="24"/>
          <w:szCs w:val="24"/>
        </w:rPr>
        <w:t xml:space="preserve"> the </w:t>
      </w:r>
      <w:r w:rsidR="00254478">
        <w:rPr>
          <w:rFonts w:asciiTheme="majorBidi" w:hAnsiTheme="majorBidi" w:cstheme="majorBidi"/>
          <w:sz w:val="24"/>
          <w:szCs w:val="24"/>
        </w:rPr>
        <w:t xml:space="preserve">unit cell parameters </w:t>
      </w:r>
      <w:r w:rsidR="004C1608">
        <w:rPr>
          <w:rFonts w:asciiTheme="majorBidi" w:hAnsiTheme="majorBidi" w:cstheme="majorBidi" w:hint="cs"/>
          <w:sz w:val="24"/>
          <w:szCs w:val="24"/>
          <w:rtl/>
        </w:rPr>
        <w:t>'</w:t>
      </w:r>
      <w:r w:rsidR="00254478">
        <w:rPr>
          <w:rFonts w:asciiTheme="majorBidi" w:hAnsiTheme="majorBidi" w:cstheme="majorBidi"/>
          <w:sz w:val="24"/>
          <w:szCs w:val="24"/>
        </w:rPr>
        <w:t>a</w:t>
      </w:r>
      <w:r w:rsidR="004C1608">
        <w:rPr>
          <w:rFonts w:asciiTheme="majorBidi" w:hAnsiTheme="majorBidi" w:cstheme="majorBidi" w:hint="cs"/>
          <w:sz w:val="24"/>
          <w:szCs w:val="24"/>
          <w:rtl/>
        </w:rPr>
        <w:t>'</w:t>
      </w:r>
      <w:r w:rsidR="00254478">
        <w:rPr>
          <w:rFonts w:asciiTheme="majorBidi" w:hAnsiTheme="majorBidi" w:cstheme="majorBidi"/>
          <w:sz w:val="24"/>
          <w:szCs w:val="24"/>
        </w:rPr>
        <w:t xml:space="preserve"> and </w:t>
      </w:r>
      <w:r w:rsidR="004C1608">
        <w:rPr>
          <w:rFonts w:asciiTheme="majorBidi" w:hAnsiTheme="majorBidi" w:cstheme="majorBidi" w:hint="cs"/>
          <w:sz w:val="24"/>
          <w:szCs w:val="24"/>
          <w:rtl/>
        </w:rPr>
        <w:t>'</w:t>
      </w:r>
      <w:r w:rsidR="00254478">
        <w:rPr>
          <w:rFonts w:asciiTheme="majorBidi" w:hAnsiTheme="majorBidi" w:cstheme="majorBidi"/>
          <w:sz w:val="24"/>
          <w:szCs w:val="24"/>
        </w:rPr>
        <w:t>c</w:t>
      </w:r>
      <w:r w:rsidR="004C1608">
        <w:rPr>
          <w:rFonts w:asciiTheme="majorBidi" w:hAnsiTheme="majorBidi" w:cstheme="majorBidi" w:hint="cs"/>
          <w:sz w:val="24"/>
          <w:szCs w:val="24"/>
          <w:rtl/>
        </w:rPr>
        <w:t>'</w:t>
      </w:r>
      <w:r w:rsidR="00254478">
        <w:rPr>
          <w:rFonts w:asciiTheme="majorBidi" w:hAnsiTheme="majorBidi" w:cstheme="majorBidi"/>
          <w:sz w:val="24"/>
          <w:szCs w:val="24"/>
        </w:rPr>
        <w:t xml:space="preserve"> </w:t>
      </w:r>
      <w:r w:rsidR="00A47805">
        <w:rPr>
          <w:rFonts w:asciiTheme="majorBidi" w:hAnsiTheme="majorBidi" w:cstheme="majorBidi"/>
          <w:sz w:val="24"/>
          <w:szCs w:val="24"/>
        </w:rPr>
        <w:t>as well as</w:t>
      </w:r>
      <w:r w:rsidR="00254478">
        <w:rPr>
          <w:rFonts w:asciiTheme="majorBidi" w:hAnsiTheme="majorBidi" w:cstheme="majorBidi"/>
          <w:sz w:val="24"/>
          <w:szCs w:val="24"/>
        </w:rPr>
        <w:t xml:space="preserve"> the </w:t>
      </w:r>
      <w:r w:rsidR="002648AE">
        <w:rPr>
          <w:rFonts w:asciiTheme="majorBidi" w:hAnsiTheme="majorBidi" w:cstheme="majorBidi"/>
          <w:sz w:val="24"/>
          <w:szCs w:val="24"/>
        </w:rPr>
        <w:t>crystallite size</w:t>
      </w:r>
      <w:r w:rsidR="009504D3">
        <w:rPr>
          <w:rFonts w:asciiTheme="majorBidi" w:hAnsiTheme="majorBidi" w:cstheme="majorBidi"/>
          <w:sz w:val="24"/>
          <w:szCs w:val="24"/>
        </w:rPr>
        <w:t xml:space="preserve">, </w:t>
      </w:r>
      <w:r w:rsidR="00A47805">
        <w:rPr>
          <w:rFonts w:asciiTheme="majorBidi" w:hAnsiTheme="majorBidi" w:cstheme="majorBidi"/>
          <w:sz w:val="24"/>
          <w:szCs w:val="24"/>
        </w:rPr>
        <w:t>indicative of</w:t>
      </w:r>
      <w:r w:rsidR="009504D3">
        <w:rPr>
          <w:rFonts w:asciiTheme="majorBidi" w:hAnsiTheme="majorBidi" w:cstheme="majorBidi"/>
          <w:sz w:val="24"/>
          <w:szCs w:val="24"/>
        </w:rPr>
        <w:t xml:space="preserve"> lower crystallinity.</w:t>
      </w:r>
      <w:r w:rsidR="00DE3E10">
        <w:rPr>
          <w:rFonts w:asciiTheme="majorBidi" w:hAnsiTheme="majorBidi" w:cstheme="majorBidi"/>
          <w:sz w:val="24"/>
          <w:szCs w:val="24"/>
        </w:rPr>
        <w:t xml:space="preserve"> </w:t>
      </w:r>
      <w:r w:rsidR="00A95F0B" w:rsidRPr="00A95F0B">
        <w:rPr>
          <w:rFonts w:asciiTheme="majorBidi" w:hAnsiTheme="majorBidi" w:cstheme="majorBidi"/>
          <w:sz w:val="24"/>
          <w:szCs w:val="24"/>
        </w:rPr>
        <w:t xml:space="preserve">When </w:t>
      </w:r>
      <w:r w:rsidR="00A95F0B">
        <w:rPr>
          <w:rFonts w:asciiTheme="majorBidi" w:hAnsiTheme="majorBidi" w:cstheme="majorBidi"/>
          <w:sz w:val="24"/>
          <w:szCs w:val="24"/>
        </w:rPr>
        <w:t>exposing</w:t>
      </w:r>
      <w:r w:rsidR="00A95F0B" w:rsidRPr="00A95F0B">
        <w:rPr>
          <w:rFonts w:asciiTheme="majorBidi" w:hAnsiTheme="majorBidi" w:cstheme="majorBidi"/>
          <w:sz w:val="24"/>
          <w:szCs w:val="24"/>
        </w:rPr>
        <w:t xml:space="preserve"> thyroid </w:t>
      </w:r>
      <w:r w:rsidR="00E70D1C">
        <w:rPr>
          <w:rFonts w:asciiTheme="majorBidi" w:hAnsiTheme="majorBidi" w:cstheme="majorBidi"/>
          <w:sz w:val="24"/>
          <w:szCs w:val="24"/>
        </w:rPr>
        <w:t xml:space="preserve">cancer </w:t>
      </w:r>
      <w:r w:rsidR="00A95F0B" w:rsidRPr="00A95F0B">
        <w:rPr>
          <w:rFonts w:asciiTheme="majorBidi" w:hAnsiTheme="majorBidi" w:cstheme="majorBidi"/>
          <w:sz w:val="24"/>
          <w:szCs w:val="24"/>
        </w:rPr>
        <w:t xml:space="preserve">cell lines to these MC analogs, the response in terms of malignancy potential </w:t>
      </w:r>
      <w:r w:rsidR="00B87E71">
        <w:rPr>
          <w:rFonts w:asciiTheme="majorBidi" w:hAnsiTheme="majorBidi" w:cstheme="majorBidi"/>
          <w:sz w:val="24"/>
          <w:szCs w:val="24"/>
        </w:rPr>
        <w:t>mainly depends</w:t>
      </w:r>
      <w:r w:rsidR="00A95F0B" w:rsidRPr="00A95F0B">
        <w:rPr>
          <w:rFonts w:asciiTheme="majorBidi" w:hAnsiTheme="majorBidi" w:cstheme="majorBidi"/>
          <w:sz w:val="24"/>
          <w:szCs w:val="24"/>
        </w:rPr>
        <w:t xml:space="preserve"> on the </w:t>
      </w:r>
      <w:r w:rsidR="00230A25">
        <w:rPr>
          <w:rFonts w:asciiTheme="majorBidi" w:hAnsiTheme="majorBidi" w:cstheme="majorBidi"/>
          <w:sz w:val="24"/>
          <w:szCs w:val="24"/>
        </w:rPr>
        <w:t>Zn</w:t>
      </w:r>
      <w:r w:rsidR="00A95F0B" w:rsidRPr="00A95F0B">
        <w:rPr>
          <w:rFonts w:asciiTheme="majorBidi" w:hAnsiTheme="majorBidi" w:cstheme="majorBidi"/>
          <w:sz w:val="24"/>
          <w:szCs w:val="24"/>
        </w:rPr>
        <w:t xml:space="preserve"> </w:t>
      </w:r>
      <w:r w:rsidR="005D030C">
        <w:rPr>
          <w:rFonts w:asciiTheme="majorBidi" w:hAnsiTheme="majorBidi" w:cstheme="majorBidi"/>
          <w:sz w:val="24"/>
          <w:szCs w:val="24"/>
        </w:rPr>
        <w:t xml:space="preserve">and carbonate </w:t>
      </w:r>
      <w:r w:rsidR="00D6086F">
        <w:rPr>
          <w:rFonts w:asciiTheme="majorBidi" w:hAnsiTheme="majorBidi" w:cstheme="majorBidi"/>
          <w:sz w:val="24"/>
          <w:szCs w:val="24"/>
        </w:rPr>
        <w:t>fractions</w:t>
      </w:r>
      <w:r w:rsidR="00B87E71">
        <w:rPr>
          <w:rFonts w:asciiTheme="majorBidi" w:hAnsiTheme="majorBidi" w:cstheme="majorBidi"/>
          <w:sz w:val="24"/>
          <w:szCs w:val="24"/>
        </w:rPr>
        <w:t xml:space="preserve"> </w:t>
      </w:r>
      <w:r w:rsidR="00A95F0B" w:rsidRPr="00A95F0B">
        <w:rPr>
          <w:rFonts w:asciiTheme="majorBidi" w:hAnsiTheme="majorBidi" w:cstheme="majorBidi"/>
          <w:sz w:val="24"/>
          <w:szCs w:val="24"/>
        </w:rPr>
        <w:t xml:space="preserve">and crystallinity. </w:t>
      </w:r>
      <w:r w:rsidR="00B87E71">
        <w:rPr>
          <w:rFonts w:asciiTheme="majorBidi" w:hAnsiTheme="majorBidi" w:cstheme="majorBidi"/>
          <w:sz w:val="24"/>
          <w:szCs w:val="24"/>
        </w:rPr>
        <w:t>H</w:t>
      </w:r>
      <w:r w:rsidR="00DA7994">
        <w:rPr>
          <w:rFonts w:asciiTheme="majorBidi" w:hAnsiTheme="majorBidi" w:cstheme="majorBidi"/>
          <w:sz w:val="24"/>
          <w:szCs w:val="24"/>
        </w:rPr>
        <w:t>igh</w:t>
      </w:r>
      <w:r w:rsidR="00DA7994" w:rsidRPr="00A95F0B">
        <w:rPr>
          <w:rFonts w:asciiTheme="majorBidi" w:hAnsiTheme="majorBidi" w:cstheme="majorBidi"/>
          <w:sz w:val="24"/>
          <w:szCs w:val="24"/>
        </w:rPr>
        <w:t xml:space="preserve"> </w:t>
      </w:r>
      <w:r w:rsidR="00A95F0B" w:rsidRPr="00A95F0B">
        <w:rPr>
          <w:rFonts w:asciiTheme="majorBidi" w:hAnsiTheme="majorBidi" w:cstheme="majorBidi"/>
          <w:sz w:val="24"/>
          <w:szCs w:val="24"/>
        </w:rPr>
        <w:t>crystallinity</w:t>
      </w:r>
      <w:r w:rsidR="00B87E71">
        <w:rPr>
          <w:rFonts w:asciiTheme="majorBidi" w:hAnsiTheme="majorBidi" w:cstheme="majorBidi"/>
          <w:sz w:val="24"/>
          <w:szCs w:val="24"/>
        </w:rPr>
        <w:t xml:space="preserve"> and</w:t>
      </w:r>
      <w:r w:rsidR="00DA7994">
        <w:rPr>
          <w:rFonts w:asciiTheme="majorBidi" w:hAnsiTheme="majorBidi" w:cstheme="majorBidi"/>
          <w:sz w:val="24"/>
          <w:szCs w:val="24"/>
        </w:rPr>
        <w:t xml:space="preserve"> </w:t>
      </w:r>
      <w:r w:rsidR="005D030C">
        <w:rPr>
          <w:rFonts w:asciiTheme="majorBidi" w:hAnsiTheme="majorBidi" w:cstheme="majorBidi"/>
          <w:sz w:val="24"/>
          <w:szCs w:val="24"/>
        </w:rPr>
        <w:t xml:space="preserve">decreased carbonate </w:t>
      </w:r>
      <w:r w:rsidR="00DA7994">
        <w:rPr>
          <w:rFonts w:asciiTheme="majorBidi" w:hAnsiTheme="majorBidi" w:cstheme="majorBidi"/>
          <w:sz w:val="24"/>
          <w:szCs w:val="24"/>
        </w:rPr>
        <w:t xml:space="preserve">and Zn </w:t>
      </w:r>
      <w:r w:rsidR="00B87E71">
        <w:rPr>
          <w:rFonts w:asciiTheme="majorBidi" w:hAnsiTheme="majorBidi" w:cstheme="majorBidi"/>
          <w:sz w:val="24"/>
          <w:szCs w:val="24"/>
        </w:rPr>
        <w:t>content</w:t>
      </w:r>
      <w:r w:rsidR="00DA7994">
        <w:rPr>
          <w:rFonts w:asciiTheme="majorBidi" w:hAnsiTheme="majorBidi" w:cstheme="majorBidi"/>
          <w:sz w:val="24"/>
          <w:szCs w:val="24"/>
        </w:rPr>
        <w:t xml:space="preserve">, </w:t>
      </w:r>
      <w:r w:rsidR="00B87E71">
        <w:rPr>
          <w:rFonts w:asciiTheme="majorBidi" w:hAnsiTheme="majorBidi" w:cstheme="majorBidi"/>
          <w:sz w:val="24"/>
          <w:szCs w:val="24"/>
        </w:rPr>
        <w:t>which is in the range observed for cancerous FNA MCs,</w:t>
      </w:r>
      <w:r w:rsidR="00DA7994">
        <w:rPr>
          <w:rFonts w:asciiTheme="majorBidi" w:hAnsiTheme="majorBidi" w:cstheme="majorBidi"/>
          <w:sz w:val="24"/>
          <w:szCs w:val="24"/>
        </w:rPr>
        <w:t xml:space="preserve"> </w:t>
      </w:r>
      <w:r w:rsidR="00A95F0B" w:rsidRPr="00A95F0B">
        <w:rPr>
          <w:rFonts w:asciiTheme="majorBidi" w:hAnsiTheme="majorBidi" w:cstheme="majorBidi"/>
          <w:sz w:val="24"/>
          <w:szCs w:val="24"/>
        </w:rPr>
        <w:t>emerge as</w:t>
      </w:r>
      <w:r w:rsidR="007041FF">
        <w:rPr>
          <w:rFonts w:asciiTheme="majorBidi" w:hAnsiTheme="majorBidi" w:cstheme="majorBidi"/>
          <w:sz w:val="24"/>
          <w:szCs w:val="24"/>
        </w:rPr>
        <w:t xml:space="preserve"> potential </w:t>
      </w:r>
      <w:r w:rsidR="00A95F0B" w:rsidRPr="00A95F0B">
        <w:rPr>
          <w:rFonts w:asciiTheme="majorBidi" w:hAnsiTheme="majorBidi" w:cstheme="majorBidi"/>
          <w:sz w:val="24"/>
          <w:szCs w:val="24"/>
        </w:rPr>
        <w:t>driver</w:t>
      </w:r>
      <w:r w:rsidR="005D030C">
        <w:rPr>
          <w:rFonts w:asciiTheme="majorBidi" w:hAnsiTheme="majorBidi" w:cstheme="majorBidi"/>
          <w:sz w:val="24"/>
          <w:szCs w:val="24"/>
        </w:rPr>
        <w:t>s</w:t>
      </w:r>
      <w:r w:rsidR="00A95F0B" w:rsidRPr="00A95F0B">
        <w:rPr>
          <w:rFonts w:asciiTheme="majorBidi" w:hAnsiTheme="majorBidi" w:cstheme="majorBidi"/>
          <w:sz w:val="24"/>
          <w:szCs w:val="24"/>
        </w:rPr>
        <w:t xml:space="preserve"> of malignancy potential.</w:t>
      </w:r>
      <w:r w:rsidR="00A95F0B">
        <w:rPr>
          <w:rFonts w:asciiTheme="majorBidi" w:hAnsiTheme="majorBidi" w:cstheme="majorBidi"/>
          <w:sz w:val="24"/>
          <w:szCs w:val="24"/>
        </w:rPr>
        <w:t xml:space="preserve"> </w:t>
      </w:r>
      <w:r w:rsidR="00AD7059" w:rsidRPr="00AD7059">
        <w:rPr>
          <w:rFonts w:asciiTheme="majorBidi" w:hAnsiTheme="majorBidi" w:cstheme="majorBidi"/>
          <w:sz w:val="24"/>
          <w:szCs w:val="24"/>
        </w:rPr>
        <w:t xml:space="preserve">Returning to the initial </w:t>
      </w:r>
      <w:r w:rsidR="00AD7059">
        <w:rPr>
          <w:rFonts w:asciiTheme="majorBidi" w:hAnsiTheme="majorBidi" w:cstheme="majorBidi"/>
          <w:sz w:val="24"/>
          <w:szCs w:val="24"/>
        </w:rPr>
        <w:t>question</w:t>
      </w:r>
      <w:r w:rsidR="00AD7059" w:rsidRPr="00AD7059">
        <w:rPr>
          <w:rFonts w:asciiTheme="majorBidi" w:hAnsiTheme="majorBidi" w:cstheme="majorBidi"/>
          <w:sz w:val="24"/>
          <w:szCs w:val="24"/>
        </w:rPr>
        <w:t xml:space="preserve"> regarding the relationship between </w:t>
      </w:r>
      <w:r w:rsidR="009A345B">
        <w:rPr>
          <w:rFonts w:asciiTheme="majorBidi" w:hAnsiTheme="majorBidi" w:cstheme="majorBidi"/>
          <w:sz w:val="24"/>
          <w:szCs w:val="24"/>
        </w:rPr>
        <w:t xml:space="preserve">the </w:t>
      </w:r>
      <w:r w:rsidR="00AD7059" w:rsidRPr="00AD7059">
        <w:rPr>
          <w:rFonts w:asciiTheme="majorBidi" w:hAnsiTheme="majorBidi" w:cstheme="majorBidi"/>
          <w:sz w:val="24"/>
          <w:szCs w:val="24"/>
        </w:rPr>
        <w:t xml:space="preserve">Zn content of FNA MCs and malignancy in thyroid nodules, these </w:t>
      </w:r>
      <w:r w:rsidR="00AD7059" w:rsidRPr="006C6122">
        <w:rPr>
          <w:rFonts w:asciiTheme="majorBidi" w:hAnsiTheme="majorBidi" w:cstheme="majorBidi"/>
          <w:i/>
          <w:iCs/>
          <w:sz w:val="24"/>
          <w:szCs w:val="24"/>
        </w:rPr>
        <w:t>in vitro</w:t>
      </w:r>
      <w:r w:rsidR="00AD7059">
        <w:rPr>
          <w:rFonts w:asciiTheme="majorBidi" w:hAnsiTheme="majorBidi" w:cstheme="majorBidi"/>
          <w:sz w:val="24"/>
          <w:szCs w:val="24"/>
        </w:rPr>
        <w:t xml:space="preserve"> </w:t>
      </w:r>
      <w:r w:rsidR="00AD7059" w:rsidRPr="00AD7059">
        <w:rPr>
          <w:rFonts w:asciiTheme="majorBidi" w:hAnsiTheme="majorBidi" w:cstheme="majorBidi"/>
          <w:sz w:val="24"/>
          <w:szCs w:val="24"/>
        </w:rPr>
        <w:t xml:space="preserve">findings do not definitively </w:t>
      </w:r>
      <w:r w:rsidR="00AD7059">
        <w:rPr>
          <w:rFonts w:asciiTheme="majorBidi" w:hAnsiTheme="majorBidi" w:cstheme="majorBidi"/>
          <w:sz w:val="24"/>
          <w:szCs w:val="24"/>
        </w:rPr>
        <w:t>determine</w:t>
      </w:r>
      <w:r w:rsidR="00AD7059" w:rsidRPr="00AD7059">
        <w:rPr>
          <w:rFonts w:asciiTheme="majorBidi" w:hAnsiTheme="majorBidi" w:cstheme="majorBidi"/>
          <w:sz w:val="24"/>
          <w:szCs w:val="24"/>
        </w:rPr>
        <w:t xml:space="preserve"> </w:t>
      </w:r>
      <w:r w:rsidR="00AD7059">
        <w:rPr>
          <w:rFonts w:asciiTheme="majorBidi" w:hAnsiTheme="majorBidi" w:cstheme="majorBidi"/>
          <w:sz w:val="24"/>
          <w:szCs w:val="24"/>
        </w:rPr>
        <w:t>the causality of the observed correlation</w:t>
      </w:r>
      <w:r w:rsidR="00AD7059" w:rsidRPr="00AD7059">
        <w:rPr>
          <w:rFonts w:asciiTheme="majorBidi" w:hAnsiTheme="majorBidi" w:cstheme="majorBidi"/>
          <w:sz w:val="24"/>
          <w:szCs w:val="24"/>
        </w:rPr>
        <w:t xml:space="preserve">. However, they </w:t>
      </w:r>
      <w:r w:rsidR="00BC301E">
        <w:rPr>
          <w:rFonts w:asciiTheme="majorBidi" w:hAnsiTheme="majorBidi" w:cstheme="majorBidi"/>
          <w:sz w:val="24"/>
          <w:szCs w:val="24"/>
        </w:rPr>
        <w:t>highlight</w:t>
      </w:r>
      <w:r w:rsidR="00AD7059" w:rsidRPr="00AD7059">
        <w:rPr>
          <w:rFonts w:asciiTheme="majorBidi" w:hAnsiTheme="majorBidi" w:cstheme="majorBidi"/>
          <w:sz w:val="24"/>
          <w:szCs w:val="24"/>
        </w:rPr>
        <w:t xml:space="preserve"> the significance of considering not only the </w:t>
      </w:r>
      <w:r w:rsidR="00DC068C">
        <w:rPr>
          <w:rFonts w:asciiTheme="majorBidi" w:hAnsiTheme="majorBidi" w:cstheme="majorBidi"/>
          <w:sz w:val="24"/>
          <w:szCs w:val="24"/>
        </w:rPr>
        <w:t>Zn presence</w:t>
      </w:r>
      <w:r w:rsidR="00DC068C" w:rsidRPr="00AD7059">
        <w:rPr>
          <w:rFonts w:asciiTheme="majorBidi" w:hAnsiTheme="majorBidi" w:cstheme="majorBidi"/>
          <w:sz w:val="24"/>
          <w:szCs w:val="24"/>
        </w:rPr>
        <w:t xml:space="preserve"> </w:t>
      </w:r>
      <w:r w:rsidR="00775328">
        <w:rPr>
          <w:rFonts w:asciiTheme="majorBidi" w:hAnsiTheme="majorBidi" w:cstheme="majorBidi"/>
          <w:sz w:val="24"/>
          <w:szCs w:val="24"/>
        </w:rPr>
        <w:t xml:space="preserve">and </w:t>
      </w:r>
      <w:r w:rsidR="008053A0">
        <w:rPr>
          <w:rFonts w:asciiTheme="majorBidi" w:hAnsiTheme="majorBidi" w:cstheme="majorBidi"/>
          <w:sz w:val="24"/>
          <w:szCs w:val="24"/>
        </w:rPr>
        <w:t xml:space="preserve">MC </w:t>
      </w:r>
      <w:r w:rsidR="00775328">
        <w:rPr>
          <w:rFonts w:asciiTheme="majorBidi" w:hAnsiTheme="majorBidi" w:cstheme="majorBidi"/>
          <w:sz w:val="24"/>
          <w:szCs w:val="24"/>
        </w:rPr>
        <w:t xml:space="preserve">morphology </w:t>
      </w:r>
      <w:r w:rsidR="00AD7059" w:rsidRPr="00AD7059">
        <w:rPr>
          <w:rFonts w:asciiTheme="majorBidi" w:hAnsiTheme="majorBidi" w:cstheme="majorBidi"/>
          <w:sz w:val="24"/>
          <w:szCs w:val="24"/>
        </w:rPr>
        <w:t>but also the crystallinity</w:t>
      </w:r>
      <w:r w:rsidR="005D030C">
        <w:rPr>
          <w:rFonts w:asciiTheme="majorBidi" w:hAnsiTheme="majorBidi" w:cstheme="majorBidi"/>
          <w:sz w:val="24"/>
          <w:szCs w:val="24"/>
        </w:rPr>
        <w:t>, surface charge, and carbonate content</w:t>
      </w:r>
      <w:r w:rsidR="00AD7059" w:rsidRPr="00AD7059">
        <w:rPr>
          <w:rFonts w:asciiTheme="majorBidi" w:hAnsiTheme="majorBidi" w:cstheme="majorBidi"/>
          <w:sz w:val="24"/>
          <w:szCs w:val="24"/>
        </w:rPr>
        <w:t xml:space="preserve"> of the MCs.</w:t>
      </w:r>
    </w:p>
    <w:p w14:paraId="2348A724" w14:textId="77777777" w:rsidR="0091700D" w:rsidRDefault="0091700D" w:rsidP="00AB3F9D">
      <w:pPr>
        <w:spacing w:after="0" w:line="360" w:lineRule="auto"/>
        <w:rPr>
          <w:rFonts w:asciiTheme="majorBidi" w:hAnsiTheme="majorBidi" w:cstheme="majorBidi"/>
          <w:b/>
          <w:bCs/>
          <w:sz w:val="24"/>
          <w:szCs w:val="24"/>
        </w:rPr>
      </w:pPr>
    </w:p>
    <w:p w14:paraId="235F06C6" w14:textId="26A3FFB2" w:rsidR="00AD7059" w:rsidRDefault="00AD7059" w:rsidP="00AB3F9D">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Acknowledgments </w:t>
      </w:r>
    </w:p>
    <w:p w14:paraId="188EC183" w14:textId="5FD91D67" w:rsidR="006B0DA3" w:rsidRPr="00732866" w:rsidRDefault="0091700D" w:rsidP="00AB3F9D">
      <w:pPr>
        <w:spacing w:after="0" w:line="360" w:lineRule="auto"/>
        <w:jc w:val="both"/>
        <w:rPr>
          <w:rFonts w:asciiTheme="majorBidi" w:hAnsiTheme="majorBidi" w:cstheme="majorBidi"/>
          <w:sz w:val="24"/>
          <w:szCs w:val="24"/>
        </w:rPr>
      </w:pPr>
      <w:r w:rsidRPr="0091700D">
        <w:rPr>
          <w:rFonts w:asciiTheme="majorBidi" w:hAnsiTheme="majorBidi" w:cstheme="majorBidi"/>
          <w:sz w:val="24"/>
          <w:szCs w:val="24"/>
        </w:rPr>
        <w:t>This work was supported by the Israeli Science Foundation [grant number 565/21]. NV is the incumbent of the Joseph and May Winston Career Development Chair in Chemical Engineering. The authors thank</w:t>
      </w:r>
      <w:r w:rsidRPr="0091700D">
        <w:rPr>
          <w:rFonts w:asciiTheme="majorBidi" w:hAnsiTheme="majorBidi" w:cstheme="majorBidi"/>
          <w:sz w:val="24"/>
          <w:szCs w:val="24"/>
          <w:rtl/>
        </w:rPr>
        <w:t xml:space="preserve"> </w:t>
      </w:r>
      <w:r>
        <w:rPr>
          <w:rFonts w:asciiTheme="majorBidi" w:hAnsiTheme="majorBidi" w:cstheme="majorBidi" w:hint="cs"/>
          <w:sz w:val="24"/>
          <w:szCs w:val="24"/>
        </w:rPr>
        <w:t>B</w:t>
      </w:r>
      <w:r>
        <w:rPr>
          <w:rFonts w:asciiTheme="majorBidi" w:hAnsiTheme="majorBidi" w:cstheme="majorBidi"/>
          <w:sz w:val="24"/>
          <w:szCs w:val="24"/>
        </w:rPr>
        <w:t>ar Elisha</w:t>
      </w:r>
      <w:r w:rsidRPr="0091700D">
        <w:rPr>
          <w:rFonts w:asciiTheme="majorBidi" w:hAnsiTheme="majorBidi" w:cstheme="majorBidi"/>
          <w:sz w:val="24"/>
          <w:szCs w:val="24"/>
        </w:rPr>
        <w:t xml:space="preserve"> for assistance</w:t>
      </w:r>
      <w:r>
        <w:rPr>
          <w:rFonts w:asciiTheme="majorBidi" w:hAnsiTheme="majorBidi" w:cstheme="majorBidi"/>
          <w:sz w:val="24"/>
          <w:szCs w:val="24"/>
        </w:rPr>
        <w:t xml:space="preserve"> with ICP-OES </w:t>
      </w:r>
      <w:r w:rsidRPr="00B05B61">
        <w:rPr>
          <w:rFonts w:asciiTheme="majorBidi" w:hAnsiTheme="majorBidi" w:cstheme="majorBidi"/>
          <w:sz w:val="24"/>
          <w:szCs w:val="24"/>
          <w:highlight w:val="green"/>
        </w:rPr>
        <w:t>measurements</w:t>
      </w:r>
      <w:r w:rsidR="00F37DD7" w:rsidRPr="00B05B61">
        <w:rPr>
          <w:rFonts w:asciiTheme="majorBidi" w:hAnsiTheme="majorBidi" w:cstheme="majorBidi"/>
          <w:sz w:val="24"/>
          <w:szCs w:val="24"/>
          <w:highlight w:val="green"/>
        </w:rPr>
        <w:t xml:space="preserve"> and </w:t>
      </w:r>
      <w:r w:rsidR="00713DA0" w:rsidRPr="00B05B61">
        <w:rPr>
          <w:rFonts w:asciiTheme="majorBidi" w:hAnsiTheme="majorBidi" w:cstheme="majorBidi"/>
          <w:sz w:val="24"/>
          <w:szCs w:val="24"/>
          <w:highlight w:val="green"/>
        </w:rPr>
        <w:t xml:space="preserve">Jurgen Jopp for assistance with surface roughness </w:t>
      </w:r>
      <w:r w:rsidR="00F37DD7" w:rsidRPr="00B05B61">
        <w:rPr>
          <w:rFonts w:asciiTheme="majorBidi" w:hAnsiTheme="majorBidi" w:cstheme="majorBidi"/>
          <w:sz w:val="24"/>
          <w:szCs w:val="24"/>
          <w:highlight w:val="green"/>
        </w:rPr>
        <w:t>measurements</w:t>
      </w:r>
      <w:r>
        <w:rPr>
          <w:rFonts w:asciiTheme="majorBidi" w:hAnsiTheme="majorBidi" w:cstheme="majorBidi"/>
          <w:sz w:val="24"/>
          <w:szCs w:val="24"/>
        </w:rPr>
        <w:t xml:space="preserve">. </w:t>
      </w:r>
      <w:r w:rsidR="006B0DA3" w:rsidRPr="00732866">
        <w:rPr>
          <w:rFonts w:asciiTheme="majorBidi" w:hAnsiTheme="majorBidi" w:cstheme="majorBidi"/>
          <w:sz w:val="24"/>
          <w:szCs w:val="24"/>
        </w:rPr>
        <w:t>The illustrations were created with BioRender.com.</w:t>
      </w:r>
    </w:p>
    <w:p w14:paraId="0C589FA1" w14:textId="77777777" w:rsidR="006B0DA3" w:rsidRPr="0091700D" w:rsidRDefault="006B0DA3" w:rsidP="00AB3F9D">
      <w:pPr>
        <w:spacing w:after="0" w:line="360" w:lineRule="auto"/>
        <w:jc w:val="both"/>
        <w:rPr>
          <w:rFonts w:asciiTheme="majorBidi" w:hAnsiTheme="majorBidi" w:cstheme="majorBidi"/>
          <w:sz w:val="24"/>
          <w:szCs w:val="24"/>
        </w:rPr>
      </w:pPr>
    </w:p>
    <w:p w14:paraId="046C7CDF" w14:textId="43FB48D1" w:rsidR="0091700D" w:rsidRDefault="0091700D" w:rsidP="00AB3F9D">
      <w:pPr>
        <w:pStyle w:val="ListParagraph"/>
        <w:spacing w:after="0" w:line="360" w:lineRule="auto"/>
        <w:ind w:left="360"/>
        <w:rPr>
          <w:rFonts w:asciiTheme="majorBidi" w:hAnsiTheme="majorBidi" w:cstheme="majorBidi"/>
          <w:b/>
          <w:bCs/>
          <w:sz w:val="24"/>
          <w:szCs w:val="24"/>
        </w:rPr>
      </w:pPr>
    </w:p>
    <w:p w14:paraId="1A2563F4" w14:textId="27783BF1" w:rsidR="00732866" w:rsidRDefault="00732866" w:rsidP="00AB3F9D">
      <w:pPr>
        <w:pStyle w:val="ListParagraph"/>
        <w:spacing w:after="0" w:line="360" w:lineRule="auto"/>
        <w:ind w:left="360"/>
        <w:rPr>
          <w:rFonts w:asciiTheme="majorBidi" w:hAnsiTheme="majorBidi" w:cstheme="majorBidi"/>
          <w:b/>
          <w:bCs/>
          <w:sz w:val="24"/>
          <w:szCs w:val="24"/>
        </w:rPr>
      </w:pPr>
    </w:p>
    <w:p w14:paraId="4AA05E26" w14:textId="0548AA3B" w:rsidR="00732866" w:rsidRDefault="00732866" w:rsidP="00AB3F9D">
      <w:pPr>
        <w:pStyle w:val="ListParagraph"/>
        <w:spacing w:after="0" w:line="360" w:lineRule="auto"/>
        <w:ind w:left="360"/>
        <w:rPr>
          <w:rFonts w:asciiTheme="majorBidi" w:hAnsiTheme="majorBidi" w:cstheme="majorBidi"/>
          <w:b/>
          <w:bCs/>
          <w:sz w:val="24"/>
          <w:szCs w:val="24"/>
        </w:rPr>
      </w:pPr>
    </w:p>
    <w:p w14:paraId="4FB7456A" w14:textId="44EEE540" w:rsidR="00732866" w:rsidRDefault="00732866" w:rsidP="00AB3F9D">
      <w:pPr>
        <w:pStyle w:val="ListParagraph"/>
        <w:spacing w:after="0" w:line="360" w:lineRule="auto"/>
        <w:ind w:left="360"/>
        <w:rPr>
          <w:rFonts w:asciiTheme="majorBidi" w:hAnsiTheme="majorBidi" w:cstheme="majorBidi"/>
          <w:b/>
          <w:bCs/>
          <w:sz w:val="24"/>
          <w:szCs w:val="24"/>
        </w:rPr>
      </w:pPr>
    </w:p>
    <w:p w14:paraId="46CA4968" w14:textId="77777777" w:rsidR="00BF5226" w:rsidRDefault="00BF5226" w:rsidP="00AB3F9D">
      <w:pPr>
        <w:pStyle w:val="ListParagraph"/>
        <w:spacing w:after="0" w:line="360" w:lineRule="auto"/>
        <w:ind w:left="360"/>
        <w:rPr>
          <w:rFonts w:asciiTheme="majorBidi" w:hAnsiTheme="majorBidi" w:cstheme="majorBidi"/>
          <w:b/>
          <w:bCs/>
          <w:sz w:val="24"/>
          <w:szCs w:val="24"/>
        </w:rPr>
      </w:pPr>
    </w:p>
    <w:p w14:paraId="0F5818B3" w14:textId="77777777" w:rsidR="00BF5226" w:rsidRDefault="00BF5226" w:rsidP="00AB3F9D">
      <w:pPr>
        <w:pStyle w:val="ListParagraph"/>
        <w:spacing w:after="0" w:line="360" w:lineRule="auto"/>
        <w:ind w:left="360"/>
        <w:rPr>
          <w:rFonts w:asciiTheme="majorBidi" w:hAnsiTheme="majorBidi" w:cstheme="majorBidi"/>
          <w:b/>
          <w:bCs/>
          <w:sz w:val="24"/>
          <w:szCs w:val="24"/>
        </w:rPr>
      </w:pPr>
    </w:p>
    <w:p w14:paraId="2919CF47" w14:textId="721400B8" w:rsidR="00D772D0" w:rsidRPr="008F1A9A" w:rsidRDefault="00D772D0" w:rsidP="00AB3F9D">
      <w:pPr>
        <w:pStyle w:val="ListParagraph"/>
        <w:numPr>
          <w:ilvl w:val="0"/>
          <w:numId w:val="1"/>
        </w:num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References </w:t>
      </w:r>
    </w:p>
    <w:p w14:paraId="2ABEF018" w14:textId="21F77755" w:rsidR="005379B7" w:rsidRPr="005379B7" w:rsidRDefault="005206D8" w:rsidP="005379B7">
      <w:pPr>
        <w:widowControl w:val="0"/>
        <w:autoSpaceDE w:val="0"/>
        <w:autoSpaceDN w:val="0"/>
        <w:adjustRightInd w:val="0"/>
        <w:spacing w:after="0" w:line="360" w:lineRule="auto"/>
        <w:ind w:left="640" w:hanging="640"/>
        <w:rPr>
          <w:rFonts w:ascii="Calibri" w:hAnsi="Calibri" w:cs="Calibri"/>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005379B7" w:rsidRPr="005379B7">
        <w:rPr>
          <w:rFonts w:ascii="Calibri" w:hAnsi="Calibri" w:cs="Calibri"/>
          <w:noProof/>
          <w:sz w:val="24"/>
          <w:szCs w:val="24"/>
        </w:rPr>
        <w:t>[1]</w:t>
      </w:r>
      <w:r w:rsidR="005379B7" w:rsidRPr="005379B7">
        <w:rPr>
          <w:rFonts w:ascii="Calibri" w:hAnsi="Calibri" w:cs="Calibri"/>
          <w:noProof/>
          <w:sz w:val="24"/>
          <w:szCs w:val="24"/>
        </w:rPr>
        <w:tab/>
        <w:t>M. Crago, A. Lee, S. Farajikhah, F. Oveissi, D.F. Fletcher, F. Dehghani, D.S. Winlaw, S. Naficy, The evolution of polyurethane heart valve replacements: How chemistry translates to the clinic, Mater. Today Commun. 33 (2022) 104916. https://doi.org/10.1016/j.mtcomm.2022.104916.</w:t>
      </w:r>
    </w:p>
    <w:p w14:paraId="7A0D88DB"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w:t>
      </w:r>
      <w:r w:rsidRPr="005379B7">
        <w:rPr>
          <w:rFonts w:ascii="Calibri" w:hAnsi="Calibri" w:cs="Calibri"/>
          <w:noProof/>
          <w:sz w:val="24"/>
          <w:szCs w:val="24"/>
        </w:rPr>
        <w:tab/>
        <w:t>N. Reznikov, J.A.M. Steele, P. Fratzl, M.M. Stevens, A materials science vision of extracellular matrix mineralization, Nat. Rev. Mater. 1 (2016) 16041. https://doi.org/10.1038/natrevmats.2016.41.</w:t>
      </w:r>
    </w:p>
    <w:p w14:paraId="744825FA"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w:t>
      </w:r>
      <w:r w:rsidRPr="005379B7">
        <w:rPr>
          <w:rFonts w:ascii="Calibri" w:hAnsi="Calibri" w:cs="Calibri"/>
          <w:noProof/>
          <w:sz w:val="24"/>
          <w:szCs w:val="24"/>
        </w:rPr>
        <w:tab/>
        <w:t>S. Bertazzo, E. Gentleman, K.L. Cloyd, A.H. Chester, M.H. Yacoub, M.M. Stevens, Nano-analytical electron microscopy reveals fundamental insights into human cardiovascular tissue calcification, Nat. Mater. 12 (2013) 576–583. https://doi.org/10.1038/NMAT3627.</w:t>
      </w:r>
    </w:p>
    <w:p w14:paraId="0EE5E1BB"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[4]</w:t>
      </w:r>
      <w:r w:rsidRPr="005379B7">
        <w:rPr>
          <w:rFonts w:ascii="Calibri" w:hAnsi="Calibri" w:cs="Calibri"/>
          <w:noProof/>
          <w:sz w:val="24"/>
          <w:szCs w:val="24"/>
        </w:rPr>
        <w:tab/>
        <w:t>M. Wu, C. Rementer, C.M. Giachelli, Vascular Calcification: An update on mechanisms and challenges in treatment, Calcif. Tissue Int. 93 (2013) 365–373. https://doi.org/10.1007/s00223-013-9712-z.</w:t>
      </w:r>
    </w:p>
    <w:p w14:paraId="24118ACB"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[5]</w:t>
      </w:r>
      <w:r w:rsidRPr="005379B7">
        <w:rPr>
          <w:rFonts w:ascii="Calibri" w:hAnsi="Calibri" w:cs="Calibri"/>
          <w:noProof/>
          <w:sz w:val="24"/>
          <w:szCs w:val="24"/>
        </w:rPr>
        <w:tab/>
        <w:t>N. Vidavsky, J.A.M.R. Kunitake, L.A. Estroff, Multiple pathways for pathological calcification in the human body, Adv. Healthc. Mater. 10(4) (2021) 2001271. https://doi.org/10.1002/adhm.202001271.</w:t>
      </w:r>
    </w:p>
    <w:p w14:paraId="500648A4"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[6]</w:t>
      </w:r>
      <w:r w:rsidRPr="005379B7">
        <w:rPr>
          <w:rFonts w:ascii="Calibri" w:hAnsi="Calibri" w:cs="Calibri"/>
          <w:noProof/>
          <w:sz w:val="24"/>
          <w:szCs w:val="24"/>
        </w:rPr>
        <w:tab/>
        <w:t>Y. Kojima, H. Tsunoda, Imaging findings of triple-negative breast cancer Mammography and ultrasound features of triple-negative breast cancer, Breast Cancer 6 (2011) 146–151. https://doi.org/10.1007/s12282-010-0223-8.</w:t>
      </w:r>
    </w:p>
    <w:p w14:paraId="1C1D8C94"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[7]</w:t>
      </w:r>
      <w:r w:rsidRPr="005379B7">
        <w:rPr>
          <w:rFonts w:ascii="Calibri" w:hAnsi="Calibri" w:cs="Calibri"/>
          <w:noProof/>
          <w:sz w:val="24"/>
          <w:szCs w:val="24"/>
        </w:rPr>
        <w:tab/>
        <w:t>J.A.M.R. Kunitake, S. Choi, K.X. Nguyen, M.M. Lee, F. He, D. Sudilovsky, P.G. Morris, M.S. Jochelson, C.A. Hudis, D.A. Muller, P. Fratzl, C. Fischbach, A. Masic, L.A. Estroff, Correlative imaging reveals physiochemical heterogeneity of microcalcifications in human breast carcinomas, J. Struct. Biol. 202 (2018) 25–34. https://doi.org/10.1016/j.jsb.2017.12.002.</w:t>
      </w:r>
    </w:p>
    <w:p w14:paraId="34A6CACE"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[8]</w:t>
      </w:r>
      <w:r w:rsidRPr="005379B7">
        <w:rPr>
          <w:rFonts w:ascii="Calibri" w:hAnsi="Calibri" w:cs="Calibri"/>
          <w:noProof/>
          <w:sz w:val="24"/>
          <w:szCs w:val="24"/>
        </w:rPr>
        <w:tab/>
        <w:t>A.S. Haka, K.E. Shafer-Peltier, M. Fitzmaurice, J. Crowe, R.R. Dasari, M.S. Feld, Identifying microcalcifications in benign and malignant breast lesions by probing differences in their chemical composition using raman spectroscopy, Cancer Res. 62 (2002) 5375–5380. https://doi.org/10.1038/srep09907.</w:t>
      </w:r>
    </w:p>
    <w:p w14:paraId="7DBF0DC9"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[9]</w:t>
      </w:r>
      <w:r w:rsidRPr="005379B7">
        <w:rPr>
          <w:rFonts w:ascii="Calibri" w:hAnsi="Calibri" w:cs="Calibri"/>
          <w:noProof/>
          <w:sz w:val="24"/>
          <w:szCs w:val="24"/>
        </w:rPr>
        <w:tab/>
        <w:t xml:space="preserve">R. Vanna, C. Morasso, B. Marcinno, F. Piccotti, E. Torti, D. Altamura, S. Albasini, M. Agozzino, L. Villani, L. Sorrentino, O. Bunk, F. Leporati, C. Giannini, F. Corsi, Raman </w:t>
      </w:r>
      <w:r w:rsidRPr="005379B7">
        <w:rPr>
          <w:rFonts w:ascii="Calibri" w:hAnsi="Calibri" w:cs="Calibri"/>
          <w:noProof/>
          <w:sz w:val="24"/>
          <w:szCs w:val="24"/>
        </w:rPr>
        <w:lastRenderedPageBreak/>
        <w:t>spectroscopy reveals that biochemical composition of breast microcalcifications correlates with histopathologic features, Cancer Res. 80 (2020) 1762–1772. https://doi.org/10.1158/0008-5472.CAN-19-3204.</w:t>
      </w:r>
    </w:p>
    <w:p w14:paraId="2580C6C4"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[10]</w:t>
      </w:r>
      <w:r w:rsidRPr="005379B7">
        <w:rPr>
          <w:rFonts w:ascii="Calibri" w:hAnsi="Calibri" w:cs="Calibri"/>
          <w:noProof/>
          <w:sz w:val="24"/>
          <w:szCs w:val="24"/>
        </w:rPr>
        <w:tab/>
        <w:t>R. Baker, K.D. Rogers, N. Shepherd, N. Stone, New relationships between breast microcalcifications and cancer, Br. J. Cancer 103 (2010) 1034–1039. https://doi.org/10.1038/sj.bjc.6605873.</w:t>
      </w:r>
    </w:p>
    <w:p w14:paraId="585612A9"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[11]</w:t>
      </w:r>
      <w:r w:rsidRPr="005379B7">
        <w:rPr>
          <w:rFonts w:ascii="Calibri" w:hAnsi="Calibri" w:cs="Calibri"/>
          <w:noProof/>
          <w:sz w:val="24"/>
          <w:szCs w:val="24"/>
        </w:rPr>
        <w:tab/>
        <w:t>J. Guerlain, S. Perie, M. Lefevre, J. Perez, S. Vandermeersch, C. Jouanneau, L. Huguet, V. Frochot, E. Letavernier, R. Weil, S. Rouziere, D. Bazin, M. Daudon, J.P. Haymann, Localization and characterization of thyroid microcalcifications: A histopathological study, PLoS One 14 (2019) 1–13. https://doi.org/10.1371/journal.pone.0224138.</w:t>
      </w:r>
    </w:p>
    <w:p w14:paraId="7916C5D7"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[12]</w:t>
      </w:r>
      <w:r w:rsidRPr="005379B7">
        <w:rPr>
          <w:rFonts w:ascii="Calibri" w:hAnsi="Calibri" w:cs="Calibri"/>
          <w:noProof/>
          <w:sz w:val="24"/>
          <w:szCs w:val="24"/>
        </w:rPr>
        <w:tab/>
        <w:t>D. Bazin, M. Daudon, C. Combes, C. Rey, Characterization and some physicochemical aspects of pathological microcalcifications, Chem. Rev. 112 (2012) 5092–5120. https://doi.org/10.1021/cr200068d.</w:t>
      </w:r>
    </w:p>
    <w:p w14:paraId="79B0D13F"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[13]</w:t>
      </w:r>
      <w:r w:rsidRPr="005379B7">
        <w:rPr>
          <w:rFonts w:ascii="Calibri" w:hAnsi="Calibri" w:cs="Calibri"/>
          <w:noProof/>
          <w:sz w:val="24"/>
          <w:szCs w:val="24"/>
        </w:rPr>
        <w:tab/>
        <w:t>S. Gosling, R. Scott, C. Greenwood, P. Bouzy, J. Nallala, I.D. Lyburn, N. Stone, K. Rogers, Calcification microstructure reflects breast tissue microenvironment, J. Mammary Gland Biol. Neoplasia 24 (2019) 333–342. https://doi.org/10.1007/s10911-019-09441-3.</w:t>
      </w:r>
    </w:p>
    <w:p w14:paraId="0F585FBE"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[14]</w:t>
      </w:r>
      <w:r w:rsidRPr="005379B7">
        <w:rPr>
          <w:rFonts w:ascii="Calibri" w:hAnsi="Calibri" w:cs="Calibri"/>
          <w:noProof/>
          <w:sz w:val="24"/>
          <w:szCs w:val="24"/>
        </w:rPr>
        <w:tab/>
        <w:t>R. Scott, N. Stone, C. Kendall, K. Geraki, K. Rogers, Relationships between pathology and crystal structure in breast calcifications: An in situ X-ray diffraction study in histological sections, Npj Breast Cancer 2 (2016) 1–6. https://doi.org/10.1038/npjbcancer.2016.29.</w:t>
      </w:r>
    </w:p>
    <w:p w14:paraId="4C5DA742"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[15]</w:t>
      </w:r>
      <w:r w:rsidRPr="005379B7">
        <w:rPr>
          <w:rFonts w:ascii="Calibri" w:hAnsi="Calibri" w:cs="Calibri"/>
          <w:noProof/>
          <w:sz w:val="24"/>
          <w:szCs w:val="24"/>
        </w:rPr>
        <w:tab/>
        <w:t>J.A.M.R. Kunitake, D. Sudilovsky, L.M. Johnson, H.C. Loh, S. Choi, P.G. Morris, M.S. Jochelson, N.M. Iyengar, M. Morrow, A. Masic, C. Fischbach, L.A. Estroff, Biomineralogical signatures of breast microcalcifications, Sci. Adv. 9 (2023) 1–21. https://doi.org/10.1126/sciadv.ade3152.</w:t>
      </w:r>
    </w:p>
    <w:p w14:paraId="3FE66166"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[16]</w:t>
      </w:r>
      <w:r w:rsidRPr="005379B7">
        <w:rPr>
          <w:rFonts w:ascii="Calibri" w:hAnsi="Calibri" w:cs="Calibri"/>
          <w:noProof/>
          <w:sz w:val="24"/>
          <w:szCs w:val="24"/>
        </w:rPr>
        <w:tab/>
        <w:t>B.R. Haugen, E.K. Alexander, K.C. Bible, G.M. Doherty, S.J. Mandel, Y.E. Nikiforov, F. Pacini, G.W. Randolph, A.M. Sawka, M. Schlumberger, K.G. Schuff, S.I. Sherman, J.A. Sosa, D.L. Steward, R.M. Tuttle, L. Wartofsky, 2015 american thyroid association management guidelines for adult patients with thyroid nodules and differentiated thyroid cancer, Thyroid 26 (2016) 1–133. https://doi.org/10.1089/thy.2015.0020.</w:t>
      </w:r>
    </w:p>
    <w:p w14:paraId="04335868"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[17]</w:t>
      </w:r>
      <w:r w:rsidRPr="005379B7">
        <w:rPr>
          <w:rFonts w:ascii="Calibri" w:hAnsi="Calibri" w:cs="Calibri"/>
          <w:noProof/>
          <w:sz w:val="24"/>
          <w:szCs w:val="24"/>
        </w:rPr>
        <w:tab/>
        <w:t xml:space="preserve">M. Mathonnet, A. Dessombz, D. Bazin, R. Weil, T. Frédéric, M. Pusztaszeri, M. Daudon, Chemical diversity of calcifications in thyroid and hypothetical link to </w:t>
      </w:r>
      <w:r w:rsidRPr="005379B7">
        <w:rPr>
          <w:rFonts w:ascii="Calibri" w:hAnsi="Calibri" w:cs="Calibri"/>
          <w:noProof/>
          <w:sz w:val="24"/>
          <w:szCs w:val="24"/>
        </w:rPr>
        <w:lastRenderedPageBreak/>
        <w:t>disease, Comptes Rendus Chim. 19 (2016) 1672–1678. https://doi.org/10.1016/j.crci.2015.02.008.</w:t>
      </w:r>
    </w:p>
    <w:p w14:paraId="40D332CC"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[18]</w:t>
      </w:r>
      <w:r w:rsidRPr="005379B7">
        <w:rPr>
          <w:rFonts w:ascii="Calibri" w:hAnsi="Calibri" w:cs="Calibri"/>
          <w:noProof/>
          <w:sz w:val="24"/>
          <w:szCs w:val="24"/>
        </w:rPr>
        <w:tab/>
        <w:t>S. De Santis, G. Sotgiu, A. Crescenzi, C. Taffon, A.C. Felici, M. Orsini, On the chemical composition of psammoma bodies microcalcifications in thyroid cancer tissues, J. Pharm. Biomed. Anal. 190 (2020) 113534. https://doi.org/10.1016/j.jpba.2020.113534.</w:t>
      </w:r>
    </w:p>
    <w:p w14:paraId="01508B9D"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[19]</w:t>
      </w:r>
      <w:r w:rsidRPr="005379B7">
        <w:rPr>
          <w:rFonts w:ascii="Calibri" w:hAnsi="Calibri" w:cs="Calibri"/>
          <w:noProof/>
          <w:sz w:val="24"/>
          <w:szCs w:val="24"/>
        </w:rPr>
        <w:tab/>
        <w:t>L. Gotnayer, D. Aranovich, M. Fraenkel, Zinc in microscopic calcifications isolated from thyroid fine needle aspiration may serve as a biomarker of thyroid nodule malignancy: A promising proof-of-concept, Acta Biomater. 161 (2023) 275–284. https://doi.org/10.1016/j.actbio.2023.03.010.</w:t>
      </w:r>
    </w:p>
    <w:p w14:paraId="0A08AECD"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[20]</w:t>
      </w:r>
      <w:r w:rsidRPr="005379B7">
        <w:rPr>
          <w:rFonts w:ascii="Calibri" w:hAnsi="Calibri" w:cs="Calibri"/>
          <w:noProof/>
          <w:sz w:val="24"/>
          <w:szCs w:val="24"/>
        </w:rPr>
        <w:tab/>
        <w:t>R.B. Franklin, L.C. Costello, The Important Role of the Apoptotic Effects of Zinc in the Development of Cancers, J. Cell. Biochem 106 (2009) 750–757. https://doi.org/10.1002/jcb.22049.</w:t>
      </w:r>
    </w:p>
    <w:p w14:paraId="0A269AC3"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[21]</w:t>
      </w:r>
      <w:r w:rsidRPr="005379B7">
        <w:rPr>
          <w:rFonts w:ascii="Calibri" w:hAnsi="Calibri" w:cs="Calibri"/>
          <w:noProof/>
          <w:sz w:val="24"/>
          <w:szCs w:val="24"/>
        </w:rPr>
        <w:tab/>
        <w:t>P. Bonaventura, G. Benedetti, F. Albarède, P. Miossec, Zinc and its role in immunity and inflammation, Autoimmun. Rev. 14 (2015) 277–285. https://doi.org/10.1016/j.autrev.2014.11.008.</w:t>
      </w:r>
    </w:p>
    <w:p w14:paraId="060BD0DF"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[22]</w:t>
      </w:r>
      <w:r w:rsidRPr="005379B7">
        <w:rPr>
          <w:rFonts w:ascii="Calibri" w:hAnsi="Calibri" w:cs="Calibri"/>
          <w:noProof/>
          <w:sz w:val="24"/>
          <w:szCs w:val="24"/>
        </w:rPr>
        <w:tab/>
        <w:t>N.Z. Gammoh, L. Rink, Zinc in infection and inflammation, Nutrients 9(6) (2017) 624. https://doi.org/10.3390/nu9060624.</w:t>
      </w:r>
    </w:p>
    <w:p w14:paraId="0E58A251"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[23]</w:t>
      </w:r>
      <w:r w:rsidRPr="005379B7">
        <w:rPr>
          <w:rFonts w:ascii="Calibri" w:hAnsi="Calibri" w:cs="Calibri"/>
          <w:noProof/>
          <w:sz w:val="24"/>
          <w:szCs w:val="24"/>
        </w:rPr>
        <w:tab/>
        <w:t>E. Fujii, M. Ohkubo, K. Tsuru, S. Hayakawa, A. Osaka, K. Kawabata, C. Bonhomme, F. Babonneau, Selective protein adsorption property and characterization of nano-crystalline zinc-containing hydroxyapatite, Acta Biomater. 2 (2006) 69–74. https://doi.org/10.1016/j.actbio.2005.09.002.</w:t>
      </w:r>
    </w:p>
    <w:p w14:paraId="7957A818"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[24]</w:t>
      </w:r>
      <w:r w:rsidRPr="005379B7">
        <w:rPr>
          <w:rFonts w:ascii="Calibri" w:hAnsi="Calibri" w:cs="Calibri"/>
          <w:noProof/>
          <w:sz w:val="24"/>
          <w:szCs w:val="24"/>
        </w:rPr>
        <w:tab/>
        <w:t>Y. Tang, H.F. Chappell, M.T. Dove, R.J. Reeder, Y.J. Lee, Zinc incorporation into hydroxylapatite, Biomaterials (2009) 2864–2872. https://doi.org/10.1016/j.biomaterials.2009.01.043.</w:t>
      </w:r>
    </w:p>
    <w:p w14:paraId="32D89EC9"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[25]</w:t>
      </w:r>
      <w:r w:rsidRPr="005379B7">
        <w:rPr>
          <w:rFonts w:ascii="Calibri" w:hAnsi="Calibri" w:cs="Calibri"/>
          <w:noProof/>
          <w:sz w:val="24"/>
          <w:szCs w:val="24"/>
        </w:rPr>
        <w:tab/>
        <w:t>C.M. Mardziah, S. Ramesh, M.F.A. Wahid, H. Chandran, A. Sidhu, S. Krishnasamy, J. Purbolaksono, Effect of zinc ions on the structural characteristics of hydroxyapatite bioceramics, Ceram. Int. 46 (2020) 13945-13952. https://doi.org/10.1016/j.ceramint.2020.02.192.</w:t>
      </w:r>
    </w:p>
    <w:p w14:paraId="3B506334"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[26]</w:t>
      </w:r>
      <w:r w:rsidRPr="005379B7">
        <w:rPr>
          <w:rFonts w:ascii="Calibri" w:hAnsi="Calibri" w:cs="Calibri"/>
          <w:noProof/>
          <w:sz w:val="24"/>
          <w:szCs w:val="24"/>
        </w:rPr>
        <w:tab/>
        <w:t>F. Miyaji, Y. Kono, Y. Suyama, Formation and structure of zinc-substituted calcium hydroxyapatite, Mater. Res. Bull. 40 (2005) 209–220. https://doi.org/10.1016/j.materresbull.2004.10.020.</w:t>
      </w:r>
    </w:p>
    <w:p w14:paraId="15FAA819"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lastRenderedPageBreak/>
        <w:t>[27]</w:t>
      </w:r>
      <w:r w:rsidRPr="005379B7">
        <w:rPr>
          <w:rFonts w:ascii="Calibri" w:hAnsi="Calibri" w:cs="Calibri"/>
          <w:noProof/>
          <w:sz w:val="24"/>
          <w:szCs w:val="24"/>
        </w:rPr>
        <w:tab/>
        <w:t>F. Ren, R. Xin, X. Ge, Y. Leng, Characterization and structural analysis of zinc-substituted hydroxyapatites, Acta Biomater. 5 (2009) 3141–3149. https://doi.org/10.1016/j.actbio.2009.04.014.</w:t>
      </w:r>
    </w:p>
    <w:p w14:paraId="4C0F7144"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[28]</w:t>
      </w:r>
      <w:r w:rsidRPr="005379B7">
        <w:rPr>
          <w:rFonts w:ascii="Calibri" w:hAnsi="Calibri" w:cs="Calibri"/>
          <w:noProof/>
          <w:sz w:val="24"/>
          <w:szCs w:val="24"/>
        </w:rPr>
        <w:tab/>
        <w:t>W.-H. Lee, C.-Y. Loo, R. Rohanizadeh, A review of chemical surface modification of bioceramics: Effects on protein adsorption and cellular response, Colloids Surfaces B Biointerfaces 122 (2014) 823–834. https://doi.org/10.1016/j.colsurfb.2014.07.029.</w:t>
      </w:r>
    </w:p>
    <w:p w14:paraId="077921A9"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[29]</w:t>
      </w:r>
      <w:r w:rsidRPr="005379B7">
        <w:rPr>
          <w:rFonts w:ascii="Calibri" w:hAnsi="Calibri" w:cs="Calibri"/>
          <w:noProof/>
          <w:sz w:val="24"/>
          <w:szCs w:val="24"/>
        </w:rPr>
        <w:tab/>
        <w:t>J. Jeong, J.H. Kim, J.H. Shim, N.S. Hwang, C.Y. Heo, Bioactive calcium phosphate materials and applications in bone regeneration, Biomater. Res. 2019 231 23 (2019) 1–11. https://doi.org/10.1186/S40824-018-0149-3.</w:t>
      </w:r>
    </w:p>
    <w:p w14:paraId="4D0D0FB5"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[30]</w:t>
      </w:r>
      <w:r w:rsidRPr="005379B7">
        <w:rPr>
          <w:rFonts w:ascii="Calibri" w:hAnsi="Calibri" w:cs="Calibri"/>
          <w:noProof/>
          <w:sz w:val="24"/>
          <w:szCs w:val="24"/>
        </w:rPr>
        <w:tab/>
        <w:t>E.A. Dos Santos, M. Farina, G.A. Soares, K. Anselme, Surface energy of hydroxyapatite and β-tricalcium phosphate ceramics driving serum protein adsorption and osteoblast adhesion, J. Mater. Sci. Mater. Med. 19 (2008) 2307–2316. https://doi.org/10.1007/S10856-007-3347-4.</w:t>
      </w:r>
    </w:p>
    <w:p w14:paraId="09207F41"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[31]</w:t>
      </w:r>
      <w:r w:rsidRPr="005379B7">
        <w:rPr>
          <w:rFonts w:ascii="Calibri" w:hAnsi="Calibri" w:cs="Calibri"/>
          <w:noProof/>
          <w:sz w:val="24"/>
          <w:szCs w:val="24"/>
        </w:rPr>
        <w:tab/>
        <w:t>D.D. Deligianni, N.D. Katsala, P.G. Koutsoukos, Y.F. Missirlis, Effect of surface roughness of hydroxyapatite on human bone marrow cell adhesion, proliferation, differentiation and detachment strength, Biomaterials 22 (2000) 87–96. https://doi.org/10.1016/S0142-9612(00)00174-5.</w:t>
      </w:r>
    </w:p>
    <w:p w14:paraId="3EBE94B0"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[32]</w:t>
      </w:r>
      <w:r w:rsidRPr="005379B7">
        <w:rPr>
          <w:rFonts w:ascii="Calibri" w:hAnsi="Calibri" w:cs="Calibri"/>
          <w:noProof/>
          <w:sz w:val="24"/>
          <w:szCs w:val="24"/>
        </w:rPr>
        <w:tab/>
        <w:t>C.A. Schneider, W.S. Rasband, K.W. Eliceiri, NIH Image to ImageJ: 25 years of image analysis, Nat. Methods 9 (2012) 671–675. https://doi.org/10.1038/nmeth.2089.</w:t>
      </w:r>
    </w:p>
    <w:p w14:paraId="305B06FE"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[33]</w:t>
      </w:r>
      <w:r w:rsidRPr="005379B7">
        <w:rPr>
          <w:rFonts w:ascii="Calibri" w:hAnsi="Calibri" w:cs="Calibri"/>
          <w:noProof/>
          <w:sz w:val="24"/>
          <w:szCs w:val="24"/>
        </w:rPr>
        <w:tab/>
        <w:t>M. Xing, Molecular pathogenesis and mechanisms of thyroid cancer, Nat. Rev. Cancer 13 (2013) 184–199. https://doi.org/10.1038/nrc3431.</w:t>
      </w:r>
    </w:p>
    <w:p w14:paraId="2F281D0F"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[34]</w:t>
      </w:r>
      <w:r w:rsidRPr="005379B7">
        <w:rPr>
          <w:rFonts w:ascii="Calibri" w:hAnsi="Calibri" w:cs="Calibri"/>
          <w:noProof/>
          <w:sz w:val="24"/>
          <w:szCs w:val="24"/>
        </w:rPr>
        <w:tab/>
        <w:t>D. Predoi, S.L. Iconaru, A. Deniaud, M. Chevallet, I. Michaud-Soret, N. Buton, A.M. Prodan, Textural, structural and biological evaluation of hydroxyapatite doped with zinc at low concentrations, Materials (Basel). 10(3) (2017) 229. https://doi.org/10.3390/ma10030229.</w:t>
      </w:r>
    </w:p>
    <w:p w14:paraId="30EF99AC"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[35]</w:t>
      </w:r>
      <w:r w:rsidRPr="005379B7">
        <w:rPr>
          <w:rFonts w:ascii="Calibri" w:hAnsi="Calibri" w:cs="Calibri"/>
          <w:noProof/>
          <w:sz w:val="24"/>
          <w:szCs w:val="24"/>
        </w:rPr>
        <w:tab/>
        <w:t>J. Friedrich, C. Seidel, R. Ebner, L.A. Kunz-Schughart, Spheroid-based drug screen: Considerations and practical approach, Nat. Protoc. 4 (2009) 309–324. https://doi.org/10.1038/nprot.2008.226.</w:t>
      </w:r>
    </w:p>
    <w:p w14:paraId="72E7316D"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[36]</w:t>
      </w:r>
      <w:r w:rsidRPr="005379B7">
        <w:rPr>
          <w:rFonts w:ascii="Calibri" w:hAnsi="Calibri" w:cs="Calibri"/>
          <w:noProof/>
          <w:sz w:val="24"/>
          <w:szCs w:val="24"/>
        </w:rPr>
        <w:tab/>
        <w:t>L.B. Weiswald, D. Bellet, V. Dangles-Marie, Spherical Cancer Models in Tumor Biology, Neoplasia (United States) 17 (2015) 1–15. https://doi.org/10.1016/j.neo.2014.12.004.</w:t>
      </w:r>
    </w:p>
    <w:p w14:paraId="2A60098D"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[37]</w:t>
      </w:r>
      <w:r w:rsidRPr="005379B7">
        <w:rPr>
          <w:rFonts w:ascii="Calibri" w:hAnsi="Calibri" w:cs="Calibri"/>
          <w:noProof/>
          <w:sz w:val="24"/>
          <w:szCs w:val="24"/>
        </w:rPr>
        <w:tab/>
        <w:t xml:space="preserve">K.L. Sodek, M.J. Ringuette, T.J. Brown, Compact spheroid formation by ovarian cancer cells is associated with contractile behavior and an invasive phenotype, Int. J. Cancer </w:t>
      </w:r>
      <w:r w:rsidRPr="005379B7">
        <w:rPr>
          <w:rFonts w:ascii="Calibri" w:hAnsi="Calibri" w:cs="Calibri"/>
          <w:noProof/>
          <w:sz w:val="24"/>
          <w:szCs w:val="24"/>
        </w:rPr>
        <w:lastRenderedPageBreak/>
        <w:t>124 (2009) 2060–2070. https://doi.org/10.1002/ijc.24188.</w:t>
      </w:r>
    </w:p>
    <w:p w14:paraId="415B2FE1"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[38]</w:t>
      </w:r>
      <w:r w:rsidRPr="005379B7">
        <w:rPr>
          <w:rFonts w:ascii="Calibri" w:hAnsi="Calibri" w:cs="Calibri"/>
          <w:noProof/>
          <w:sz w:val="24"/>
          <w:szCs w:val="24"/>
        </w:rPr>
        <w:tab/>
        <w:t>N. Vidavsky, J.A. Kunitake, A.E. Chiou, P.A. Northrup, T.J. Porri, L. Ling, C. Fischbach, L.A. Estroff, Studying biomineralization pathways in a 3D culture model of breast cancer microcalcifications, Biomaterials 179 (2018) 71–82. https://doi.org/10.1016/j.biomaterials.2018.06.030.</w:t>
      </w:r>
    </w:p>
    <w:p w14:paraId="6248936B"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[39]</w:t>
      </w:r>
      <w:r w:rsidRPr="005379B7">
        <w:rPr>
          <w:rFonts w:ascii="Calibri" w:hAnsi="Calibri" w:cs="Calibri"/>
          <w:noProof/>
          <w:sz w:val="24"/>
          <w:szCs w:val="24"/>
        </w:rPr>
        <w:tab/>
        <w:t>G. Yin, Z. Liu, J. Zhan, F. Ding, N. Yuan, Impacts of the surface charge property on protein adsorption on hydroxyapatite, Chem. Eng. J. 87 (2002) 181–186. https://doi.org/10.1016/S1385-8947(01)00248-0.</w:t>
      </w:r>
    </w:p>
    <w:p w14:paraId="154C510E"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[40]</w:t>
      </w:r>
      <w:r w:rsidRPr="005379B7">
        <w:rPr>
          <w:rFonts w:ascii="Calibri" w:hAnsi="Calibri" w:cs="Calibri"/>
          <w:noProof/>
          <w:sz w:val="24"/>
          <w:szCs w:val="24"/>
        </w:rPr>
        <w:tab/>
        <w:t>B. Fernández-Montes Moraleda, J.S. Román, L.M. Rodríguez-Lorenzo, Influence of surface features of hydroxyapatite on the adsorption of proteins relevant to bone regeneration, J. Biomed. Mater. Res. A 101 (2013) 2332–2339. https://doi.org/10.1002/JBM.A.34528.</w:t>
      </w:r>
    </w:p>
    <w:p w14:paraId="2BCE501E"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[41]</w:t>
      </w:r>
      <w:r w:rsidRPr="005379B7">
        <w:rPr>
          <w:rFonts w:ascii="Calibri" w:hAnsi="Calibri" w:cs="Calibri"/>
          <w:noProof/>
          <w:sz w:val="24"/>
          <w:szCs w:val="24"/>
        </w:rPr>
        <w:tab/>
        <w:t>T. Matsumoto, M. Okazaki, M. Inoue, S. Yamaguchi, T. Kusunose, T. Toyonaga, Y. Hamada, J. Takahashi, Hydroxyapatite particles as a controlled release carrier of protein, Biomaterials 25 (2004) 3807–3812. https://doi.org/10.1016/j.biomaterials.2003.10.081.</w:t>
      </w:r>
    </w:p>
    <w:p w14:paraId="24E4540F"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[42]</w:t>
      </w:r>
      <w:r w:rsidRPr="005379B7">
        <w:rPr>
          <w:rFonts w:ascii="Calibri" w:hAnsi="Calibri" w:cs="Calibri"/>
          <w:noProof/>
          <w:sz w:val="24"/>
          <w:szCs w:val="24"/>
        </w:rPr>
        <w:tab/>
        <w:t>F. Wu, D.D.W. Lin, J.H. Chang, C. Fischbach, L.A. Estroff, D. Gourdon, Effect of the materials properties of hydroxyapatite nanoparticles on fibronectin deposition and conformation, Cryst. Growth Des. 15 (2015) 2452–2460. https://doi.org/10.1021/ACS.CGD.5B00231.</w:t>
      </w:r>
    </w:p>
    <w:p w14:paraId="66799006"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szCs w:val="24"/>
        </w:rPr>
      </w:pPr>
      <w:r w:rsidRPr="005379B7">
        <w:rPr>
          <w:rFonts w:ascii="Calibri" w:hAnsi="Calibri" w:cs="Calibri"/>
          <w:noProof/>
          <w:sz w:val="24"/>
          <w:szCs w:val="24"/>
        </w:rPr>
        <w:t>[43]</w:t>
      </w:r>
      <w:r w:rsidRPr="005379B7">
        <w:rPr>
          <w:rFonts w:ascii="Calibri" w:hAnsi="Calibri" w:cs="Calibri"/>
          <w:noProof/>
          <w:sz w:val="24"/>
          <w:szCs w:val="24"/>
        </w:rPr>
        <w:tab/>
        <w:t>S. Choi, S. Coonrod, L. Estroff, C. Fischbach, Chemical and physical properties of carbonated hydroxyapatite affect breast cancer cell behavior, Acta Biomater. 24 (2015) 333–342. https://doi.org/10.1016/j.actbio.2015.06.001.</w:t>
      </w:r>
    </w:p>
    <w:p w14:paraId="60972872" w14:textId="77777777" w:rsidR="005379B7" w:rsidRPr="005379B7" w:rsidRDefault="005379B7" w:rsidP="005379B7">
      <w:pPr>
        <w:widowControl w:val="0"/>
        <w:autoSpaceDE w:val="0"/>
        <w:autoSpaceDN w:val="0"/>
        <w:adjustRightInd w:val="0"/>
        <w:spacing w:after="0" w:line="360" w:lineRule="auto"/>
        <w:ind w:left="640" w:hanging="640"/>
        <w:rPr>
          <w:rFonts w:ascii="Calibri" w:hAnsi="Calibri" w:cs="Calibri"/>
          <w:noProof/>
          <w:sz w:val="24"/>
        </w:rPr>
      </w:pPr>
      <w:r w:rsidRPr="005379B7">
        <w:rPr>
          <w:rFonts w:ascii="Calibri" w:hAnsi="Calibri" w:cs="Calibri"/>
          <w:noProof/>
          <w:sz w:val="24"/>
          <w:szCs w:val="24"/>
        </w:rPr>
        <w:t>[44]</w:t>
      </w:r>
      <w:r w:rsidRPr="005379B7">
        <w:rPr>
          <w:rFonts w:ascii="Calibri" w:hAnsi="Calibri" w:cs="Calibri"/>
          <w:noProof/>
          <w:sz w:val="24"/>
          <w:szCs w:val="24"/>
        </w:rPr>
        <w:tab/>
        <w:t>S. Takemoto, Y. Kusudo, K. Tsuru, S. Hayakawa, A. Osaka, S. Takashima, Selective protein adsorption and blood compatibility of hydroxy-carbonate apatites, J. Biomed. Mater. Res. A 69 (2004) 544–551. https://doi.org/10.1002/JBM.A.30039.</w:t>
      </w:r>
    </w:p>
    <w:p w14:paraId="615D2026" w14:textId="5975789D" w:rsidR="00D772D0" w:rsidRPr="00E66F45" w:rsidRDefault="005206D8" w:rsidP="00AB3F9D">
      <w:pPr>
        <w:spacing w:after="0" w:line="360" w:lineRule="auto"/>
        <w:rPr>
          <w:sz w:val="24"/>
          <w:szCs w:val="24"/>
        </w:rPr>
      </w:pPr>
      <w:r>
        <w:rPr>
          <w:sz w:val="24"/>
          <w:szCs w:val="24"/>
        </w:rPr>
        <w:fldChar w:fldCharType="end"/>
      </w:r>
    </w:p>
    <w:p w14:paraId="4CA734DC" w14:textId="77777777" w:rsidR="00CD1241" w:rsidRDefault="00CD1241" w:rsidP="00AB3F9D">
      <w:pPr>
        <w:spacing w:after="0" w:line="360" w:lineRule="auto"/>
      </w:pPr>
    </w:p>
    <w:sectPr w:rsidR="00CD12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76B49"/>
    <w:multiLevelType w:val="multilevel"/>
    <w:tmpl w:val="C66E18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33F2A61"/>
    <w:multiLevelType w:val="hybridMultilevel"/>
    <w:tmpl w:val="027245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AC3594"/>
    <w:multiLevelType w:val="hybridMultilevel"/>
    <w:tmpl w:val="3580FB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38755467">
    <w:abstractNumId w:val="0"/>
  </w:num>
  <w:num w:numId="2" w16cid:durableId="1771775402">
    <w:abstractNumId w:val="1"/>
  </w:num>
  <w:num w:numId="3" w16cid:durableId="424813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zsTQ0NjcBInMTEyUdpeDU4uLM/DyQAiODWgD8n9kjLQAAAA=="/>
  </w:docVars>
  <w:rsids>
    <w:rsidRoot w:val="00D772D0"/>
    <w:rsid w:val="00001F57"/>
    <w:rsid w:val="000034B7"/>
    <w:rsid w:val="00004C5F"/>
    <w:rsid w:val="000075D2"/>
    <w:rsid w:val="000112C7"/>
    <w:rsid w:val="000117A0"/>
    <w:rsid w:val="00012CDF"/>
    <w:rsid w:val="0001395D"/>
    <w:rsid w:val="00013B59"/>
    <w:rsid w:val="00014B1E"/>
    <w:rsid w:val="00016911"/>
    <w:rsid w:val="000169E5"/>
    <w:rsid w:val="000215A4"/>
    <w:rsid w:val="00021783"/>
    <w:rsid w:val="000260F1"/>
    <w:rsid w:val="00026528"/>
    <w:rsid w:val="00027CFA"/>
    <w:rsid w:val="00030ADB"/>
    <w:rsid w:val="00030E0D"/>
    <w:rsid w:val="00031B6C"/>
    <w:rsid w:val="00032AEE"/>
    <w:rsid w:val="00034299"/>
    <w:rsid w:val="00036102"/>
    <w:rsid w:val="00040395"/>
    <w:rsid w:val="00040489"/>
    <w:rsid w:val="00040524"/>
    <w:rsid w:val="000429B1"/>
    <w:rsid w:val="00050ABD"/>
    <w:rsid w:val="00050D56"/>
    <w:rsid w:val="000545E4"/>
    <w:rsid w:val="0005476D"/>
    <w:rsid w:val="00055063"/>
    <w:rsid w:val="0005735C"/>
    <w:rsid w:val="00057746"/>
    <w:rsid w:val="00057E07"/>
    <w:rsid w:val="00061749"/>
    <w:rsid w:val="00061ABF"/>
    <w:rsid w:val="00063EDF"/>
    <w:rsid w:val="00064E90"/>
    <w:rsid w:val="0006669E"/>
    <w:rsid w:val="0007128D"/>
    <w:rsid w:val="0007235A"/>
    <w:rsid w:val="0007313A"/>
    <w:rsid w:val="00074F89"/>
    <w:rsid w:val="000765DF"/>
    <w:rsid w:val="00076D3E"/>
    <w:rsid w:val="0007776A"/>
    <w:rsid w:val="00082582"/>
    <w:rsid w:val="000839FE"/>
    <w:rsid w:val="000856F1"/>
    <w:rsid w:val="00086BE7"/>
    <w:rsid w:val="0009037F"/>
    <w:rsid w:val="00091189"/>
    <w:rsid w:val="00091328"/>
    <w:rsid w:val="00091FDE"/>
    <w:rsid w:val="00092055"/>
    <w:rsid w:val="00092152"/>
    <w:rsid w:val="000923EB"/>
    <w:rsid w:val="00093289"/>
    <w:rsid w:val="00094453"/>
    <w:rsid w:val="00094721"/>
    <w:rsid w:val="00096D03"/>
    <w:rsid w:val="00097426"/>
    <w:rsid w:val="000A25BC"/>
    <w:rsid w:val="000A2C2C"/>
    <w:rsid w:val="000A36D2"/>
    <w:rsid w:val="000A4423"/>
    <w:rsid w:val="000A5887"/>
    <w:rsid w:val="000A592B"/>
    <w:rsid w:val="000A5F48"/>
    <w:rsid w:val="000A7128"/>
    <w:rsid w:val="000A7280"/>
    <w:rsid w:val="000B2A98"/>
    <w:rsid w:val="000B4E62"/>
    <w:rsid w:val="000B7F45"/>
    <w:rsid w:val="000C1AEE"/>
    <w:rsid w:val="000C24D9"/>
    <w:rsid w:val="000C28B7"/>
    <w:rsid w:val="000C33F6"/>
    <w:rsid w:val="000D14E5"/>
    <w:rsid w:val="000D203E"/>
    <w:rsid w:val="000D2D53"/>
    <w:rsid w:val="000D7199"/>
    <w:rsid w:val="000D760C"/>
    <w:rsid w:val="000D7890"/>
    <w:rsid w:val="000E0FCF"/>
    <w:rsid w:val="000E13CE"/>
    <w:rsid w:val="000E28A8"/>
    <w:rsid w:val="000E4538"/>
    <w:rsid w:val="000E5EDF"/>
    <w:rsid w:val="000E7625"/>
    <w:rsid w:val="000F143F"/>
    <w:rsid w:val="000F4543"/>
    <w:rsid w:val="00102AA4"/>
    <w:rsid w:val="0010339F"/>
    <w:rsid w:val="00103A86"/>
    <w:rsid w:val="0010420F"/>
    <w:rsid w:val="00113012"/>
    <w:rsid w:val="001156D7"/>
    <w:rsid w:val="00116611"/>
    <w:rsid w:val="00116D8B"/>
    <w:rsid w:val="00117B9F"/>
    <w:rsid w:val="0012547C"/>
    <w:rsid w:val="0013086A"/>
    <w:rsid w:val="00130C76"/>
    <w:rsid w:val="00131FF0"/>
    <w:rsid w:val="001331D6"/>
    <w:rsid w:val="0013375F"/>
    <w:rsid w:val="00133FB2"/>
    <w:rsid w:val="00135060"/>
    <w:rsid w:val="00135D45"/>
    <w:rsid w:val="00135FBE"/>
    <w:rsid w:val="00136868"/>
    <w:rsid w:val="001372FF"/>
    <w:rsid w:val="00137916"/>
    <w:rsid w:val="00137C6E"/>
    <w:rsid w:val="001408FA"/>
    <w:rsid w:val="00141543"/>
    <w:rsid w:val="0014500A"/>
    <w:rsid w:val="00145BC7"/>
    <w:rsid w:val="00147699"/>
    <w:rsid w:val="00153E80"/>
    <w:rsid w:val="00157C0C"/>
    <w:rsid w:val="00161042"/>
    <w:rsid w:val="001614DB"/>
    <w:rsid w:val="001616AD"/>
    <w:rsid w:val="0016235E"/>
    <w:rsid w:val="00162426"/>
    <w:rsid w:val="001632B1"/>
    <w:rsid w:val="00166221"/>
    <w:rsid w:val="00167167"/>
    <w:rsid w:val="00172364"/>
    <w:rsid w:val="00173453"/>
    <w:rsid w:val="0017397D"/>
    <w:rsid w:val="00173D3B"/>
    <w:rsid w:val="00177877"/>
    <w:rsid w:val="0018073D"/>
    <w:rsid w:val="0018189B"/>
    <w:rsid w:val="001866CF"/>
    <w:rsid w:val="001867B1"/>
    <w:rsid w:val="0018699E"/>
    <w:rsid w:val="00186FFE"/>
    <w:rsid w:val="00190DD1"/>
    <w:rsid w:val="00192726"/>
    <w:rsid w:val="001929EB"/>
    <w:rsid w:val="001932D9"/>
    <w:rsid w:val="00193A1C"/>
    <w:rsid w:val="001948C4"/>
    <w:rsid w:val="00195F15"/>
    <w:rsid w:val="001960C7"/>
    <w:rsid w:val="001A3A08"/>
    <w:rsid w:val="001A4754"/>
    <w:rsid w:val="001B2A82"/>
    <w:rsid w:val="001B38BE"/>
    <w:rsid w:val="001B42CA"/>
    <w:rsid w:val="001B78A6"/>
    <w:rsid w:val="001C11B3"/>
    <w:rsid w:val="001C133F"/>
    <w:rsid w:val="001C627B"/>
    <w:rsid w:val="001C6D9D"/>
    <w:rsid w:val="001C7264"/>
    <w:rsid w:val="001D0752"/>
    <w:rsid w:val="001D0A48"/>
    <w:rsid w:val="001D25A8"/>
    <w:rsid w:val="001D4B0A"/>
    <w:rsid w:val="001D4BA6"/>
    <w:rsid w:val="001D5C75"/>
    <w:rsid w:val="001D6C95"/>
    <w:rsid w:val="001D7081"/>
    <w:rsid w:val="001E0979"/>
    <w:rsid w:val="001E0A21"/>
    <w:rsid w:val="001E1A58"/>
    <w:rsid w:val="001E2462"/>
    <w:rsid w:val="001E3520"/>
    <w:rsid w:val="001E75DD"/>
    <w:rsid w:val="001F04A7"/>
    <w:rsid w:val="001F1220"/>
    <w:rsid w:val="001F2C3B"/>
    <w:rsid w:val="001F3756"/>
    <w:rsid w:val="001F4330"/>
    <w:rsid w:val="001F44DF"/>
    <w:rsid w:val="001F4B50"/>
    <w:rsid w:val="001F66C8"/>
    <w:rsid w:val="002017D5"/>
    <w:rsid w:val="00202BF3"/>
    <w:rsid w:val="00205971"/>
    <w:rsid w:val="002104BB"/>
    <w:rsid w:val="00210D58"/>
    <w:rsid w:val="00213658"/>
    <w:rsid w:val="00214C15"/>
    <w:rsid w:val="00215B3C"/>
    <w:rsid w:val="00221449"/>
    <w:rsid w:val="00221E22"/>
    <w:rsid w:val="00222159"/>
    <w:rsid w:val="0022312E"/>
    <w:rsid w:val="00225747"/>
    <w:rsid w:val="002262AD"/>
    <w:rsid w:val="00227116"/>
    <w:rsid w:val="00227E6D"/>
    <w:rsid w:val="00227EA2"/>
    <w:rsid w:val="00230A25"/>
    <w:rsid w:val="002375BC"/>
    <w:rsid w:val="00237B51"/>
    <w:rsid w:val="00240554"/>
    <w:rsid w:val="00240D1E"/>
    <w:rsid w:val="00242060"/>
    <w:rsid w:val="00243324"/>
    <w:rsid w:val="00243DA7"/>
    <w:rsid w:val="00244488"/>
    <w:rsid w:val="00244F5A"/>
    <w:rsid w:val="00245186"/>
    <w:rsid w:val="002466C5"/>
    <w:rsid w:val="00247EE7"/>
    <w:rsid w:val="00250992"/>
    <w:rsid w:val="00252696"/>
    <w:rsid w:val="00253AB3"/>
    <w:rsid w:val="00254478"/>
    <w:rsid w:val="002562A5"/>
    <w:rsid w:val="002574CB"/>
    <w:rsid w:val="00261B7E"/>
    <w:rsid w:val="00261C80"/>
    <w:rsid w:val="002647CF"/>
    <w:rsid w:val="002648AE"/>
    <w:rsid w:val="002668CE"/>
    <w:rsid w:val="00266B9A"/>
    <w:rsid w:val="002671F5"/>
    <w:rsid w:val="00267FBF"/>
    <w:rsid w:val="00273F3B"/>
    <w:rsid w:val="00274354"/>
    <w:rsid w:val="00277644"/>
    <w:rsid w:val="00277BD0"/>
    <w:rsid w:val="0028098E"/>
    <w:rsid w:val="002811B5"/>
    <w:rsid w:val="0028163B"/>
    <w:rsid w:val="002830F1"/>
    <w:rsid w:val="00285122"/>
    <w:rsid w:val="00285746"/>
    <w:rsid w:val="002861FC"/>
    <w:rsid w:val="0028692E"/>
    <w:rsid w:val="00287164"/>
    <w:rsid w:val="00290A65"/>
    <w:rsid w:val="00292C68"/>
    <w:rsid w:val="002945BD"/>
    <w:rsid w:val="00296BED"/>
    <w:rsid w:val="002A11ED"/>
    <w:rsid w:val="002A476C"/>
    <w:rsid w:val="002A705A"/>
    <w:rsid w:val="002A77EC"/>
    <w:rsid w:val="002A7965"/>
    <w:rsid w:val="002B0DD2"/>
    <w:rsid w:val="002B1374"/>
    <w:rsid w:val="002B17E5"/>
    <w:rsid w:val="002B1BB4"/>
    <w:rsid w:val="002B29A7"/>
    <w:rsid w:val="002B46F7"/>
    <w:rsid w:val="002B50DF"/>
    <w:rsid w:val="002B5A63"/>
    <w:rsid w:val="002C06C4"/>
    <w:rsid w:val="002C1936"/>
    <w:rsid w:val="002C34AF"/>
    <w:rsid w:val="002C52DA"/>
    <w:rsid w:val="002C6765"/>
    <w:rsid w:val="002C7080"/>
    <w:rsid w:val="002D08AD"/>
    <w:rsid w:val="002D141A"/>
    <w:rsid w:val="002D1CE0"/>
    <w:rsid w:val="002D53FA"/>
    <w:rsid w:val="002D586C"/>
    <w:rsid w:val="002E0442"/>
    <w:rsid w:val="002E0568"/>
    <w:rsid w:val="002E120C"/>
    <w:rsid w:val="002E191F"/>
    <w:rsid w:val="002E1B6D"/>
    <w:rsid w:val="002E4645"/>
    <w:rsid w:val="002E4714"/>
    <w:rsid w:val="002E5F4A"/>
    <w:rsid w:val="002F0388"/>
    <w:rsid w:val="002F0BCA"/>
    <w:rsid w:val="002F35B9"/>
    <w:rsid w:val="002F3EF2"/>
    <w:rsid w:val="002F54F7"/>
    <w:rsid w:val="002F63D0"/>
    <w:rsid w:val="0030292E"/>
    <w:rsid w:val="003032B0"/>
    <w:rsid w:val="00304420"/>
    <w:rsid w:val="0030484F"/>
    <w:rsid w:val="003048D2"/>
    <w:rsid w:val="00304BF2"/>
    <w:rsid w:val="00304CC0"/>
    <w:rsid w:val="00305A03"/>
    <w:rsid w:val="003067F1"/>
    <w:rsid w:val="0031138E"/>
    <w:rsid w:val="00315808"/>
    <w:rsid w:val="00315ACF"/>
    <w:rsid w:val="00315B98"/>
    <w:rsid w:val="00316385"/>
    <w:rsid w:val="00317419"/>
    <w:rsid w:val="0032077F"/>
    <w:rsid w:val="00321452"/>
    <w:rsid w:val="003214D6"/>
    <w:rsid w:val="003217E5"/>
    <w:rsid w:val="0032233B"/>
    <w:rsid w:val="00326E39"/>
    <w:rsid w:val="003307DF"/>
    <w:rsid w:val="003308D6"/>
    <w:rsid w:val="003316E4"/>
    <w:rsid w:val="003322D3"/>
    <w:rsid w:val="003371FB"/>
    <w:rsid w:val="00337695"/>
    <w:rsid w:val="003413A7"/>
    <w:rsid w:val="0034177E"/>
    <w:rsid w:val="00341794"/>
    <w:rsid w:val="00341FBC"/>
    <w:rsid w:val="0034416E"/>
    <w:rsid w:val="003445A8"/>
    <w:rsid w:val="00344C2A"/>
    <w:rsid w:val="00344EC5"/>
    <w:rsid w:val="0034511C"/>
    <w:rsid w:val="00345667"/>
    <w:rsid w:val="00346515"/>
    <w:rsid w:val="003471F4"/>
    <w:rsid w:val="00347CE0"/>
    <w:rsid w:val="00352323"/>
    <w:rsid w:val="003528ED"/>
    <w:rsid w:val="0035334D"/>
    <w:rsid w:val="00353CDE"/>
    <w:rsid w:val="0035655B"/>
    <w:rsid w:val="00361435"/>
    <w:rsid w:val="00363359"/>
    <w:rsid w:val="00364999"/>
    <w:rsid w:val="00365590"/>
    <w:rsid w:val="00365C2D"/>
    <w:rsid w:val="00370326"/>
    <w:rsid w:val="0037286E"/>
    <w:rsid w:val="00377146"/>
    <w:rsid w:val="00377627"/>
    <w:rsid w:val="003845E4"/>
    <w:rsid w:val="00385938"/>
    <w:rsid w:val="00386036"/>
    <w:rsid w:val="00386CD5"/>
    <w:rsid w:val="00387371"/>
    <w:rsid w:val="003908AF"/>
    <w:rsid w:val="00394979"/>
    <w:rsid w:val="00395794"/>
    <w:rsid w:val="00395A36"/>
    <w:rsid w:val="0039783D"/>
    <w:rsid w:val="003A0807"/>
    <w:rsid w:val="003A24FB"/>
    <w:rsid w:val="003A3D36"/>
    <w:rsid w:val="003A4199"/>
    <w:rsid w:val="003A44FC"/>
    <w:rsid w:val="003A6B74"/>
    <w:rsid w:val="003A6ED4"/>
    <w:rsid w:val="003B06CF"/>
    <w:rsid w:val="003B17B3"/>
    <w:rsid w:val="003B1942"/>
    <w:rsid w:val="003B37F9"/>
    <w:rsid w:val="003B3AA5"/>
    <w:rsid w:val="003B3C80"/>
    <w:rsid w:val="003B4190"/>
    <w:rsid w:val="003B41A7"/>
    <w:rsid w:val="003B5453"/>
    <w:rsid w:val="003B58EB"/>
    <w:rsid w:val="003C1855"/>
    <w:rsid w:val="003C216E"/>
    <w:rsid w:val="003C39B6"/>
    <w:rsid w:val="003C42DE"/>
    <w:rsid w:val="003C63D5"/>
    <w:rsid w:val="003C728F"/>
    <w:rsid w:val="003D0C03"/>
    <w:rsid w:val="003D62DF"/>
    <w:rsid w:val="003D6D55"/>
    <w:rsid w:val="003D7666"/>
    <w:rsid w:val="003D79A7"/>
    <w:rsid w:val="003E1684"/>
    <w:rsid w:val="003E26A4"/>
    <w:rsid w:val="003E4174"/>
    <w:rsid w:val="003E632C"/>
    <w:rsid w:val="003F026C"/>
    <w:rsid w:val="003F0272"/>
    <w:rsid w:val="003F0BDD"/>
    <w:rsid w:val="003F1C44"/>
    <w:rsid w:val="003F240F"/>
    <w:rsid w:val="003F3655"/>
    <w:rsid w:val="003F3A86"/>
    <w:rsid w:val="003F57EC"/>
    <w:rsid w:val="003F5B77"/>
    <w:rsid w:val="003F68CB"/>
    <w:rsid w:val="003F68DD"/>
    <w:rsid w:val="003F7087"/>
    <w:rsid w:val="004001B4"/>
    <w:rsid w:val="004005DB"/>
    <w:rsid w:val="00403D63"/>
    <w:rsid w:val="00406556"/>
    <w:rsid w:val="004113BA"/>
    <w:rsid w:val="00411D0C"/>
    <w:rsid w:val="00411F00"/>
    <w:rsid w:val="00413AE0"/>
    <w:rsid w:val="00421026"/>
    <w:rsid w:val="00422F46"/>
    <w:rsid w:val="00423B9E"/>
    <w:rsid w:val="00423EDA"/>
    <w:rsid w:val="00424E7B"/>
    <w:rsid w:val="00425A13"/>
    <w:rsid w:val="0042609C"/>
    <w:rsid w:val="00427772"/>
    <w:rsid w:val="00431317"/>
    <w:rsid w:val="00432D27"/>
    <w:rsid w:val="004332A0"/>
    <w:rsid w:val="00433ECB"/>
    <w:rsid w:val="00434A52"/>
    <w:rsid w:val="004353A1"/>
    <w:rsid w:val="004403CE"/>
    <w:rsid w:val="0044090E"/>
    <w:rsid w:val="00441C36"/>
    <w:rsid w:val="00441DEB"/>
    <w:rsid w:val="00441E94"/>
    <w:rsid w:val="00441F69"/>
    <w:rsid w:val="00450F4A"/>
    <w:rsid w:val="0045441D"/>
    <w:rsid w:val="00455F47"/>
    <w:rsid w:val="00457F98"/>
    <w:rsid w:val="00460713"/>
    <w:rsid w:val="0046215E"/>
    <w:rsid w:val="00463093"/>
    <w:rsid w:val="00463266"/>
    <w:rsid w:val="00466475"/>
    <w:rsid w:val="00470709"/>
    <w:rsid w:val="0047073D"/>
    <w:rsid w:val="004712BC"/>
    <w:rsid w:val="004718E7"/>
    <w:rsid w:val="004727DA"/>
    <w:rsid w:val="0047353D"/>
    <w:rsid w:val="00473846"/>
    <w:rsid w:val="00473DBF"/>
    <w:rsid w:val="00474C75"/>
    <w:rsid w:val="004766BB"/>
    <w:rsid w:val="0048017B"/>
    <w:rsid w:val="00484621"/>
    <w:rsid w:val="00485605"/>
    <w:rsid w:val="0048757D"/>
    <w:rsid w:val="00487603"/>
    <w:rsid w:val="0049218F"/>
    <w:rsid w:val="00493143"/>
    <w:rsid w:val="00496158"/>
    <w:rsid w:val="0049788C"/>
    <w:rsid w:val="004A02DC"/>
    <w:rsid w:val="004A2CDB"/>
    <w:rsid w:val="004A2E15"/>
    <w:rsid w:val="004A3E34"/>
    <w:rsid w:val="004A4018"/>
    <w:rsid w:val="004A563A"/>
    <w:rsid w:val="004A61A3"/>
    <w:rsid w:val="004A6D94"/>
    <w:rsid w:val="004B17CE"/>
    <w:rsid w:val="004B31F5"/>
    <w:rsid w:val="004B35C4"/>
    <w:rsid w:val="004B4B7F"/>
    <w:rsid w:val="004B67BB"/>
    <w:rsid w:val="004B7926"/>
    <w:rsid w:val="004C1608"/>
    <w:rsid w:val="004C428F"/>
    <w:rsid w:val="004C5ADD"/>
    <w:rsid w:val="004C5D18"/>
    <w:rsid w:val="004D14CB"/>
    <w:rsid w:val="004D18FE"/>
    <w:rsid w:val="004D28A8"/>
    <w:rsid w:val="004D367E"/>
    <w:rsid w:val="004D48BE"/>
    <w:rsid w:val="004D7267"/>
    <w:rsid w:val="004D7A51"/>
    <w:rsid w:val="004E01A0"/>
    <w:rsid w:val="004E0A22"/>
    <w:rsid w:val="004E0CDB"/>
    <w:rsid w:val="004E1191"/>
    <w:rsid w:val="004E16F4"/>
    <w:rsid w:val="004E237B"/>
    <w:rsid w:val="004E3D1D"/>
    <w:rsid w:val="004E43EF"/>
    <w:rsid w:val="004E6077"/>
    <w:rsid w:val="004F0361"/>
    <w:rsid w:val="004F08CC"/>
    <w:rsid w:val="004F0CA6"/>
    <w:rsid w:val="004F0F41"/>
    <w:rsid w:val="004F4F43"/>
    <w:rsid w:val="004F598C"/>
    <w:rsid w:val="00501208"/>
    <w:rsid w:val="00502ED6"/>
    <w:rsid w:val="00504760"/>
    <w:rsid w:val="00505600"/>
    <w:rsid w:val="005112BF"/>
    <w:rsid w:val="00512819"/>
    <w:rsid w:val="00512B12"/>
    <w:rsid w:val="00514119"/>
    <w:rsid w:val="00514818"/>
    <w:rsid w:val="005152E1"/>
    <w:rsid w:val="00515CC5"/>
    <w:rsid w:val="00517301"/>
    <w:rsid w:val="005178BC"/>
    <w:rsid w:val="00517E20"/>
    <w:rsid w:val="005206D8"/>
    <w:rsid w:val="005208C9"/>
    <w:rsid w:val="00521BD3"/>
    <w:rsid w:val="005233B1"/>
    <w:rsid w:val="00523854"/>
    <w:rsid w:val="00525B30"/>
    <w:rsid w:val="0052661D"/>
    <w:rsid w:val="0052691A"/>
    <w:rsid w:val="005274C7"/>
    <w:rsid w:val="005308C2"/>
    <w:rsid w:val="00531230"/>
    <w:rsid w:val="0053135E"/>
    <w:rsid w:val="00531AE5"/>
    <w:rsid w:val="0053224E"/>
    <w:rsid w:val="00534B22"/>
    <w:rsid w:val="00536E84"/>
    <w:rsid w:val="00537444"/>
    <w:rsid w:val="005379B7"/>
    <w:rsid w:val="00543F09"/>
    <w:rsid w:val="005443F4"/>
    <w:rsid w:val="00546170"/>
    <w:rsid w:val="00550D13"/>
    <w:rsid w:val="005521C7"/>
    <w:rsid w:val="0055462A"/>
    <w:rsid w:val="00556AC4"/>
    <w:rsid w:val="00561132"/>
    <w:rsid w:val="0056157F"/>
    <w:rsid w:val="0056166D"/>
    <w:rsid w:val="0056227D"/>
    <w:rsid w:val="00565E86"/>
    <w:rsid w:val="00567C11"/>
    <w:rsid w:val="0057041A"/>
    <w:rsid w:val="00570B2A"/>
    <w:rsid w:val="005710FB"/>
    <w:rsid w:val="005715DD"/>
    <w:rsid w:val="00571EDE"/>
    <w:rsid w:val="00576308"/>
    <w:rsid w:val="00576B6B"/>
    <w:rsid w:val="00577942"/>
    <w:rsid w:val="00577FD2"/>
    <w:rsid w:val="005803DA"/>
    <w:rsid w:val="005813AF"/>
    <w:rsid w:val="00590310"/>
    <w:rsid w:val="0059305D"/>
    <w:rsid w:val="00594C0B"/>
    <w:rsid w:val="005954D9"/>
    <w:rsid w:val="005967E1"/>
    <w:rsid w:val="005A073D"/>
    <w:rsid w:val="005A3473"/>
    <w:rsid w:val="005A3BDA"/>
    <w:rsid w:val="005A697E"/>
    <w:rsid w:val="005B0A9E"/>
    <w:rsid w:val="005B1F7B"/>
    <w:rsid w:val="005B3868"/>
    <w:rsid w:val="005B3ABD"/>
    <w:rsid w:val="005B41DD"/>
    <w:rsid w:val="005B5DCB"/>
    <w:rsid w:val="005B7344"/>
    <w:rsid w:val="005C1850"/>
    <w:rsid w:val="005C37C7"/>
    <w:rsid w:val="005C3F80"/>
    <w:rsid w:val="005C4750"/>
    <w:rsid w:val="005C4C0C"/>
    <w:rsid w:val="005C61BB"/>
    <w:rsid w:val="005C7060"/>
    <w:rsid w:val="005D030C"/>
    <w:rsid w:val="005D463F"/>
    <w:rsid w:val="005E224C"/>
    <w:rsid w:val="005E2D6D"/>
    <w:rsid w:val="005E3403"/>
    <w:rsid w:val="005E35CE"/>
    <w:rsid w:val="005F2466"/>
    <w:rsid w:val="005F2BA1"/>
    <w:rsid w:val="005F2D94"/>
    <w:rsid w:val="005F3D3D"/>
    <w:rsid w:val="005F448C"/>
    <w:rsid w:val="005F4A5A"/>
    <w:rsid w:val="005F5548"/>
    <w:rsid w:val="005F7F79"/>
    <w:rsid w:val="006009A5"/>
    <w:rsid w:val="00600DCE"/>
    <w:rsid w:val="006013B3"/>
    <w:rsid w:val="006015D0"/>
    <w:rsid w:val="00602487"/>
    <w:rsid w:val="006041F0"/>
    <w:rsid w:val="0060495F"/>
    <w:rsid w:val="00605CF1"/>
    <w:rsid w:val="006068F9"/>
    <w:rsid w:val="00610213"/>
    <w:rsid w:val="00611003"/>
    <w:rsid w:val="0061195A"/>
    <w:rsid w:val="0061248C"/>
    <w:rsid w:val="00612D21"/>
    <w:rsid w:val="00612E55"/>
    <w:rsid w:val="00624149"/>
    <w:rsid w:val="00624E96"/>
    <w:rsid w:val="00624FF4"/>
    <w:rsid w:val="00625068"/>
    <w:rsid w:val="00626F56"/>
    <w:rsid w:val="00630517"/>
    <w:rsid w:val="0063093D"/>
    <w:rsid w:val="00633095"/>
    <w:rsid w:val="006358C8"/>
    <w:rsid w:val="00637198"/>
    <w:rsid w:val="00637C25"/>
    <w:rsid w:val="006405A1"/>
    <w:rsid w:val="00643773"/>
    <w:rsid w:val="0064407D"/>
    <w:rsid w:val="00644197"/>
    <w:rsid w:val="00647DC6"/>
    <w:rsid w:val="006507A1"/>
    <w:rsid w:val="006508EB"/>
    <w:rsid w:val="00650936"/>
    <w:rsid w:val="00651045"/>
    <w:rsid w:val="00651063"/>
    <w:rsid w:val="006535BD"/>
    <w:rsid w:val="0065549E"/>
    <w:rsid w:val="00663059"/>
    <w:rsid w:val="00665798"/>
    <w:rsid w:val="00666F73"/>
    <w:rsid w:val="00666FE2"/>
    <w:rsid w:val="006700F4"/>
    <w:rsid w:val="006702F3"/>
    <w:rsid w:val="006703CF"/>
    <w:rsid w:val="006708F8"/>
    <w:rsid w:val="00673C8B"/>
    <w:rsid w:val="006740B8"/>
    <w:rsid w:val="006775D2"/>
    <w:rsid w:val="0068014E"/>
    <w:rsid w:val="006805A2"/>
    <w:rsid w:val="00681E72"/>
    <w:rsid w:val="006849BA"/>
    <w:rsid w:val="00687434"/>
    <w:rsid w:val="006878EF"/>
    <w:rsid w:val="00690096"/>
    <w:rsid w:val="00690901"/>
    <w:rsid w:val="0069405C"/>
    <w:rsid w:val="00694C36"/>
    <w:rsid w:val="00695071"/>
    <w:rsid w:val="006950DD"/>
    <w:rsid w:val="0069546C"/>
    <w:rsid w:val="0069733B"/>
    <w:rsid w:val="006A5830"/>
    <w:rsid w:val="006A7FF5"/>
    <w:rsid w:val="006B0DA3"/>
    <w:rsid w:val="006B190B"/>
    <w:rsid w:val="006B1AB0"/>
    <w:rsid w:val="006B2A4A"/>
    <w:rsid w:val="006B4665"/>
    <w:rsid w:val="006B7020"/>
    <w:rsid w:val="006B73AE"/>
    <w:rsid w:val="006C0636"/>
    <w:rsid w:val="006C14E3"/>
    <w:rsid w:val="006C2645"/>
    <w:rsid w:val="006C31F6"/>
    <w:rsid w:val="006C3D7D"/>
    <w:rsid w:val="006C6122"/>
    <w:rsid w:val="006D1164"/>
    <w:rsid w:val="006D1C99"/>
    <w:rsid w:val="006D2307"/>
    <w:rsid w:val="006D4151"/>
    <w:rsid w:val="006D48BC"/>
    <w:rsid w:val="006D504B"/>
    <w:rsid w:val="006D6516"/>
    <w:rsid w:val="006E36F6"/>
    <w:rsid w:val="006E38EC"/>
    <w:rsid w:val="006E737A"/>
    <w:rsid w:val="006E78BC"/>
    <w:rsid w:val="006E7A73"/>
    <w:rsid w:val="006F298C"/>
    <w:rsid w:val="006F2C81"/>
    <w:rsid w:val="006F2D7A"/>
    <w:rsid w:val="006F4950"/>
    <w:rsid w:val="006F5756"/>
    <w:rsid w:val="006F7A88"/>
    <w:rsid w:val="007019E1"/>
    <w:rsid w:val="00701BA0"/>
    <w:rsid w:val="00703000"/>
    <w:rsid w:val="007041FF"/>
    <w:rsid w:val="00704A28"/>
    <w:rsid w:val="00704B95"/>
    <w:rsid w:val="00705B3B"/>
    <w:rsid w:val="00706060"/>
    <w:rsid w:val="00706CED"/>
    <w:rsid w:val="0070713D"/>
    <w:rsid w:val="007074C0"/>
    <w:rsid w:val="0070771B"/>
    <w:rsid w:val="00707BF6"/>
    <w:rsid w:val="00710894"/>
    <w:rsid w:val="007112EC"/>
    <w:rsid w:val="00711355"/>
    <w:rsid w:val="007117AB"/>
    <w:rsid w:val="00711CDA"/>
    <w:rsid w:val="00713530"/>
    <w:rsid w:val="0071368E"/>
    <w:rsid w:val="00713951"/>
    <w:rsid w:val="00713DA0"/>
    <w:rsid w:val="007145F6"/>
    <w:rsid w:val="00714A08"/>
    <w:rsid w:val="007233D3"/>
    <w:rsid w:val="00724759"/>
    <w:rsid w:val="007256D9"/>
    <w:rsid w:val="00727F71"/>
    <w:rsid w:val="007306CF"/>
    <w:rsid w:val="0073188C"/>
    <w:rsid w:val="00731EE8"/>
    <w:rsid w:val="00732866"/>
    <w:rsid w:val="00733166"/>
    <w:rsid w:val="0073639B"/>
    <w:rsid w:val="00737954"/>
    <w:rsid w:val="00740C83"/>
    <w:rsid w:val="00741102"/>
    <w:rsid w:val="00741911"/>
    <w:rsid w:val="00742582"/>
    <w:rsid w:val="00743BAE"/>
    <w:rsid w:val="00747310"/>
    <w:rsid w:val="00747D73"/>
    <w:rsid w:val="00747E2F"/>
    <w:rsid w:val="00753980"/>
    <w:rsid w:val="00753CF1"/>
    <w:rsid w:val="00754691"/>
    <w:rsid w:val="00755B87"/>
    <w:rsid w:val="00756B9F"/>
    <w:rsid w:val="00756C2D"/>
    <w:rsid w:val="00757CEF"/>
    <w:rsid w:val="00765905"/>
    <w:rsid w:val="007669DD"/>
    <w:rsid w:val="00766CC4"/>
    <w:rsid w:val="007717E5"/>
    <w:rsid w:val="00774B00"/>
    <w:rsid w:val="00775092"/>
    <w:rsid w:val="007751A8"/>
    <w:rsid w:val="007751FB"/>
    <w:rsid w:val="00775328"/>
    <w:rsid w:val="00777AEA"/>
    <w:rsid w:val="00781745"/>
    <w:rsid w:val="00781ACF"/>
    <w:rsid w:val="00790519"/>
    <w:rsid w:val="00793504"/>
    <w:rsid w:val="0079635C"/>
    <w:rsid w:val="00796D00"/>
    <w:rsid w:val="0079715D"/>
    <w:rsid w:val="007A03DD"/>
    <w:rsid w:val="007A234B"/>
    <w:rsid w:val="007A59E5"/>
    <w:rsid w:val="007B1A46"/>
    <w:rsid w:val="007B3CE6"/>
    <w:rsid w:val="007B40BB"/>
    <w:rsid w:val="007B5577"/>
    <w:rsid w:val="007B5E4B"/>
    <w:rsid w:val="007B6780"/>
    <w:rsid w:val="007B719C"/>
    <w:rsid w:val="007D0F02"/>
    <w:rsid w:val="007D1BC6"/>
    <w:rsid w:val="007D4C07"/>
    <w:rsid w:val="007D6B4A"/>
    <w:rsid w:val="007D6F98"/>
    <w:rsid w:val="007D7B5F"/>
    <w:rsid w:val="007E0375"/>
    <w:rsid w:val="007E2D97"/>
    <w:rsid w:val="007E50E6"/>
    <w:rsid w:val="007E5303"/>
    <w:rsid w:val="007E6346"/>
    <w:rsid w:val="007E7E02"/>
    <w:rsid w:val="007F0226"/>
    <w:rsid w:val="007F1B4A"/>
    <w:rsid w:val="007F4604"/>
    <w:rsid w:val="007F50F3"/>
    <w:rsid w:val="007F54B7"/>
    <w:rsid w:val="007F57A7"/>
    <w:rsid w:val="007F6D1B"/>
    <w:rsid w:val="007F6F4B"/>
    <w:rsid w:val="007F7652"/>
    <w:rsid w:val="008010B4"/>
    <w:rsid w:val="00802297"/>
    <w:rsid w:val="00804DE2"/>
    <w:rsid w:val="008053A0"/>
    <w:rsid w:val="00806952"/>
    <w:rsid w:val="00810E4F"/>
    <w:rsid w:val="00812B58"/>
    <w:rsid w:val="00813E89"/>
    <w:rsid w:val="008168F4"/>
    <w:rsid w:val="00820946"/>
    <w:rsid w:val="008248DE"/>
    <w:rsid w:val="00824E6E"/>
    <w:rsid w:val="00826033"/>
    <w:rsid w:val="00826E29"/>
    <w:rsid w:val="00827C61"/>
    <w:rsid w:val="0083102C"/>
    <w:rsid w:val="008312B7"/>
    <w:rsid w:val="00831782"/>
    <w:rsid w:val="00832BEA"/>
    <w:rsid w:val="00833529"/>
    <w:rsid w:val="00834445"/>
    <w:rsid w:val="00834D9C"/>
    <w:rsid w:val="00835A0E"/>
    <w:rsid w:val="00835ED4"/>
    <w:rsid w:val="00837E1C"/>
    <w:rsid w:val="00837E68"/>
    <w:rsid w:val="00840A0E"/>
    <w:rsid w:val="00842D7F"/>
    <w:rsid w:val="00846386"/>
    <w:rsid w:val="00846DC3"/>
    <w:rsid w:val="008478DC"/>
    <w:rsid w:val="0085248C"/>
    <w:rsid w:val="008531BC"/>
    <w:rsid w:val="00854A20"/>
    <w:rsid w:val="00856D00"/>
    <w:rsid w:val="00857927"/>
    <w:rsid w:val="00857D0F"/>
    <w:rsid w:val="00860937"/>
    <w:rsid w:val="00862189"/>
    <w:rsid w:val="00863354"/>
    <w:rsid w:val="008636E4"/>
    <w:rsid w:val="00865E5C"/>
    <w:rsid w:val="00872933"/>
    <w:rsid w:val="008819B4"/>
    <w:rsid w:val="00881F59"/>
    <w:rsid w:val="00882BC9"/>
    <w:rsid w:val="00882C1E"/>
    <w:rsid w:val="008839C8"/>
    <w:rsid w:val="00886C15"/>
    <w:rsid w:val="00886F1A"/>
    <w:rsid w:val="0088785D"/>
    <w:rsid w:val="00890194"/>
    <w:rsid w:val="008915CA"/>
    <w:rsid w:val="008915D7"/>
    <w:rsid w:val="0089335B"/>
    <w:rsid w:val="00893FB0"/>
    <w:rsid w:val="008950EF"/>
    <w:rsid w:val="008959E9"/>
    <w:rsid w:val="008A058B"/>
    <w:rsid w:val="008A082B"/>
    <w:rsid w:val="008A243F"/>
    <w:rsid w:val="008A3E71"/>
    <w:rsid w:val="008A7E43"/>
    <w:rsid w:val="008B0DEE"/>
    <w:rsid w:val="008B1353"/>
    <w:rsid w:val="008B1A58"/>
    <w:rsid w:val="008B3B55"/>
    <w:rsid w:val="008B4A08"/>
    <w:rsid w:val="008B6327"/>
    <w:rsid w:val="008B6929"/>
    <w:rsid w:val="008B6E1F"/>
    <w:rsid w:val="008C2271"/>
    <w:rsid w:val="008C25C1"/>
    <w:rsid w:val="008C26D1"/>
    <w:rsid w:val="008C541B"/>
    <w:rsid w:val="008D03EA"/>
    <w:rsid w:val="008D0EFC"/>
    <w:rsid w:val="008D4A13"/>
    <w:rsid w:val="008D4A4F"/>
    <w:rsid w:val="008D5159"/>
    <w:rsid w:val="008D66B4"/>
    <w:rsid w:val="008D6A90"/>
    <w:rsid w:val="008D7F70"/>
    <w:rsid w:val="008E22E9"/>
    <w:rsid w:val="008E2BF6"/>
    <w:rsid w:val="008E5412"/>
    <w:rsid w:val="008E5C90"/>
    <w:rsid w:val="008E6E92"/>
    <w:rsid w:val="008F0610"/>
    <w:rsid w:val="008F185C"/>
    <w:rsid w:val="008F1D59"/>
    <w:rsid w:val="008F360B"/>
    <w:rsid w:val="008F3B31"/>
    <w:rsid w:val="008F4DD2"/>
    <w:rsid w:val="00902C77"/>
    <w:rsid w:val="00902FF0"/>
    <w:rsid w:val="009036DC"/>
    <w:rsid w:val="00904B82"/>
    <w:rsid w:val="00904C33"/>
    <w:rsid w:val="00904F1F"/>
    <w:rsid w:val="00905509"/>
    <w:rsid w:val="009127F3"/>
    <w:rsid w:val="00912979"/>
    <w:rsid w:val="00916E3B"/>
    <w:rsid w:val="0091700D"/>
    <w:rsid w:val="00920680"/>
    <w:rsid w:val="0092309E"/>
    <w:rsid w:val="00924C81"/>
    <w:rsid w:val="00924EC2"/>
    <w:rsid w:val="00927AEB"/>
    <w:rsid w:val="00932D25"/>
    <w:rsid w:val="009367AD"/>
    <w:rsid w:val="00936CD5"/>
    <w:rsid w:val="00937700"/>
    <w:rsid w:val="0094039F"/>
    <w:rsid w:val="00940DD4"/>
    <w:rsid w:val="0094145B"/>
    <w:rsid w:val="00942158"/>
    <w:rsid w:val="0094228D"/>
    <w:rsid w:val="009430C2"/>
    <w:rsid w:val="00947339"/>
    <w:rsid w:val="009504D3"/>
    <w:rsid w:val="00951DE7"/>
    <w:rsid w:val="0095239F"/>
    <w:rsid w:val="00956D18"/>
    <w:rsid w:val="00957FCF"/>
    <w:rsid w:val="00962DD0"/>
    <w:rsid w:val="00964777"/>
    <w:rsid w:val="00964BC7"/>
    <w:rsid w:val="00964C96"/>
    <w:rsid w:val="00965870"/>
    <w:rsid w:val="00965B82"/>
    <w:rsid w:val="00965DE1"/>
    <w:rsid w:val="00966069"/>
    <w:rsid w:val="00966CC4"/>
    <w:rsid w:val="0097052D"/>
    <w:rsid w:val="009706A4"/>
    <w:rsid w:val="00971E31"/>
    <w:rsid w:val="00971EB5"/>
    <w:rsid w:val="009732E3"/>
    <w:rsid w:val="00975D5F"/>
    <w:rsid w:val="009770B2"/>
    <w:rsid w:val="00985390"/>
    <w:rsid w:val="00985A12"/>
    <w:rsid w:val="009862C7"/>
    <w:rsid w:val="00986AE6"/>
    <w:rsid w:val="009875C8"/>
    <w:rsid w:val="009907B1"/>
    <w:rsid w:val="009907B6"/>
    <w:rsid w:val="00996F0B"/>
    <w:rsid w:val="009A0328"/>
    <w:rsid w:val="009A345B"/>
    <w:rsid w:val="009A3B4B"/>
    <w:rsid w:val="009A46BD"/>
    <w:rsid w:val="009A4988"/>
    <w:rsid w:val="009B7B44"/>
    <w:rsid w:val="009C2661"/>
    <w:rsid w:val="009C3873"/>
    <w:rsid w:val="009C421A"/>
    <w:rsid w:val="009C5FBC"/>
    <w:rsid w:val="009C7121"/>
    <w:rsid w:val="009D2E8F"/>
    <w:rsid w:val="009D357A"/>
    <w:rsid w:val="009D44FB"/>
    <w:rsid w:val="009D4FFB"/>
    <w:rsid w:val="009D5330"/>
    <w:rsid w:val="009D6EE8"/>
    <w:rsid w:val="009D70EE"/>
    <w:rsid w:val="009D77C5"/>
    <w:rsid w:val="009D7955"/>
    <w:rsid w:val="009E3597"/>
    <w:rsid w:val="009E3E32"/>
    <w:rsid w:val="009E446C"/>
    <w:rsid w:val="009E482E"/>
    <w:rsid w:val="009E6185"/>
    <w:rsid w:val="009E624B"/>
    <w:rsid w:val="009E7B10"/>
    <w:rsid w:val="009E7C3A"/>
    <w:rsid w:val="009F1023"/>
    <w:rsid w:val="009F111F"/>
    <w:rsid w:val="009F23BF"/>
    <w:rsid w:val="009F3446"/>
    <w:rsid w:val="009F6871"/>
    <w:rsid w:val="00A00974"/>
    <w:rsid w:val="00A00D48"/>
    <w:rsid w:val="00A02EC7"/>
    <w:rsid w:val="00A04BE5"/>
    <w:rsid w:val="00A0647E"/>
    <w:rsid w:val="00A07457"/>
    <w:rsid w:val="00A07B77"/>
    <w:rsid w:val="00A10833"/>
    <w:rsid w:val="00A124F6"/>
    <w:rsid w:val="00A130EF"/>
    <w:rsid w:val="00A13A2F"/>
    <w:rsid w:val="00A13BF5"/>
    <w:rsid w:val="00A15605"/>
    <w:rsid w:val="00A170F5"/>
    <w:rsid w:val="00A21485"/>
    <w:rsid w:val="00A27BAC"/>
    <w:rsid w:val="00A31702"/>
    <w:rsid w:val="00A334C2"/>
    <w:rsid w:val="00A37126"/>
    <w:rsid w:val="00A37466"/>
    <w:rsid w:val="00A37751"/>
    <w:rsid w:val="00A40524"/>
    <w:rsid w:val="00A40F60"/>
    <w:rsid w:val="00A42310"/>
    <w:rsid w:val="00A4300E"/>
    <w:rsid w:val="00A430BA"/>
    <w:rsid w:val="00A43C0B"/>
    <w:rsid w:val="00A43EA4"/>
    <w:rsid w:val="00A45B49"/>
    <w:rsid w:val="00A4682D"/>
    <w:rsid w:val="00A46CCA"/>
    <w:rsid w:val="00A46F74"/>
    <w:rsid w:val="00A47805"/>
    <w:rsid w:val="00A50536"/>
    <w:rsid w:val="00A505B6"/>
    <w:rsid w:val="00A50B99"/>
    <w:rsid w:val="00A5169E"/>
    <w:rsid w:val="00A5714C"/>
    <w:rsid w:val="00A57F9E"/>
    <w:rsid w:val="00A61BE0"/>
    <w:rsid w:val="00A620FB"/>
    <w:rsid w:val="00A6270B"/>
    <w:rsid w:val="00A62D25"/>
    <w:rsid w:val="00A63643"/>
    <w:rsid w:val="00A64C61"/>
    <w:rsid w:val="00A65F69"/>
    <w:rsid w:val="00A65F9D"/>
    <w:rsid w:val="00A66251"/>
    <w:rsid w:val="00A66765"/>
    <w:rsid w:val="00A674CF"/>
    <w:rsid w:val="00A72294"/>
    <w:rsid w:val="00A737A7"/>
    <w:rsid w:val="00A73E95"/>
    <w:rsid w:val="00A74772"/>
    <w:rsid w:val="00A759B3"/>
    <w:rsid w:val="00A760D1"/>
    <w:rsid w:val="00A76B41"/>
    <w:rsid w:val="00A77586"/>
    <w:rsid w:val="00A77C8E"/>
    <w:rsid w:val="00A77DF3"/>
    <w:rsid w:val="00A82361"/>
    <w:rsid w:val="00A82ECA"/>
    <w:rsid w:val="00A83F4B"/>
    <w:rsid w:val="00A84ECD"/>
    <w:rsid w:val="00A854F9"/>
    <w:rsid w:val="00A865D4"/>
    <w:rsid w:val="00A8699E"/>
    <w:rsid w:val="00A90BEE"/>
    <w:rsid w:val="00A90CF8"/>
    <w:rsid w:val="00A92FCB"/>
    <w:rsid w:val="00A94725"/>
    <w:rsid w:val="00A95F0B"/>
    <w:rsid w:val="00A9673F"/>
    <w:rsid w:val="00A97365"/>
    <w:rsid w:val="00A97995"/>
    <w:rsid w:val="00AA0931"/>
    <w:rsid w:val="00AA1AF1"/>
    <w:rsid w:val="00AB3F9D"/>
    <w:rsid w:val="00AB5607"/>
    <w:rsid w:val="00AB57B6"/>
    <w:rsid w:val="00AB66B6"/>
    <w:rsid w:val="00AB7672"/>
    <w:rsid w:val="00AB77FE"/>
    <w:rsid w:val="00AC1F57"/>
    <w:rsid w:val="00AC2D2E"/>
    <w:rsid w:val="00AC2DC8"/>
    <w:rsid w:val="00AC300E"/>
    <w:rsid w:val="00AC3C6F"/>
    <w:rsid w:val="00AC493F"/>
    <w:rsid w:val="00AC5E16"/>
    <w:rsid w:val="00AC7A05"/>
    <w:rsid w:val="00AD2288"/>
    <w:rsid w:val="00AD2ED4"/>
    <w:rsid w:val="00AD5ED1"/>
    <w:rsid w:val="00AD7059"/>
    <w:rsid w:val="00AD70F2"/>
    <w:rsid w:val="00AE2466"/>
    <w:rsid w:val="00AE6BEF"/>
    <w:rsid w:val="00AF06F7"/>
    <w:rsid w:val="00AF0F55"/>
    <w:rsid w:val="00AF12B8"/>
    <w:rsid w:val="00AF176F"/>
    <w:rsid w:val="00AF3C05"/>
    <w:rsid w:val="00AF429D"/>
    <w:rsid w:val="00AF5202"/>
    <w:rsid w:val="00AF5FC0"/>
    <w:rsid w:val="00B01A68"/>
    <w:rsid w:val="00B01AD6"/>
    <w:rsid w:val="00B01C2D"/>
    <w:rsid w:val="00B027FD"/>
    <w:rsid w:val="00B02B98"/>
    <w:rsid w:val="00B02BA1"/>
    <w:rsid w:val="00B040F7"/>
    <w:rsid w:val="00B04952"/>
    <w:rsid w:val="00B059E7"/>
    <w:rsid w:val="00B05A3B"/>
    <w:rsid w:val="00B05B61"/>
    <w:rsid w:val="00B06B70"/>
    <w:rsid w:val="00B07021"/>
    <w:rsid w:val="00B07397"/>
    <w:rsid w:val="00B1093A"/>
    <w:rsid w:val="00B1124C"/>
    <w:rsid w:val="00B13DB4"/>
    <w:rsid w:val="00B14214"/>
    <w:rsid w:val="00B1489F"/>
    <w:rsid w:val="00B14D37"/>
    <w:rsid w:val="00B14E64"/>
    <w:rsid w:val="00B15C28"/>
    <w:rsid w:val="00B15F4F"/>
    <w:rsid w:val="00B1693C"/>
    <w:rsid w:val="00B1741A"/>
    <w:rsid w:val="00B17A85"/>
    <w:rsid w:val="00B202CD"/>
    <w:rsid w:val="00B21F7E"/>
    <w:rsid w:val="00B25910"/>
    <w:rsid w:val="00B27516"/>
    <w:rsid w:val="00B27722"/>
    <w:rsid w:val="00B3140F"/>
    <w:rsid w:val="00B314EC"/>
    <w:rsid w:val="00B31A8C"/>
    <w:rsid w:val="00B32D8C"/>
    <w:rsid w:val="00B3696A"/>
    <w:rsid w:val="00B401DA"/>
    <w:rsid w:val="00B41177"/>
    <w:rsid w:val="00B412FD"/>
    <w:rsid w:val="00B424EA"/>
    <w:rsid w:val="00B43D93"/>
    <w:rsid w:val="00B456F1"/>
    <w:rsid w:val="00B45A3A"/>
    <w:rsid w:val="00B47AB8"/>
    <w:rsid w:val="00B52B2B"/>
    <w:rsid w:val="00B53289"/>
    <w:rsid w:val="00B555C9"/>
    <w:rsid w:val="00B5656D"/>
    <w:rsid w:val="00B570E4"/>
    <w:rsid w:val="00B578A8"/>
    <w:rsid w:val="00B60930"/>
    <w:rsid w:val="00B61C12"/>
    <w:rsid w:val="00B63401"/>
    <w:rsid w:val="00B6367A"/>
    <w:rsid w:val="00B63B56"/>
    <w:rsid w:val="00B67F4A"/>
    <w:rsid w:val="00B700C2"/>
    <w:rsid w:val="00B70E4D"/>
    <w:rsid w:val="00B73841"/>
    <w:rsid w:val="00B759B0"/>
    <w:rsid w:val="00B76E07"/>
    <w:rsid w:val="00B801B4"/>
    <w:rsid w:val="00B80A42"/>
    <w:rsid w:val="00B87E71"/>
    <w:rsid w:val="00B918F4"/>
    <w:rsid w:val="00B91B28"/>
    <w:rsid w:val="00B95260"/>
    <w:rsid w:val="00B963FF"/>
    <w:rsid w:val="00BA2131"/>
    <w:rsid w:val="00BA39B5"/>
    <w:rsid w:val="00BA5D48"/>
    <w:rsid w:val="00BA66A4"/>
    <w:rsid w:val="00BA6BC2"/>
    <w:rsid w:val="00BA7501"/>
    <w:rsid w:val="00BA7D6F"/>
    <w:rsid w:val="00BB0278"/>
    <w:rsid w:val="00BB08F5"/>
    <w:rsid w:val="00BB095D"/>
    <w:rsid w:val="00BB3BC7"/>
    <w:rsid w:val="00BB473F"/>
    <w:rsid w:val="00BB6213"/>
    <w:rsid w:val="00BB6F64"/>
    <w:rsid w:val="00BB704B"/>
    <w:rsid w:val="00BB7CAC"/>
    <w:rsid w:val="00BC0E93"/>
    <w:rsid w:val="00BC2C90"/>
    <w:rsid w:val="00BC301E"/>
    <w:rsid w:val="00BC3847"/>
    <w:rsid w:val="00BC3AFF"/>
    <w:rsid w:val="00BC3DBB"/>
    <w:rsid w:val="00BC4853"/>
    <w:rsid w:val="00BC5041"/>
    <w:rsid w:val="00BC5473"/>
    <w:rsid w:val="00BC71DE"/>
    <w:rsid w:val="00BD0BF2"/>
    <w:rsid w:val="00BD259E"/>
    <w:rsid w:val="00BD2B9A"/>
    <w:rsid w:val="00BE6857"/>
    <w:rsid w:val="00BE68BC"/>
    <w:rsid w:val="00BE6FA4"/>
    <w:rsid w:val="00BE7D5A"/>
    <w:rsid w:val="00BE7D71"/>
    <w:rsid w:val="00BF27F2"/>
    <w:rsid w:val="00BF3C24"/>
    <w:rsid w:val="00BF3FB8"/>
    <w:rsid w:val="00BF44F5"/>
    <w:rsid w:val="00BF5226"/>
    <w:rsid w:val="00BF663C"/>
    <w:rsid w:val="00C01FD3"/>
    <w:rsid w:val="00C03181"/>
    <w:rsid w:val="00C03DA0"/>
    <w:rsid w:val="00C04083"/>
    <w:rsid w:val="00C05D7E"/>
    <w:rsid w:val="00C118B4"/>
    <w:rsid w:val="00C12184"/>
    <w:rsid w:val="00C12D31"/>
    <w:rsid w:val="00C1316F"/>
    <w:rsid w:val="00C13D76"/>
    <w:rsid w:val="00C1403C"/>
    <w:rsid w:val="00C16E71"/>
    <w:rsid w:val="00C17327"/>
    <w:rsid w:val="00C20089"/>
    <w:rsid w:val="00C202E4"/>
    <w:rsid w:val="00C22780"/>
    <w:rsid w:val="00C24F50"/>
    <w:rsid w:val="00C258DB"/>
    <w:rsid w:val="00C26949"/>
    <w:rsid w:val="00C27916"/>
    <w:rsid w:val="00C30B2B"/>
    <w:rsid w:val="00C32632"/>
    <w:rsid w:val="00C33E32"/>
    <w:rsid w:val="00C35A7B"/>
    <w:rsid w:val="00C3649A"/>
    <w:rsid w:val="00C366C3"/>
    <w:rsid w:val="00C3724B"/>
    <w:rsid w:val="00C37866"/>
    <w:rsid w:val="00C4205B"/>
    <w:rsid w:val="00C4482B"/>
    <w:rsid w:val="00C46069"/>
    <w:rsid w:val="00C460B5"/>
    <w:rsid w:val="00C50969"/>
    <w:rsid w:val="00C538FE"/>
    <w:rsid w:val="00C55320"/>
    <w:rsid w:val="00C60A33"/>
    <w:rsid w:val="00C61F19"/>
    <w:rsid w:val="00C65CAB"/>
    <w:rsid w:val="00C6793B"/>
    <w:rsid w:val="00C71D2C"/>
    <w:rsid w:val="00C71F2A"/>
    <w:rsid w:val="00C76776"/>
    <w:rsid w:val="00C76EEF"/>
    <w:rsid w:val="00C8153E"/>
    <w:rsid w:val="00C81966"/>
    <w:rsid w:val="00C837BC"/>
    <w:rsid w:val="00C83ACC"/>
    <w:rsid w:val="00C8412D"/>
    <w:rsid w:val="00C867A8"/>
    <w:rsid w:val="00C9193B"/>
    <w:rsid w:val="00C92B2A"/>
    <w:rsid w:val="00C947EB"/>
    <w:rsid w:val="00C96471"/>
    <w:rsid w:val="00C97D7A"/>
    <w:rsid w:val="00CA1666"/>
    <w:rsid w:val="00CA2903"/>
    <w:rsid w:val="00CA2FB7"/>
    <w:rsid w:val="00CA55B1"/>
    <w:rsid w:val="00CA648E"/>
    <w:rsid w:val="00CB3459"/>
    <w:rsid w:val="00CB6989"/>
    <w:rsid w:val="00CB6A60"/>
    <w:rsid w:val="00CC0A8C"/>
    <w:rsid w:val="00CC0CEF"/>
    <w:rsid w:val="00CC21CA"/>
    <w:rsid w:val="00CC268B"/>
    <w:rsid w:val="00CC35F0"/>
    <w:rsid w:val="00CC715E"/>
    <w:rsid w:val="00CD0591"/>
    <w:rsid w:val="00CD0F23"/>
    <w:rsid w:val="00CD1241"/>
    <w:rsid w:val="00CD15D2"/>
    <w:rsid w:val="00CD2F10"/>
    <w:rsid w:val="00CD4590"/>
    <w:rsid w:val="00CD4C8B"/>
    <w:rsid w:val="00CD4FBF"/>
    <w:rsid w:val="00CD5B0C"/>
    <w:rsid w:val="00CD60B2"/>
    <w:rsid w:val="00CE0753"/>
    <w:rsid w:val="00CE1FE4"/>
    <w:rsid w:val="00CE2882"/>
    <w:rsid w:val="00CE58A2"/>
    <w:rsid w:val="00CE5AAE"/>
    <w:rsid w:val="00CE5B3E"/>
    <w:rsid w:val="00CF16CA"/>
    <w:rsid w:val="00CF4ED6"/>
    <w:rsid w:val="00CF7EDC"/>
    <w:rsid w:val="00D04D29"/>
    <w:rsid w:val="00D04F9A"/>
    <w:rsid w:val="00D06503"/>
    <w:rsid w:val="00D0673C"/>
    <w:rsid w:val="00D12B9B"/>
    <w:rsid w:val="00D15514"/>
    <w:rsid w:val="00D155A3"/>
    <w:rsid w:val="00D16835"/>
    <w:rsid w:val="00D16A6F"/>
    <w:rsid w:val="00D22014"/>
    <w:rsid w:val="00D22229"/>
    <w:rsid w:val="00D23571"/>
    <w:rsid w:val="00D26C56"/>
    <w:rsid w:val="00D316C9"/>
    <w:rsid w:val="00D327E3"/>
    <w:rsid w:val="00D3294D"/>
    <w:rsid w:val="00D3419D"/>
    <w:rsid w:val="00D34A22"/>
    <w:rsid w:val="00D36086"/>
    <w:rsid w:val="00D4032E"/>
    <w:rsid w:val="00D40BCA"/>
    <w:rsid w:val="00D41455"/>
    <w:rsid w:val="00D416C5"/>
    <w:rsid w:val="00D425C9"/>
    <w:rsid w:val="00D45722"/>
    <w:rsid w:val="00D458E1"/>
    <w:rsid w:val="00D46D9B"/>
    <w:rsid w:val="00D518B2"/>
    <w:rsid w:val="00D54E12"/>
    <w:rsid w:val="00D557C5"/>
    <w:rsid w:val="00D6086F"/>
    <w:rsid w:val="00D6203E"/>
    <w:rsid w:val="00D637EE"/>
    <w:rsid w:val="00D6394F"/>
    <w:rsid w:val="00D668A7"/>
    <w:rsid w:val="00D7103E"/>
    <w:rsid w:val="00D71C3B"/>
    <w:rsid w:val="00D760F4"/>
    <w:rsid w:val="00D76179"/>
    <w:rsid w:val="00D772D0"/>
    <w:rsid w:val="00D772DD"/>
    <w:rsid w:val="00D77D5F"/>
    <w:rsid w:val="00D80A5A"/>
    <w:rsid w:val="00D82487"/>
    <w:rsid w:val="00D824EA"/>
    <w:rsid w:val="00D83B98"/>
    <w:rsid w:val="00D83E3C"/>
    <w:rsid w:val="00D84351"/>
    <w:rsid w:val="00D84BA5"/>
    <w:rsid w:val="00D86742"/>
    <w:rsid w:val="00D86DA9"/>
    <w:rsid w:val="00D90262"/>
    <w:rsid w:val="00D90BF1"/>
    <w:rsid w:val="00D91767"/>
    <w:rsid w:val="00D91DB0"/>
    <w:rsid w:val="00D923A8"/>
    <w:rsid w:val="00D92CC7"/>
    <w:rsid w:val="00D933BC"/>
    <w:rsid w:val="00D93C0D"/>
    <w:rsid w:val="00D945B4"/>
    <w:rsid w:val="00D9751E"/>
    <w:rsid w:val="00DA01C5"/>
    <w:rsid w:val="00DA107F"/>
    <w:rsid w:val="00DA1CD6"/>
    <w:rsid w:val="00DA1EA8"/>
    <w:rsid w:val="00DA40DC"/>
    <w:rsid w:val="00DA5190"/>
    <w:rsid w:val="00DA5AB3"/>
    <w:rsid w:val="00DA5CD6"/>
    <w:rsid w:val="00DA6C45"/>
    <w:rsid w:val="00DA7994"/>
    <w:rsid w:val="00DB050A"/>
    <w:rsid w:val="00DB1309"/>
    <w:rsid w:val="00DB18F7"/>
    <w:rsid w:val="00DB1C2B"/>
    <w:rsid w:val="00DB3B32"/>
    <w:rsid w:val="00DB4301"/>
    <w:rsid w:val="00DB432B"/>
    <w:rsid w:val="00DB6F00"/>
    <w:rsid w:val="00DB7830"/>
    <w:rsid w:val="00DC068C"/>
    <w:rsid w:val="00DC07ED"/>
    <w:rsid w:val="00DC0FED"/>
    <w:rsid w:val="00DC25BE"/>
    <w:rsid w:val="00DC348C"/>
    <w:rsid w:val="00DC3F8B"/>
    <w:rsid w:val="00DC5405"/>
    <w:rsid w:val="00DC5934"/>
    <w:rsid w:val="00DC5AE1"/>
    <w:rsid w:val="00DC5DDA"/>
    <w:rsid w:val="00DC7003"/>
    <w:rsid w:val="00DC713B"/>
    <w:rsid w:val="00DD1A82"/>
    <w:rsid w:val="00DD1AE0"/>
    <w:rsid w:val="00DE0124"/>
    <w:rsid w:val="00DE033F"/>
    <w:rsid w:val="00DE1127"/>
    <w:rsid w:val="00DE11D8"/>
    <w:rsid w:val="00DE2D87"/>
    <w:rsid w:val="00DE3E10"/>
    <w:rsid w:val="00DE3FB2"/>
    <w:rsid w:val="00DF0D75"/>
    <w:rsid w:val="00DF0FD5"/>
    <w:rsid w:val="00DF1032"/>
    <w:rsid w:val="00DF1036"/>
    <w:rsid w:val="00DF1366"/>
    <w:rsid w:val="00DF19AC"/>
    <w:rsid w:val="00DF214C"/>
    <w:rsid w:val="00DF2B84"/>
    <w:rsid w:val="00DF5CAB"/>
    <w:rsid w:val="00DF62D9"/>
    <w:rsid w:val="00DF653E"/>
    <w:rsid w:val="00E00C8E"/>
    <w:rsid w:val="00E0169E"/>
    <w:rsid w:val="00E027EB"/>
    <w:rsid w:val="00E04862"/>
    <w:rsid w:val="00E07723"/>
    <w:rsid w:val="00E07D30"/>
    <w:rsid w:val="00E13576"/>
    <w:rsid w:val="00E151EA"/>
    <w:rsid w:val="00E2353F"/>
    <w:rsid w:val="00E23FAD"/>
    <w:rsid w:val="00E249FA"/>
    <w:rsid w:val="00E260DD"/>
    <w:rsid w:val="00E27C7F"/>
    <w:rsid w:val="00E30161"/>
    <w:rsid w:val="00E30AAC"/>
    <w:rsid w:val="00E30F23"/>
    <w:rsid w:val="00E31299"/>
    <w:rsid w:val="00E31D7F"/>
    <w:rsid w:val="00E32553"/>
    <w:rsid w:val="00E32957"/>
    <w:rsid w:val="00E345D8"/>
    <w:rsid w:val="00E41203"/>
    <w:rsid w:val="00E421ED"/>
    <w:rsid w:val="00E42497"/>
    <w:rsid w:val="00E44103"/>
    <w:rsid w:val="00E44B38"/>
    <w:rsid w:val="00E45D4F"/>
    <w:rsid w:val="00E51CA4"/>
    <w:rsid w:val="00E520EF"/>
    <w:rsid w:val="00E54428"/>
    <w:rsid w:val="00E55C80"/>
    <w:rsid w:val="00E56796"/>
    <w:rsid w:val="00E60C02"/>
    <w:rsid w:val="00E61E2B"/>
    <w:rsid w:val="00E625EB"/>
    <w:rsid w:val="00E6503A"/>
    <w:rsid w:val="00E65A64"/>
    <w:rsid w:val="00E67A48"/>
    <w:rsid w:val="00E67A79"/>
    <w:rsid w:val="00E70D1C"/>
    <w:rsid w:val="00E70E36"/>
    <w:rsid w:val="00E74950"/>
    <w:rsid w:val="00E74D35"/>
    <w:rsid w:val="00E754E0"/>
    <w:rsid w:val="00E83C78"/>
    <w:rsid w:val="00E85DA2"/>
    <w:rsid w:val="00E861BE"/>
    <w:rsid w:val="00E86427"/>
    <w:rsid w:val="00E90201"/>
    <w:rsid w:val="00E953D3"/>
    <w:rsid w:val="00E960BA"/>
    <w:rsid w:val="00E961C5"/>
    <w:rsid w:val="00E96466"/>
    <w:rsid w:val="00E9656B"/>
    <w:rsid w:val="00E96FE9"/>
    <w:rsid w:val="00E97E02"/>
    <w:rsid w:val="00EA02C1"/>
    <w:rsid w:val="00EA0D8A"/>
    <w:rsid w:val="00EA1323"/>
    <w:rsid w:val="00EA19C4"/>
    <w:rsid w:val="00EA3582"/>
    <w:rsid w:val="00EA417B"/>
    <w:rsid w:val="00EA43AE"/>
    <w:rsid w:val="00EA6BB4"/>
    <w:rsid w:val="00EA7BC7"/>
    <w:rsid w:val="00EB1636"/>
    <w:rsid w:val="00EB2011"/>
    <w:rsid w:val="00EB5A61"/>
    <w:rsid w:val="00EB5FDB"/>
    <w:rsid w:val="00EB6017"/>
    <w:rsid w:val="00EB77E0"/>
    <w:rsid w:val="00EC27D3"/>
    <w:rsid w:val="00EC4F33"/>
    <w:rsid w:val="00EC72F5"/>
    <w:rsid w:val="00ED2B93"/>
    <w:rsid w:val="00ED3B94"/>
    <w:rsid w:val="00ED3C99"/>
    <w:rsid w:val="00ED4642"/>
    <w:rsid w:val="00ED701E"/>
    <w:rsid w:val="00EE5913"/>
    <w:rsid w:val="00EE593F"/>
    <w:rsid w:val="00EF0BD7"/>
    <w:rsid w:val="00EF0E45"/>
    <w:rsid w:val="00EF3B99"/>
    <w:rsid w:val="00EF4C19"/>
    <w:rsid w:val="00EF553B"/>
    <w:rsid w:val="00EF78ED"/>
    <w:rsid w:val="00EF79A0"/>
    <w:rsid w:val="00EF7DAD"/>
    <w:rsid w:val="00F02CC8"/>
    <w:rsid w:val="00F0323D"/>
    <w:rsid w:val="00F05F7F"/>
    <w:rsid w:val="00F0601E"/>
    <w:rsid w:val="00F062F8"/>
    <w:rsid w:val="00F10092"/>
    <w:rsid w:val="00F10466"/>
    <w:rsid w:val="00F12E1E"/>
    <w:rsid w:val="00F13FC4"/>
    <w:rsid w:val="00F147F7"/>
    <w:rsid w:val="00F21C74"/>
    <w:rsid w:val="00F222EE"/>
    <w:rsid w:val="00F2238C"/>
    <w:rsid w:val="00F229D0"/>
    <w:rsid w:val="00F22BC1"/>
    <w:rsid w:val="00F22D5E"/>
    <w:rsid w:val="00F242AB"/>
    <w:rsid w:val="00F24E2E"/>
    <w:rsid w:val="00F25D1D"/>
    <w:rsid w:val="00F270E6"/>
    <w:rsid w:val="00F31833"/>
    <w:rsid w:val="00F31F47"/>
    <w:rsid w:val="00F3373B"/>
    <w:rsid w:val="00F34A95"/>
    <w:rsid w:val="00F34B57"/>
    <w:rsid w:val="00F37069"/>
    <w:rsid w:val="00F37DD7"/>
    <w:rsid w:val="00F40EBF"/>
    <w:rsid w:val="00F428B5"/>
    <w:rsid w:val="00F43361"/>
    <w:rsid w:val="00F43B4C"/>
    <w:rsid w:val="00F44BA5"/>
    <w:rsid w:val="00F459FC"/>
    <w:rsid w:val="00F45AAD"/>
    <w:rsid w:val="00F475E9"/>
    <w:rsid w:val="00F505FF"/>
    <w:rsid w:val="00F50AE8"/>
    <w:rsid w:val="00F512A1"/>
    <w:rsid w:val="00F53AC7"/>
    <w:rsid w:val="00F53B88"/>
    <w:rsid w:val="00F53D89"/>
    <w:rsid w:val="00F53EF3"/>
    <w:rsid w:val="00F5548D"/>
    <w:rsid w:val="00F56CC4"/>
    <w:rsid w:val="00F57792"/>
    <w:rsid w:val="00F620A8"/>
    <w:rsid w:val="00F6217A"/>
    <w:rsid w:val="00F622A1"/>
    <w:rsid w:val="00F62C75"/>
    <w:rsid w:val="00F63A66"/>
    <w:rsid w:val="00F6415D"/>
    <w:rsid w:val="00F64529"/>
    <w:rsid w:val="00F64868"/>
    <w:rsid w:val="00F70000"/>
    <w:rsid w:val="00F743DB"/>
    <w:rsid w:val="00F7660A"/>
    <w:rsid w:val="00F811C0"/>
    <w:rsid w:val="00F81B81"/>
    <w:rsid w:val="00F84FA0"/>
    <w:rsid w:val="00F85353"/>
    <w:rsid w:val="00F90468"/>
    <w:rsid w:val="00F90B53"/>
    <w:rsid w:val="00F926C2"/>
    <w:rsid w:val="00F94226"/>
    <w:rsid w:val="00F945C0"/>
    <w:rsid w:val="00FA0412"/>
    <w:rsid w:val="00FA110A"/>
    <w:rsid w:val="00FA11C5"/>
    <w:rsid w:val="00FA1450"/>
    <w:rsid w:val="00FA37F8"/>
    <w:rsid w:val="00FA4108"/>
    <w:rsid w:val="00FA5480"/>
    <w:rsid w:val="00FA589F"/>
    <w:rsid w:val="00FA592C"/>
    <w:rsid w:val="00FA5CB1"/>
    <w:rsid w:val="00FA739A"/>
    <w:rsid w:val="00FB04E2"/>
    <w:rsid w:val="00FB18AC"/>
    <w:rsid w:val="00FB1BC7"/>
    <w:rsid w:val="00FB681E"/>
    <w:rsid w:val="00FB7205"/>
    <w:rsid w:val="00FC2A16"/>
    <w:rsid w:val="00FC3552"/>
    <w:rsid w:val="00FC3B75"/>
    <w:rsid w:val="00FC48B0"/>
    <w:rsid w:val="00FC53CD"/>
    <w:rsid w:val="00FC5F31"/>
    <w:rsid w:val="00FD02D2"/>
    <w:rsid w:val="00FD06BC"/>
    <w:rsid w:val="00FD2958"/>
    <w:rsid w:val="00FD5A40"/>
    <w:rsid w:val="00FE2773"/>
    <w:rsid w:val="00FE27B9"/>
    <w:rsid w:val="00FE3798"/>
    <w:rsid w:val="00FE4FF0"/>
    <w:rsid w:val="00FE5DFB"/>
    <w:rsid w:val="00FE78B5"/>
    <w:rsid w:val="00FE7F65"/>
    <w:rsid w:val="00FF2AA9"/>
    <w:rsid w:val="00FF2EFD"/>
    <w:rsid w:val="00FF2F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370554"/>
  <w15:chartTrackingRefBased/>
  <w15:docId w15:val="{A4443C0C-C40E-4A56-BC77-A453B934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2D0"/>
  </w:style>
  <w:style w:type="paragraph" w:styleId="Heading2">
    <w:name w:val="heading 2"/>
    <w:basedOn w:val="Normal"/>
    <w:next w:val="Normal"/>
    <w:link w:val="Heading2Char"/>
    <w:uiPriority w:val="9"/>
    <w:unhideWhenUsed/>
    <w:qFormat/>
    <w:rsid w:val="001869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F19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72D0"/>
    <w:pPr>
      <w:bidi/>
      <w:spacing w:after="0" w:line="240" w:lineRule="auto"/>
    </w:pPr>
  </w:style>
  <w:style w:type="paragraph" w:styleId="ListParagraph">
    <w:name w:val="List Paragraph"/>
    <w:basedOn w:val="Normal"/>
    <w:uiPriority w:val="34"/>
    <w:qFormat/>
    <w:rsid w:val="00D772D0"/>
    <w:pPr>
      <w:ind w:left="720"/>
      <w:contextualSpacing/>
    </w:pPr>
  </w:style>
  <w:style w:type="character" w:styleId="Hyperlink">
    <w:name w:val="Hyperlink"/>
    <w:basedOn w:val="DefaultParagraphFont"/>
    <w:uiPriority w:val="99"/>
    <w:unhideWhenUsed/>
    <w:rsid w:val="00D772D0"/>
    <w:rPr>
      <w:color w:val="0000FF"/>
      <w:u w:val="single"/>
    </w:rPr>
  </w:style>
  <w:style w:type="character" w:customStyle="1" w:styleId="cf01">
    <w:name w:val="cf01"/>
    <w:basedOn w:val="DefaultParagraphFont"/>
    <w:rsid w:val="00D772D0"/>
    <w:rPr>
      <w:rFonts w:ascii="Segoe UI" w:hAnsi="Segoe UI" w:cs="Segoe UI" w:hint="default"/>
      <w:sz w:val="18"/>
      <w:szCs w:val="18"/>
    </w:rPr>
  </w:style>
  <w:style w:type="paragraph" w:styleId="Bibliography">
    <w:name w:val="Bibliography"/>
    <w:basedOn w:val="Normal"/>
    <w:next w:val="Normal"/>
    <w:uiPriority w:val="37"/>
    <w:unhideWhenUsed/>
    <w:rsid w:val="00D772D0"/>
    <w:pPr>
      <w:tabs>
        <w:tab w:val="left" w:pos="144"/>
      </w:tabs>
      <w:spacing w:after="0" w:line="240" w:lineRule="auto"/>
      <w:ind w:left="144" w:hanging="144"/>
    </w:pPr>
  </w:style>
  <w:style w:type="paragraph" w:customStyle="1" w:styleId="pb-2">
    <w:name w:val="pb-2"/>
    <w:basedOn w:val="Normal"/>
    <w:rsid w:val="00D772D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772D0"/>
    <w:rPr>
      <w:sz w:val="16"/>
      <w:szCs w:val="16"/>
    </w:rPr>
  </w:style>
  <w:style w:type="paragraph" w:styleId="CommentText">
    <w:name w:val="annotation text"/>
    <w:basedOn w:val="Normal"/>
    <w:link w:val="CommentTextChar"/>
    <w:uiPriority w:val="99"/>
    <w:unhideWhenUsed/>
    <w:rsid w:val="00D772D0"/>
    <w:pPr>
      <w:spacing w:line="240" w:lineRule="auto"/>
    </w:pPr>
    <w:rPr>
      <w:sz w:val="20"/>
      <w:szCs w:val="20"/>
    </w:rPr>
  </w:style>
  <w:style w:type="character" w:customStyle="1" w:styleId="CommentTextChar">
    <w:name w:val="Comment Text Char"/>
    <w:basedOn w:val="DefaultParagraphFont"/>
    <w:link w:val="CommentText"/>
    <w:uiPriority w:val="99"/>
    <w:rsid w:val="00D772D0"/>
    <w:rPr>
      <w:sz w:val="20"/>
      <w:szCs w:val="20"/>
    </w:rPr>
  </w:style>
  <w:style w:type="paragraph" w:styleId="BalloonText">
    <w:name w:val="Balloon Text"/>
    <w:basedOn w:val="Normal"/>
    <w:link w:val="BalloonTextChar"/>
    <w:uiPriority w:val="99"/>
    <w:semiHidden/>
    <w:unhideWhenUsed/>
    <w:rsid w:val="00D77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2D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B40BB"/>
    <w:rPr>
      <w:b/>
      <w:bCs/>
    </w:rPr>
  </w:style>
  <w:style w:type="character" w:customStyle="1" w:styleId="CommentSubjectChar">
    <w:name w:val="Comment Subject Char"/>
    <w:basedOn w:val="CommentTextChar"/>
    <w:link w:val="CommentSubject"/>
    <w:uiPriority w:val="99"/>
    <w:semiHidden/>
    <w:rsid w:val="007B40BB"/>
    <w:rPr>
      <w:b/>
      <w:bCs/>
      <w:sz w:val="20"/>
      <w:szCs w:val="20"/>
    </w:rPr>
  </w:style>
  <w:style w:type="paragraph" w:styleId="Revision">
    <w:name w:val="Revision"/>
    <w:hidden/>
    <w:uiPriority w:val="99"/>
    <w:semiHidden/>
    <w:rsid w:val="00441DEB"/>
    <w:pPr>
      <w:spacing w:after="0" w:line="240" w:lineRule="auto"/>
    </w:pPr>
  </w:style>
  <w:style w:type="paragraph" w:styleId="NormalWeb">
    <w:name w:val="Normal (Web)"/>
    <w:basedOn w:val="Normal"/>
    <w:uiPriority w:val="99"/>
    <w:semiHidden/>
    <w:unhideWhenUsed/>
    <w:rsid w:val="000723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34A95"/>
    <w:rPr>
      <w:color w:val="605E5C"/>
      <w:shd w:val="clear" w:color="auto" w:fill="E1DFDD"/>
    </w:rPr>
  </w:style>
  <w:style w:type="paragraph" w:customStyle="1" w:styleId="pf1">
    <w:name w:val="pf1"/>
    <w:basedOn w:val="Normal"/>
    <w:rsid w:val="00E44B38"/>
    <w:pPr>
      <w:spacing w:before="100" w:beforeAutospacing="1" w:after="100" w:afterAutospacing="1" w:line="240" w:lineRule="auto"/>
      <w:ind w:left="360"/>
    </w:pPr>
    <w:rPr>
      <w:rFonts w:ascii="Times New Roman" w:eastAsia="Times New Roman" w:hAnsi="Times New Roman" w:cs="Times New Roman"/>
      <w:sz w:val="24"/>
      <w:szCs w:val="24"/>
    </w:rPr>
  </w:style>
  <w:style w:type="paragraph" w:customStyle="1" w:styleId="pf0">
    <w:name w:val="pf0"/>
    <w:basedOn w:val="Normal"/>
    <w:rsid w:val="00E44B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E44B38"/>
    <w:rPr>
      <w:rFonts w:ascii="Segoe UI" w:hAnsi="Segoe UI" w:cs="Segoe UI" w:hint="default"/>
      <w:color w:val="0000FF"/>
      <w:sz w:val="18"/>
      <w:szCs w:val="18"/>
    </w:rPr>
  </w:style>
  <w:style w:type="character" w:customStyle="1" w:styleId="UnresolvedMention2">
    <w:name w:val="Unresolved Mention2"/>
    <w:basedOn w:val="DefaultParagraphFont"/>
    <w:uiPriority w:val="99"/>
    <w:semiHidden/>
    <w:unhideWhenUsed/>
    <w:rsid w:val="00166221"/>
    <w:rPr>
      <w:color w:val="605E5C"/>
      <w:shd w:val="clear" w:color="auto" w:fill="E1DFDD"/>
    </w:rPr>
  </w:style>
  <w:style w:type="character" w:styleId="Emphasis">
    <w:name w:val="Emphasis"/>
    <w:basedOn w:val="DefaultParagraphFont"/>
    <w:uiPriority w:val="20"/>
    <w:qFormat/>
    <w:rsid w:val="00484621"/>
    <w:rPr>
      <w:i/>
      <w:iCs/>
    </w:rPr>
  </w:style>
  <w:style w:type="paragraph" w:styleId="Title">
    <w:name w:val="Title"/>
    <w:basedOn w:val="Normal"/>
    <w:next w:val="Normal"/>
    <w:link w:val="TitleChar"/>
    <w:uiPriority w:val="10"/>
    <w:qFormat/>
    <w:rsid w:val="001869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699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8699E"/>
    <w:rPr>
      <w:rFonts w:asciiTheme="majorHAnsi" w:eastAsiaTheme="majorEastAsia" w:hAnsiTheme="majorHAnsi" w:cstheme="majorBidi"/>
      <w:color w:val="2E74B5" w:themeColor="accent1" w:themeShade="BF"/>
      <w:sz w:val="26"/>
      <w:szCs w:val="26"/>
    </w:rPr>
  </w:style>
  <w:style w:type="character" w:customStyle="1" w:styleId="UnresolvedMention3">
    <w:name w:val="Unresolved Mention3"/>
    <w:basedOn w:val="DefaultParagraphFont"/>
    <w:uiPriority w:val="99"/>
    <w:semiHidden/>
    <w:unhideWhenUsed/>
    <w:rsid w:val="007F6D1B"/>
    <w:rPr>
      <w:color w:val="605E5C"/>
      <w:shd w:val="clear" w:color="auto" w:fill="E1DFDD"/>
    </w:rPr>
  </w:style>
  <w:style w:type="character" w:customStyle="1" w:styleId="UnresolvedMention4">
    <w:name w:val="Unresolved Mention4"/>
    <w:basedOn w:val="DefaultParagraphFont"/>
    <w:uiPriority w:val="99"/>
    <w:semiHidden/>
    <w:unhideWhenUsed/>
    <w:rsid w:val="00141543"/>
    <w:rPr>
      <w:color w:val="605E5C"/>
      <w:shd w:val="clear" w:color="auto" w:fill="E1DFDD"/>
    </w:rPr>
  </w:style>
  <w:style w:type="character" w:styleId="PlaceholderText">
    <w:name w:val="Placeholder Text"/>
    <w:basedOn w:val="DefaultParagraphFont"/>
    <w:uiPriority w:val="99"/>
    <w:semiHidden/>
    <w:rsid w:val="00D760F4"/>
    <w:rPr>
      <w:color w:val="666666"/>
    </w:rPr>
  </w:style>
  <w:style w:type="character" w:customStyle="1" w:styleId="anchor-text">
    <w:name w:val="anchor-text"/>
    <w:basedOn w:val="DefaultParagraphFont"/>
    <w:rsid w:val="0034511C"/>
  </w:style>
  <w:style w:type="character" w:styleId="FollowedHyperlink">
    <w:name w:val="FollowedHyperlink"/>
    <w:basedOn w:val="DefaultParagraphFont"/>
    <w:uiPriority w:val="99"/>
    <w:semiHidden/>
    <w:unhideWhenUsed/>
    <w:rsid w:val="000C33F6"/>
    <w:rPr>
      <w:color w:val="954F72" w:themeColor="followedHyperlink"/>
      <w:u w:val="single"/>
    </w:rPr>
  </w:style>
  <w:style w:type="character" w:customStyle="1" w:styleId="Heading3Char">
    <w:name w:val="Heading 3 Char"/>
    <w:basedOn w:val="DefaultParagraphFont"/>
    <w:link w:val="Heading3"/>
    <w:uiPriority w:val="9"/>
    <w:rsid w:val="00DF19AC"/>
    <w:rPr>
      <w:rFonts w:asciiTheme="majorHAnsi" w:eastAsiaTheme="majorEastAsia" w:hAnsiTheme="majorHAnsi" w:cstheme="majorBidi"/>
      <w:color w:val="1F4D78" w:themeColor="accent1" w:themeShade="7F"/>
      <w:sz w:val="24"/>
      <w:szCs w:val="24"/>
    </w:rPr>
  </w:style>
  <w:style w:type="character" w:customStyle="1" w:styleId="UnresolvedMention5">
    <w:name w:val="Unresolved Mention5"/>
    <w:basedOn w:val="DefaultParagraphFont"/>
    <w:uiPriority w:val="99"/>
    <w:semiHidden/>
    <w:unhideWhenUsed/>
    <w:rsid w:val="00B57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95491">
      <w:bodyDiv w:val="1"/>
      <w:marLeft w:val="0"/>
      <w:marRight w:val="0"/>
      <w:marTop w:val="0"/>
      <w:marBottom w:val="0"/>
      <w:divBdr>
        <w:top w:val="none" w:sz="0" w:space="0" w:color="auto"/>
        <w:left w:val="none" w:sz="0" w:space="0" w:color="auto"/>
        <w:bottom w:val="none" w:sz="0" w:space="0" w:color="auto"/>
        <w:right w:val="none" w:sz="0" w:space="0" w:color="auto"/>
      </w:divBdr>
    </w:div>
    <w:div w:id="249629921">
      <w:bodyDiv w:val="1"/>
      <w:marLeft w:val="0"/>
      <w:marRight w:val="0"/>
      <w:marTop w:val="0"/>
      <w:marBottom w:val="0"/>
      <w:divBdr>
        <w:top w:val="none" w:sz="0" w:space="0" w:color="auto"/>
        <w:left w:val="none" w:sz="0" w:space="0" w:color="auto"/>
        <w:bottom w:val="none" w:sz="0" w:space="0" w:color="auto"/>
        <w:right w:val="none" w:sz="0" w:space="0" w:color="auto"/>
      </w:divBdr>
    </w:div>
    <w:div w:id="304896779">
      <w:bodyDiv w:val="1"/>
      <w:marLeft w:val="0"/>
      <w:marRight w:val="0"/>
      <w:marTop w:val="0"/>
      <w:marBottom w:val="0"/>
      <w:divBdr>
        <w:top w:val="none" w:sz="0" w:space="0" w:color="auto"/>
        <w:left w:val="none" w:sz="0" w:space="0" w:color="auto"/>
        <w:bottom w:val="none" w:sz="0" w:space="0" w:color="auto"/>
        <w:right w:val="none" w:sz="0" w:space="0" w:color="auto"/>
      </w:divBdr>
    </w:div>
    <w:div w:id="308677564">
      <w:bodyDiv w:val="1"/>
      <w:marLeft w:val="0"/>
      <w:marRight w:val="0"/>
      <w:marTop w:val="0"/>
      <w:marBottom w:val="0"/>
      <w:divBdr>
        <w:top w:val="none" w:sz="0" w:space="0" w:color="auto"/>
        <w:left w:val="none" w:sz="0" w:space="0" w:color="auto"/>
        <w:bottom w:val="none" w:sz="0" w:space="0" w:color="auto"/>
        <w:right w:val="none" w:sz="0" w:space="0" w:color="auto"/>
      </w:divBdr>
    </w:div>
    <w:div w:id="491140254">
      <w:bodyDiv w:val="1"/>
      <w:marLeft w:val="0"/>
      <w:marRight w:val="0"/>
      <w:marTop w:val="0"/>
      <w:marBottom w:val="0"/>
      <w:divBdr>
        <w:top w:val="none" w:sz="0" w:space="0" w:color="auto"/>
        <w:left w:val="none" w:sz="0" w:space="0" w:color="auto"/>
        <w:bottom w:val="none" w:sz="0" w:space="0" w:color="auto"/>
        <w:right w:val="none" w:sz="0" w:space="0" w:color="auto"/>
      </w:divBdr>
    </w:div>
    <w:div w:id="608195331">
      <w:bodyDiv w:val="1"/>
      <w:marLeft w:val="0"/>
      <w:marRight w:val="0"/>
      <w:marTop w:val="0"/>
      <w:marBottom w:val="0"/>
      <w:divBdr>
        <w:top w:val="none" w:sz="0" w:space="0" w:color="auto"/>
        <w:left w:val="none" w:sz="0" w:space="0" w:color="auto"/>
        <w:bottom w:val="none" w:sz="0" w:space="0" w:color="auto"/>
        <w:right w:val="none" w:sz="0" w:space="0" w:color="auto"/>
      </w:divBdr>
    </w:div>
    <w:div w:id="644166671">
      <w:bodyDiv w:val="1"/>
      <w:marLeft w:val="0"/>
      <w:marRight w:val="0"/>
      <w:marTop w:val="0"/>
      <w:marBottom w:val="0"/>
      <w:divBdr>
        <w:top w:val="none" w:sz="0" w:space="0" w:color="auto"/>
        <w:left w:val="none" w:sz="0" w:space="0" w:color="auto"/>
        <w:bottom w:val="none" w:sz="0" w:space="0" w:color="auto"/>
        <w:right w:val="none" w:sz="0" w:space="0" w:color="auto"/>
      </w:divBdr>
    </w:div>
    <w:div w:id="1300378732">
      <w:bodyDiv w:val="1"/>
      <w:marLeft w:val="0"/>
      <w:marRight w:val="0"/>
      <w:marTop w:val="0"/>
      <w:marBottom w:val="0"/>
      <w:divBdr>
        <w:top w:val="none" w:sz="0" w:space="0" w:color="auto"/>
        <w:left w:val="none" w:sz="0" w:space="0" w:color="auto"/>
        <w:bottom w:val="none" w:sz="0" w:space="0" w:color="auto"/>
        <w:right w:val="none" w:sz="0" w:space="0" w:color="auto"/>
      </w:divBdr>
    </w:div>
    <w:div w:id="1304193287">
      <w:bodyDiv w:val="1"/>
      <w:marLeft w:val="0"/>
      <w:marRight w:val="0"/>
      <w:marTop w:val="0"/>
      <w:marBottom w:val="0"/>
      <w:divBdr>
        <w:top w:val="none" w:sz="0" w:space="0" w:color="auto"/>
        <w:left w:val="none" w:sz="0" w:space="0" w:color="auto"/>
        <w:bottom w:val="none" w:sz="0" w:space="0" w:color="auto"/>
        <w:right w:val="none" w:sz="0" w:space="0" w:color="auto"/>
      </w:divBdr>
    </w:div>
    <w:div w:id="1433238203">
      <w:bodyDiv w:val="1"/>
      <w:marLeft w:val="0"/>
      <w:marRight w:val="0"/>
      <w:marTop w:val="0"/>
      <w:marBottom w:val="0"/>
      <w:divBdr>
        <w:top w:val="none" w:sz="0" w:space="0" w:color="auto"/>
        <w:left w:val="none" w:sz="0" w:space="0" w:color="auto"/>
        <w:bottom w:val="none" w:sz="0" w:space="0" w:color="auto"/>
        <w:right w:val="none" w:sz="0" w:space="0" w:color="auto"/>
      </w:divBdr>
    </w:div>
    <w:div w:id="1529836468">
      <w:bodyDiv w:val="1"/>
      <w:marLeft w:val="0"/>
      <w:marRight w:val="0"/>
      <w:marTop w:val="0"/>
      <w:marBottom w:val="0"/>
      <w:divBdr>
        <w:top w:val="none" w:sz="0" w:space="0" w:color="auto"/>
        <w:left w:val="none" w:sz="0" w:space="0" w:color="auto"/>
        <w:bottom w:val="none" w:sz="0" w:space="0" w:color="auto"/>
        <w:right w:val="none" w:sz="0" w:space="0" w:color="auto"/>
      </w:divBdr>
    </w:div>
    <w:div w:id="1537353031">
      <w:bodyDiv w:val="1"/>
      <w:marLeft w:val="0"/>
      <w:marRight w:val="0"/>
      <w:marTop w:val="0"/>
      <w:marBottom w:val="0"/>
      <w:divBdr>
        <w:top w:val="none" w:sz="0" w:space="0" w:color="auto"/>
        <w:left w:val="none" w:sz="0" w:space="0" w:color="auto"/>
        <w:bottom w:val="none" w:sz="0" w:space="0" w:color="auto"/>
        <w:right w:val="none" w:sz="0" w:space="0" w:color="auto"/>
      </w:divBdr>
    </w:div>
    <w:div w:id="163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cid:ii_ltr5ym2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1CAC-7ACC-42C7-86C0-CD65FCA6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36527</Words>
  <Characters>207476</Characters>
  <Application>Microsoft Office Word</Application>
  <DocSecurity>0</DocSecurity>
  <Lines>3704</Lines>
  <Paragraphs>1173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242830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לטם גוטנייר</dc:creator>
  <cp:keywords/>
  <dc:description/>
  <cp:lastModifiedBy>Netta Vidavsky</cp:lastModifiedBy>
  <cp:revision>17</cp:revision>
  <cp:lastPrinted>2023-09-12T12:24:00Z</cp:lastPrinted>
  <dcterms:created xsi:type="dcterms:W3CDTF">2024-03-14T11:12:00Z</dcterms:created>
  <dcterms:modified xsi:type="dcterms:W3CDTF">2024-03-15T14:51:00Z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http://www.zotero.org/styles/acta-biomaterialia</vt:lpwstr>
  </property>
  <property fmtid="{D5CDD505-2E9C-101B-9397-08002B2CF9AE}" pid="3" name="Mendeley Recent Style Name 0_1">
    <vt:lpwstr>Acta Biomaterialia</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a7942a3d-9554-3656-8382-c14ed554d324</vt:lpwstr>
  </property>
  <property fmtid="{D5CDD505-2E9C-101B-9397-08002B2CF9AE}" pid="24" name="Mendeley Citation Style_1">
    <vt:lpwstr>http://www.zotero.org/styles/acta-biomaterialia</vt:lpwstr>
  </property>
  <property fmtid="{D5CDD505-2E9C-101B-9397-08002B2CF9AE}" pid="25" name="GrammarlyDocumentId">
    <vt:lpwstr>7d8f355546ef2e9134e404d02d8eb6a65c922212d98c850042d239d447bb78b9</vt:lpwstr>
  </property>
</Properties>
</file>