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69A9" w14:textId="05DF72C5" w:rsidR="00CD7986" w:rsidRDefault="00CD7986" w:rsidP="00CD7986">
      <w:pPr>
        <w:pStyle w:val="Heading2"/>
        <w:spacing w:before="100" w:beforeAutospacing="1" w:after="100" w:afterAutospacing="1"/>
        <w:jc w:val="both"/>
        <w:rPr>
          <w:rFonts w:asciiTheme="majorBidi" w:hAnsiTheme="majorBidi"/>
          <w:b/>
          <w:bCs/>
          <w:sz w:val="28"/>
          <w:szCs w:val="28"/>
        </w:rPr>
      </w:pPr>
      <w:bookmarkStart w:id="0" w:name="_Toc161578507"/>
      <w:r w:rsidRPr="00E15221">
        <w:rPr>
          <w:rFonts w:asciiTheme="majorBidi" w:hAnsiTheme="majorBidi"/>
          <w:b/>
          <w:bCs/>
          <w:sz w:val="28"/>
          <w:szCs w:val="28"/>
        </w:rPr>
        <w:t xml:space="preserve">Title: </w:t>
      </w:r>
      <w:r w:rsidR="00244341">
        <w:rPr>
          <w:rFonts w:asciiTheme="majorBidi" w:hAnsiTheme="majorBidi"/>
          <w:b/>
          <w:bCs/>
          <w:sz w:val="28"/>
          <w:szCs w:val="28"/>
        </w:rPr>
        <w:t>Can the Public be Trusted</w:t>
      </w:r>
      <w:r w:rsidRPr="00E15221">
        <w:rPr>
          <w:rFonts w:asciiTheme="majorBidi" w:hAnsiTheme="majorBidi"/>
          <w:b/>
          <w:bCs/>
          <w:sz w:val="28"/>
          <w:szCs w:val="28"/>
        </w:rPr>
        <w:t>?</w:t>
      </w:r>
      <w:bookmarkEnd w:id="0"/>
    </w:p>
    <w:p w14:paraId="264C4A71" w14:textId="718F553C" w:rsidR="00CD7986" w:rsidRDefault="00CD7986" w:rsidP="00CD7986">
      <w:pPr>
        <w:spacing w:before="100" w:beforeAutospacing="1" w:after="100" w:afterAutospacing="1"/>
        <w:jc w:val="both"/>
        <w:rPr>
          <w:rFonts w:asciiTheme="majorBidi" w:hAnsiTheme="majorBidi" w:cstheme="majorBidi"/>
          <w:sz w:val="24"/>
          <w:szCs w:val="24"/>
        </w:rPr>
      </w:pPr>
      <w:r w:rsidRPr="00E445C8">
        <w:rPr>
          <w:rFonts w:asciiTheme="majorBidi" w:hAnsiTheme="majorBidi" w:cstheme="majorBidi"/>
          <w:b/>
          <w:bCs/>
          <w:sz w:val="24"/>
          <w:szCs w:val="24"/>
        </w:rPr>
        <w:t>Subtitle</w:t>
      </w:r>
      <w:r w:rsidRPr="00E445C8">
        <w:rPr>
          <w:rFonts w:asciiTheme="majorBidi" w:hAnsiTheme="majorBidi" w:cstheme="majorBidi"/>
          <w:sz w:val="24"/>
          <w:szCs w:val="24"/>
        </w:rPr>
        <w:t xml:space="preserve">: </w:t>
      </w:r>
      <w:r w:rsidR="00C4333D">
        <w:rPr>
          <w:rFonts w:asciiTheme="majorBidi" w:hAnsiTheme="majorBidi" w:cstheme="majorBidi"/>
          <w:sz w:val="24"/>
          <w:szCs w:val="24"/>
        </w:rPr>
        <w:t xml:space="preserve">On the promise and perils of </w:t>
      </w:r>
      <w:r w:rsidRPr="002235BD">
        <w:rPr>
          <w:rFonts w:asciiTheme="majorBidi" w:hAnsiTheme="majorBidi" w:cstheme="majorBidi"/>
          <w:sz w:val="24"/>
          <w:szCs w:val="24"/>
        </w:rPr>
        <w:t xml:space="preserve">Voluntarily </w:t>
      </w:r>
      <w:r w:rsidR="005E6151">
        <w:rPr>
          <w:rFonts w:asciiTheme="majorBidi" w:hAnsiTheme="majorBidi" w:cstheme="majorBidi"/>
          <w:sz w:val="24"/>
          <w:szCs w:val="24"/>
        </w:rPr>
        <w:t>Compliance</w:t>
      </w:r>
    </w:p>
    <w:p w14:paraId="7AA0655A"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65D21AE"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DE2174E"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15A4F85C"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4D89FFC"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57E7A16"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01E7B6D"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C71F1D8"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A57BEDC"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1342047F"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6B3384D"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0483DCB6"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1B6D376"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DDB292F"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0BC7EFAE"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1042A694"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7FD305D"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7354D41"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2E19EEA" w14:textId="0A92ECE0" w:rsidR="00CD7986" w:rsidRDefault="00CD7986" w:rsidP="00CD7986">
      <w:pPr>
        <w:spacing w:before="100" w:beforeAutospacing="1" w:after="100" w:afterAutospacing="1"/>
        <w:jc w:val="both"/>
        <w:rPr>
          <w:rFonts w:asciiTheme="majorBidi" w:hAnsiTheme="majorBidi" w:cstheme="majorBidi"/>
          <w:sz w:val="24"/>
          <w:szCs w:val="24"/>
          <w:rtl/>
        </w:rPr>
      </w:pPr>
    </w:p>
    <w:p w14:paraId="4195F9BC" w14:textId="77777777" w:rsidR="00BA6C5B" w:rsidRPr="007E53F1" w:rsidRDefault="00BA6C5B" w:rsidP="00CD7986">
      <w:pPr>
        <w:spacing w:before="100" w:beforeAutospacing="1" w:after="100" w:afterAutospacing="1"/>
        <w:jc w:val="both"/>
        <w:rPr>
          <w:rFonts w:asciiTheme="majorBidi" w:hAnsiTheme="majorBidi" w:cstheme="majorBidi"/>
          <w:sz w:val="24"/>
          <w:szCs w:val="24"/>
        </w:rPr>
      </w:pPr>
    </w:p>
    <w:p w14:paraId="50214162" w14:textId="77777777" w:rsidR="00CD7986" w:rsidRDefault="00CD7986" w:rsidP="00CD7986">
      <w:pPr>
        <w:spacing w:before="100" w:beforeAutospacing="1" w:after="100" w:afterAutospacing="1"/>
        <w:jc w:val="both"/>
        <w:rPr>
          <w:rFonts w:asciiTheme="majorBidi" w:hAnsiTheme="majorBidi" w:cstheme="majorBidi"/>
          <w:sz w:val="24"/>
          <w:szCs w:val="24"/>
        </w:rPr>
      </w:pPr>
    </w:p>
    <w:sdt>
      <w:sdtPr>
        <w:rPr>
          <w:rFonts w:asciiTheme="minorHAnsi" w:eastAsiaTheme="minorHAnsi" w:hAnsiTheme="minorHAnsi" w:cstheme="minorBidi"/>
          <w:color w:val="auto"/>
          <w:sz w:val="22"/>
          <w:szCs w:val="22"/>
          <w:lang w:bidi="he-IL"/>
        </w:rPr>
        <w:id w:val="-565878137"/>
        <w:docPartObj>
          <w:docPartGallery w:val="Table of Contents"/>
          <w:docPartUnique/>
        </w:docPartObj>
      </w:sdtPr>
      <w:sdtEndPr>
        <w:rPr>
          <w:b/>
          <w:bCs/>
          <w:noProof/>
        </w:rPr>
      </w:sdtEndPr>
      <w:sdtContent>
        <w:p w14:paraId="2870AC2C" w14:textId="45808961" w:rsidR="00A30D53" w:rsidRDefault="00A30D53">
          <w:pPr>
            <w:pStyle w:val="TOCHeading"/>
          </w:pPr>
          <w:r>
            <w:t>Contents</w:t>
          </w:r>
        </w:p>
        <w:p w14:paraId="360B902F" w14:textId="48173CBB" w:rsidR="004E7114" w:rsidRDefault="00A30D53">
          <w:pPr>
            <w:pStyle w:val="TOC2"/>
            <w:rPr>
              <w:rFonts w:eastAsiaTheme="minorEastAsia"/>
              <w:noProof/>
              <w:kern w:val="2"/>
              <w:sz w:val="24"/>
              <w:szCs w:val="24"/>
              <w:lang w:val="en-IL" w:eastAsia="en-IL"/>
              <w14:ligatures w14:val="standardContextual"/>
            </w:rPr>
          </w:pPr>
          <w:r>
            <w:fldChar w:fldCharType="begin"/>
          </w:r>
          <w:r>
            <w:instrText xml:space="preserve"> TOC \o "1-3" \h \z \u </w:instrText>
          </w:r>
          <w:r>
            <w:fldChar w:fldCharType="separate"/>
          </w:r>
          <w:hyperlink w:anchor="_Toc161578507" w:history="1">
            <w:r w:rsidR="004E7114" w:rsidRPr="00933B19">
              <w:rPr>
                <w:rStyle w:val="Hyperlink"/>
                <w:rFonts w:asciiTheme="majorBidi" w:hAnsiTheme="majorBidi"/>
                <w:b/>
                <w:bCs/>
                <w:noProof/>
              </w:rPr>
              <w:t>Title: Can the Public be Trusted?</w:t>
            </w:r>
            <w:r w:rsidR="004E7114">
              <w:rPr>
                <w:noProof/>
                <w:webHidden/>
              </w:rPr>
              <w:tab/>
            </w:r>
            <w:r w:rsidR="004E7114">
              <w:rPr>
                <w:noProof/>
                <w:webHidden/>
              </w:rPr>
              <w:fldChar w:fldCharType="begin"/>
            </w:r>
            <w:r w:rsidR="004E7114">
              <w:rPr>
                <w:noProof/>
                <w:webHidden/>
              </w:rPr>
              <w:instrText xml:space="preserve"> PAGEREF _Toc161578507 \h </w:instrText>
            </w:r>
            <w:r w:rsidR="004E7114">
              <w:rPr>
                <w:noProof/>
                <w:webHidden/>
              </w:rPr>
            </w:r>
            <w:r w:rsidR="004E7114">
              <w:rPr>
                <w:noProof/>
                <w:webHidden/>
              </w:rPr>
              <w:fldChar w:fldCharType="separate"/>
            </w:r>
            <w:r w:rsidR="004E7114">
              <w:rPr>
                <w:noProof/>
                <w:webHidden/>
              </w:rPr>
              <w:t>1</w:t>
            </w:r>
            <w:r w:rsidR="004E7114">
              <w:rPr>
                <w:noProof/>
                <w:webHidden/>
              </w:rPr>
              <w:fldChar w:fldCharType="end"/>
            </w:r>
          </w:hyperlink>
        </w:p>
        <w:p w14:paraId="74A71CDC" w14:textId="21D35945" w:rsidR="004E7114" w:rsidRDefault="00000000">
          <w:pPr>
            <w:pStyle w:val="TOC2"/>
            <w:rPr>
              <w:rFonts w:eastAsiaTheme="minorEastAsia"/>
              <w:noProof/>
              <w:kern w:val="2"/>
              <w:sz w:val="24"/>
              <w:szCs w:val="24"/>
              <w:lang w:val="en-IL" w:eastAsia="en-IL"/>
              <w14:ligatures w14:val="standardContextual"/>
            </w:rPr>
          </w:pPr>
          <w:hyperlink w:anchor="_Toc161578508" w:history="1">
            <w:r w:rsidR="004E7114" w:rsidRPr="00933B19">
              <w:rPr>
                <w:rStyle w:val="Hyperlink"/>
                <w:rFonts w:asciiTheme="majorBidi" w:hAnsiTheme="majorBidi"/>
                <w:b/>
                <w:bCs/>
                <w:noProof/>
              </w:rPr>
              <w:t>Introduction</w:t>
            </w:r>
            <w:r w:rsidR="004E7114">
              <w:rPr>
                <w:noProof/>
                <w:webHidden/>
              </w:rPr>
              <w:tab/>
            </w:r>
            <w:r w:rsidR="004E7114">
              <w:rPr>
                <w:noProof/>
                <w:webHidden/>
              </w:rPr>
              <w:fldChar w:fldCharType="begin"/>
            </w:r>
            <w:r w:rsidR="004E7114">
              <w:rPr>
                <w:noProof/>
                <w:webHidden/>
              </w:rPr>
              <w:instrText xml:space="preserve"> PAGEREF _Toc161578508 \h </w:instrText>
            </w:r>
            <w:r w:rsidR="004E7114">
              <w:rPr>
                <w:noProof/>
                <w:webHidden/>
              </w:rPr>
            </w:r>
            <w:r w:rsidR="004E7114">
              <w:rPr>
                <w:noProof/>
                <w:webHidden/>
              </w:rPr>
              <w:fldChar w:fldCharType="separate"/>
            </w:r>
            <w:r w:rsidR="004E7114">
              <w:rPr>
                <w:noProof/>
                <w:webHidden/>
              </w:rPr>
              <w:t>4</w:t>
            </w:r>
            <w:r w:rsidR="004E7114">
              <w:rPr>
                <w:noProof/>
                <w:webHidden/>
              </w:rPr>
              <w:fldChar w:fldCharType="end"/>
            </w:r>
          </w:hyperlink>
        </w:p>
        <w:p w14:paraId="4A0B1031" w14:textId="41FB4295" w:rsidR="004E7114" w:rsidRDefault="00000000">
          <w:pPr>
            <w:pStyle w:val="TOC2"/>
            <w:rPr>
              <w:rFonts w:eastAsiaTheme="minorEastAsia"/>
              <w:noProof/>
              <w:kern w:val="2"/>
              <w:sz w:val="24"/>
              <w:szCs w:val="24"/>
              <w:lang w:val="en-IL" w:eastAsia="en-IL"/>
              <w14:ligatures w14:val="standardContextual"/>
            </w:rPr>
          </w:pPr>
          <w:hyperlink w:anchor="_Toc161578509" w:history="1">
            <w:r w:rsidR="004E7114" w:rsidRPr="00933B19">
              <w:rPr>
                <w:rStyle w:val="Hyperlink"/>
                <w:noProof/>
              </w:rPr>
              <w:t>Reversing the trust paradigm</w:t>
            </w:r>
            <w:r w:rsidR="004E7114">
              <w:rPr>
                <w:noProof/>
                <w:webHidden/>
              </w:rPr>
              <w:tab/>
            </w:r>
            <w:r w:rsidR="004E7114">
              <w:rPr>
                <w:noProof/>
                <w:webHidden/>
              </w:rPr>
              <w:fldChar w:fldCharType="begin"/>
            </w:r>
            <w:r w:rsidR="004E7114">
              <w:rPr>
                <w:noProof/>
                <w:webHidden/>
              </w:rPr>
              <w:instrText xml:space="preserve"> PAGEREF _Toc161578509 \h </w:instrText>
            </w:r>
            <w:r w:rsidR="004E7114">
              <w:rPr>
                <w:noProof/>
                <w:webHidden/>
              </w:rPr>
            </w:r>
            <w:r w:rsidR="004E7114">
              <w:rPr>
                <w:noProof/>
                <w:webHidden/>
              </w:rPr>
              <w:fldChar w:fldCharType="separate"/>
            </w:r>
            <w:r w:rsidR="004E7114">
              <w:rPr>
                <w:noProof/>
                <w:webHidden/>
              </w:rPr>
              <w:t>7</w:t>
            </w:r>
            <w:r w:rsidR="004E7114">
              <w:rPr>
                <w:noProof/>
                <w:webHidden/>
              </w:rPr>
              <w:fldChar w:fldCharType="end"/>
            </w:r>
          </w:hyperlink>
        </w:p>
        <w:p w14:paraId="257913C6" w14:textId="0427B65B" w:rsidR="004E7114" w:rsidRDefault="00000000">
          <w:pPr>
            <w:pStyle w:val="TOC2"/>
            <w:rPr>
              <w:rFonts w:eastAsiaTheme="minorEastAsia"/>
              <w:noProof/>
              <w:kern w:val="2"/>
              <w:sz w:val="24"/>
              <w:szCs w:val="24"/>
              <w:lang w:val="en-IL" w:eastAsia="en-IL"/>
              <w14:ligatures w14:val="standardContextual"/>
            </w:rPr>
          </w:pPr>
          <w:hyperlink w:anchor="_Toc161578510" w:history="1">
            <w:r w:rsidR="004E7114" w:rsidRPr="00933B19">
              <w:rPr>
                <w:rStyle w:val="Hyperlink"/>
                <w:noProof/>
              </w:rPr>
              <w:t>Current research on voluntary compliance</w:t>
            </w:r>
            <w:r w:rsidR="004E7114">
              <w:rPr>
                <w:noProof/>
                <w:webHidden/>
              </w:rPr>
              <w:tab/>
            </w:r>
            <w:r w:rsidR="004E7114">
              <w:rPr>
                <w:noProof/>
                <w:webHidden/>
              </w:rPr>
              <w:fldChar w:fldCharType="begin"/>
            </w:r>
            <w:r w:rsidR="004E7114">
              <w:rPr>
                <w:noProof/>
                <w:webHidden/>
              </w:rPr>
              <w:instrText xml:space="preserve"> PAGEREF _Toc161578510 \h </w:instrText>
            </w:r>
            <w:r w:rsidR="004E7114">
              <w:rPr>
                <w:noProof/>
                <w:webHidden/>
              </w:rPr>
            </w:r>
            <w:r w:rsidR="004E7114">
              <w:rPr>
                <w:noProof/>
                <w:webHidden/>
              </w:rPr>
              <w:fldChar w:fldCharType="separate"/>
            </w:r>
            <w:r w:rsidR="004E7114">
              <w:rPr>
                <w:noProof/>
                <w:webHidden/>
              </w:rPr>
              <w:t>8</w:t>
            </w:r>
            <w:r w:rsidR="004E7114">
              <w:rPr>
                <w:noProof/>
                <w:webHidden/>
              </w:rPr>
              <w:fldChar w:fldCharType="end"/>
            </w:r>
          </w:hyperlink>
        </w:p>
        <w:p w14:paraId="30F862F4" w14:textId="22EB1339" w:rsidR="004E7114" w:rsidRDefault="00000000">
          <w:pPr>
            <w:pStyle w:val="TOC2"/>
            <w:rPr>
              <w:rFonts w:eastAsiaTheme="minorEastAsia"/>
              <w:noProof/>
              <w:kern w:val="2"/>
              <w:sz w:val="24"/>
              <w:szCs w:val="24"/>
              <w:lang w:val="en-IL" w:eastAsia="en-IL"/>
              <w14:ligatures w14:val="standardContextual"/>
            </w:rPr>
          </w:pPr>
          <w:hyperlink w:anchor="_Toc161578511" w:history="1">
            <w:r w:rsidR="004E7114" w:rsidRPr="00933B19">
              <w:rPr>
                <w:rStyle w:val="Hyperlink"/>
                <w:noProof/>
              </w:rPr>
              <w:t>Regulation and Trust</w:t>
            </w:r>
            <w:r w:rsidR="004E7114">
              <w:rPr>
                <w:noProof/>
                <w:webHidden/>
              </w:rPr>
              <w:tab/>
            </w:r>
            <w:r w:rsidR="004E7114">
              <w:rPr>
                <w:noProof/>
                <w:webHidden/>
              </w:rPr>
              <w:fldChar w:fldCharType="begin"/>
            </w:r>
            <w:r w:rsidR="004E7114">
              <w:rPr>
                <w:noProof/>
                <w:webHidden/>
              </w:rPr>
              <w:instrText xml:space="preserve"> PAGEREF _Toc161578511 \h </w:instrText>
            </w:r>
            <w:r w:rsidR="004E7114">
              <w:rPr>
                <w:noProof/>
                <w:webHidden/>
              </w:rPr>
            </w:r>
            <w:r w:rsidR="004E7114">
              <w:rPr>
                <w:noProof/>
                <w:webHidden/>
              </w:rPr>
              <w:fldChar w:fldCharType="separate"/>
            </w:r>
            <w:r w:rsidR="004E7114">
              <w:rPr>
                <w:noProof/>
                <w:webHidden/>
              </w:rPr>
              <w:t>9</w:t>
            </w:r>
            <w:r w:rsidR="004E7114">
              <w:rPr>
                <w:noProof/>
                <w:webHidden/>
              </w:rPr>
              <w:fldChar w:fldCharType="end"/>
            </w:r>
          </w:hyperlink>
        </w:p>
        <w:p w14:paraId="43F9042E" w14:textId="3C45820F" w:rsidR="004E7114" w:rsidRDefault="00000000">
          <w:pPr>
            <w:pStyle w:val="TOC2"/>
            <w:rPr>
              <w:rFonts w:eastAsiaTheme="minorEastAsia"/>
              <w:noProof/>
              <w:kern w:val="2"/>
              <w:sz w:val="24"/>
              <w:szCs w:val="24"/>
              <w:lang w:val="en-IL" w:eastAsia="en-IL"/>
              <w14:ligatures w14:val="standardContextual"/>
            </w:rPr>
          </w:pPr>
          <w:hyperlink w:anchor="_Toc161578512" w:history="1">
            <w:r w:rsidR="004E7114" w:rsidRPr="00933B19">
              <w:rPr>
                <w:rStyle w:val="Hyperlink"/>
                <w:noProof/>
              </w:rPr>
              <w:t>Intrinsic compliance motivations</w:t>
            </w:r>
            <w:r w:rsidR="004E7114">
              <w:rPr>
                <w:noProof/>
                <w:webHidden/>
              </w:rPr>
              <w:tab/>
            </w:r>
            <w:r w:rsidR="004E7114">
              <w:rPr>
                <w:noProof/>
                <w:webHidden/>
              </w:rPr>
              <w:fldChar w:fldCharType="begin"/>
            </w:r>
            <w:r w:rsidR="004E7114">
              <w:rPr>
                <w:noProof/>
                <w:webHidden/>
              </w:rPr>
              <w:instrText xml:space="preserve"> PAGEREF _Toc161578512 \h </w:instrText>
            </w:r>
            <w:r w:rsidR="004E7114">
              <w:rPr>
                <w:noProof/>
                <w:webHidden/>
              </w:rPr>
            </w:r>
            <w:r w:rsidR="004E7114">
              <w:rPr>
                <w:noProof/>
                <w:webHidden/>
              </w:rPr>
              <w:fldChar w:fldCharType="separate"/>
            </w:r>
            <w:r w:rsidR="004E7114">
              <w:rPr>
                <w:noProof/>
                <w:webHidden/>
              </w:rPr>
              <w:t>10</w:t>
            </w:r>
            <w:r w:rsidR="004E7114">
              <w:rPr>
                <w:noProof/>
                <w:webHidden/>
              </w:rPr>
              <w:fldChar w:fldCharType="end"/>
            </w:r>
          </w:hyperlink>
        </w:p>
        <w:p w14:paraId="432234DF" w14:textId="219CC856" w:rsidR="004E7114" w:rsidRDefault="00000000">
          <w:pPr>
            <w:pStyle w:val="TOC2"/>
            <w:rPr>
              <w:rFonts w:eastAsiaTheme="minorEastAsia"/>
              <w:noProof/>
              <w:kern w:val="2"/>
              <w:sz w:val="24"/>
              <w:szCs w:val="24"/>
              <w:lang w:val="en-IL" w:eastAsia="en-IL"/>
              <w14:ligatures w14:val="standardContextual"/>
            </w:rPr>
          </w:pPr>
          <w:hyperlink w:anchor="_Toc161578513" w:history="1">
            <w:r w:rsidR="004E7114" w:rsidRPr="00933B19">
              <w:rPr>
                <w:rStyle w:val="Hyperlink"/>
                <w:noProof/>
              </w:rPr>
              <w:t>Voluntary compliance vs. Honesty</w:t>
            </w:r>
            <w:r w:rsidR="004E7114">
              <w:rPr>
                <w:noProof/>
                <w:webHidden/>
              </w:rPr>
              <w:tab/>
            </w:r>
            <w:r w:rsidR="004E7114">
              <w:rPr>
                <w:noProof/>
                <w:webHidden/>
              </w:rPr>
              <w:fldChar w:fldCharType="begin"/>
            </w:r>
            <w:r w:rsidR="004E7114">
              <w:rPr>
                <w:noProof/>
                <w:webHidden/>
              </w:rPr>
              <w:instrText xml:space="preserve"> PAGEREF _Toc161578513 \h </w:instrText>
            </w:r>
            <w:r w:rsidR="004E7114">
              <w:rPr>
                <w:noProof/>
                <w:webHidden/>
              </w:rPr>
            </w:r>
            <w:r w:rsidR="004E7114">
              <w:rPr>
                <w:noProof/>
                <w:webHidden/>
              </w:rPr>
              <w:fldChar w:fldCharType="separate"/>
            </w:r>
            <w:r w:rsidR="004E7114">
              <w:rPr>
                <w:noProof/>
                <w:webHidden/>
              </w:rPr>
              <w:t>13</w:t>
            </w:r>
            <w:r w:rsidR="004E7114">
              <w:rPr>
                <w:noProof/>
                <w:webHidden/>
              </w:rPr>
              <w:fldChar w:fldCharType="end"/>
            </w:r>
          </w:hyperlink>
        </w:p>
        <w:p w14:paraId="125338E3" w14:textId="1F9C541D" w:rsidR="004E7114" w:rsidRDefault="00000000">
          <w:pPr>
            <w:pStyle w:val="TOC2"/>
            <w:rPr>
              <w:rFonts w:eastAsiaTheme="minorEastAsia"/>
              <w:noProof/>
              <w:kern w:val="2"/>
              <w:sz w:val="24"/>
              <w:szCs w:val="24"/>
              <w:lang w:val="en-IL" w:eastAsia="en-IL"/>
              <w14:ligatures w14:val="standardContextual"/>
            </w:rPr>
          </w:pPr>
          <w:hyperlink w:anchor="_Toc161578514" w:history="1">
            <w:r w:rsidR="004E7114" w:rsidRPr="00933B19">
              <w:rPr>
                <w:rStyle w:val="Hyperlink"/>
                <w:rFonts w:asciiTheme="majorBidi" w:hAnsiTheme="majorBidi"/>
                <w:noProof/>
              </w:rPr>
              <w:t xml:space="preserve">Between Honesty and Compliance </w:t>
            </w:r>
            <w:r w:rsidR="004E7114">
              <w:rPr>
                <w:noProof/>
                <w:webHidden/>
              </w:rPr>
              <w:tab/>
            </w:r>
            <w:r w:rsidR="004E7114">
              <w:rPr>
                <w:noProof/>
                <w:webHidden/>
              </w:rPr>
              <w:fldChar w:fldCharType="begin"/>
            </w:r>
            <w:r w:rsidR="004E7114">
              <w:rPr>
                <w:noProof/>
                <w:webHidden/>
              </w:rPr>
              <w:instrText xml:space="preserve"> PAGEREF _Toc161578514 \h </w:instrText>
            </w:r>
            <w:r w:rsidR="004E7114">
              <w:rPr>
                <w:noProof/>
                <w:webHidden/>
              </w:rPr>
            </w:r>
            <w:r w:rsidR="004E7114">
              <w:rPr>
                <w:noProof/>
                <w:webHidden/>
              </w:rPr>
              <w:fldChar w:fldCharType="separate"/>
            </w:r>
            <w:r w:rsidR="004E7114">
              <w:rPr>
                <w:noProof/>
                <w:webHidden/>
              </w:rPr>
              <w:t>14</w:t>
            </w:r>
            <w:r w:rsidR="004E7114">
              <w:rPr>
                <w:noProof/>
                <w:webHidden/>
              </w:rPr>
              <w:fldChar w:fldCharType="end"/>
            </w:r>
          </w:hyperlink>
        </w:p>
        <w:p w14:paraId="1DBA2932" w14:textId="272C0CEF" w:rsidR="004E7114" w:rsidRDefault="00000000">
          <w:pPr>
            <w:pStyle w:val="TOC2"/>
            <w:rPr>
              <w:rFonts w:eastAsiaTheme="minorEastAsia"/>
              <w:noProof/>
              <w:kern w:val="2"/>
              <w:sz w:val="24"/>
              <w:szCs w:val="24"/>
              <w:lang w:val="en-IL" w:eastAsia="en-IL"/>
              <w14:ligatures w14:val="standardContextual"/>
            </w:rPr>
          </w:pPr>
          <w:hyperlink w:anchor="_Toc161578515" w:history="1">
            <w:r w:rsidR="004E7114" w:rsidRPr="00933B19">
              <w:rPr>
                <w:rStyle w:val="Hyperlink"/>
                <w:rFonts w:asciiTheme="majorBidi" w:hAnsiTheme="majorBidi"/>
                <w:noProof/>
              </w:rPr>
              <w:t>How many cooperators do we need?</w:t>
            </w:r>
            <w:r w:rsidR="004E7114">
              <w:rPr>
                <w:noProof/>
                <w:webHidden/>
              </w:rPr>
              <w:tab/>
            </w:r>
            <w:r w:rsidR="004E7114">
              <w:rPr>
                <w:noProof/>
                <w:webHidden/>
              </w:rPr>
              <w:fldChar w:fldCharType="begin"/>
            </w:r>
            <w:r w:rsidR="004E7114">
              <w:rPr>
                <w:noProof/>
                <w:webHidden/>
              </w:rPr>
              <w:instrText xml:space="preserve"> PAGEREF _Toc161578515 \h </w:instrText>
            </w:r>
            <w:r w:rsidR="004E7114">
              <w:rPr>
                <w:noProof/>
                <w:webHidden/>
              </w:rPr>
            </w:r>
            <w:r w:rsidR="004E7114">
              <w:rPr>
                <w:noProof/>
                <w:webHidden/>
              </w:rPr>
              <w:fldChar w:fldCharType="separate"/>
            </w:r>
            <w:r w:rsidR="004E7114">
              <w:rPr>
                <w:noProof/>
                <w:webHidden/>
              </w:rPr>
              <w:t>14</w:t>
            </w:r>
            <w:r w:rsidR="004E7114">
              <w:rPr>
                <w:noProof/>
                <w:webHidden/>
              </w:rPr>
              <w:fldChar w:fldCharType="end"/>
            </w:r>
          </w:hyperlink>
        </w:p>
        <w:p w14:paraId="09CB16A5" w14:textId="73573ECD" w:rsidR="004E7114" w:rsidRDefault="00000000">
          <w:pPr>
            <w:pStyle w:val="TOC2"/>
            <w:rPr>
              <w:rFonts w:eastAsiaTheme="minorEastAsia"/>
              <w:noProof/>
              <w:kern w:val="2"/>
              <w:sz w:val="24"/>
              <w:szCs w:val="24"/>
              <w:lang w:val="en-IL" w:eastAsia="en-IL"/>
              <w14:ligatures w14:val="standardContextual"/>
            </w:rPr>
          </w:pPr>
          <w:hyperlink w:anchor="_Toc161578516" w:history="1">
            <w:r w:rsidR="004E7114" w:rsidRPr="00933B19">
              <w:rPr>
                <w:rStyle w:val="Hyperlink"/>
                <w:noProof/>
              </w:rPr>
              <w:t>Voluntary Compliance without Law?</w:t>
            </w:r>
            <w:r w:rsidR="004E7114">
              <w:rPr>
                <w:noProof/>
                <w:webHidden/>
              </w:rPr>
              <w:tab/>
            </w:r>
            <w:r w:rsidR="004E7114">
              <w:rPr>
                <w:noProof/>
                <w:webHidden/>
              </w:rPr>
              <w:fldChar w:fldCharType="begin"/>
            </w:r>
            <w:r w:rsidR="004E7114">
              <w:rPr>
                <w:noProof/>
                <w:webHidden/>
              </w:rPr>
              <w:instrText xml:space="preserve"> PAGEREF _Toc161578516 \h </w:instrText>
            </w:r>
            <w:r w:rsidR="004E7114">
              <w:rPr>
                <w:noProof/>
                <w:webHidden/>
              </w:rPr>
            </w:r>
            <w:r w:rsidR="004E7114">
              <w:rPr>
                <w:noProof/>
                <w:webHidden/>
              </w:rPr>
              <w:fldChar w:fldCharType="separate"/>
            </w:r>
            <w:r w:rsidR="004E7114">
              <w:rPr>
                <w:noProof/>
                <w:webHidden/>
              </w:rPr>
              <w:t>16</w:t>
            </w:r>
            <w:r w:rsidR="004E7114">
              <w:rPr>
                <w:noProof/>
                <w:webHidden/>
              </w:rPr>
              <w:fldChar w:fldCharType="end"/>
            </w:r>
          </w:hyperlink>
        </w:p>
        <w:p w14:paraId="4F306340" w14:textId="13D48ED8" w:rsidR="004E7114" w:rsidRDefault="00000000">
          <w:pPr>
            <w:pStyle w:val="TOC2"/>
            <w:rPr>
              <w:rFonts w:eastAsiaTheme="minorEastAsia"/>
              <w:noProof/>
              <w:kern w:val="2"/>
              <w:sz w:val="24"/>
              <w:szCs w:val="24"/>
              <w:lang w:val="en-IL" w:eastAsia="en-IL"/>
              <w14:ligatures w14:val="standardContextual"/>
            </w:rPr>
          </w:pPr>
          <w:hyperlink w:anchor="_Toc161578517" w:history="1">
            <w:r w:rsidR="004E7114" w:rsidRPr="00933B19">
              <w:rPr>
                <w:rStyle w:val="Hyperlink"/>
                <w:noProof/>
              </w:rPr>
              <w:t>Behavioral Public Policy and Voluntary Compliance</w:t>
            </w:r>
            <w:r w:rsidR="004E7114">
              <w:rPr>
                <w:noProof/>
                <w:webHidden/>
              </w:rPr>
              <w:tab/>
            </w:r>
            <w:r w:rsidR="004E7114">
              <w:rPr>
                <w:noProof/>
                <w:webHidden/>
              </w:rPr>
              <w:fldChar w:fldCharType="begin"/>
            </w:r>
            <w:r w:rsidR="004E7114">
              <w:rPr>
                <w:noProof/>
                <w:webHidden/>
              </w:rPr>
              <w:instrText xml:space="preserve"> PAGEREF _Toc161578517 \h </w:instrText>
            </w:r>
            <w:r w:rsidR="004E7114">
              <w:rPr>
                <w:noProof/>
                <w:webHidden/>
              </w:rPr>
            </w:r>
            <w:r w:rsidR="004E7114">
              <w:rPr>
                <w:noProof/>
                <w:webHidden/>
              </w:rPr>
              <w:fldChar w:fldCharType="separate"/>
            </w:r>
            <w:r w:rsidR="004E7114">
              <w:rPr>
                <w:noProof/>
                <w:webHidden/>
              </w:rPr>
              <w:t>18</w:t>
            </w:r>
            <w:r w:rsidR="004E7114">
              <w:rPr>
                <w:noProof/>
                <w:webHidden/>
              </w:rPr>
              <w:fldChar w:fldCharType="end"/>
            </w:r>
          </w:hyperlink>
        </w:p>
        <w:p w14:paraId="0E5C67A5" w14:textId="6A70AE9E" w:rsidR="004E7114" w:rsidRDefault="00000000">
          <w:pPr>
            <w:pStyle w:val="TOC2"/>
            <w:rPr>
              <w:rFonts w:eastAsiaTheme="minorEastAsia"/>
              <w:noProof/>
              <w:kern w:val="2"/>
              <w:sz w:val="24"/>
              <w:szCs w:val="24"/>
              <w:lang w:val="en-IL" w:eastAsia="en-IL"/>
              <w14:ligatures w14:val="standardContextual"/>
            </w:rPr>
          </w:pPr>
          <w:hyperlink w:anchor="_Toc161578518" w:history="1">
            <w:r w:rsidR="004E7114" w:rsidRPr="00933B19">
              <w:rPr>
                <w:rStyle w:val="Hyperlink"/>
                <w:noProof/>
              </w:rPr>
              <w:t>The importance of culture in Voluntary Compliance</w:t>
            </w:r>
            <w:r w:rsidR="004E7114">
              <w:rPr>
                <w:noProof/>
                <w:webHidden/>
              </w:rPr>
              <w:tab/>
            </w:r>
            <w:r w:rsidR="004E7114">
              <w:rPr>
                <w:noProof/>
                <w:webHidden/>
              </w:rPr>
              <w:fldChar w:fldCharType="begin"/>
            </w:r>
            <w:r w:rsidR="004E7114">
              <w:rPr>
                <w:noProof/>
                <w:webHidden/>
              </w:rPr>
              <w:instrText xml:space="preserve"> PAGEREF _Toc161578518 \h </w:instrText>
            </w:r>
            <w:r w:rsidR="004E7114">
              <w:rPr>
                <w:noProof/>
                <w:webHidden/>
              </w:rPr>
            </w:r>
            <w:r w:rsidR="004E7114">
              <w:rPr>
                <w:noProof/>
                <w:webHidden/>
              </w:rPr>
              <w:fldChar w:fldCharType="separate"/>
            </w:r>
            <w:r w:rsidR="004E7114">
              <w:rPr>
                <w:noProof/>
                <w:webHidden/>
              </w:rPr>
              <w:t>19</w:t>
            </w:r>
            <w:r w:rsidR="004E7114">
              <w:rPr>
                <w:noProof/>
                <w:webHidden/>
              </w:rPr>
              <w:fldChar w:fldCharType="end"/>
            </w:r>
          </w:hyperlink>
        </w:p>
        <w:p w14:paraId="0A00CCCF" w14:textId="4E06138E" w:rsidR="004E7114" w:rsidRDefault="00000000">
          <w:pPr>
            <w:pStyle w:val="TOC2"/>
            <w:rPr>
              <w:rFonts w:eastAsiaTheme="minorEastAsia"/>
              <w:noProof/>
              <w:kern w:val="2"/>
              <w:sz w:val="24"/>
              <w:szCs w:val="24"/>
              <w:lang w:val="en-IL" w:eastAsia="en-IL"/>
              <w14:ligatures w14:val="standardContextual"/>
            </w:rPr>
          </w:pPr>
          <w:hyperlink w:anchor="_Toc161578519" w:history="1">
            <w:r w:rsidR="004E7114" w:rsidRPr="00933B19">
              <w:rPr>
                <w:rStyle w:val="Hyperlink"/>
                <w:noProof/>
              </w:rPr>
              <w:t>What Current Literature Does Not Explain about Voluntary Compliance</w:t>
            </w:r>
            <w:r w:rsidR="004E7114">
              <w:rPr>
                <w:noProof/>
                <w:webHidden/>
              </w:rPr>
              <w:tab/>
            </w:r>
            <w:r w:rsidR="004E7114">
              <w:rPr>
                <w:noProof/>
                <w:webHidden/>
              </w:rPr>
              <w:fldChar w:fldCharType="begin"/>
            </w:r>
            <w:r w:rsidR="004E7114">
              <w:rPr>
                <w:noProof/>
                <w:webHidden/>
              </w:rPr>
              <w:instrText xml:space="preserve"> PAGEREF _Toc161578519 \h </w:instrText>
            </w:r>
            <w:r w:rsidR="004E7114">
              <w:rPr>
                <w:noProof/>
                <w:webHidden/>
              </w:rPr>
            </w:r>
            <w:r w:rsidR="004E7114">
              <w:rPr>
                <w:noProof/>
                <w:webHidden/>
              </w:rPr>
              <w:fldChar w:fldCharType="separate"/>
            </w:r>
            <w:r w:rsidR="004E7114">
              <w:rPr>
                <w:noProof/>
                <w:webHidden/>
              </w:rPr>
              <w:t>19</w:t>
            </w:r>
            <w:r w:rsidR="004E7114">
              <w:rPr>
                <w:noProof/>
                <w:webHidden/>
              </w:rPr>
              <w:fldChar w:fldCharType="end"/>
            </w:r>
          </w:hyperlink>
        </w:p>
        <w:p w14:paraId="5BBDC696" w14:textId="57021317" w:rsidR="004E7114" w:rsidRDefault="00000000">
          <w:pPr>
            <w:pStyle w:val="TOC2"/>
            <w:rPr>
              <w:rFonts w:eastAsiaTheme="minorEastAsia"/>
              <w:noProof/>
              <w:kern w:val="2"/>
              <w:sz w:val="24"/>
              <w:szCs w:val="24"/>
              <w:lang w:val="en-IL" w:eastAsia="en-IL"/>
              <w14:ligatures w14:val="standardContextual"/>
            </w:rPr>
          </w:pPr>
          <w:hyperlink w:anchor="_Toc161578520" w:history="1">
            <w:r w:rsidR="004E7114" w:rsidRPr="00933B19">
              <w:rPr>
                <w:rStyle w:val="Hyperlink"/>
                <w:noProof/>
              </w:rPr>
              <w:t>What is Non-Voluntary Compliance</w:t>
            </w:r>
            <w:r w:rsidR="004E7114">
              <w:rPr>
                <w:noProof/>
                <w:webHidden/>
              </w:rPr>
              <w:tab/>
            </w:r>
            <w:r w:rsidR="004E7114">
              <w:rPr>
                <w:noProof/>
                <w:webHidden/>
              </w:rPr>
              <w:fldChar w:fldCharType="begin"/>
            </w:r>
            <w:r w:rsidR="004E7114">
              <w:rPr>
                <w:noProof/>
                <w:webHidden/>
              </w:rPr>
              <w:instrText xml:space="preserve"> PAGEREF _Toc161578520 \h </w:instrText>
            </w:r>
            <w:r w:rsidR="004E7114">
              <w:rPr>
                <w:noProof/>
                <w:webHidden/>
              </w:rPr>
            </w:r>
            <w:r w:rsidR="004E7114">
              <w:rPr>
                <w:noProof/>
                <w:webHidden/>
              </w:rPr>
              <w:fldChar w:fldCharType="separate"/>
            </w:r>
            <w:r w:rsidR="004E7114">
              <w:rPr>
                <w:noProof/>
                <w:webHidden/>
              </w:rPr>
              <w:t>20</w:t>
            </w:r>
            <w:r w:rsidR="004E7114">
              <w:rPr>
                <w:noProof/>
                <w:webHidden/>
              </w:rPr>
              <w:fldChar w:fldCharType="end"/>
            </w:r>
          </w:hyperlink>
        </w:p>
        <w:p w14:paraId="1A785AD6" w14:textId="0322941E" w:rsidR="004E7114" w:rsidRDefault="00000000">
          <w:pPr>
            <w:pStyle w:val="TOC2"/>
            <w:rPr>
              <w:rFonts w:eastAsiaTheme="minorEastAsia"/>
              <w:noProof/>
              <w:kern w:val="2"/>
              <w:sz w:val="24"/>
              <w:szCs w:val="24"/>
              <w:lang w:val="en-IL" w:eastAsia="en-IL"/>
              <w14:ligatures w14:val="standardContextual"/>
            </w:rPr>
          </w:pPr>
          <w:hyperlink w:anchor="_Toc161578521" w:history="1">
            <w:r w:rsidR="004E7114" w:rsidRPr="00933B19">
              <w:rPr>
                <w:rStyle w:val="Hyperlink"/>
                <w:noProof/>
              </w:rPr>
              <w:t>Spontaneous compliance</w:t>
            </w:r>
            <w:r w:rsidR="004E7114">
              <w:rPr>
                <w:noProof/>
                <w:webHidden/>
              </w:rPr>
              <w:tab/>
            </w:r>
            <w:r w:rsidR="004E7114">
              <w:rPr>
                <w:noProof/>
                <w:webHidden/>
              </w:rPr>
              <w:fldChar w:fldCharType="begin"/>
            </w:r>
            <w:r w:rsidR="004E7114">
              <w:rPr>
                <w:noProof/>
                <w:webHidden/>
              </w:rPr>
              <w:instrText xml:space="preserve"> PAGEREF _Toc161578521 \h </w:instrText>
            </w:r>
            <w:r w:rsidR="004E7114">
              <w:rPr>
                <w:noProof/>
                <w:webHidden/>
              </w:rPr>
            </w:r>
            <w:r w:rsidR="004E7114">
              <w:rPr>
                <w:noProof/>
                <w:webHidden/>
              </w:rPr>
              <w:fldChar w:fldCharType="separate"/>
            </w:r>
            <w:r w:rsidR="004E7114">
              <w:rPr>
                <w:noProof/>
                <w:webHidden/>
              </w:rPr>
              <w:t>20</w:t>
            </w:r>
            <w:r w:rsidR="004E7114">
              <w:rPr>
                <w:noProof/>
                <w:webHidden/>
              </w:rPr>
              <w:fldChar w:fldCharType="end"/>
            </w:r>
          </w:hyperlink>
        </w:p>
        <w:p w14:paraId="16417E44" w14:textId="55AA170A" w:rsidR="004E7114" w:rsidRDefault="00000000">
          <w:pPr>
            <w:pStyle w:val="TOC2"/>
            <w:rPr>
              <w:rFonts w:eastAsiaTheme="minorEastAsia"/>
              <w:noProof/>
              <w:kern w:val="2"/>
              <w:sz w:val="24"/>
              <w:szCs w:val="24"/>
              <w:lang w:val="en-IL" w:eastAsia="en-IL"/>
              <w14:ligatures w14:val="standardContextual"/>
            </w:rPr>
          </w:pPr>
          <w:hyperlink w:anchor="_Toc161578522" w:history="1">
            <w:r w:rsidR="004E7114" w:rsidRPr="00933B19">
              <w:rPr>
                <w:rStyle w:val="Hyperlink"/>
                <w:noProof/>
              </w:rPr>
              <w:t>Voluntary as awareness</w:t>
            </w:r>
            <w:r w:rsidR="004E7114">
              <w:rPr>
                <w:noProof/>
                <w:webHidden/>
              </w:rPr>
              <w:tab/>
            </w:r>
            <w:r w:rsidR="004E7114">
              <w:rPr>
                <w:noProof/>
                <w:webHidden/>
              </w:rPr>
              <w:fldChar w:fldCharType="begin"/>
            </w:r>
            <w:r w:rsidR="004E7114">
              <w:rPr>
                <w:noProof/>
                <w:webHidden/>
              </w:rPr>
              <w:instrText xml:space="preserve"> PAGEREF _Toc161578522 \h </w:instrText>
            </w:r>
            <w:r w:rsidR="004E7114">
              <w:rPr>
                <w:noProof/>
                <w:webHidden/>
              </w:rPr>
            </w:r>
            <w:r w:rsidR="004E7114">
              <w:rPr>
                <w:noProof/>
                <w:webHidden/>
              </w:rPr>
              <w:fldChar w:fldCharType="separate"/>
            </w:r>
            <w:r w:rsidR="004E7114">
              <w:rPr>
                <w:noProof/>
                <w:webHidden/>
              </w:rPr>
              <w:t>21</w:t>
            </w:r>
            <w:r w:rsidR="004E7114">
              <w:rPr>
                <w:noProof/>
                <w:webHidden/>
              </w:rPr>
              <w:fldChar w:fldCharType="end"/>
            </w:r>
          </w:hyperlink>
        </w:p>
        <w:p w14:paraId="6995A4DB" w14:textId="395D6C24" w:rsidR="004E7114" w:rsidRDefault="00000000">
          <w:pPr>
            <w:pStyle w:val="TOC2"/>
            <w:rPr>
              <w:rFonts w:eastAsiaTheme="minorEastAsia"/>
              <w:noProof/>
              <w:kern w:val="2"/>
              <w:sz w:val="24"/>
              <w:szCs w:val="24"/>
              <w:lang w:val="en-IL" w:eastAsia="en-IL"/>
              <w14:ligatures w14:val="standardContextual"/>
            </w:rPr>
          </w:pPr>
          <w:hyperlink w:anchor="_Toc161578523" w:history="1">
            <w:r w:rsidR="004E7114" w:rsidRPr="00933B19">
              <w:rPr>
                <w:rStyle w:val="Hyperlink"/>
                <w:noProof/>
              </w:rPr>
              <w:t>Voluntary as autonomous choice</w:t>
            </w:r>
            <w:r w:rsidR="004E7114">
              <w:rPr>
                <w:noProof/>
                <w:webHidden/>
              </w:rPr>
              <w:tab/>
            </w:r>
            <w:r w:rsidR="004E7114">
              <w:rPr>
                <w:noProof/>
                <w:webHidden/>
              </w:rPr>
              <w:fldChar w:fldCharType="begin"/>
            </w:r>
            <w:r w:rsidR="004E7114">
              <w:rPr>
                <w:noProof/>
                <w:webHidden/>
              </w:rPr>
              <w:instrText xml:space="preserve"> PAGEREF _Toc161578523 \h </w:instrText>
            </w:r>
            <w:r w:rsidR="004E7114">
              <w:rPr>
                <w:noProof/>
                <w:webHidden/>
              </w:rPr>
            </w:r>
            <w:r w:rsidR="004E7114">
              <w:rPr>
                <w:noProof/>
                <w:webHidden/>
              </w:rPr>
              <w:fldChar w:fldCharType="separate"/>
            </w:r>
            <w:r w:rsidR="004E7114">
              <w:rPr>
                <w:noProof/>
                <w:webHidden/>
              </w:rPr>
              <w:t>21</w:t>
            </w:r>
            <w:r w:rsidR="004E7114">
              <w:rPr>
                <w:noProof/>
                <w:webHidden/>
              </w:rPr>
              <w:fldChar w:fldCharType="end"/>
            </w:r>
          </w:hyperlink>
        </w:p>
        <w:p w14:paraId="2CE26191" w14:textId="68FEFD03" w:rsidR="004E7114" w:rsidRDefault="00000000">
          <w:pPr>
            <w:pStyle w:val="TOC2"/>
            <w:rPr>
              <w:rFonts w:eastAsiaTheme="minorEastAsia"/>
              <w:noProof/>
              <w:kern w:val="2"/>
              <w:sz w:val="24"/>
              <w:szCs w:val="24"/>
              <w:lang w:val="en-IL" w:eastAsia="en-IL"/>
              <w14:ligatures w14:val="standardContextual"/>
            </w:rPr>
          </w:pPr>
          <w:hyperlink w:anchor="_Toc161578524" w:history="1">
            <w:r w:rsidR="004E7114" w:rsidRPr="00933B19">
              <w:rPr>
                <w:rStyle w:val="Hyperlink"/>
                <w:noProof/>
              </w:rPr>
              <w:t>Voluntary compliance as discretion</w:t>
            </w:r>
            <w:r w:rsidR="004E7114">
              <w:rPr>
                <w:noProof/>
                <w:webHidden/>
              </w:rPr>
              <w:tab/>
            </w:r>
            <w:r w:rsidR="004E7114">
              <w:rPr>
                <w:noProof/>
                <w:webHidden/>
              </w:rPr>
              <w:fldChar w:fldCharType="begin"/>
            </w:r>
            <w:r w:rsidR="004E7114">
              <w:rPr>
                <w:noProof/>
                <w:webHidden/>
              </w:rPr>
              <w:instrText xml:space="preserve"> PAGEREF _Toc161578524 \h </w:instrText>
            </w:r>
            <w:r w:rsidR="004E7114">
              <w:rPr>
                <w:noProof/>
                <w:webHidden/>
              </w:rPr>
            </w:r>
            <w:r w:rsidR="004E7114">
              <w:rPr>
                <w:noProof/>
                <w:webHidden/>
              </w:rPr>
              <w:fldChar w:fldCharType="separate"/>
            </w:r>
            <w:r w:rsidR="004E7114">
              <w:rPr>
                <w:noProof/>
                <w:webHidden/>
              </w:rPr>
              <w:t>21</w:t>
            </w:r>
            <w:r w:rsidR="004E7114">
              <w:rPr>
                <w:noProof/>
                <w:webHidden/>
              </w:rPr>
              <w:fldChar w:fldCharType="end"/>
            </w:r>
          </w:hyperlink>
        </w:p>
        <w:p w14:paraId="03C5C2C2" w14:textId="223CC6E8" w:rsidR="004E7114" w:rsidRDefault="00000000">
          <w:pPr>
            <w:pStyle w:val="TOC2"/>
            <w:rPr>
              <w:rFonts w:eastAsiaTheme="minorEastAsia"/>
              <w:noProof/>
              <w:kern w:val="2"/>
              <w:sz w:val="24"/>
              <w:szCs w:val="24"/>
              <w:lang w:val="en-IL" w:eastAsia="en-IL"/>
              <w14:ligatures w14:val="standardContextual"/>
            </w:rPr>
          </w:pPr>
          <w:hyperlink w:anchor="_Toc161578525" w:history="1">
            <w:r w:rsidR="004E7114" w:rsidRPr="00933B19">
              <w:rPr>
                <w:rStyle w:val="Hyperlink"/>
                <w:noProof/>
              </w:rPr>
              <w:t>Voluntary compliance  motivation</w:t>
            </w:r>
            <w:r w:rsidR="004E7114">
              <w:rPr>
                <w:noProof/>
                <w:webHidden/>
              </w:rPr>
              <w:tab/>
            </w:r>
            <w:r w:rsidR="004E7114">
              <w:rPr>
                <w:noProof/>
                <w:webHidden/>
              </w:rPr>
              <w:fldChar w:fldCharType="begin"/>
            </w:r>
            <w:r w:rsidR="004E7114">
              <w:rPr>
                <w:noProof/>
                <w:webHidden/>
              </w:rPr>
              <w:instrText xml:space="preserve"> PAGEREF _Toc161578525 \h </w:instrText>
            </w:r>
            <w:r w:rsidR="004E7114">
              <w:rPr>
                <w:noProof/>
                <w:webHidden/>
              </w:rPr>
            </w:r>
            <w:r w:rsidR="004E7114">
              <w:rPr>
                <w:noProof/>
                <w:webHidden/>
              </w:rPr>
              <w:fldChar w:fldCharType="separate"/>
            </w:r>
            <w:r w:rsidR="004E7114">
              <w:rPr>
                <w:noProof/>
                <w:webHidden/>
              </w:rPr>
              <w:t>22</w:t>
            </w:r>
            <w:r w:rsidR="004E7114">
              <w:rPr>
                <w:noProof/>
                <w:webHidden/>
              </w:rPr>
              <w:fldChar w:fldCharType="end"/>
            </w:r>
          </w:hyperlink>
        </w:p>
        <w:p w14:paraId="54CD401A" w14:textId="6B7AA3F1" w:rsidR="004E7114" w:rsidRDefault="00000000">
          <w:pPr>
            <w:pStyle w:val="TOC3"/>
            <w:tabs>
              <w:tab w:val="right" w:leader="dot" w:pos="8296"/>
            </w:tabs>
            <w:rPr>
              <w:rFonts w:eastAsiaTheme="minorEastAsia"/>
              <w:noProof/>
              <w:kern w:val="2"/>
              <w:sz w:val="24"/>
              <w:szCs w:val="24"/>
              <w:lang w:val="en-IL" w:eastAsia="en-IL"/>
              <w14:ligatures w14:val="standardContextual"/>
            </w:rPr>
          </w:pPr>
          <w:hyperlink w:anchor="_Toc161578526" w:history="1">
            <w:r w:rsidR="004E7114" w:rsidRPr="00933B19">
              <w:rPr>
                <w:rStyle w:val="Hyperlink"/>
                <w:noProof/>
              </w:rPr>
              <w:t>Voluntary compliance and intrinsic motivation</w:t>
            </w:r>
            <w:r w:rsidR="004E7114">
              <w:rPr>
                <w:noProof/>
                <w:webHidden/>
              </w:rPr>
              <w:tab/>
            </w:r>
            <w:r w:rsidR="004E7114">
              <w:rPr>
                <w:noProof/>
                <w:webHidden/>
              </w:rPr>
              <w:fldChar w:fldCharType="begin"/>
            </w:r>
            <w:r w:rsidR="004E7114">
              <w:rPr>
                <w:noProof/>
                <w:webHidden/>
              </w:rPr>
              <w:instrText xml:space="preserve"> PAGEREF _Toc161578526 \h </w:instrText>
            </w:r>
            <w:r w:rsidR="004E7114">
              <w:rPr>
                <w:noProof/>
                <w:webHidden/>
              </w:rPr>
            </w:r>
            <w:r w:rsidR="004E7114">
              <w:rPr>
                <w:noProof/>
                <w:webHidden/>
              </w:rPr>
              <w:fldChar w:fldCharType="separate"/>
            </w:r>
            <w:r w:rsidR="004E7114">
              <w:rPr>
                <w:noProof/>
                <w:webHidden/>
              </w:rPr>
              <w:t>23</w:t>
            </w:r>
            <w:r w:rsidR="004E7114">
              <w:rPr>
                <w:noProof/>
                <w:webHidden/>
              </w:rPr>
              <w:fldChar w:fldCharType="end"/>
            </w:r>
          </w:hyperlink>
        </w:p>
        <w:p w14:paraId="6121050D" w14:textId="43E70EE7" w:rsidR="004E7114" w:rsidRDefault="00000000">
          <w:pPr>
            <w:pStyle w:val="TOC2"/>
            <w:rPr>
              <w:rFonts w:eastAsiaTheme="minorEastAsia"/>
              <w:noProof/>
              <w:kern w:val="2"/>
              <w:sz w:val="24"/>
              <w:szCs w:val="24"/>
              <w:lang w:val="en-IL" w:eastAsia="en-IL"/>
              <w14:ligatures w14:val="standardContextual"/>
            </w:rPr>
          </w:pPr>
          <w:hyperlink w:anchor="_Toc161578527" w:history="1">
            <w:r w:rsidR="004E7114" w:rsidRPr="00933B19">
              <w:rPr>
                <w:rStyle w:val="Hyperlink"/>
                <w:noProof/>
              </w:rPr>
              <w:t>incentives and voluntary compliance</w:t>
            </w:r>
            <w:r w:rsidR="004E7114">
              <w:rPr>
                <w:noProof/>
                <w:webHidden/>
              </w:rPr>
              <w:tab/>
            </w:r>
            <w:r w:rsidR="004E7114">
              <w:rPr>
                <w:noProof/>
                <w:webHidden/>
              </w:rPr>
              <w:fldChar w:fldCharType="begin"/>
            </w:r>
            <w:r w:rsidR="004E7114">
              <w:rPr>
                <w:noProof/>
                <w:webHidden/>
              </w:rPr>
              <w:instrText xml:space="preserve"> PAGEREF _Toc161578527 \h </w:instrText>
            </w:r>
            <w:r w:rsidR="004E7114">
              <w:rPr>
                <w:noProof/>
                <w:webHidden/>
              </w:rPr>
            </w:r>
            <w:r w:rsidR="004E7114">
              <w:rPr>
                <w:noProof/>
                <w:webHidden/>
              </w:rPr>
              <w:fldChar w:fldCharType="separate"/>
            </w:r>
            <w:r w:rsidR="004E7114">
              <w:rPr>
                <w:noProof/>
                <w:webHidden/>
              </w:rPr>
              <w:t>23</w:t>
            </w:r>
            <w:r w:rsidR="004E7114">
              <w:rPr>
                <w:noProof/>
                <w:webHidden/>
              </w:rPr>
              <w:fldChar w:fldCharType="end"/>
            </w:r>
          </w:hyperlink>
        </w:p>
        <w:p w14:paraId="4ACBBB3C" w14:textId="4BBFFF48" w:rsidR="004E7114" w:rsidRDefault="00000000">
          <w:pPr>
            <w:pStyle w:val="TOC2"/>
            <w:rPr>
              <w:rFonts w:eastAsiaTheme="minorEastAsia"/>
              <w:noProof/>
              <w:kern w:val="2"/>
              <w:sz w:val="24"/>
              <w:szCs w:val="24"/>
              <w:lang w:val="en-IL" w:eastAsia="en-IL"/>
              <w14:ligatures w14:val="standardContextual"/>
            </w:rPr>
          </w:pPr>
          <w:hyperlink w:anchor="_Toc161578528" w:history="1">
            <w:r w:rsidR="004E7114" w:rsidRPr="00933B19">
              <w:rPr>
                <w:rStyle w:val="Hyperlink"/>
                <w:noProof/>
              </w:rPr>
              <w:t>Voluntary compliance and  self-regulation</w:t>
            </w:r>
            <w:r w:rsidR="004E7114">
              <w:rPr>
                <w:noProof/>
                <w:webHidden/>
              </w:rPr>
              <w:tab/>
            </w:r>
            <w:r w:rsidR="004E7114">
              <w:rPr>
                <w:noProof/>
                <w:webHidden/>
              </w:rPr>
              <w:fldChar w:fldCharType="begin"/>
            </w:r>
            <w:r w:rsidR="004E7114">
              <w:rPr>
                <w:noProof/>
                <w:webHidden/>
              </w:rPr>
              <w:instrText xml:space="preserve"> PAGEREF _Toc161578528 \h </w:instrText>
            </w:r>
            <w:r w:rsidR="004E7114">
              <w:rPr>
                <w:noProof/>
                <w:webHidden/>
              </w:rPr>
            </w:r>
            <w:r w:rsidR="004E7114">
              <w:rPr>
                <w:noProof/>
                <w:webHidden/>
              </w:rPr>
              <w:fldChar w:fldCharType="separate"/>
            </w:r>
            <w:r w:rsidR="004E7114">
              <w:rPr>
                <w:noProof/>
                <w:webHidden/>
              </w:rPr>
              <w:t>24</w:t>
            </w:r>
            <w:r w:rsidR="004E7114">
              <w:rPr>
                <w:noProof/>
                <w:webHidden/>
              </w:rPr>
              <w:fldChar w:fldCharType="end"/>
            </w:r>
          </w:hyperlink>
        </w:p>
        <w:p w14:paraId="04DABBC6" w14:textId="27EC9885" w:rsidR="004E7114" w:rsidRDefault="00000000">
          <w:pPr>
            <w:pStyle w:val="TOC2"/>
            <w:rPr>
              <w:rFonts w:eastAsiaTheme="minorEastAsia"/>
              <w:noProof/>
              <w:kern w:val="2"/>
              <w:sz w:val="24"/>
              <w:szCs w:val="24"/>
              <w:lang w:val="en-IL" w:eastAsia="en-IL"/>
              <w14:ligatures w14:val="standardContextual"/>
            </w:rPr>
          </w:pPr>
          <w:hyperlink w:anchor="_Toc161578529" w:history="1">
            <w:r w:rsidR="004E7114" w:rsidRPr="00933B19">
              <w:rPr>
                <w:rStyle w:val="Hyperlink"/>
                <w:noProof/>
              </w:rPr>
              <w:t>The Desired Proportion of Voluntary Cooperators and Regulators’ Dilemma</w:t>
            </w:r>
            <w:r w:rsidR="004E7114">
              <w:rPr>
                <w:noProof/>
                <w:webHidden/>
              </w:rPr>
              <w:tab/>
            </w:r>
            <w:r w:rsidR="004E7114">
              <w:rPr>
                <w:noProof/>
                <w:webHidden/>
              </w:rPr>
              <w:fldChar w:fldCharType="begin"/>
            </w:r>
            <w:r w:rsidR="004E7114">
              <w:rPr>
                <w:noProof/>
                <w:webHidden/>
              </w:rPr>
              <w:instrText xml:space="preserve"> PAGEREF _Toc161578529 \h </w:instrText>
            </w:r>
            <w:r w:rsidR="004E7114">
              <w:rPr>
                <w:noProof/>
                <w:webHidden/>
              </w:rPr>
            </w:r>
            <w:r w:rsidR="004E7114">
              <w:rPr>
                <w:noProof/>
                <w:webHidden/>
              </w:rPr>
              <w:fldChar w:fldCharType="separate"/>
            </w:r>
            <w:r w:rsidR="004E7114">
              <w:rPr>
                <w:noProof/>
                <w:webHidden/>
              </w:rPr>
              <w:t>25</w:t>
            </w:r>
            <w:r w:rsidR="004E7114">
              <w:rPr>
                <w:noProof/>
                <w:webHidden/>
              </w:rPr>
              <w:fldChar w:fldCharType="end"/>
            </w:r>
          </w:hyperlink>
        </w:p>
        <w:p w14:paraId="56625FA3" w14:textId="0470BB56" w:rsidR="004E7114" w:rsidRDefault="00000000">
          <w:pPr>
            <w:pStyle w:val="TOC2"/>
            <w:rPr>
              <w:rFonts w:eastAsiaTheme="minorEastAsia"/>
              <w:noProof/>
              <w:kern w:val="2"/>
              <w:sz w:val="24"/>
              <w:szCs w:val="24"/>
              <w:lang w:val="en-IL" w:eastAsia="en-IL"/>
              <w14:ligatures w14:val="standardContextual"/>
            </w:rPr>
          </w:pPr>
          <w:hyperlink w:anchor="_Toc161578530" w:history="1">
            <w:r w:rsidR="004E7114" w:rsidRPr="00933B19">
              <w:rPr>
                <w:rStyle w:val="Hyperlink"/>
                <w:noProof/>
              </w:rPr>
              <w:t>Situational Analysis of Voluntary Compliance</w:t>
            </w:r>
            <w:r w:rsidR="004E7114">
              <w:rPr>
                <w:noProof/>
                <w:webHidden/>
              </w:rPr>
              <w:tab/>
            </w:r>
            <w:r w:rsidR="004E7114">
              <w:rPr>
                <w:noProof/>
                <w:webHidden/>
              </w:rPr>
              <w:fldChar w:fldCharType="begin"/>
            </w:r>
            <w:r w:rsidR="004E7114">
              <w:rPr>
                <w:noProof/>
                <w:webHidden/>
              </w:rPr>
              <w:instrText xml:space="preserve"> PAGEREF _Toc161578530 \h </w:instrText>
            </w:r>
            <w:r w:rsidR="004E7114">
              <w:rPr>
                <w:noProof/>
                <w:webHidden/>
              </w:rPr>
            </w:r>
            <w:r w:rsidR="004E7114">
              <w:rPr>
                <w:noProof/>
                <w:webHidden/>
              </w:rPr>
              <w:fldChar w:fldCharType="separate"/>
            </w:r>
            <w:r w:rsidR="004E7114">
              <w:rPr>
                <w:noProof/>
                <w:webHidden/>
              </w:rPr>
              <w:t>25</w:t>
            </w:r>
            <w:r w:rsidR="004E7114">
              <w:rPr>
                <w:noProof/>
                <w:webHidden/>
              </w:rPr>
              <w:fldChar w:fldCharType="end"/>
            </w:r>
          </w:hyperlink>
        </w:p>
        <w:p w14:paraId="16FBDFB6" w14:textId="090B40AF" w:rsidR="004E7114" w:rsidRDefault="00000000">
          <w:pPr>
            <w:pStyle w:val="TOC2"/>
            <w:rPr>
              <w:rFonts w:eastAsiaTheme="minorEastAsia"/>
              <w:noProof/>
              <w:kern w:val="2"/>
              <w:sz w:val="24"/>
              <w:szCs w:val="24"/>
              <w:lang w:val="en-IL" w:eastAsia="en-IL"/>
              <w14:ligatures w14:val="standardContextual"/>
            </w:rPr>
          </w:pPr>
          <w:hyperlink w:anchor="_Toc161578531" w:history="1">
            <w:r w:rsidR="004E7114" w:rsidRPr="00933B19">
              <w:rPr>
                <w:rStyle w:val="Hyperlink"/>
                <w:noProof/>
              </w:rPr>
              <w:t>The Lack of Research on Contextual Factors</w:t>
            </w:r>
            <w:r w:rsidR="004E7114">
              <w:rPr>
                <w:noProof/>
                <w:webHidden/>
              </w:rPr>
              <w:tab/>
            </w:r>
            <w:r w:rsidR="004E7114">
              <w:rPr>
                <w:noProof/>
                <w:webHidden/>
              </w:rPr>
              <w:fldChar w:fldCharType="begin"/>
            </w:r>
            <w:r w:rsidR="004E7114">
              <w:rPr>
                <w:noProof/>
                <w:webHidden/>
              </w:rPr>
              <w:instrText xml:space="preserve"> PAGEREF _Toc161578531 \h </w:instrText>
            </w:r>
            <w:r w:rsidR="004E7114">
              <w:rPr>
                <w:noProof/>
                <w:webHidden/>
              </w:rPr>
            </w:r>
            <w:r w:rsidR="004E7114">
              <w:rPr>
                <w:noProof/>
                <w:webHidden/>
              </w:rPr>
              <w:fldChar w:fldCharType="separate"/>
            </w:r>
            <w:r w:rsidR="004E7114">
              <w:rPr>
                <w:noProof/>
                <w:webHidden/>
              </w:rPr>
              <w:t>26</w:t>
            </w:r>
            <w:r w:rsidR="004E7114">
              <w:rPr>
                <w:noProof/>
                <w:webHidden/>
              </w:rPr>
              <w:fldChar w:fldCharType="end"/>
            </w:r>
          </w:hyperlink>
        </w:p>
        <w:p w14:paraId="57C20762" w14:textId="7FBC6916" w:rsidR="004E7114" w:rsidRDefault="00000000">
          <w:pPr>
            <w:pStyle w:val="TOC2"/>
            <w:rPr>
              <w:rFonts w:eastAsiaTheme="minorEastAsia"/>
              <w:noProof/>
              <w:kern w:val="2"/>
              <w:sz w:val="24"/>
              <w:szCs w:val="24"/>
              <w:lang w:val="en-IL" w:eastAsia="en-IL"/>
              <w14:ligatures w14:val="standardContextual"/>
            </w:rPr>
          </w:pPr>
          <w:hyperlink w:anchor="_Toc161578532" w:history="1">
            <w:r w:rsidR="004E7114" w:rsidRPr="00933B19">
              <w:rPr>
                <w:rStyle w:val="Hyperlink"/>
                <w:noProof/>
              </w:rPr>
              <w:t>Could nudges be counted as voluntary compliance</w:t>
            </w:r>
            <w:r w:rsidR="004E7114">
              <w:rPr>
                <w:noProof/>
                <w:webHidden/>
              </w:rPr>
              <w:tab/>
            </w:r>
            <w:r w:rsidR="004E7114">
              <w:rPr>
                <w:noProof/>
                <w:webHidden/>
              </w:rPr>
              <w:fldChar w:fldCharType="begin"/>
            </w:r>
            <w:r w:rsidR="004E7114">
              <w:rPr>
                <w:noProof/>
                <w:webHidden/>
              </w:rPr>
              <w:instrText xml:space="preserve"> PAGEREF _Toc161578532 \h </w:instrText>
            </w:r>
            <w:r w:rsidR="004E7114">
              <w:rPr>
                <w:noProof/>
                <w:webHidden/>
              </w:rPr>
            </w:r>
            <w:r w:rsidR="004E7114">
              <w:rPr>
                <w:noProof/>
                <w:webHidden/>
              </w:rPr>
              <w:fldChar w:fldCharType="separate"/>
            </w:r>
            <w:r w:rsidR="004E7114">
              <w:rPr>
                <w:noProof/>
                <w:webHidden/>
              </w:rPr>
              <w:t>26</w:t>
            </w:r>
            <w:r w:rsidR="004E7114">
              <w:rPr>
                <w:noProof/>
                <w:webHidden/>
              </w:rPr>
              <w:fldChar w:fldCharType="end"/>
            </w:r>
          </w:hyperlink>
        </w:p>
        <w:p w14:paraId="49A21244" w14:textId="2EAD1E2A" w:rsidR="004E7114" w:rsidRDefault="00000000">
          <w:pPr>
            <w:pStyle w:val="TOC2"/>
            <w:rPr>
              <w:rFonts w:eastAsiaTheme="minorEastAsia"/>
              <w:noProof/>
              <w:kern w:val="2"/>
              <w:sz w:val="24"/>
              <w:szCs w:val="24"/>
              <w:lang w:val="en-IL" w:eastAsia="en-IL"/>
              <w14:ligatures w14:val="standardContextual"/>
            </w:rPr>
          </w:pPr>
          <w:hyperlink w:anchor="_Toc161578533" w:history="1">
            <w:r w:rsidR="004E7114" w:rsidRPr="00933B19">
              <w:rPr>
                <w:rStyle w:val="Hyperlink"/>
                <w:noProof/>
              </w:rPr>
              <w:t>Responsive Regulation</w:t>
            </w:r>
            <w:r w:rsidR="004E7114" w:rsidRPr="00933B19">
              <w:rPr>
                <w:rStyle w:val="Hyperlink"/>
                <w:noProof/>
                <w:vertAlign w:val="superscript"/>
              </w:rPr>
              <w:t xml:space="preserve"> </w:t>
            </w:r>
            <w:r w:rsidR="004E7114" w:rsidRPr="00933B19">
              <w:rPr>
                <w:rStyle w:val="Hyperlink"/>
                <w:noProof/>
              </w:rPr>
              <w:t>and the Challenge of the Heterogeneity of Intrinsic Motivation</w:t>
            </w:r>
            <w:r w:rsidR="004E7114">
              <w:rPr>
                <w:noProof/>
                <w:webHidden/>
              </w:rPr>
              <w:tab/>
            </w:r>
            <w:r w:rsidR="004E7114">
              <w:rPr>
                <w:noProof/>
                <w:webHidden/>
              </w:rPr>
              <w:fldChar w:fldCharType="begin"/>
            </w:r>
            <w:r w:rsidR="004E7114">
              <w:rPr>
                <w:noProof/>
                <w:webHidden/>
              </w:rPr>
              <w:instrText xml:space="preserve"> PAGEREF _Toc161578533 \h </w:instrText>
            </w:r>
            <w:r w:rsidR="004E7114">
              <w:rPr>
                <w:noProof/>
                <w:webHidden/>
              </w:rPr>
            </w:r>
            <w:r w:rsidR="004E7114">
              <w:rPr>
                <w:noProof/>
                <w:webHidden/>
              </w:rPr>
              <w:fldChar w:fldCharType="separate"/>
            </w:r>
            <w:r w:rsidR="004E7114">
              <w:rPr>
                <w:noProof/>
                <w:webHidden/>
              </w:rPr>
              <w:t>28</w:t>
            </w:r>
            <w:r w:rsidR="004E7114">
              <w:rPr>
                <w:noProof/>
                <w:webHidden/>
              </w:rPr>
              <w:fldChar w:fldCharType="end"/>
            </w:r>
          </w:hyperlink>
        </w:p>
        <w:p w14:paraId="69A3A879" w14:textId="0EBE2E0D" w:rsidR="004E7114" w:rsidRDefault="00000000">
          <w:pPr>
            <w:pStyle w:val="TOC2"/>
            <w:rPr>
              <w:rFonts w:eastAsiaTheme="minorEastAsia"/>
              <w:noProof/>
              <w:kern w:val="2"/>
              <w:sz w:val="24"/>
              <w:szCs w:val="24"/>
              <w:lang w:val="en-IL" w:eastAsia="en-IL"/>
              <w14:ligatures w14:val="standardContextual"/>
            </w:rPr>
          </w:pPr>
          <w:hyperlink w:anchor="_Toc161578534" w:history="1">
            <w:r w:rsidR="004E7114" w:rsidRPr="00933B19">
              <w:rPr>
                <w:rStyle w:val="Hyperlink"/>
                <w:noProof/>
              </w:rPr>
              <w:t>Healthy Compliance and Therapeutic Jurisprudence</w:t>
            </w:r>
            <w:r w:rsidR="004E7114">
              <w:rPr>
                <w:noProof/>
                <w:webHidden/>
              </w:rPr>
              <w:tab/>
            </w:r>
            <w:r w:rsidR="004E7114">
              <w:rPr>
                <w:noProof/>
                <w:webHidden/>
              </w:rPr>
              <w:fldChar w:fldCharType="begin"/>
            </w:r>
            <w:r w:rsidR="004E7114">
              <w:rPr>
                <w:noProof/>
                <w:webHidden/>
              </w:rPr>
              <w:instrText xml:space="preserve"> PAGEREF _Toc161578534 \h </w:instrText>
            </w:r>
            <w:r w:rsidR="004E7114">
              <w:rPr>
                <w:noProof/>
                <w:webHidden/>
              </w:rPr>
            </w:r>
            <w:r w:rsidR="004E7114">
              <w:rPr>
                <w:noProof/>
                <w:webHidden/>
              </w:rPr>
              <w:fldChar w:fldCharType="separate"/>
            </w:r>
            <w:r w:rsidR="004E7114">
              <w:rPr>
                <w:noProof/>
                <w:webHidden/>
              </w:rPr>
              <w:t>28</w:t>
            </w:r>
            <w:r w:rsidR="004E7114">
              <w:rPr>
                <w:noProof/>
                <w:webHidden/>
              </w:rPr>
              <w:fldChar w:fldCharType="end"/>
            </w:r>
          </w:hyperlink>
        </w:p>
        <w:p w14:paraId="468307C4" w14:textId="57098E9B" w:rsidR="004E7114" w:rsidRDefault="00000000">
          <w:pPr>
            <w:pStyle w:val="TOC2"/>
            <w:rPr>
              <w:rFonts w:eastAsiaTheme="minorEastAsia"/>
              <w:noProof/>
              <w:kern w:val="2"/>
              <w:sz w:val="24"/>
              <w:szCs w:val="24"/>
              <w:lang w:val="en-IL" w:eastAsia="en-IL"/>
              <w14:ligatures w14:val="standardContextual"/>
            </w:rPr>
          </w:pPr>
          <w:hyperlink w:anchor="_Toc161578535" w:history="1">
            <w:r w:rsidR="004E7114" w:rsidRPr="00933B19">
              <w:rPr>
                <w:rStyle w:val="Hyperlink"/>
                <w:noProof/>
              </w:rPr>
              <w:t>Can Corporations be Trusted?</w:t>
            </w:r>
            <w:r w:rsidR="004E7114">
              <w:rPr>
                <w:noProof/>
                <w:webHidden/>
              </w:rPr>
              <w:tab/>
            </w:r>
            <w:r w:rsidR="004E7114">
              <w:rPr>
                <w:noProof/>
                <w:webHidden/>
              </w:rPr>
              <w:fldChar w:fldCharType="begin"/>
            </w:r>
            <w:r w:rsidR="004E7114">
              <w:rPr>
                <w:noProof/>
                <w:webHidden/>
              </w:rPr>
              <w:instrText xml:space="preserve"> PAGEREF _Toc161578535 \h </w:instrText>
            </w:r>
            <w:r w:rsidR="004E7114">
              <w:rPr>
                <w:noProof/>
                <w:webHidden/>
              </w:rPr>
            </w:r>
            <w:r w:rsidR="004E7114">
              <w:rPr>
                <w:noProof/>
                <w:webHidden/>
              </w:rPr>
              <w:fldChar w:fldCharType="separate"/>
            </w:r>
            <w:r w:rsidR="004E7114">
              <w:rPr>
                <w:noProof/>
                <w:webHidden/>
              </w:rPr>
              <w:t>29</w:t>
            </w:r>
            <w:r w:rsidR="004E7114">
              <w:rPr>
                <w:noProof/>
                <w:webHidden/>
              </w:rPr>
              <w:fldChar w:fldCharType="end"/>
            </w:r>
          </w:hyperlink>
        </w:p>
        <w:p w14:paraId="2BCDD3EE" w14:textId="5660E719" w:rsidR="004E7114" w:rsidRDefault="00000000">
          <w:pPr>
            <w:pStyle w:val="TOC2"/>
            <w:rPr>
              <w:rFonts w:eastAsiaTheme="minorEastAsia"/>
              <w:noProof/>
              <w:kern w:val="2"/>
              <w:sz w:val="24"/>
              <w:szCs w:val="24"/>
              <w:lang w:val="en-IL" w:eastAsia="en-IL"/>
              <w14:ligatures w14:val="standardContextual"/>
            </w:rPr>
          </w:pPr>
          <w:hyperlink w:anchor="_Toc161578536" w:history="1">
            <w:r w:rsidR="004E7114" w:rsidRPr="00933B19">
              <w:rPr>
                <w:rStyle w:val="Hyperlink"/>
                <w:noProof/>
              </w:rPr>
              <w:t>The Normative Dilemma with regard to voluntary compliance</w:t>
            </w:r>
            <w:r w:rsidR="004E7114">
              <w:rPr>
                <w:noProof/>
                <w:webHidden/>
              </w:rPr>
              <w:tab/>
            </w:r>
            <w:r w:rsidR="004E7114">
              <w:rPr>
                <w:noProof/>
                <w:webHidden/>
              </w:rPr>
              <w:fldChar w:fldCharType="begin"/>
            </w:r>
            <w:r w:rsidR="004E7114">
              <w:rPr>
                <w:noProof/>
                <w:webHidden/>
              </w:rPr>
              <w:instrText xml:space="preserve"> PAGEREF _Toc161578536 \h </w:instrText>
            </w:r>
            <w:r w:rsidR="004E7114">
              <w:rPr>
                <w:noProof/>
                <w:webHidden/>
              </w:rPr>
            </w:r>
            <w:r w:rsidR="004E7114">
              <w:rPr>
                <w:noProof/>
                <w:webHidden/>
              </w:rPr>
              <w:fldChar w:fldCharType="separate"/>
            </w:r>
            <w:r w:rsidR="004E7114">
              <w:rPr>
                <w:noProof/>
                <w:webHidden/>
              </w:rPr>
              <w:t>30</w:t>
            </w:r>
            <w:r w:rsidR="004E7114">
              <w:rPr>
                <w:noProof/>
                <w:webHidden/>
              </w:rPr>
              <w:fldChar w:fldCharType="end"/>
            </w:r>
          </w:hyperlink>
        </w:p>
        <w:p w14:paraId="12481041" w14:textId="7FBE8E12" w:rsidR="004E7114" w:rsidRDefault="00000000">
          <w:pPr>
            <w:pStyle w:val="TOC2"/>
            <w:rPr>
              <w:rFonts w:eastAsiaTheme="minorEastAsia"/>
              <w:noProof/>
              <w:kern w:val="2"/>
              <w:sz w:val="24"/>
              <w:szCs w:val="24"/>
              <w:lang w:val="en-IL" w:eastAsia="en-IL"/>
              <w14:ligatures w14:val="standardContextual"/>
            </w:rPr>
          </w:pPr>
          <w:hyperlink w:anchor="_Toc161578537" w:history="1">
            <w:r w:rsidR="004E7114" w:rsidRPr="00933B19">
              <w:rPr>
                <w:rStyle w:val="Hyperlink"/>
                <w:rFonts w:asciiTheme="majorBidi" w:hAnsiTheme="majorBidi"/>
                <w:noProof/>
              </w:rPr>
              <w:t>Is it really clear what regulatory mechanism are more likely to lead to voluntary compliance?</w:t>
            </w:r>
            <w:r w:rsidR="004E7114">
              <w:rPr>
                <w:noProof/>
                <w:webHidden/>
              </w:rPr>
              <w:tab/>
            </w:r>
            <w:r w:rsidR="004E7114">
              <w:rPr>
                <w:noProof/>
                <w:webHidden/>
              </w:rPr>
              <w:fldChar w:fldCharType="begin"/>
            </w:r>
            <w:r w:rsidR="004E7114">
              <w:rPr>
                <w:noProof/>
                <w:webHidden/>
              </w:rPr>
              <w:instrText xml:space="preserve"> PAGEREF _Toc161578537 \h </w:instrText>
            </w:r>
            <w:r w:rsidR="004E7114">
              <w:rPr>
                <w:noProof/>
                <w:webHidden/>
              </w:rPr>
            </w:r>
            <w:r w:rsidR="004E7114">
              <w:rPr>
                <w:noProof/>
                <w:webHidden/>
              </w:rPr>
              <w:fldChar w:fldCharType="separate"/>
            </w:r>
            <w:r w:rsidR="004E7114">
              <w:rPr>
                <w:noProof/>
                <w:webHidden/>
              </w:rPr>
              <w:t>30</w:t>
            </w:r>
            <w:r w:rsidR="004E7114">
              <w:rPr>
                <w:noProof/>
                <w:webHidden/>
              </w:rPr>
              <w:fldChar w:fldCharType="end"/>
            </w:r>
          </w:hyperlink>
        </w:p>
        <w:p w14:paraId="71A44954" w14:textId="47784F45" w:rsidR="004E7114" w:rsidRDefault="00000000">
          <w:pPr>
            <w:pStyle w:val="TOC2"/>
            <w:rPr>
              <w:rFonts w:eastAsiaTheme="minorEastAsia"/>
              <w:noProof/>
              <w:kern w:val="2"/>
              <w:sz w:val="24"/>
              <w:szCs w:val="24"/>
              <w:lang w:val="en-IL" w:eastAsia="en-IL"/>
              <w14:ligatures w14:val="standardContextual"/>
            </w:rPr>
          </w:pPr>
          <w:hyperlink w:anchor="_Toc161578538" w:history="1">
            <w:r w:rsidR="004E7114" w:rsidRPr="00933B19">
              <w:rPr>
                <w:rStyle w:val="Hyperlink"/>
                <w:noProof/>
              </w:rPr>
              <w:t>What are we interested in changing?, compliance behavior or compliance motivation?</w:t>
            </w:r>
            <w:r w:rsidR="004E7114">
              <w:rPr>
                <w:noProof/>
                <w:webHidden/>
              </w:rPr>
              <w:tab/>
            </w:r>
            <w:r w:rsidR="004E7114">
              <w:rPr>
                <w:noProof/>
                <w:webHidden/>
              </w:rPr>
              <w:fldChar w:fldCharType="begin"/>
            </w:r>
            <w:r w:rsidR="004E7114">
              <w:rPr>
                <w:noProof/>
                <w:webHidden/>
              </w:rPr>
              <w:instrText xml:space="preserve"> PAGEREF _Toc161578538 \h </w:instrText>
            </w:r>
            <w:r w:rsidR="004E7114">
              <w:rPr>
                <w:noProof/>
                <w:webHidden/>
              </w:rPr>
            </w:r>
            <w:r w:rsidR="004E7114">
              <w:rPr>
                <w:noProof/>
                <w:webHidden/>
              </w:rPr>
              <w:fldChar w:fldCharType="separate"/>
            </w:r>
            <w:r w:rsidR="004E7114">
              <w:rPr>
                <w:noProof/>
                <w:webHidden/>
              </w:rPr>
              <w:t>31</w:t>
            </w:r>
            <w:r w:rsidR="004E7114">
              <w:rPr>
                <w:noProof/>
                <w:webHidden/>
              </w:rPr>
              <w:fldChar w:fldCharType="end"/>
            </w:r>
          </w:hyperlink>
        </w:p>
        <w:p w14:paraId="469E12CD" w14:textId="68769E70" w:rsidR="004E7114" w:rsidRDefault="00000000">
          <w:pPr>
            <w:pStyle w:val="TOC2"/>
            <w:rPr>
              <w:rFonts w:eastAsiaTheme="minorEastAsia"/>
              <w:noProof/>
              <w:kern w:val="2"/>
              <w:sz w:val="24"/>
              <w:szCs w:val="24"/>
              <w:lang w:val="en-IL" w:eastAsia="en-IL"/>
              <w14:ligatures w14:val="standardContextual"/>
            </w:rPr>
          </w:pPr>
          <w:hyperlink w:anchor="_Toc161578539" w:history="1">
            <w:r w:rsidR="004E7114" w:rsidRPr="00933B19">
              <w:rPr>
                <w:rStyle w:val="Hyperlink"/>
                <w:rFonts w:asciiTheme="majorBidi" w:hAnsiTheme="majorBidi"/>
                <w:noProof/>
              </w:rPr>
              <w:t>Is culture malleable?</w:t>
            </w:r>
            <w:r w:rsidR="004E7114">
              <w:rPr>
                <w:noProof/>
                <w:webHidden/>
              </w:rPr>
              <w:tab/>
            </w:r>
            <w:r w:rsidR="004E7114">
              <w:rPr>
                <w:noProof/>
                <w:webHidden/>
              </w:rPr>
              <w:fldChar w:fldCharType="begin"/>
            </w:r>
            <w:r w:rsidR="004E7114">
              <w:rPr>
                <w:noProof/>
                <w:webHidden/>
              </w:rPr>
              <w:instrText xml:space="preserve"> PAGEREF _Toc161578539 \h </w:instrText>
            </w:r>
            <w:r w:rsidR="004E7114">
              <w:rPr>
                <w:noProof/>
                <w:webHidden/>
              </w:rPr>
            </w:r>
            <w:r w:rsidR="004E7114">
              <w:rPr>
                <w:noProof/>
                <w:webHidden/>
              </w:rPr>
              <w:fldChar w:fldCharType="separate"/>
            </w:r>
            <w:r w:rsidR="004E7114">
              <w:rPr>
                <w:noProof/>
                <w:webHidden/>
              </w:rPr>
              <w:t>32</w:t>
            </w:r>
            <w:r w:rsidR="004E7114">
              <w:rPr>
                <w:noProof/>
                <w:webHidden/>
              </w:rPr>
              <w:fldChar w:fldCharType="end"/>
            </w:r>
          </w:hyperlink>
        </w:p>
        <w:p w14:paraId="394422E8" w14:textId="5FB606DE" w:rsidR="004E7114" w:rsidRDefault="00000000">
          <w:pPr>
            <w:pStyle w:val="TOC2"/>
            <w:rPr>
              <w:rFonts w:eastAsiaTheme="minorEastAsia"/>
              <w:noProof/>
              <w:kern w:val="2"/>
              <w:sz w:val="24"/>
              <w:szCs w:val="24"/>
              <w:lang w:val="en-IL" w:eastAsia="en-IL"/>
              <w14:ligatures w14:val="standardContextual"/>
            </w:rPr>
          </w:pPr>
          <w:hyperlink w:anchor="_Toc161578540" w:history="1">
            <w:r w:rsidR="004E7114" w:rsidRPr="00933B19">
              <w:rPr>
                <w:rStyle w:val="Hyperlink"/>
                <w:noProof/>
              </w:rPr>
              <w:t>Technology and voluntary compliance</w:t>
            </w:r>
            <w:r w:rsidR="004E7114">
              <w:rPr>
                <w:noProof/>
                <w:webHidden/>
              </w:rPr>
              <w:tab/>
            </w:r>
            <w:r w:rsidR="004E7114">
              <w:rPr>
                <w:noProof/>
                <w:webHidden/>
              </w:rPr>
              <w:fldChar w:fldCharType="begin"/>
            </w:r>
            <w:r w:rsidR="004E7114">
              <w:rPr>
                <w:noProof/>
                <w:webHidden/>
              </w:rPr>
              <w:instrText xml:space="preserve"> PAGEREF _Toc161578540 \h </w:instrText>
            </w:r>
            <w:r w:rsidR="004E7114">
              <w:rPr>
                <w:noProof/>
                <w:webHidden/>
              </w:rPr>
            </w:r>
            <w:r w:rsidR="004E7114">
              <w:rPr>
                <w:noProof/>
                <w:webHidden/>
              </w:rPr>
              <w:fldChar w:fldCharType="separate"/>
            </w:r>
            <w:r w:rsidR="004E7114">
              <w:rPr>
                <w:noProof/>
                <w:webHidden/>
              </w:rPr>
              <w:t>32</w:t>
            </w:r>
            <w:r w:rsidR="004E7114">
              <w:rPr>
                <w:noProof/>
                <w:webHidden/>
              </w:rPr>
              <w:fldChar w:fldCharType="end"/>
            </w:r>
          </w:hyperlink>
        </w:p>
        <w:p w14:paraId="05FBEF5C" w14:textId="31A9FFE7" w:rsidR="004E7114" w:rsidRDefault="00000000">
          <w:pPr>
            <w:pStyle w:val="TOC2"/>
            <w:rPr>
              <w:rFonts w:eastAsiaTheme="minorEastAsia"/>
              <w:noProof/>
              <w:kern w:val="2"/>
              <w:sz w:val="24"/>
              <w:szCs w:val="24"/>
              <w:lang w:val="en-IL" w:eastAsia="en-IL"/>
              <w14:ligatures w14:val="standardContextual"/>
            </w:rPr>
          </w:pPr>
          <w:hyperlink w:anchor="_Toc161578541" w:history="1">
            <w:r w:rsidR="004E7114" w:rsidRPr="00933B19">
              <w:rPr>
                <w:rStyle w:val="Hyperlink"/>
                <w:rFonts w:asciiTheme="majorBidi" w:hAnsiTheme="majorBidi"/>
                <w:noProof/>
              </w:rPr>
              <w:t>voluntary truth telling might work according to Abeler</w:t>
            </w:r>
            <w:r w:rsidR="004E7114">
              <w:rPr>
                <w:noProof/>
                <w:webHidden/>
              </w:rPr>
              <w:tab/>
            </w:r>
            <w:r w:rsidR="004E7114">
              <w:rPr>
                <w:noProof/>
                <w:webHidden/>
              </w:rPr>
              <w:fldChar w:fldCharType="begin"/>
            </w:r>
            <w:r w:rsidR="004E7114">
              <w:rPr>
                <w:noProof/>
                <w:webHidden/>
              </w:rPr>
              <w:instrText xml:space="preserve"> PAGEREF _Toc161578541 \h </w:instrText>
            </w:r>
            <w:r w:rsidR="004E7114">
              <w:rPr>
                <w:noProof/>
                <w:webHidden/>
              </w:rPr>
            </w:r>
            <w:r w:rsidR="004E7114">
              <w:rPr>
                <w:noProof/>
                <w:webHidden/>
              </w:rPr>
              <w:fldChar w:fldCharType="separate"/>
            </w:r>
            <w:r w:rsidR="004E7114">
              <w:rPr>
                <w:noProof/>
                <w:webHidden/>
              </w:rPr>
              <w:t>33</w:t>
            </w:r>
            <w:r w:rsidR="004E7114">
              <w:rPr>
                <w:noProof/>
                <w:webHidden/>
              </w:rPr>
              <w:fldChar w:fldCharType="end"/>
            </w:r>
          </w:hyperlink>
        </w:p>
        <w:p w14:paraId="2D1A3E11" w14:textId="408EA783" w:rsidR="004E7114" w:rsidRDefault="00000000">
          <w:pPr>
            <w:pStyle w:val="TOC2"/>
            <w:rPr>
              <w:rFonts w:eastAsiaTheme="minorEastAsia"/>
              <w:noProof/>
              <w:kern w:val="2"/>
              <w:sz w:val="24"/>
              <w:szCs w:val="24"/>
              <w:lang w:val="en-IL" w:eastAsia="en-IL"/>
              <w14:ligatures w14:val="standardContextual"/>
            </w:rPr>
          </w:pPr>
          <w:hyperlink w:anchor="_Toc161578542" w:history="1">
            <w:r w:rsidR="004E7114" w:rsidRPr="00933B19">
              <w:rPr>
                <w:rStyle w:val="Hyperlink"/>
                <w:rFonts w:asciiTheme="majorBidi" w:hAnsiTheme="majorBidi"/>
                <w:noProof/>
              </w:rPr>
              <w:t>Trustworthiness</w:t>
            </w:r>
            <w:r w:rsidR="004E7114">
              <w:rPr>
                <w:noProof/>
                <w:webHidden/>
              </w:rPr>
              <w:tab/>
            </w:r>
            <w:r w:rsidR="004E7114">
              <w:rPr>
                <w:noProof/>
                <w:webHidden/>
              </w:rPr>
              <w:fldChar w:fldCharType="begin"/>
            </w:r>
            <w:r w:rsidR="004E7114">
              <w:rPr>
                <w:noProof/>
                <w:webHidden/>
              </w:rPr>
              <w:instrText xml:space="preserve"> PAGEREF _Toc161578542 \h </w:instrText>
            </w:r>
            <w:r w:rsidR="004E7114">
              <w:rPr>
                <w:noProof/>
                <w:webHidden/>
              </w:rPr>
            </w:r>
            <w:r w:rsidR="004E7114">
              <w:rPr>
                <w:noProof/>
                <w:webHidden/>
              </w:rPr>
              <w:fldChar w:fldCharType="separate"/>
            </w:r>
            <w:r w:rsidR="004E7114">
              <w:rPr>
                <w:noProof/>
                <w:webHidden/>
              </w:rPr>
              <w:t>33</w:t>
            </w:r>
            <w:r w:rsidR="004E7114">
              <w:rPr>
                <w:noProof/>
                <w:webHidden/>
              </w:rPr>
              <w:fldChar w:fldCharType="end"/>
            </w:r>
          </w:hyperlink>
        </w:p>
        <w:p w14:paraId="62CBDB01" w14:textId="407081D7" w:rsidR="004E7114" w:rsidRDefault="00000000">
          <w:pPr>
            <w:pStyle w:val="TOC2"/>
            <w:rPr>
              <w:rFonts w:eastAsiaTheme="minorEastAsia"/>
              <w:noProof/>
              <w:kern w:val="2"/>
              <w:sz w:val="24"/>
              <w:szCs w:val="24"/>
              <w:lang w:val="en-IL" w:eastAsia="en-IL"/>
              <w14:ligatures w14:val="standardContextual"/>
            </w:rPr>
          </w:pPr>
          <w:hyperlink w:anchor="_Toc161578543" w:history="1">
            <w:r w:rsidR="004E7114" w:rsidRPr="00933B19">
              <w:rPr>
                <w:rStyle w:val="Hyperlink"/>
                <w:rFonts w:asciiTheme="majorBidi" w:hAnsiTheme="majorBidi"/>
                <w:noProof/>
              </w:rPr>
              <w:t>What is intrinsic motivation?</w:t>
            </w:r>
            <w:r w:rsidR="004E7114">
              <w:rPr>
                <w:noProof/>
                <w:webHidden/>
              </w:rPr>
              <w:tab/>
            </w:r>
            <w:r w:rsidR="004E7114">
              <w:rPr>
                <w:noProof/>
                <w:webHidden/>
              </w:rPr>
              <w:fldChar w:fldCharType="begin"/>
            </w:r>
            <w:r w:rsidR="004E7114">
              <w:rPr>
                <w:noProof/>
                <w:webHidden/>
              </w:rPr>
              <w:instrText xml:space="preserve"> PAGEREF _Toc161578543 \h </w:instrText>
            </w:r>
            <w:r w:rsidR="004E7114">
              <w:rPr>
                <w:noProof/>
                <w:webHidden/>
              </w:rPr>
            </w:r>
            <w:r w:rsidR="004E7114">
              <w:rPr>
                <w:noProof/>
                <w:webHidden/>
              </w:rPr>
              <w:fldChar w:fldCharType="separate"/>
            </w:r>
            <w:r w:rsidR="004E7114">
              <w:rPr>
                <w:noProof/>
                <w:webHidden/>
              </w:rPr>
              <w:t>34</w:t>
            </w:r>
            <w:r w:rsidR="004E7114">
              <w:rPr>
                <w:noProof/>
                <w:webHidden/>
              </w:rPr>
              <w:fldChar w:fldCharType="end"/>
            </w:r>
          </w:hyperlink>
        </w:p>
        <w:p w14:paraId="419DA47B" w14:textId="72CFCACB" w:rsidR="004E7114" w:rsidRDefault="00000000">
          <w:pPr>
            <w:pStyle w:val="TOC2"/>
            <w:rPr>
              <w:rFonts w:eastAsiaTheme="minorEastAsia"/>
              <w:noProof/>
              <w:kern w:val="2"/>
              <w:sz w:val="24"/>
              <w:szCs w:val="24"/>
              <w:lang w:val="en-IL" w:eastAsia="en-IL"/>
              <w14:ligatures w14:val="standardContextual"/>
            </w:rPr>
          </w:pPr>
          <w:hyperlink w:anchor="_Toc161578544" w:history="1">
            <w:r w:rsidR="004E7114" w:rsidRPr="00933B19">
              <w:rPr>
                <w:rStyle w:val="Hyperlink"/>
                <w:rFonts w:asciiTheme="majorBidi" w:hAnsiTheme="majorBidi"/>
                <w:noProof/>
              </w:rPr>
              <w:t>Crowding out of what type intrinsic motivation?</w:t>
            </w:r>
            <w:r w:rsidR="004E7114">
              <w:rPr>
                <w:noProof/>
                <w:webHidden/>
              </w:rPr>
              <w:tab/>
            </w:r>
            <w:r w:rsidR="004E7114">
              <w:rPr>
                <w:noProof/>
                <w:webHidden/>
              </w:rPr>
              <w:fldChar w:fldCharType="begin"/>
            </w:r>
            <w:r w:rsidR="004E7114">
              <w:rPr>
                <w:noProof/>
                <w:webHidden/>
              </w:rPr>
              <w:instrText xml:space="preserve"> PAGEREF _Toc161578544 \h </w:instrText>
            </w:r>
            <w:r w:rsidR="004E7114">
              <w:rPr>
                <w:noProof/>
                <w:webHidden/>
              </w:rPr>
            </w:r>
            <w:r w:rsidR="004E7114">
              <w:rPr>
                <w:noProof/>
                <w:webHidden/>
              </w:rPr>
              <w:fldChar w:fldCharType="separate"/>
            </w:r>
            <w:r w:rsidR="004E7114">
              <w:rPr>
                <w:noProof/>
                <w:webHidden/>
              </w:rPr>
              <w:t>34</w:t>
            </w:r>
            <w:r w:rsidR="004E7114">
              <w:rPr>
                <w:noProof/>
                <w:webHidden/>
              </w:rPr>
              <w:fldChar w:fldCharType="end"/>
            </w:r>
          </w:hyperlink>
        </w:p>
        <w:p w14:paraId="57BBEAD5" w14:textId="75E2D216" w:rsidR="004E7114" w:rsidRDefault="00000000">
          <w:pPr>
            <w:pStyle w:val="TOC2"/>
            <w:rPr>
              <w:rFonts w:eastAsiaTheme="minorEastAsia"/>
              <w:noProof/>
              <w:kern w:val="2"/>
              <w:sz w:val="24"/>
              <w:szCs w:val="24"/>
              <w:lang w:val="en-IL" w:eastAsia="en-IL"/>
              <w14:ligatures w14:val="standardContextual"/>
            </w:rPr>
          </w:pPr>
          <w:hyperlink w:anchor="_Toc161578545" w:history="1">
            <w:r w:rsidR="004E7114" w:rsidRPr="00933B19">
              <w:rPr>
                <w:rStyle w:val="Hyperlink"/>
                <w:rFonts w:asciiTheme="majorBidi" w:hAnsiTheme="majorBidi"/>
                <w:noProof/>
              </w:rPr>
              <w:t>The importance of context when discussing voluntary compliance</w:t>
            </w:r>
            <w:r w:rsidR="004E7114">
              <w:rPr>
                <w:noProof/>
                <w:webHidden/>
              </w:rPr>
              <w:tab/>
            </w:r>
            <w:r w:rsidR="004E7114">
              <w:rPr>
                <w:noProof/>
                <w:webHidden/>
              </w:rPr>
              <w:fldChar w:fldCharType="begin"/>
            </w:r>
            <w:r w:rsidR="004E7114">
              <w:rPr>
                <w:noProof/>
                <w:webHidden/>
              </w:rPr>
              <w:instrText xml:space="preserve"> PAGEREF _Toc161578545 \h </w:instrText>
            </w:r>
            <w:r w:rsidR="004E7114">
              <w:rPr>
                <w:noProof/>
                <w:webHidden/>
              </w:rPr>
            </w:r>
            <w:r w:rsidR="004E7114">
              <w:rPr>
                <w:noProof/>
                <w:webHidden/>
              </w:rPr>
              <w:fldChar w:fldCharType="separate"/>
            </w:r>
            <w:r w:rsidR="004E7114">
              <w:rPr>
                <w:noProof/>
                <w:webHidden/>
              </w:rPr>
              <w:t>34</w:t>
            </w:r>
            <w:r w:rsidR="004E7114">
              <w:rPr>
                <w:noProof/>
                <w:webHidden/>
              </w:rPr>
              <w:fldChar w:fldCharType="end"/>
            </w:r>
          </w:hyperlink>
        </w:p>
        <w:p w14:paraId="5F2CD9A6" w14:textId="1ED333C7" w:rsidR="004E7114" w:rsidRDefault="00000000">
          <w:pPr>
            <w:pStyle w:val="TOC2"/>
            <w:rPr>
              <w:rFonts w:eastAsiaTheme="minorEastAsia"/>
              <w:noProof/>
              <w:kern w:val="2"/>
              <w:sz w:val="24"/>
              <w:szCs w:val="24"/>
              <w:lang w:val="en-IL" w:eastAsia="en-IL"/>
              <w14:ligatures w14:val="standardContextual"/>
            </w:rPr>
          </w:pPr>
          <w:hyperlink w:anchor="_Toc161578546" w:history="1">
            <w:r w:rsidR="004E7114" w:rsidRPr="00933B19">
              <w:rPr>
                <w:rStyle w:val="Hyperlink"/>
                <w:rFonts w:asciiTheme="majorBidi" w:hAnsiTheme="majorBidi"/>
                <w:noProof/>
              </w:rPr>
              <w:t>A threshold approach?</w:t>
            </w:r>
            <w:r w:rsidR="004E7114">
              <w:rPr>
                <w:noProof/>
                <w:webHidden/>
              </w:rPr>
              <w:tab/>
            </w:r>
            <w:r w:rsidR="004E7114">
              <w:rPr>
                <w:noProof/>
                <w:webHidden/>
              </w:rPr>
              <w:fldChar w:fldCharType="begin"/>
            </w:r>
            <w:r w:rsidR="004E7114">
              <w:rPr>
                <w:noProof/>
                <w:webHidden/>
              </w:rPr>
              <w:instrText xml:space="preserve"> PAGEREF _Toc161578546 \h </w:instrText>
            </w:r>
            <w:r w:rsidR="004E7114">
              <w:rPr>
                <w:noProof/>
                <w:webHidden/>
              </w:rPr>
            </w:r>
            <w:r w:rsidR="004E7114">
              <w:rPr>
                <w:noProof/>
                <w:webHidden/>
              </w:rPr>
              <w:fldChar w:fldCharType="separate"/>
            </w:r>
            <w:r w:rsidR="004E7114">
              <w:rPr>
                <w:noProof/>
                <w:webHidden/>
              </w:rPr>
              <w:t>36</w:t>
            </w:r>
            <w:r w:rsidR="004E7114">
              <w:rPr>
                <w:noProof/>
                <w:webHidden/>
              </w:rPr>
              <w:fldChar w:fldCharType="end"/>
            </w:r>
          </w:hyperlink>
        </w:p>
        <w:p w14:paraId="0589DC4B" w14:textId="56A6A133" w:rsidR="00A30D53" w:rsidRDefault="00A30D53">
          <w:r>
            <w:rPr>
              <w:b/>
              <w:bCs/>
              <w:noProof/>
            </w:rPr>
            <w:fldChar w:fldCharType="end"/>
          </w:r>
        </w:p>
      </w:sdtContent>
    </w:sdt>
    <w:p w14:paraId="26D6313B"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022B7C1B"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944B8DA" w14:textId="309C9CC7" w:rsidR="00CD7986" w:rsidRDefault="00CD7986" w:rsidP="00CD7986">
      <w:pPr>
        <w:spacing w:before="100" w:beforeAutospacing="1" w:after="100" w:afterAutospacing="1"/>
        <w:jc w:val="both"/>
        <w:rPr>
          <w:rFonts w:asciiTheme="majorBidi" w:hAnsiTheme="majorBidi" w:cstheme="majorBidi"/>
          <w:sz w:val="24"/>
          <w:szCs w:val="24"/>
        </w:rPr>
      </w:pPr>
    </w:p>
    <w:p w14:paraId="3C746102"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57BA6417"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249EA272"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4CAABF4" w14:textId="3D29FB24" w:rsidR="00CD7986" w:rsidRDefault="00CD7986" w:rsidP="00CD7986">
      <w:pPr>
        <w:spacing w:before="100" w:beforeAutospacing="1" w:after="100" w:afterAutospacing="1"/>
        <w:jc w:val="both"/>
        <w:rPr>
          <w:rFonts w:asciiTheme="majorBidi" w:hAnsiTheme="majorBidi" w:cstheme="majorBidi"/>
          <w:sz w:val="24"/>
          <w:szCs w:val="24"/>
        </w:rPr>
      </w:pPr>
    </w:p>
    <w:p w14:paraId="1E33A6DB"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E94D2BC"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6E655275" w14:textId="3CA92499" w:rsidR="00CD7986" w:rsidRDefault="00CD7986" w:rsidP="00CD7986">
      <w:pPr>
        <w:spacing w:before="100" w:beforeAutospacing="1" w:after="100" w:afterAutospacing="1"/>
        <w:jc w:val="both"/>
        <w:rPr>
          <w:rFonts w:asciiTheme="majorBidi" w:hAnsiTheme="majorBidi" w:cstheme="majorBidi"/>
          <w:sz w:val="24"/>
          <w:szCs w:val="24"/>
        </w:rPr>
      </w:pPr>
    </w:p>
    <w:p w14:paraId="40193C61"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232E220B"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92767D2" w14:textId="77777777" w:rsidR="00CD7986" w:rsidRPr="00E445C8" w:rsidRDefault="00CD7986" w:rsidP="00CD7986">
      <w:pPr>
        <w:spacing w:before="100" w:beforeAutospacing="1" w:after="100" w:afterAutospacing="1"/>
        <w:jc w:val="both"/>
        <w:rPr>
          <w:rFonts w:asciiTheme="majorBidi" w:hAnsiTheme="majorBidi" w:cstheme="majorBidi"/>
          <w:sz w:val="24"/>
          <w:szCs w:val="24"/>
        </w:rPr>
      </w:pPr>
    </w:p>
    <w:p w14:paraId="007290EB" w14:textId="77777777" w:rsidR="003322E6" w:rsidRPr="007E53F1" w:rsidRDefault="003322E6" w:rsidP="003322E6">
      <w:pPr>
        <w:pStyle w:val="Heading2"/>
        <w:spacing w:before="100" w:beforeAutospacing="1" w:after="100" w:afterAutospacing="1"/>
        <w:jc w:val="both"/>
        <w:rPr>
          <w:rFonts w:asciiTheme="majorBidi" w:hAnsiTheme="majorBidi"/>
          <w:b/>
          <w:bCs/>
          <w:sz w:val="24"/>
          <w:szCs w:val="24"/>
        </w:rPr>
      </w:pPr>
      <w:bookmarkStart w:id="1" w:name="_Toc161578508"/>
      <w:r w:rsidRPr="007E53F1">
        <w:rPr>
          <w:rFonts w:asciiTheme="majorBidi" w:hAnsiTheme="majorBidi"/>
          <w:b/>
          <w:bCs/>
          <w:sz w:val="24"/>
          <w:szCs w:val="24"/>
        </w:rPr>
        <w:t>Introduction</w:t>
      </w:r>
      <w:bookmarkEnd w:id="1"/>
    </w:p>
    <w:p w14:paraId="4CA21F5E" w14:textId="029A4905" w:rsidR="002D1464" w:rsidRDefault="002D1464" w:rsidP="003322E6">
      <w:pPr>
        <w:spacing w:before="100" w:beforeAutospacing="1" w:after="100" w:afterAutospacing="1"/>
        <w:jc w:val="both"/>
        <w:rPr>
          <w:rFonts w:asciiTheme="majorBidi" w:hAnsiTheme="majorBidi" w:cstheme="majorBidi"/>
          <w:sz w:val="24"/>
          <w:szCs w:val="24"/>
        </w:rPr>
      </w:pPr>
      <w:r>
        <w:t>While most research on trust in the context of regulation and compliance focuses on the decline of public trust in institutions, this book challenges this prevailing narrative by highlighting a neglected issue: the inability of governments to gauge the extent and quality of public cooperation with their policies. The book examines why voluntary compliance (VC), despite being viewed as more sustainable, beneficial to society, and higher quality than coerced compliance, remains largely an unrealized ideal rather than a realistic normative and practical paradigm.</w:t>
      </w:r>
    </w:p>
    <w:p w14:paraId="462E3D78" w14:textId="0C8E5D68" w:rsidR="003322E6" w:rsidRPr="00644B88" w:rsidRDefault="003322E6" w:rsidP="003322E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lastRenderedPageBreak/>
        <w:t xml:space="preserve">To what extent </w:t>
      </w:r>
      <w:r w:rsidR="007F08D8">
        <w:rPr>
          <w:rFonts w:asciiTheme="majorBidi" w:hAnsiTheme="majorBidi" w:cstheme="majorBidi"/>
          <w:sz w:val="24"/>
          <w:szCs w:val="24"/>
        </w:rPr>
        <w:t xml:space="preserve">can </w:t>
      </w:r>
      <w:r w:rsidRPr="00644B88">
        <w:rPr>
          <w:rFonts w:asciiTheme="majorBidi" w:hAnsiTheme="majorBidi" w:cstheme="majorBidi"/>
          <w:sz w:val="24"/>
          <w:szCs w:val="24"/>
        </w:rPr>
        <w:t xml:space="preserve">states trust their citizens to cooperate with laws and regulations with the least possible use of coercive measures? What will the state </w:t>
      </w:r>
      <w:r w:rsidR="007F08D8">
        <w:rPr>
          <w:rFonts w:asciiTheme="majorBidi" w:hAnsiTheme="majorBidi" w:cstheme="majorBidi"/>
          <w:sz w:val="24"/>
          <w:szCs w:val="24"/>
        </w:rPr>
        <w:t xml:space="preserve">and public </w:t>
      </w:r>
      <w:r w:rsidRPr="00644B88">
        <w:rPr>
          <w:rFonts w:asciiTheme="majorBidi" w:hAnsiTheme="majorBidi" w:cstheme="majorBidi"/>
          <w:sz w:val="24"/>
          <w:szCs w:val="24"/>
        </w:rPr>
        <w:t>earn from such approaches</w:t>
      </w:r>
      <w:r w:rsidR="007F08D8">
        <w:rPr>
          <w:rFonts w:asciiTheme="majorBidi" w:hAnsiTheme="majorBidi" w:cstheme="majorBidi"/>
          <w:sz w:val="24"/>
          <w:szCs w:val="24"/>
        </w:rPr>
        <w:t xml:space="preserve"> </w:t>
      </w:r>
      <w:r w:rsidRPr="00644B88">
        <w:rPr>
          <w:rFonts w:asciiTheme="majorBidi" w:hAnsiTheme="majorBidi" w:cstheme="majorBidi"/>
          <w:sz w:val="24"/>
          <w:szCs w:val="24"/>
        </w:rPr>
        <w:t xml:space="preserve">and to what extent this is a desired goal? </w:t>
      </w:r>
    </w:p>
    <w:p w14:paraId="76F903FA" w14:textId="10BB868A" w:rsidR="003322E6" w:rsidRPr="00644B88" w:rsidRDefault="003322E6" w:rsidP="003322E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 xml:space="preserve">This book will address </w:t>
      </w:r>
      <w:r w:rsidR="007F08D8">
        <w:rPr>
          <w:rFonts w:asciiTheme="majorBidi" w:hAnsiTheme="majorBidi" w:cstheme="majorBidi"/>
          <w:sz w:val="24"/>
          <w:szCs w:val="24"/>
        </w:rPr>
        <w:t>these</w:t>
      </w:r>
      <w:r w:rsidR="007F08D8" w:rsidRPr="00644B88">
        <w:rPr>
          <w:rFonts w:asciiTheme="majorBidi" w:hAnsiTheme="majorBidi" w:cstheme="majorBidi"/>
          <w:sz w:val="24"/>
          <w:szCs w:val="24"/>
        </w:rPr>
        <w:t xml:space="preserve"> </w:t>
      </w:r>
      <w:r w:rsidRPr="00644B88">
        <w:rPr>
          <w:rFonts w:asciiTheme="majorBidi" w:hAnsiTheme="majorBidi" w:cstheme="majorBidi"/>
          <w:sz w:val="24"/>
          <w:szCs w:val="24"/>
        </w:rPr>
        <w:t>fundamental question</w:t>
      </w:r>
      <w:r w:rsidR="007F08D8">
        <w:rPr>
          <w:rFonts w:asciiTheme="majorBidi" w:hAnsiTheme="majorBidi" w:cstheme="majorBidi"/>
          <w:sz w:val="24"/>
          <w:szCs w:val="24"/>
        </w:rPr>
        <w:t>s</w:t>
      </w:r>
      <w:r w:rsidRPr="00644B88">
        <w:rPr>
          <w:rFonts w:asciiTheme="majorBidi" w:hAnsiTheme="majorBidi" w:cstheme="majorBidi"/>
          <w:sz w:val="24"/>
          <w:szCs w:val="24"/>
        </w:rPr>
        <w:t xml:space="preserve"> that arise in nearly every aspect of legal and social policy making and that affects a wide range of issues, including compliance with tax laws, environmental regulations, traffic and driving laws, commercial </w:t>
      </w:r>
      <w:proofErr w:type="gramStart"/>
      <w:r w:rsidRPr="00644B88">
        <w:rPr>
          <w:rFonts w:asciiTheme="majorBidi" w:hAnsiTheme="majorBidi" w:cstheme="majorBidi"/>
          <w:sz w:val="24"/>
          <w:szCs w:val="24"/>
        </w:rPr>
        <w:t>ethics</w:t>
      </w:r>
      <w:proofErr w:type="gramEnd"/>
      <w:r w:rsidRPr="00644B88">
        <w:rPr>
          <w:rFonts w:asciiTheme="majorBidi" w:hAnsiTheme="majorBidi" w:cstheme="majorBidi"/>
          <w:sz w:val="24"/>
          <w:szCs w:val="24"/>
        </w:rPr>
        <w:t xml:space="preserve"> and </w:t>
      </w:r>
      <w:r w:rsidR="002D1464">
        <w:rPr>
          <w:rFonts w:asciiTheme="majorBidi" w:hAnsiTheme="majorBidi" w:cstheme="majorBidi"/>
          <w:sz w:val="24"/>
          <w:szCs w:val="24"/>
        </w:rPr>
        <w:t>more</w:t>
      </w:r>
      <w:r w:rsidR="007F08D8" w:rsidRPr="00644B88">
        <w:rPr>
          <w:rFonts w:asciiTheme="majorBidi" w:hAnsiTheme="majorBidi" w:cstheme="majorBidi"/>
          <w:sz w:val="24"/>
          <w:szCs w:val="24"/>
        </w:rPr>
        <w:t xml:space="preserve"> </w:t>
      </w:r>
      <w:r w:rsidRPr="00644B88">
        <w:rPr>
          <w:rFonts w:asciiTheme="majorBidi" w:hAnsiTheme="majorBidi" w:cstheme="majorBidi"/>
          <w:sz w:val="24"/>
          <w:szCs w:val="24"/>
        </w:rPr>
        <w:t xml:space="preserve">recently COVID-19 regulations. </w:t>
      </w:r>
    </w:p>
    <w:p w14:paraId="4A1A7BE4" w14:textId="57C7C53E" w:rsidR="003322E6" w:rsidRPr="00644B88" w:rsidRDefault="003322E6" w:rsidP="003322E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The idea of citizens’ voluntary compliance</w:t>
      </w:r>
      <w:r w:rsidR="005A0D08">
        <w:rPr>
          <w:rStyle w:val="FootnoteReference"/>
          <w:rFonts w:asciiTheme="majorBidi" w:hAnsiTheme="majorBidi" w:cstheme="majorBidi"/>
          <w:sz w:val="24"/>
          <w:szCs w:val="24"/>
        </w:rPr>
        <w:footnoteReference w:id="1"/>
      </w:r>
      <w:r w:rsidRPr="00644B88">
        <w:rPr>
          <w:rFonts w:asciiTheme="majorBidi" w:hAnsiTheme="majorBidi" w:cstheme="majorBidi"/>
          <w:sz w:val="24"/>
          <w:szCs w:val="24"/>
        </w:rPr>
        <w:t xml:space="preserve"> and cooperative behavior</w:t>
      </w:r>
      <w:r w:rsidR="005A0D08">
        <w:rPr>
          <w:rStyle w:val="FootnoteReference"/>
          <w:rFonts w:asciiTheme="majorBidi" w:hAnsiTheme="majorBidi" w:cstheme="majorBidi"/>
          <w:sz w:val="24"/>
          <w:szCs w:val="24"/>
        </w:rPr>
        <w:footnoteReference w:id="2"/>
      </w:r>
      <w:r w:rsidRPr="00644B88">
        <w:rPr>
          <w:rFonts w:asciiTheme="majorBidi" w:hAnsiTheme="majorBidi" w:cstheme="majorBidi"/>
          <w:sz w:val="24"/>
          <w:szCs w:val="24"/>
        </w:rPr>
        <w:t xml:space="preserve"> is discussed from different perspectives in nearly </w:t>
      </w:r>
      <w:proofErr w:type="gramStart"/>
      <w:r w:rsidRPr="00644B88">
        <w:rPr>
          <w:rFonts w:asciiTheme="majorBidi" w:hAnsiTheme="majorBidi" w:cstheme="majorBidi"/>
          <w:sz w:val="24"/>
          <w:szCs w:val="24"/>
        </w:rPr>
        <w:t>all of</w:t>
      </w:r>
      <w:proofErr w:type="gramEnd"/>
      <w:r w:rsidRPr="00644B88">
        <w:rPr>
          <w:rFonts w:asciiTheme="majorBidi" w:hAnsiTheme="majorBidi" w:cstheme="majorBidi"/>
          <w:sz w:val="24"/>
          <w:szCs w:val="24"/>
        </w:rPr>
        <w:t xml:space="preserve"> the social sciences (psychology,</w:t>
      </w:r>
      <w:r w:rsidRPr="00644B88">
        <w:rPr>
          <w:rFonts w:asciiTheme="majorBidi" w:hAnsiTheme="majorBidi" w:cstheme="majorBidi"/>
          <w:sz w:val="24"/>
          <w:szCs w:val="24"/>
          <w:rtl/>
        </w:rPr>
        <w:t xml:space="preserve"> </w:t>
      </w:r>
      <w:r w:rsidRPr="00644B88">
        <w:rPr>
          <w:rFonts w:asciiTheme="majorBidi" w:hAnsiTheme="majorBidi" w:cstheme="majorBidi"/>
          <w:sz w:val="24"/>
          <w:szCs w:val="24"/>
        </w:rPr>
        <w:t xml:space="preserve">sociology economics, political science, criminology, and more) as well as in the literature of law and even philosophy. </w:t>
      </w:r>
      <w:r w:rsidR="00A842DE">
        <w:rPr>
          <w:rFonts w:asciiTheme="majorBidi" w:hAnsiTheme="majorBidi" w:cstheme="majorBidi"/>
          <w:sz w:val="24"/>
          <w:szCs w:val="24"/>
        </w:rPr>
        <w:t>From the outset, it seem</w:t>
      </w:r>
      <w:r w:rsidR="00FA5329">
        <w:rPr>
          <w:rFonts w:asciiTheme="majorBidi" w:hAnsiTheme="majorBidi" w:cstheme="majorBidi"/>
          <w:sz w:val="24"/>
          <w:szCs w:val="24"/>
        </w:rPr>
        <w:t>s</w:t>
      </w:r>
      <w:r w:rsidR="00A842DE">
        <w:rPr>
          <w:rFonts w:asciiTheme="majorBidi" w:hAnsiTheme="majorBidi" w:cstheme="majorBidi"/>
          <w:sz w:val="24"/>
          <w:szCs w:val="24"/>
        </w:rPr>
        <w:t xml:space="preserve"> safe to argue</w:t>
      </w:r>
      <w:r w:rsidRPr="00644B88">
        <w:rPr>
          <w:rFonts w:asciiTheme="majorBidi" w:hAnsiTheme="majorBidi" w:cstheme="majorBidi"/>
          <w:sz w:val="24"/>
          <w:szCs w:val="24"/>
        </w:rPr>
        <w:t xml:space="preserve"> that obtaining voluntary compliance from citizens, especially if it is driven by intrinsic motivation, is the most desirable form of governance</w:t>
      </w:r>
      <w:r w:rsidR="00A842DE">
        <w:rPr>
          <w:rStyle w:val="FootnoteReference"/>
          <w:rFonts w:asciiTheme="majorBidi" w:hAnsiTheme="majorBidi" w:cstheme="majorBidi"/>
          <w:sz w:val="24"/>
          <w:szCs w:val="24"/>
        </w:rPr>
        <w:footnoteReference w:id="3"/>
      </w:r>
      <w:r w:rsidRPr="00644B88">
        <w:rPr>
          <w:rFonts w:asciiTheme="majorBidi" w:hAnsiTheme="majorBidi" w:cstheme="majorBidi"/>
          <w:sz w:val="24"/>
          <w:szCs w:val="24"/>
        </w:rPr>
        <w:t>. However,</w:t>
      </w:r>
      <w:r w:rsidR="002D1464">
        <w:rPr>
          <w:rFonts w:asciiTheme="majorBidi" w:hAnsiTheme="majorBidi" w:cstheme="majorBidi"/>
          <w:sz w:val="24"/>
          <w:szCs w:val="24"/>
        </w:rPr>
        <w:t xml:space="preserve"> in many ways this </w:t>
      </w:r>
      <w:r w:rsidRPr="00644B88">
        <w:rPr>
          <w:rFonts w:asciiTheme="majorBidi" w:hAnsiTheme="majorBidi" w:cstheme="majorBidi"/>
          <w:sz w:val="24"/>
          <w:szCs w:val="24"/>
        </w:rPr>
        <w:t xml:space="preserve">perception of policy makers is that </w:t>
      </w:r>
      <w:proofErr w:type="gramStart"/>
      <w:r w:rsidRPr="00644B88">
        <w:rPr>
          <w:rFonts w:asciiTheme="majorBidi" w:hAnsiTheme="majorBidi" w:cstheme="majorBidi"/>
          <w:sz w:val="24"/>
          <w:szCs w:val="24"/>
        </w:rPr>
        <w:t>in order to</w:t>
      </w:r>
      <w:proofErr w:type="gramEnd"/>
      <w:r w:rsidRPr="00644B88">
        <w:rPr>
          <w:rFonts w:asciiTheme="majorBidi" w:hAnsiTheme="majorBidi" w:cstheme="majorBidi"/>
          <w:sz w:val="24"/>
          <w:szCs w:val="24"/>
        </w:rPr>
        <w:t xml:space="preserve"> trust the public and uphold their commitment to protect the public interest, they need strong indications that those regulated will indeed behave according to the law.</w:t>
      </w:r>
      <w:r w:rsidR="002D1464">
        <w:rPr>
          <w:rFonts w:asciiTheme="majorBidi" w:hAnsiTheme="majorBidi" w:cstheme="majorBidi"/>
          <w:sz w:val="24"/>
          <w:szCs w:val="24"/>
        </w:rPr>
        <w:t xml:space="preserve"> </w:t>
      </w:r>
      <w:r w:rsidR="001F3B87">
        <w:rPr>
          <w:rFonts w:asciiTheme="majorBidi" w:hAnsiTheme="majorBidi" w:cstheme="majorBidi"/>
          <w:sz w:val="24"/>
          <w:szCs w:val="24"/>
        </w:rPr>
        <w:t xml:space="preserve"> Without such</w:t>
      </w:r>
      <w:r w:rsidR="002D1464">
        <w:rPr>
          <w:rFonts w:asciiTheme="majorBidi" w:hAnsiTheme="majorBidi" w:cstheme="majorBidi"/>
          <w:sz w:val="24"/>
          <w:szCs w:val="24"/>
        </w:rPr>
        <w:t xml:space="preserve"> </w:t>
      </w:r>
      <w:r w:rsidR="009C0747">
        <w:rPr>
          <w:rFonts w:asciiTheme="majorBidi" w:hAnsiTheme="majorBidi" w:cstheme="majorBidi"/>
          <w:sz w:val="24"/>
          <w:szCs w:val="24"/>
        </w:rPr>
        <w:t>a clear</w:t>
      </w:r>
      <w:r w:rsidR="001F3B87">
        <w:rPr>
          <w:rFonts w:asciiTheme="majorBidi" w:hAnsiTheme="majorBidi" w:cstheme="majorBidi"/>
          <w:sz w:val="24"/>
          <w:szCs w:val="24"/>
        </w:rPr>
        <w:t xml:space="preserve"> belief</w:t>
      </w:r>
      <w:r w:rsidR="002D1464">
        <w:rPr>
          <w:rFonts w:asciiTheme="majorBidi" w:hAnsiTheme="majorBidi" w:cstheme="majorBidi"/>
          <w:sz w:val="24"/>
          <w:szCs w:val="24"/>
        </w:rPr>
        <w:t xml:space="preserve"> of what to expect from such reliance on voluntary compliance,</w:t>
      </w:r>
      <w:r w:rsidR="001F3B87">
        <w:rPr>
          <w:rFonts w:asciiTheme="majorBidi" w:hAnsiTheme="majorBidi" w:cstheme="majorBidi"/>
          <w:sz w:val="24"/>
          <w:szCs w:val="24"/>
        </w:rPr>
        <w:t xml:space="preserve"> they are afraid that they might end up harming the public they are supposed to protect</w:t>
      </w:r>
      <w:r w:rsidR="002D1464">
        <w:rPr>
          <w:rFonts w:asciiTheme="majorBidi" w:hAnsiTheme="majorBidi" w:cstheme="majorBidi"/>
          <w:sz w:val="24"/>
          <w:szCs w:val="24"/>
        </w:rPr>
        <w:t xml:space="preserve">, losing </w:t>
      </w:r>
      <w:proofErr w:type="gramStart"/>
      <w:r w:rsidR="002D1464">
        <w:rPr>
          <w:rFonts w:asciiTheme="majorBidi" w:hAnsiTheme="majorBidi" w:cstheme="majorBidi"/>
          <w:sz w:val="24"/>
          <w:szCs w:val="24"/>
        </w:rPr>
        <w:t>power</w:t>
      </w:r>
      <w:proofErr w:type="gramEnd"/>
      <w:r w:rsidR="002D1464">
        <w:rPr>
          <w:rFonts w:asciiTheme="majorBidi" w:hAnsiTheme="majorBidi" w:cstheme="majorBidi"/>
          <w:sz w:val="24"/>
          <w:szCs w:val="24"/>
        </w:rPr>
        <w:t xml:space="preserve"> and getting inferior results. </w:t>
      </w:r>
      <w:proofErr w:type="gramStart"/>
      <w:r w:rsidR="002D1464">
        <w:rPr>
          <w:rFonts w:asciiTheme="majorBidi" w:hAnsiTheme="majorBidi" w:cstheme="majorBidi"/>
          <w:sz w:val="24"/>
          <w:szCs w:val="24"/>
        </w:rPr>
        <w:t>Thus</w:t>
      </w:r>
      <w:proofErr w:type="gramEnd"/>
      <w:r w:rsidR="009C0747">
        <w:rPr>
          <w:rFonts w:asciiTheme="majorBidi" w:hAnsiTheme="majorBidi" w:cstheme="majorBidi"/>
          <w:sz w:val="24"/>
          <w:szCs w:val="24"/>
        </w:rPr>
        <w:t xml:space="preserve"> both states and their </w:t>
      </w:r>
      <w:r w:rsidR="00EE04CB">
        <w:rPr>
          <w:rFonts w:asciiTheme="majorBidi" w:hAnsiTheme="majorBidi" w:cstheme="majorBidi"/>
          <w:sz w:val="24"/>
          <w:szCs w:val="24"/>
        </w:rPr>
        <w:t>citizens</w:t>
      </w:r>
      <w:r w:rsidR="002D1464">
        <w:rPr>
          <w:rFonts w:asciiTheme="majorBidi" w:hAnsiTheme="majorBidi" w:cstheme="majorBidi"/>
          <w:sz w:val="24"/>
          <w:szCs w:val="24"/>
        </w:rPr>
        <w:t xml:space="preserve"> end up in some prisoner dilemma, where regulators behave in a suboptimal way</w:t>
      </w:r>
      <w:r w:rsidR="00EE04CB">
        <w:rPr>
          <w:rFonts w:asciiTheme="majorBidi" w:hAnsiTheme="majorBidi" w:cstheme="majorBidi"/>
          <w:sz w:val="24"/>
          <w:szCs w:val="24"/>
        </w:rPr>
        <w:t>, which will push even more people to feel that they are not trustworthy,</w:t>
      </w:r>
      <w:r w:rsidR="002D1464">
        <w:rPr>
          <w:rFonts w:asciiTheme="majorBidi" w:hAnsiTheme="majorBidi" w:cstheme="majorBidi"/>
          <w:sz w:val="24"/>
          <w:szCs w:val="24"/>
        </w:rPr>
        <w:t xml:space="preserve"> simply because they can’t know in</w:t>
      </w:r>
      <w:r w:rsidR="009C0747">
        <w:rPr>
          <w:rFonts w:asciiTheme="majorBidi" w:hAnsiTheme="majorBidi" w:cstheme="majorBidi"/>
          <w:sz w:val="24"/>
          <w:szCs w:val="24"/>
        </w:rPr>
        <w:t xml:space="preserve"> advance when and how</w:t>
      </w:r>
      <w:r w:rsidR="002D1464">
        <w:rPr>
          <w:rFonts w:asciiTheme="majorBidi" w:hAnsiTheme="majorBidi" w:cstheme="majorBidi"/>
          <w:sz w:val="24"/>
          <w:szCs w:val="24"/>
        </w:rPr>
        <w:t xml:space="preserve"> the public could be trusted</w:t>
      </w:r>
      <w:r w:rsidR="009C0747">
        <w:rPr>
          <w:rFonts w:asciiTheme="majorBidi" w:hAnsiTheme="majorBidi" w:cstheme="majorBidi"/>
          <w:sz w:val="24"/>
          <w:szCs w:val="24"/>
        </w:rPr>
        <w:t xml:space="preserve"> to cooperate. </w:t>
      </w:r>
    </w:p>
    <w:p w14:paraId="33DD66BB" w14:textId="1BD80DDA" w:rsidR="0089206A" w:rsidRDefault="009C0747" w:rsidP="0089206A">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By and large, much of this deficit is related to </w:t>
      </w:r>
      <w:r w:rsidR="003322E6" w:rsidRPr="00644B88">
        <w:rPr>
          <w:rFonts w:asciiTheme="majorBidi" w:hAnsiTheme="majorBidi" w:cstheme="majorBidi"/>
          <w:sz w:val="24"/>
          <w:szCs w:val="24"/>
        </w:rPr>
        <w:t xml:space="preserve">the empirical basis of our understanding of when people can be trusted </w:t>
      </w:r>
      <w:proofErr w:type="gramStart"/>
      <w:r w:rsidR="003322E6" w:rsidRPr="00644B88">
        <w:rPr>
          <w:rFonts w:asciiTheme="majorBidi" w:hAnsiTheme="majorBidi" w:cstheme="majorBidi"/>
          <w:sz w:val="24"/>
          <w:szCs w:val="24"/>
        </w:rPr>
        <w:t>in a given</w:t>
      </w:r>
      <w:proofErr w:type="gramEnd"/>
      <w:r w:rsidR="003322E6" w:rsidRPr="00644B88">
        <w:rPr>
          <w:rFonts w:asciiTheme="majorBidi" w:hAnsiTheme="majorBidi" w:cstheme="majorBidi"/>
          <w:sz w:val="24"/>
          <w:szCs w:val="24"/>
        </w:rPr>
        <w:t xml:space="preserve"> situation is weak</w:t>
      </w:r>
      <w:r w:rsidR="00D969F3">
        <w:rPr>
          <w:rFonts w:asciiTheme="majorBidi" w:hAnsiTheme="majorBidi" w:cstheme="majorBidi"/>
          <w:sz w:val="24"/>
          <w:szCs w:val="24"/>
        </w:rPr>
        <w:t xml:space="preserve"> and limited</w:t>
      </w:r>
      <w:r w:rsidR="003322E6" w:rsidRPr="00644B88">
        <w:rPr>
          <w:rFonts w:asciiTheme="majorBidi" w:hAnsiTheme="majorBidi" w:cstheme="majorBidi"/>
          <w:sz w:val="24"/>
          <w:szCs w:val="24"/>
        </w:rPr>
        <w:t xml:space="preserve">. As a result, risk-averse policy makers resort to monitoring and coercive measures, simply because it is very challenging and complicated to identify in </w:t>
      </w:r>
      <w:r w:rsidR="008B0E4F" w:rsidRPr="00644B88">
        <w:rPr>
          <w:rFonts w:asciiTheme="majorBidi" w:hAnsiTheme="majorBidi" w:cstheme="majorBidi"/>
          <w:sz w:val="24"/>
          <w:szCs w:val="24"/>
        </w:rPr>
        <w:t>advance, the</w:t>
      </w:r>
      <w:r w:rsidR="003322E6" w:rsidRPr="00644B88">
        <w:rPr>
          <w:rFonts w:asciiTheme="majorBidi" w:hAnsiTheme="majorBidi" w:cstheme="majorBidi"/>
          <w:sz w:val="24"/>
          <w:szCs w:val="24"/>
        </w:rPr>
        <w:t xml:space="preserve"> proportion of people in the population who will engage in more voluntary forms of cooperation in a given situation.</w:t>
      </w:r>
      <w:r w:rsidR="003322E6" w:rsidRPr="00644B88">
        <w:rPr>
          <w:rStyle w:val="FootnoteReference"/>
          <w:rFonts w:asciiTheme="majorBidi" w:hAnsiTheme="majorBidi" w:cstheme="majorBidi"/>
          <w:sz w:val="24"/>
          <w:szCs w:val="24"/>
        </w:rPr>
        <w:footnoteReference w:id="4"/>
      </w:r>
      <w:r w:rsidR="003322E6" w:rsidRPr="00644B88">
        <w:rPr>
          <w:rFonts w:asciiTheme="majorBidi" w:hAnsiTheme="majorBidi" w:cstheme="majorBidi"/>
          <w:sz w:val="24"/>
          <w:szCs w:val="24"/>
        </w:rPr>
        <w:t xml:space="preserve"> The current COVID-19 pandemic crisis led some countries to resort to sanctions and fear-based rhetoric to gain public cooperation, and offers an excellent example of how the more coercive process occurs. These coercive measures were employed despite the overwhelming and recognized evidence of the short-term and long-term advantages of softer, less coercive regulatory measures, which have been shown to motivate people to engage in better quality compliance even in areas and contexts in which monitoring is impossible. </w:t>
      </w:r>
      <w:r w:rsidR="008B0E4F" w:rsidRPr="00644B88">
        <w:rPr>
          <w:rFonts w:asciiTheme="majorBidi" w:hAnsiTheme="majorBidi" w:cstheme="majorBidi"/>
          <w:sz w:val="24"/>
          <w:szCs w:val="24"/>
        </w:rPr>
        <w:t>However,</w:t>
      </w:r>
      <w:r w:rsidR="003322E6" w:rsidRPr="00644B88">
        <w:rPr>
          <w:rFonts w:asciiTheme="majorBidi" w:hAnsiTheme="majorBidi" w:cstheme="majorBidi"/>
          <w:sz w:val="24"/>
          <w:szCs w:val="24"/>
        </w:rPr>
        <w:t xml:space="preserve"> despite these advantages, because of the constant risk and lack of knowledge of what exactly is known with </w:t>
      </w:r>
      <w:r w:rsidR="003322E6" w:rsidRPr="00644B88">
        <w:rPr>
          <w:rFonts w:asciiTheme="majorBidi" w:hAnsiTheme="majorBidi" w:cstheme="majorBidi"/>
          <w:sz w:val="24"/>
          <w:szCs w:val="24"/>
        </w:rPr>
        <w:lastRenderedPageBreak/>
        <w:t>regards to the</w:t>
      </w:r>
      <w:r w:rsidR="00581F28" w:rsidRPr="00644B88">
        <w:rPr>
          <w:rFonts w:asciiTheme="majorBidi" w:hAnsiTheme="majorBidi" w:cstheme="majorBidi"/>
          <w:sz w:val="24"/>
          <w:szCs w:val="24"/>
        </w:rPr>
        <w:t xml:space="preserve"> likelihood of cooperation in many context</w:t>
      </w:r>
      <w:r w:rsidR="00EE04CB">
        <w:rPr>
          <w:rFonts w:asciiTheme="majorBidi" w:hAnsiTheme="majorBidi" w:cstheme="majorBidi"/>
          <w:sz w:val="24"/>
          <w:szCs w:val="24"/>
        </w:rPr>
        <w:t>s</w:t>
      </w:r>
      <w:r w:rsidR="00581F28" w:rsidRPr="00644B88">
        <w:rPr>
          <w:rFonts w:asciiTheme="majorBidi" w:hAnsiTheme="majorBidi" w:cstheme="majorBidi"/>
          <w:sz w:val="24"/>
          <w:szCs w:val="24"/>
        </w:rPr>
        <w:t xml:space="preserve">, </w:t>
      </w:r>
      <w:r w:rsidR="00D969F3">
        <w:rPr>
          <w:rFonts w:asciiTheme="majorBidi" w:hAnsiTheme="majorBidi" w:cstheme="majorBidi"/>
          <w:sz w:val="24"/>
          <w:szCs w:val="24"/>
        </w:rPr>
        <w:t xml:space="preserve">regulators </w:t>
      </w:r>
      <w:r w:rsidR="00581F28" w:rsidRPr="00644B88">
        <w:rPr>
          <w:rFonts w:asciiTheme="majorBidi" w:hAnsiTheme="majorBidi" w:cstheme="majorBidi"/>
          <w:sz w:val="24"/>
          <w:szCs w:val="24"/>
        </w:rPr>
        <w:t>resort</w:t>
      </w:r>
      <w:r w:rsidR="00D969F3">
        <w:rPr>
          <w:rFonts w:asciiTheme="majorBidi" w:hAnsiTheme="majorBidi" w:cstheme="majorBidi"/>
          <w:sz w:val="24"/>
          <w:szCs w:val="24"/>
        </w:rPr>
        <w:t xml:space="preserve"> </w:t>
      </w:r>
      <w:r w:rsidR="00581F28" w:rsidRPr="00644B88">
        <w:rPr>
          <w:rFonts w:asciiTheme="majorBidi" w:hAnsiTheme="majorBidi" w:cstheme="majorBidi"/>
          <w:sz w:val="24"/>
          <w:szCs w:val="24"/>
        </w:rPr>
        <w:t xml:space="preserve">to traditional approaches, happens in more contexts than assumed before. </w:t>
      </w:r>
      <w:r w:rsidR="003322E6" w:rsidRPr="00644B88">
        <w:rPr>
          <w:rFonts w:asciiTheme="majorBidi" w:hAnsiTheme="majorBidi" w:cstheme="majorBidi"/>
          <w:sz w:val="24"/>
          <w:szCs w:val="24"/>
        </w:rPr>
        <w:t xml:space="preserve"> </w:t>
      </w:r>
    </w:p>
    <w:p w14:paraId="1B1E0788" w14:textId="0F541C5C" w:rsidR="0089206A" w:rsidRDefault="003322E6" w:rsidP="00216175">
      <w:pPr>
        <w:spacing w:before="100" w:beforeAutospacing="1" w:after="100" w:afterAutospacing="1"/>
        <w:ind w:firstLine="720"/>
        <w:jc w:val="both"/>
        <w:rPr>
          <w:rFonts w:asciiTheme="majorBidi" w:hAnsiTheme="majorBidi" w:cstheme="majorBidi"/>
          <w:sz w:val="24"/>
          <w:szCs w:val="24"/>
        </w:rPr>
      </w:pPr>
      <w:r w:rsidRPr="0089206A">
        <w:rPr>
          <w:rFonts w:asciiTheme="majorBidi" w:hAnsiTheme="majorBidi" w:cstheme="majorBidi"/>
          <w:sz w:val="24"/>
          <w:szCs w:val="24"/>
        </w:rPr>
        <w:t>Better insights into</w:t>
      </w:r>
      <w:r w:rsidR="00D969F3" w:rsidRPr="0089206A">
        <w:rPr>
          <w:rFonts w:asciiTheme="majorBidi" w:hAnsiTheme="majorBidi" w:cstheme="majorBidi"/>
          <w:sz w:val="24"/>
          <w:szCs w:val="24"/>
        </w:rPr>
        <w:t xml:space="preserve"> the likelihood and quality of</w:t>
      </w:r>
      <w:r w:rsidRPr="0089206A">
        <w:rPr>
          <w:rFonts w:asciiTheme="majorBidi" w:hAnsiTheme="majorBidi" w:cstheme="majorBidi"/>
          <w:sz w:val="24"/>
          <w:szCs w:val="24"/>
        </w:rPr>
        <w:t xml:space="preserve"> voluntary compliance can help advance the theoretical understanding of the nature of the interaction between </w:t>
      </w:r>
      <w:r w:rsidR="00D969F3" w:rsidRPr="0089206A">
        <w:rPr>
          <w:rFonts w:asciiTheme="majorBidi" w:hAnsiTheme="majorBidi" w:cstheme="majorBidi"/>
          <w:sz w:val="24"/>
          <w:szCs w:val="24"/>
        </w:rPr>
        <w:t>democratic governments</w:t>
      </w:r>
      <w:r w:rsidRPr="0089206A">
        <w:rPr>
          <w:rFonts w:asciiTheme="majorBidi" w:hAnsiTheme="majorBidi" w:cstheme="majorBidi"/>
          <w:sz w:val="24"/>
          <w:szCs w:val="24"/>
        </w:rPr>
        <w:t xml:space="preserve"> their residents, as well as improve policy making in cases where the quality of voluntary cooperation is superior to </w:t>
      </w:r>
      <w:r w:rsidR="00D969F3" w:rsidRPr="0089206A">
        <w:rPr>
          <w:rFonts w:asciiTheme="majorBidi" w:hAnsiTheme="majorBidi" w:cstheme="majorBidi"/>
          <w:sz w:val="24"/>
          <w:szCs w:val="24"/>
        </w:rPr>
        <w:t>coerced</w:t>
      </w:r>
      <w:r w:rsidRPr="0089206A">
        <w:rPr>
          <w:rFonts w:asciiTheme="majorBidi" w:hAnsiTheme="majorBidi" w:cstheme="majorBidi"/>
          <w:sz w:val="24"/>
          <w:szCs w:val="24"/>
        </w:rPr>
        <w:t xml:space="preserve"> compliance or when the means policy makers could employ to coerce cooperation are limited</w:t>
      </w:r>
      <w:r w:rsidR="002C4FC9" w:rsidRPr="0089206A">
        <w:rPr>
          <w:rFonts w:asciiTheme="majorBidi" w:hAnsiTheme="majorBidi" w:cstheme="majorBidi"/>
          <w:sz w:val="24"/>
          <w:szCs w:val="24"/>
        </w:rPr>
        <w:t>, disruptive</w:t>
      </w:r>
      <w:r w:rsidRPr="0089206A">
        <w:rPr>
          <w:rFonts w:asciiTheme="majorBidi" w:hAnsiTheme="majorBidi" w:cstheme="majorBidi"/>
          <w:sz w:val="24"/>
          <w:szCs w:val="24"/>
        </w:rPr>
        <w:t xml:space="preserve"> or too costly. </w:t>
      </w:r>
      <w:r w:rsidR="0092669E" w:rsidRPr="0089206A">
        <w:rPr>
          <w:rFonts w:asciiTheme="majorBidi" w:hAnsiTheme="majorBidi" w:cstheme="majorBidi"/>
          <w:sz w:val="24"/>
          <w:szCs w:val="24"/>
        </w:rPr>
        <w:t>Much of the discussion in this book</w:t>
      </w:r>
      <w:r w:rsidR="003C400F" w:rsidRPr="0089206A">
        <w:rPr>
          <w:rFonts w:asciiTheme="majorBidi" w:hAnsiTheme="majorBidi" w:cstheme="majorBidi"/>
          <w:sz w:val="24"/>
          <w:szCs w:val="24"/>
        </w:rPr>
        <w:t xml:space="preserve"> </w:t>
      </w:r>
      <w:r w:rsidRPr="0089206A">
        <w:rPr>
          <w:rFonts w:asciiTheme="majorBidi" w:hAnsiTheme="majorBidi" w:cstheme="majorBidi"/>
          <w:sz w:val="24"/>
          <w:szCs w:val="24"/>
        </w:rPr>
        <w:t xml:space="preserve">will demonstrate the extent to which voluntary cooperation could and should be sought and the optimal ways to achieve it. </w:t>
      </w:r>
      <w:r w:rsidR="0089206A" w:rsidRPr="0089206A">
        <w:rPr>
          <w:rFonts w:asciiTheme="majorBidi" w:hAnsiTheme="majorBidi" w:cstheme="majorBidi"/>
          <w:sz w:val="24"/>
          <w:szCs w:val="24"/>
        </w:rPr>
        <w:t>The different costs of voluntary compliance in aspects such as equality, communication, uncertainty, and increased risk to the public will be explored in this book.</w:t>
      </w:r>
      <w:r w:rsidR="0089206A">
        <w:rPr>
          <w:rFonts w:asciiTheme="majorBidi" w:hAnsiTheme="majorBidi" w:cstheme="majorBidi"/>
          <w:sz w:val="24"/>
          <w:szCs w:val="24"/>
        </w:rPr>
        <w:t xml:space="preserve"> </w:t>
      </w:r>
      <w:r w:rsidR="0089206A" w:rsidRPr="0089206A">
        <w:rPr>
          <w:rFonts w:asciiTheme="majorBidi" w:hAnsiTheme="majorBidi" w:cstheme="majorBidi"/>
          <w:sz w:val="24"/>
          <w:szCs w:val="24"/>
        </w:rPr>
        <w:t>Additionally, the benefits of voluntary compliance in terms of its effect on autonomy, resilience, quality of compliance, and enhanced trust relationships will also be discussed</w:t>
      </w:r>
      <w:r w:rsidRPr="00644B88">
        <w:rPr>
          <w:rFonts w:asciiTheme="majorBidi" w:hAnsiTheme="majorBidi" w:cstheme="majorBidi"/>
          <w:sz w:val="24"/>
          <w:szCs w:val="24"/>
        </w:rPr>
        <w:t>.</w:t>
      </w:r>
      <w:r w:rsidRPr="00644B88">
        <w:rPr>
          <w:rStyle w:val="FootnoteReference"/>
          <w:rFonts w:asciiTheme="majorBidi" w:hAnsiTheme="majorBidi" w:cstheme="majorBidi"/>
          <w:sz w:val="24"/>
          <w:szCs w:val="24"/>
        </w:rPr>
        <w:footnoteReference w:id="5"/>
      </w:r>
      <w:r w:rsidRPr="00644B88">
        <w:rPr>
          <w:rFonts w:asciiTheme="majorBidi" w:hAnsiTheme="majorBidi" w:cstheme="majorBidi"/>
          <w:sz w:val="24"/>
          <w:szCs w:val="24"/>
        </w:rPr>
        <w:t xml:space="preserve"> </w:t>
      </w:r>
    </w:p>
    <w:p w14:paraId="757543E9" w14:textId="1B22B278" w:rsidR="003322E6" w:rsidRPr="00644B88" w:rsidRDefault="003322E6" w:rsidP="00DE6FB6">
      <w:pPr>
        <w:spacing w:before="100" w:beforeAutospacing="1" w:after="100" w:afterAutospacing="1"/>
        <w:ind w:firstLine="720"/>
        <w:jc w:val="both"/>
        <w:rPr>
          <w:rFonts w:asciiTheme="majorBidi" w:hAnsiTheme="majorBidi" w:cstheme="majorBidi"/>
          <w:sz w:val="24"/>
          <w:szCs w:val="24"/>
        </w:rPr>
      </w:pPr>
      <w:r w:rsidRPr="00644B88">
        <w:rPr>
          <w:rFonts w:asciiTheme="majorBidi" w:hAnsiTheme="majorBidi" w:cstheme="majorBidi"/>
          <w:sz w:val="24"/>
          <w:szCs w:val="24"/>
        </w:rPr>
        <w:t xml:space="preserve">The </w:t>
      </w:r>
      <w:r w:rsidR="00216175">
        <w:rPr>
          <w:rFonts w:asciiTheme="majorBidi" w:hAnsiTheme="majorBidi" w:cstheme="majorBidi"/>
          <w:sz w:val="24"/>
          <w:szCs w:val="24"/>
        </w:rPr>
        <w:t>voluntary compliance paradigm</w:t>
      </w:r>
      <w:r w:rsidR="0089206A">
        <w:rPr>
          <w:rFonts w:asciiTheme="majorBidi" w:hAnsiTheme="majorBidi" w:cstheme="majorBidi"/>
          <w:sz w:val="24"/>
          <w:szCs w:val="24"/>
        </w:rPr>
        <w:t xml:space="preserve"> </w:t>
      </w:r>
      <w:r w:rsidR="00216175">
        <w:rPr>
          <w:rFonts w:asciiTheme="majorBidi" w:hAnsiTheme="majorBidi" w:cstheme="majorBidi"/>
          <w:sz w:val="24"/>
          <w:szCs w:val="24"/>
        </w:rPr>
        <w:t>developed here</w:t>
      </w:r>
      <w:r w:rsidRPr="00644B88">
        <w:rPr>
          <w:rFonts w:asciiTheme="majorBidi" w:hAnsiTheme="majorBidi" w:cstheme="majorBidi"/>
          <w:sz w:val="24"/>
          <w:szCs w:val="24"/>
        </w:rPr>
        <w:t xml:space="preserve"> will enable researchers and policy makers to make more informed decisions about when, how and to what extent states </w:t>
      </w:r>
      <w:r w:rsidRPr="00644B88">
        <w:rPr>
          <w:rFonts w:asciiTheme="majorBidi" w:hAnsiTheme="majorBidi" w:cstheme="majorBidi"/>
          <w:i/>
          <w:iCs/>
          <w:sz w:val="24"/>
          <w:szCs w:val="24"/>
        </w:rPr>
        <w:t>could</w:t>
      </w:r>
      <w:r w:rsidRPr="00644B88">
        <w:rPr>
          <w:rFonts w:asciiTheme="majorBidi" w:hAnsiTheme="majorBidi" w:cstheme="majorBidi"/>
          <w:sz w:val="24"/>
          <w:szCs w:val="24"/>
        </w:rPr>
        <w:t xml:space="preserve"> resort to less coercive measures when trying to change the</w:t>
      </w:r>
      <w:r w:rsidR="0092669E">
        <w:rPr>
          <w:rFonts w:asciiTheme="majorBidi" w:hAnsiTheme="majorBidi" w:cstheme="majorBidi"/>
          <w:sz w:val="24"/>
          <w:szCs w:val="24"/>
        </w:rPr>
        <w:t xml:space="preserve"> short term and long terms</w:t>
      </w:r>
      <w:r w:rsidRPr="00644B88">
        <w:rPr>
          <w:rFonts w:asciiTheme="majorBidi" w:hAnsiTheme="majorBidi" w:cstheme="majorBidi"/>
          <w:sz w:val="24"/>
          <w:szCs w:val="24"/>
        </w:rPr>
        <w:t xml:space="preserve"> behavior of the public.</w:t>
      </w:r>
      <w:r w:rsidR="0092669E">
        <w:rPr>
          <w:rFonts w:asciiTheme="majorBidi" w:hAnsiTheme="majorBidi" w:cstheme="majorBidi"/>
          <w:sz w:val="24"/>
          <w:szCs w:val="24"/>
        </w:rPr>
        <w:t xml:space="preserve"> Since part of the focus associated with voluntary compliance is related to intrinsic motivation, </w:t>
      </w:r>
      <w:r w:rsidR="00DE6FB6">
        <w:rPr>
          <w:rFonts w:asciiTheme="majorBidi" w:hAnsiTheme="majorBidi" w:cstheme="majorBidi"/>
          <w:sz w:val="24"/>
          <w:szCs w:val="24"/>
        </w:rPr>
        <w:t xml:space="preserve">where people truly believe in the purpose of the relevant law or regulation, we will need to examine if states are even allowed to engage in practices which might shift people intrinsic motivation in the “desirable” direction. </w:t>
      </w:r>
      <w:r w:rsidR="003C400F">
        <w:rPr>
          <w:rFonts w:asciiTheme="majorBidi" w:hAnsiTheme="majorBidi" w:cstheme="majorBidi"/>
          <w:sz w:val="24"/>
          <w:szCs w:val="24"/>
        </w:rPr>
        <w:t xml:space="preserve"> </w:t>
      </w:r>
      <w:r w:rsidRPr="00644B88">
        <w:rPr>
          <w:rFonts w:asciiTheme="majorBidi" w:hAnsiTheme="majorBidi" w:cstheme="majorBidi"/>
          <w:sz w:val="24"/>
          <w:szCs w:val="24"/>
        </w:rPr>
        <w:t xml:space="preserve">The behavioral analysis on when states can trust members of the public will be accompanied by a normative discussion on when and to what </w:t>
      </w:r>
      <w:proofErr w:type="gramStart"/>
      <w:r w:rsidRPr="00644B88">
        <w:rPr>
          <w:rFonts w:asciiTheme="majorBidi" w:hAnsiTheme="majorBidi" w:cstheme="majorBidi"/>
          <w:sz w:val="24"/>
          <w:szCs w:val="24"/>
        </w:rPr>
        <w:t>extent,</w:t>
      </w:r>
      <w:proofErr w:type="gramEnd"/>
      <w:r w:rsidRPr="00644B88">
        <w:rPr>
          <w:rFonts w:asciiTheme="majorBidi" w:hAnsiTheme="majorBidi" w:cstheme="majorBidi"/>
          <w:sz w:val="24"/>
          <w:szCs w:val="24"/>
        </w:rPr>
        <w:t xml:space="preserve"> states </w:t>
      </w:r>
      <w:r w:rsidRPr="00644B88">
        <w:rPr>
          <w:rFonts w:asciiTheme="majorBidi" w:hAnsiTheme="majorBidi" w:cstheme="majorBidi"/>
          <w:i/>
          <w:iCs/>
          <w:sz w:val="24"/>
          <w:szCs w:val="24"/>
        </w:rPr>
        <w:t>should</w:t>
      </w:r>
      <w:r w:rsidRPr="00644B88">
        <w:rPr>
          <w:rFonts w:asciiTheme="majorBidi" w:hAnsiTheme="majorBidi" w:cstheme="majorBidi"/>
          <w:sz w:val="24"/>
          <w:szCs w:val="24"/>
        </w:rPr>
        <w:t xml:space="preserve"> do so, given </w:t>
      </w:r>
      <w:r w:rsidR="00E02ED1" w:rsidRPr="00644B88">
        <w:rPr>
          <w:rFonts w:asciiTheme="majorBidi" w:hAnsiTheme="majorBidi" w:cstheme="majorBidi"/>
          <w:sz w:val="24"/>
          <w:szCs w:val="24"/>
        </w:rPr>
        <w:t xml:space="preserve">the potential </w:t>
      </w:r>
      <w:r w:rsidR="00D04A38" w:rsidRPr="00644B88">
        <w:rPr>
          <w:rFonts w:asciiTheme="majorBidi" w:hAnsiTheme="majorBidi" w:cstheme="majorBidi"/>
          <w:sz w:val="24"/>
          <w:szCs w:val="24"/>
        </w:rPr>
        <w:t xml:space="preserve">broader effect of such an approach on the public and other players. Clearly, </w:t>
      </w:r>
      <w:r w:rsidR="00E85BDA" w:rsidRPr="00644B88">
        <w:rPr>
          <w:rFonts w:asciiTheme="majorBidi" w:hAnsiTheme="majorBidi" w:cstheme="majorBidi"/>
          <w:sz w:val="24"/>
          <w:szCs w:val="24"/>
        </w:rPr>
        <w:t>to evaluate these effects, knowledge on who will cooperate voluntarily and to what extent will be needed</w:t>
      </w:r>
      <w:r w:rsidR="001B1E9A">
        <w:rPr>
          <w:rStyle w:val="FootnoteReference"/>
          <w:rFonts w:asciiTheme="majorBidi" w:hAnsiTheme="majorBidi" w:cstheme="majorBidi"/>
          <w:sz w:val="24"/>
          <w:szCs w:val="24"/>
        </w:rPr>
        <w:footnoteReference w:id="6"/>
      </w:r>
      <w:r w:rsidR="00E85BDA" w:rsidRPr="00644B88">
        <w:rPr>
          <w:rFonts w:asciiTheme="majorBidi" w:hAnsiTheme="majorBidi" w:cstheme="majorBidi"/>
          <w:sz w:val="24"/>
          <w:szCs w:val="24"/>
        </w:rPr>
        <w:t xml:space="preserve">. </w:t>
      </w:r>
      <w:r w:rsidR="00D04A38" w:rsidRPr="00644B88">
        <w:rPr>
          <w:rFonts w:asciiTheme="majorBidi" w:hAnsiTheme="majorBidi" w:cstheme="majorBidi"/>
          <w:sz w:val="24"/>
          <w:szCs w:val="24"/>
        </w:rPr>
        <w:t xml:space="preserve"> </w:t>
      </w:r>
      <w:r w:rsidR="00E02ED1" w:rsidRPr="00644B88">
        <w:rPr>
          <w:rFonts w:asciiTheme="majorBidi" w:hAnsiTheme="majorBidi" w:cstheme="majorBidi"/>
          <w:sz w:val="24"/>
          <w:szCs w:val="24"/>
        </w:rPr>
        <w:t xml:space="preserve"> </w:t>
      </w:r>
    </w:p>
    <w:p w14:paraId="6532F2A4" w14:textId="1D256F8D" w:rsidR="005E6151" w:rsidRPr="00637780" w:rsidRDefault="004E75A6" w:rsidP="005E6151">
      <w:pPr>
        <w:spacing w:after="120" w:line="16" w:lineRule="atLeast"/>
        <w:ind w:firstLine="720"/>
        <w:contextualSpacing/>
        <w:jc w:val="both"/>
        <w:rPr>
          <w:rFonts w:asciiTheme="majorBidi" w:hAnsiTheme="majorBidi" w:cstheme="majorBidi"/>
          <w:sz w:val="24"/>
          <w:szCs w:val="24"/>
        </w:rPr>
      </w:pPr>
      <w:r w:rsidRPr="00637780">
        <w:rPr>
          <w:rFonts w:asciiTheme="majorBidi" w:hAnsiTheme="majorBidi" w:cstheme="majorBidi"/>
          <w:sz w:val="24"/>
          <w:szCs w:val="24"/>
        </w:rPr>
        <w:t>The different chapters of the book</w:t>
      </w:r>
      <w:r w:rsidR="005E6151" w:rsidRPr="00637780">
        <w:rPr>
          <w:rFonts w:asciiTheme="majorBidi" w:hAnsiTheme="majorBidi" w:cstheme="majorBidi"/>
          <w:sz w:val="24"/>
          <w:szCs w:val="24"/>
        </w:rPr>
        <w:t xml:space="preserve"> will address issues such as what regulatory approach is more likely to elicit VC, what could undermine it, and what needs to be done to understand how the individual, situational, regulatory, and cultural dimensions of the behavioral regulatory policy paradigm interact. In addition, we will </w:t>
      </w:r>
      <w:r w:rsidRPr="00637780">
        <w:rPr>
          <w:rFonts w:asciiTheme="majorBidi" w:hAnsiTheme="majorBidi" w:cstheme="majorBidi"/>
          <w:sz w:val="24"/>
          <w:szCs w:val="24"/>
        </w:rPr>
        <w:t>review and analyze</w:t>
      </w:r>
      <w:r w:rsidR="005E6151" w:rsidRPr="00637780">
        <w:rPr>
          <w:rFonts w:asciiTheme="majorBidi" w:hAnsiTheme="majorBidi" w:cstheme="majorBidi"/>
          <w:sz w:val="24"/>
          <w:szCs w:val="24"/>
        </w:rPr>
        <w:t xml:space="preserve"> methods balancing the risk to the public of reduced regulatory coercion and monitoring with the potential long-terms advantages to the public arising from a cooperative regulatory approach in which deserving regulatees feel trustworthy. The nature of this analysis is inevitably malleable, depending on the distinct types of behaviorally based regulatory tools, and with different target populations </w:t>
      </w:r>
      <w:r w:rsidR="002108DE" w:rsidRPr="00637780">
        <w:rPr>
          <w:rFonts w:asciiTheme="majorBidi" w:hAnsiTheme="majorBidi" w:cstheme="majorBidi"/>
          <w:sz w:val="24"/>
          <w:szCs w:val="24"/>
        </w:rPr>
        <w:t>with diverse</w:t>
      </w:r>
      <w:r w:rsidR="005E6151" w:rsidRPr="00637780">
        <w:rPr>
          <w:rFonts w:asciiTheme="majorBidi" w:hAnsiTheme="majorBidi" w:cstheme="majorBidi"/>
          <w:sz w:val="24"/>
          <w:szCs w:val="24"/>
        </w:rPr>
        <w:t xml:space="preserve"> backgrounds and ethical preferences.  </w:t>
      </w:r>
    </w:p>
    <w:p w14:paraId="6E936C3F" w14:textId="6330DAB2" w:rsidR="005E6151" w:rsidRPr="00637780" w:rsidRDefault="008225DB" w:rsidP="005E6151">
      <w:pPr>
        <w:spacing w:line="16" w:lineRule="atLeast"/>
        <w:ind w:firstLine="720"/>
        <w:contextualSpacing/>
        <w:jc w:val="both"/>
        <w:rPr>
          <w:rFonts w:asciiTheme="majorBidi" w:hAnsiTheme="majorBidi" w:cstheme="majorBidi"/>
          <w:sz w:val="24"/>
          <w:szCs w:val="24"/>
          <w:rtl/>
        </w:rPr>
      </w:pPr>
      <w:bookmarkStart w:id="2" w:name="_Hlk76911543"/>
      <w:r>
        <w:rPr>
          <w:rFonts w:asciiTheme="majorBidi" w:hAnsiTheme="majorBidi" w:cstheme="majorBidi"/>
          <w:sz w:val="24"/>
          <w:szCs w:val="24"/>
        </w:rPr>
        <w:t xml:space="preserve">Part of the problem with voluntary compliance is related to understanding what </w:t>
      </w:r>
      <w:proofErr w:type="gramStart"/>
      <w:r>
        <w:rPr>
          <w:rFonts w:asciiTheme="majorBidi" w:hAnsiTheme="majorBidi" w:cstheme="majorBidi"/>
          <w:sz w:val="24"/>
          <w:szCs w:val="24"/>
        </w:rPr>
        <w:t>exactly does</w:t>
      </w:r>
      <w:proofErr w:type="gramEnd"/>
      <w:r>
        <w:rPr>
          <w:rFonts w:asciiTheme="majorBidi" w:hAnsiTheme="majorBidi" w:cstheme="majorBidi"/>
          <w:sz w:val="24"/>
          <w:szCs w:val="24"/>
        </w:rPr>
        <w:t xml:space="preserve"> voluntary in voluntary compliance mean. Part of the discussion </w:t>
      </w:r>
      <w:r w:rsidR="00F4292C">
        <w:rPr>
          <w:rFonts w:asciiTheme="majorBidi" w:hAnsiTheme="majorBidi" w:cstheme="majorBidi"/>
          <w:sz w:val="24"/>
          <w:szCs w:val="24"/>
        </w:rPr>
        <w:t xml:space="preserve">which needs to be done to advance our understanding of voluntary compliance is to </w:t>
      </w:r>
      <w:r>
        <w:rPr>
          <w:rFonts w:asciiTheme="majorBidi" w:hAnsiTheme="majorBidi" w:cstheme="majorBidi"/>
          <w:sz w:val="24"/>
          <w:szCs w:val="24"/>
        </w:rPr>
        <w:t xml:space="preserve"> distinct between various optional dichotomies which help understand what is </w:t>
      </w:r>
      <w:r w:rsidR="005E6151" w:rsidRPr="00637780">
        <w:rPr>
          <w:rFonts w:asciiTheme="majorBidi" w:hAnsiTheme="majorBidi" w:cstheme="majorBidi"/>
          <w:sz w:val="24"/>
          <w:szCs w:val="24"/>
        </w:rPr>
        <w:t xml:space="preserve">spontaneous or </w:t>
      </w:r>
      <w:r w:rsidR="005E6151" w:rsidRPr="00637780">
        <w:rPr>
          <w:rFonts w:asciiTheme="majorBidi" w:hAnsiTheme="majorBidi" w:cstheme="majorBidi"/>
          <w:sz w:val="24"/>
          <w:szCs w:val="24"/>
        </w:rPr>
        <w:lastRenderedPageBreak/>
        <w:t>induced, the regulatee’s consciousness of the decision to comply</w:t>
      </w:r>
      <w:r w:rsidR="00F4292C">
        <w:rPr>
          <w:rFonts w:asciiTheme="majorBidi" w:hAnsiTheme="majorBidi" w:cstheme="majorBidi"/>
          <w:sz w:val="24"/>
          <w:szCs w:val="24"/>
        </w:rPr>
        <w:t xml:space="preserve"> as in the case of many nudges, the relationship between voluntary and extrinsic measures such as positive incentives where the individual free decision might be relate to the </w:t>
      </w:r>
      <w:r w:rsidR="005E6151" w:rsidRPr="00637780">
        <w:rPr>
          <w:rFonts w:asciiTheme="majorBidi" w:hAnsiTheme="majorBidi" w:cstheme="majorBidi"/>
          <w:sz w:val="24"/>
          <w:szCs w:val="24"/>
        </w:rPr>
        <w:t xml:space="preserve">, and how coercion free VC measures actually are. </w:t>
      </w:r>
      <w:bookmarkEnd w:id="2"/>
    </w:p>
    <w:p w14:paraId="28AC9198" w14:textId="4D0AC2E0" w:rsidR="005E6151" w:rsidRDefault="00C2182C" w:rsidP="004B2749">
      <w:pPr>
        <w:spacing w:after="120"/>
        <w:ind w:firstLine="720"/>
        <w:contextualSpacing/>
        <w:jc w:val="both"/>
        <w:rPr>
          <w:rFonts w:asciiTheme="majorBidi" w:hAnsiTheme="majorBidi" w:cstheme="majorBidi"/>
          <w:sz w:val="24"/>
          <w:szCs w:val="24"/>
        </w:rPr>
      </w:pPr>
      <w:r w:rsidRPr="00637780">
        <w:rPr>
          <w:rFonts w:asciiTheme="majorBidi" w:hAnsiTheme="majorBidi" w:cstheme="majorBidi"/>
          <w:sz w:val="24"/>
          <w:szCs w:val="24"/>
        </w:rPr>
        <w:t xml:space="preserve">Such discussion could </w:t>
      </w:r>
      <w:r w:rsidR="005E6151" w:rsidRPr="00637780">
        <w:rPr>
          <w:rFonts w:asciiTheme="majorBidi" w:hAnsiTheme="majorBidi" w:cstheme="majorBidi"/>
          <w:sz w:val="24"/>
          <w:szCs w:val="24"/>
        </w:rPr>
        <w:t xml:space="preserve">lead to a much more nuanced and meaningful understanding of the antecedents of cross-sectional variation in levels and types of VC. </w:t>
      </w:r>
      <w:r w:rsidR="00A76071" w:rsidRPr="00A76071">
        <w:rPr>
          <w:rFonts w:asciiTheme="majorBidi" w:hAnsiTheme="majorBidi" w:cstheme="majorBidi"/>
          <w:sz w:val="24"/>
          <w:szCs w:val="24"/>
        </w:rPr>
        <w:t>Such understanding may be promoted by focusing on dependent variables,</w:t>
      </w:r>
      <w:r w:rsidR="00A76071">
        <w:rPr>
          <w:rStyle w:val="cf01"/>
        </w:rPr>
        <w:t xml:space="preserve"> </w:t>
      </w:r>
      <w:r w:rsidR="005E6151" w:rsidRPr="00637780">
        <w:rPr>
          <w:rFonts w:asciiTheme="majorBidi" w:hAnsiTheme="majorBidi" w:cstheme="majorBidi"/>
          <w:sz w:val="24"/>
          <w:szCs w:val="24"/>
        </w:rPr>
        <w:t>focusing on dependent variables (DV) beyond the classical regulatory and compliance measures of impact (e.g., proportion and typology of cooperators, broad-term</w:t>
      </w:r>
      <w:r w:rsidR="005E6151" w:rsidRPr="00637780">
        <w:rPr>
          <w:rStyle w:val="FootnoteReference"/>
          <w:rFonts w:asciiTheme="majorBidi" w:hAnsiTheme="majorBidi" w:cstheme="majorBidi"/>
          <w:sz w:val="24"/>
          <w:szCs w:val="24"/>
        </w:rPr>
        <w:footnoteReference w:id="7"/>
      </w:r>
      <w:r w:rsidR="005E6151" w:rsidRPr="00637780">
        <w:rPr>
          <w:rFonts w:asciiTheme="majorBidi" w:hAnsiTheme="majorBidi" w:cstheme="majorBidi"/>
          <w:sz w:val="24"/>
          <w:szCs w:val="24"/>
        </w:rPr>
        <w:t xml:space="preserve"> impact of regulatory tools, quality of cooperation, beyond compliance measures of cooperation, and the likelihood of internalization processes following the regulatory intervention) as well as on the long-term effect of regulation (by measuring attitudes repeatedly on the same panel). </w:t>
      </w:r>
    </w:p>
    <w:p w14:paraId="31451502" w14:textId="77777777" w:rsidR="001C23AE" w:rsidRDefault="001C23AE" w:rsidP="004B2749">
      <w:pPr>
        <w:spacing w:after="120"/>
        <w:ind w:firstLine="720"/>
        <w:contextualSpacing/>
        <w:jc w:val="both"/>
        <w:rPr>
          <w:rFonts w:asciiTheme="majorBidi" w:hAnsiTheme="majorBidi" w:cstheme="majorBidi"/>
          <w:sz w:val="24"/>
          <w:szCs w:val="24"/>
        </w:rPr>
      </w:pPr>
    </w:p>
    <w:p w14:paraId="3C1B250F" w14:textId="2D377450" w:rsidR="001C23AE" w:rsidRDefault="001C23AE" w:rsidP="001C23AE">
      <w:pPr>
        <w:pStyle w:val="Heading2"/>
      </w:pPr>
      <w:bookmarkStart w:id="3" w:name="_Toc161578509"/>
      <w:r>
        <w:t>Reversing the trust paradigm</w:t>
      </w:r>
      <w:bookmarkEnd w:id="3"/>
    </w:p>
    <w:p w14:paraId="50CA10A4" w14:textId="77777777" w:rsidR="00A76071" w:rsidRDefault="00A76071" w:rsidP="004B2749">
      <w:pPr>
        <w:spacing w:after="120"/>
        <w:ind w:firstLine="720"/>
        <w:contextualSpacing/>
        <w:jc w:val="both"/>
        <w:rPr>
          <w:rFonts w:asciiTheme="majorBidi" w:hAnsiTheme="majorBidi" w:cstheme="majorBidi"/>
          <w:sz w:val="24"/>
          <w:szCs w:val="24"/>
        </w:rPr>
      </w:pPr>
    </w:p>
    <w:p w14:paraId="2F767E86" w14:textId="6231C3B3" w:rsidR="00A76071" w:rsidRPr="00637780" w:rsidRDefault="00A76071" w:rsidP="00A76071">
      <w:pPr>
        <w:spacing w:after="120" w:line="16" w:lineRule="atLeast"/>
        <w:ind w:firstLine="720"/>
        <w:jc w:val="both"/>
        <w:rPr>
          <w:rFonts w:asciiTheme="majorBidi" w:hAnsiTheme="majorBidi" w:cstheme="majorBidi"/>
          <w:sz w:val="24"/>
          <w:szCs w:val="24"/>
          <w:rtl/>
        </w:rPr>
      </w:pPr>
      <w:r w:rsidRPr="00637780">
        <w:rPr>
          <w:rFonts w:asciiTheme="majorBidi" w:hAnsiTheme="majorBidi" w:cstheme="majorBidi"/>
          <w:sz w:val="24"/>
          <w:szCs w:val="24"/>
        </w:rPr>
        <w:t>In research and policy analysis, “trust” is typically studied in the context of the trust of the public in institutions.</w:t>
      </w:r>
      <w:r w:rsidRPr="00637780">
        <w:rPr>
          <w:rStyle w:val="FootnoteReference"/>
          <w:rFonts w:asciiTheme="majorBidi" w:hAnsiTheme="majorBidi" w:cstheme="majorBidi"/>
          <w:sz w:val="24"/>
          <w:szCs w:val="24"/>
        </w:rPr>
        <w:footnoteReference w:id="8"/>
      </w:r>
      <w:r w:rsidRPr="00637780">
        <w:rPr>
          <w:rFonts w:asciiTheme="majorBidi" w:hAnsiTheme="majorBidi" w:cstheme="majorBidi"/>
          <w:sz w:val="24"/>
          <w:szCs w:val="24"/>
        </w:rPr>
        <w:t xml:space="preserve"> </w:t>
      </w:r>
      <w:r w:rsidR="001C23AE">
        <w:rPr>
          <w:rFonts w:asciiTheme="majorBidi" w:hAnsiTheme="majorBidi" w:cstheme="majorBidi"/>
          <w:sz w:val="24"/>
          <w:szCs w:val="24"/>
        </w:rPr>
        <w:t>This book</w:t>
      </w:r>
      <w:r w:rsidRPr="00637780">
        <w:rPr>
          <w:rFonts w:asciiTheme="majorBidi" w:hAnsiTheme="majorBidi" w:cstheme="majorBidi"/>
          <w:sz w:val="24"/>
          <w:szCs w:val="24"/>
        </w:rPr>
        <w:t xml:space="preserve"> seeks to reverse the trust paradigm and examine how we can identify ex-ante when governments can trust the public, to what extent, and how trust should affect the regulatory style and governments’ efforts to foster voluntary cooperation of the public. The apparently unambiguous goal of states to have their citizens engage in VC is examined from different social science perspectives (psychology,</w:t>
      </w:r>
      <w:r w:rsidRPr="00637780">
        <w:rPr>
          <w:rStyle w:val="FootnoteReference"/>
          <w:rFonts w:asciiTheme="majorBidi" w:hAnsiTheme="majorBidi" w:cstheme="majorBidi"/>
          <w:sz w:val="24"/>
          <w:szCs w:val="24"/>
        </w:rPr>
        <w:footnoteReference w:id="9"/>
      </w:r>
      <w:r w:rsidRPr="00637780">
        <w:rPr>
          <w:rFonts w:asciiTheme="majorBidi" w:hAnsiTheme="majorBidi" w:cstheme="majorBidi"/>
          <w:sz w:val="24"/>
          <w:szCs w:val="24"/>
          <w:rtl/>
        </w:rPr>
        <w:t xml:space="preserve"> </w:t>
      </w:r>
      <w:r w:rsidRPr="00637780">
        <w:rPr>
          <w:rFonts w:asciiTheme="majorBidi" w:hAnsiTheme="majorBidi" w:cstheme="majorBidi"/>
          <w:sz w:val="24"/>
          <w:szCs w:val="24"/>
        </w:rPr>
        <w:t>sociology economics,</w:t>
      </w:r>
      <w:r w:rsidRPr="00637780">
        <w:rPr>
          <w:rStyle w:val="FootnoteReference"/>
          <w:rFonts w:asciiTheme="majorBidi" w:hAnsiTheme="majorBidi" w:cstheme="majorBidi"/>
          <w:sz w:val="24"/>
          <w:szCs w:val="24"/>
        </w:rPr>
        <w:footnoteReference w:id="10"/>
      </w:r>
      <w:r w:rsidRPr="00637780">
        <w:rPr>
          <w:rFonts w:asciiTheme="majorBidi" w:hAnsiTheme="majorBidi" w:cstheme="majorBidi"/>
          <w:sz w:val="24"/>
          <w:szCs w:val="24"/>
        </w:rPr>
        <w:t xml:space="preserve"> political science,</w:t>
      </w:r>
      <w:r w:rsidRPr="00637780">
        <w:rPr>
          <w:rStyle w:val="FootnoteReference"/>
          <w:rFonts w:asciiTheme="majorBidi" w:hAnsiTheme="majorBidi" w:cstheme="majorBidi"/>
          <w:sz w:val="24"/>
          <w:szCs w:val="24"/>
        </w:rPr>
        <w:footnoteReference w:id="11"/>
      </w:r>
      <w:r w:rsidRPr="00637780">
        <w:rPr>
          <w:rFonts w:asciiTheme="majorBidi" w:hAnsiTheme="majorBidi" w:cstheme="majorBidi"/>
          <w:sz w:val="24"/>
          <w:szCs w:val="24"/>
        </w:rPr>
        <w:t xml:space="preserve"> criminology,</w:t>
      </w:r>
      <w:r w:rsidRPr="00637780">
        <w:rPr>
          <w:rStyle w:val="FootnoteReference"/>
          <w:rFonts w:asciiTheme="majorBidi" w:hAnsiTheme="majorBidi" w:cstheme="majorBidi"/>
          <w:sz w:val="24"/>
          <w:szCs w:val="24"/>
        </w:rPr>
        <w:footnoteReference w:id="12"/>
      </w:r>
      <w:r w:rsidRPr="00637780">
        <w:rPr>
          <w:rFonts w:asciiTheme="majorBidi" w:hAnsiTheme="majorBidi" w:cstheme="majorBidi"/>
          <w:sz w:val="24"/>
          <w:szCs w:val="24"/>
        </w:rPr>
        <w:t xml:space="preserve"> law,</w:t>
      </w:r>
      <w:r w:rsidRPr="00637780">
        <w:rPr>
          <w:rStyle w:val="FootnoteReference"/>
          <w:rFonts w:asciiTheme="majorBidi" w:hAnsiTheme="majorBidi" w:cstheme="majorBidi"/>
          <w:sz w:val="24"/>
          <w:szCs w:val="24"/>
        </w:rPr>
        <w:footnoteReference w:id="13"/>
      </w:r>
      <w:r w:rsidRPr="00637780">
        <w:rPr>
          <w:rFonts w:asciiTheme="majorBidi" w:hAnsiTheme="majorBidi" w:cstheme="majorBidi"/>
          <w:sz w:val="24"/>
          <w:szCs w:val="24"/>
        </w:rPr>
        <w:t xml:space="preserve"> and philosophy</w:t>
      </w:r>
      <w:r w:rsidRPr="00637780">
        <w:rPr>
          <w:rStyle w:val="FootnoteReference"/>
          <w:rFonts w:asciiTheme="majorBidi" w:hAnsiTheme="majorBidi" w:cstheme="majorBidi"/>
          <w:sz w:val="24"/>
          <w:szCs w:val="24"/>
        </w:rPr>
        <w:footnoteReference w:id="14"/>
      </w:r>
      <w:r w:rsidRPr="00637780">
        <w:rPr>
          <w:rFonts w:asciiTheme="majorBidi" w:hAnsiTheme="majorBidi" w:cstheme="majorBidi"/>
          <w:sz w:val="24"/>
          <w:szCs w:val="24"/>
        </w:rPr>
        <w:t>).</w:t>
      </w:r>
    </w:p>
    <w:p w14:paraId="6FE0ACE0" w14:textId="7B189999" w:rsidR="00A76071" w:rsidRDefault="00A76071" w:rsidP="00A76071">
      <w:pPr>
        <w:spacing w:after="120" w:line="16" w:lineRule="atLeast"/>
        <w:jc w:val="both"/>
        <w:rPr>
          <w:rFonts w:asciiTheme="majorBidi" w:hAnsiTheme="majorBidi" w:cstheme="majorBidi"/>
          <w:sz w:val="24"/>
          <w:szCs w:val="24"/>
        </w:rPr>
      </w:pPr>
      <w:r w:rsidRPr="00637780">
        <w:rPr>
          <w:rFonts w:asciiTheme="majorBidi" w:hAnsiTheme="majorBidi" w:cstheme="majorBidi"/>
          <w:sz w:val="24"/>
          <w:szCs w:val="24"/>
        </w:rPr>
        <w:lastRenderedPageBreak/>
        <w:t>To date, the empirical basis of our understanding of when and to what extent the public can be trusted in a given situation is weak both theoretically</w:t>
      </w:r>
      <w:r w:rsidR="00D313F7">
        <w:rPr>
          <w:rFonts w:asciiTheme="majorBidi" w:hAnsiTheme="majorBidi" w:cstheme="majorBidi"/>
          <w:sz w:val="24"/>
          <w:szCs w:val="24"/>
        </w:rPr>
        <w:t xml:space="preserve"> and normatively. Theoretically</w:t>
      </w:r>
      <w:r w:rsidRPr="00637780">
        <w:rPr>
          <w:rFonts w:asciiTheme="majorBidi" w:hAnsiTheme="majorBidi" w:cstheme="majorBidi"/>
          <w:sz w:val="24"/>
          <w:szCs w:val="24"/>
        </w:rPr>
        <w:t>, since most of the relevant literatures (compliance, ethics cooperation, and more) rarely intersect</w:t>
      </w:r>
      <w:r w:rsidR="00D313F7">
        <w:rPr>
          <w:rFonts w:asciiTheme="majorBidi" w:hAnsiTheme="majorBidi" w:cstheme="majorBidi"/>
          <w:sz w:val="24"/>
          <w:szCs w:val="24"/>
        </w:rPr>
        <w:t>. E</w:t>
      </w:r>
      <w:r w:rsidRPr="00637780">
        <w:rPr>
          <w:rFonts w:asciiTheme="majorBidi" w:hAnsiTheme="majorBidi" w:cstheme="majorBidi"/>
          <w:sz w:val="24"/>
          <w:szCs w:val="24"/>
        </w:rPr>
        <w:t>mpirically, since most studies focus on one type of behavior in one regulatory context and fail to examine broader questions regarding the distributive effects in the context of a heterogeneity in a population, or sustainability in terms of duration of regulatory effects on behavior. Various meta-analyses studies show that most people don’t cheat most of the time.</w:t>
      </w:r>
      <w:r w:rsidRPr="00637780">
        <w:rPr>
          <w:rStyle w:val="FootnoteReference"/>
          <w:rFonts w:asciiTheme="majorBidi" w:hAnsiTheme="majorBidi" w:cstheme="majorBidi"/>
          <w:sz w:val="24"/>
          <w:szCs w:val="24"/>
        </w:rPr>
        <w:footnoteReference w:id="15"/>
      </w:r>
      <w:r w:rsidRPr="00637780">
        <w:rPr>
          <w:rFonts w:asciiTheme="majorBidi" w:hAnsiTheme="majorBidi" w:cstheme="majorBidi"/>
          <w:sz w:val="24"/>
          <w:szCs w:val="24"/>
        </w:rPr>
        <w:t xml:space="preserve"> While we </w:t>
      </w:r>
      <w:r>
        <w:rPr>
          <w:rFonts w:asciiTheme="majorBidi" w:hAnsiTheme="majorBidi" w:cstheme="majorBidi"/>
          <w:sz w:val="24"/>
          <w:szCs w:val="24"/>
        </w:rPr>
        <w:t xml:space="preserve">now </w:t>
      </w:r>
      <w:r w:rsidRPr="00637780">
        <w:rPr>
          <w:rFonts w:asciiTheme="majorBidi" w:hAnsiTheme="majorBidi" w:cstheme="majorBidi"/>
          <w:sz w:val="24"/>
          <w:szCs w:val="24"/>
        </w:rPr>
        <w:t>know to identify the contexts in which even self-perceived “good” people can cheat,</w:t>
      </w:r>
      <w:r w:rsidRPr="00637780">
        <w:rPr>
          <w:rStyle w:val="FootnoteReference"/>
          <w:rFonts w:asciiTheme="majorBidi" w:hAnsiTheme="majorBidi" w:cstheme="majorBidi"/>
          <w:sz w:val="24"/>
          <w:szCs w:val="24"/>
        </w:rPr>
        <w:footnoteReference w:id="16"/>
      </w:r>
      <w:r w:rsidRPr="00637780">
        <w:rPr>
          <w:rFonts w:asciiTheme="majorBidi" w:hAnsiTheme="majorBidi" w:cstheme="majorBidi"/>
          <w:sz w:val="24"/>
          <w:szCs w:val="24"/>
        </w:rPr>
        <w:t xml:space="preserve"> we still do not know enough to accurately predict ex ante in what regulatory contexts such unethicality will dominate.</w:t>
      </w:r>
      <w:r w:rsidRPr="00637780">
        <w:rPr>
          <w:rStyle w:val="FootnoteReference"/>
          <w:rFonts w:asciiTheme="majorBidi" w:hAnsiTheme="majorBidi" w:cstheme="majorBidi"/>
          <w:sz w:val="24"/>
          <w:szCs w:val="24"/>
        </w:rPr>
        <w:footnoteReference w:id="17"/>
      </w:r>
      <w:r w:rsidRPr="00637780">
        <w:rPr>
          <w:rFonts w:asciiTheme="majorBidi" w:hAnsiTheme="majorBidi" w:cstheme="majorBidi"/>
          <w:sz w:val="24"/>
          <w:szCs w:val="24"/>
        </w:rPr>
        <w:t xml:space="preserve"> Furthermore, the related literature in behavioral public policy</w:t>
      </w:r>
      <w:r w:rsidRPr="00637780">
        <w:rPr>
          <w:rStyle w:val="FootnoteReference"/>
          <w:rFonts w:asciiTheme="majorBidi" w:hAnsiTheme="majorBidi" w:cstheme="majorBidi"/>
          <w:sz w:val="24"/>
          <w:szCs w:val="24"/>
        </w:rPr>
        <w:footnoteReference w:id="18"/>
      </w:r>
      <w:r w:rsidRPr="00637780">
        <w:rPr>
          <w:rFonts w:asciiTheme="majorBidi" w:hAnsiTheme="majorBidi" w:cstheme="majorBidi"/>
          <w:sz w:val="24"/>
          <w:szCs w:val="24"/>
        </w:rPr>
        <w:t xml:space="preserve"> usually focuses on</w:t>
      </w:r>
      <w:r w:rsidRPr="00637780">
        <w:rPr>
          <w:rFonts w:asciiTheme="majorBidi" w:hAnsiTheme="majorBidi" w:cstheme="majorBidi"/>
          <w:sz w:val="24"/>
          <w:szCs w:val="24"/>
          <w:rtl/>
        </w:rPr>
        <w:t xml:space="preserve"> </w:t>
      </w:r>
      <w:r w:rsidRPr="00637780">
        <w:rPr>
          <w:rFonts w:asciiTheme="majorBidi" w:hAnsiTheme="majorBidi" w:cstheme="majorBidi"/>
          <w:sz w:val="24"/>
          <w:szCs w:val="24"/>
        </w:rPr>
        <w:t>the extent of the effect of certain interventions (e.g., nudges, incentives), but rarely discuss theoretically, empirically, or normatively all other dimensions, such as the population heterogeneity of the effect, the long-term effect on trust, and the quality and intensity of the compliance. As a result, risk-averse policy makers resort to monitoring and to coercive measures, simply because there is not enough information about the benefits of VC, in terms of its effect on autonomy, resilience, quality of compliance, and enhanced trust relationships, or about its costs, in terms of resulting inequality, communication costs, uncertainty, and increased risk to the public.</w:t>
      </w:r>
      <w:r w:rsidRPr="00637780">
        <w:rPr>
          <w:rStyle w:val="FootnoteReference"/>
          <w:rFonts w:asciiTheme="majorBidi" w:hAnsiTheme="majorBidi" w:cstheme="majorBidi"/>
          <w:sz w:val="24"/>
          <w:szCs w:val="24"/>
        </w:rPr>
        <w:footnoteReference w:id="19"/>
      </w:r>
      <w:r w:rsidRPr="00637780">
        <w:rPr>
          <w:rFonts w:asciiTheme="majorBidi" w:hAnsiTheme="majorBidi" w:cstheme="majorBidi"/>
          <w:sz w:val="24"/>
          <w:szCs w:val="24"/>
        </w:rPr>
        <w:t xml:space="preserve"> For example, the </w:t>
      </w:r>
      <w:r>
        <w:rPr>
          <w:rFonts w:asciiTheme="majorBidi" w:hAnsiTheme="majorBidi" w:cstheme="majorBidi"/>
          <w:sz w:val="24"/>
          <w:szCs w:val="24"/>
        </w:rPr>
        <w:t>recent</w:t>
      </w:r>
      <w:r w:rsidRPr="00637780">
        <w:rPr>
          <w:rFonts w:asciiTheme="majorBidi" w:hAnsiTheme="majorBidi" w:cstheme="majorBidi"/>
          <w:sz w:val="24"/>
          <w:szCs w:val="24"/>
        </w:rPr>
        <w:t xml:space="preserve"> COVID-19 pandemic led many countries to resort to sanctions and fear-based rhetoric to gain public cooperation given the first signs of certain levels of non-compliance, with limited ability to understand whether fear-based rhetoric and taking harsher steps actually improved all aspects of compliance, not to mention the possible negative effect on intrinsic motivation. </w:t>
      </w:r>
    </w:p>
    <w:p w14:paraId="403E46B3" w14:textId="78E4FEF6" w:rsidR="00AC7D7A" w:rsidRPr="00637780" w:rsidRDefault="00AC7D7A" w:rsidP="00AC7D7A">
      <w:pPr>
        <w:pStyle w:val="Heading2"/>
      </w:pPr>
      <w:bookmarkStart w:id="9" w:name="_Toc161578510"/>
      <w:r>
        <w:t>Current research on voluntary compliance</w:t>
      </w:r>
      <w:bookmarkEnd w:id="9"/>
    </w:p>
    <w:p w14:paraId="1954F12F" w14:textId="6048106D" w:rsidR="00A76071" w:rsidRPr="00637780" w:rsidRDefault="00A76071" w:rsidP="00A76071">
      <w:pPr>
        <w:spacing w:after="120" w:line="16" w:lineRule="atLeast"/>
        <w:ind w:firstLine="720"/>
        <w:contextualSpacing/>
        <w:jc w:val="both"/>
        <w:rPr>
          <w:rFonts w:asciiTheme="majorBidi" w:hAnsiTheme="majorBidi" w:cstheme="majorBidi"/>
          <w:sz w:val="24"/>
          <w:szCs w:val="24"/>
        </w:rPr>
      </w:pPr>
      <w:bookmarkStart w:id="10" w:name="_Hlk76910363"/>
      <w:r>
        <w:rPr>
          <w:rFonts w:asciiTheme="majorBidi" w:hAnsiTheme="majorBidi" w:cstheme="majorBidi"/>
          <w:sz w:val="24"/>
          <w:szCs w:val="24"/>
        </w:rPr>
        <w:t>W</w:t>
      </w:r>
      <w:r w:rsidRPr="00A76071">
        <w:rPr>
          <w:rFonts w:asciiTheme="majorBidi" w:hAnsiTheme="majorBidi" w:cstheme="majorBidi"/>
          <w:sz w:val="24"/>
          <w:szCs w:val="24"/>
        </w:rPr>
        <w:t xml:space="preserve">hile literature on voluntary cooperation does exist, it suffers from </w:t>
      </w:r>
      <w:proofErr w:type="gramStart"/>
      <w:r w:rsidRPr="00A76071">
        <w:rPr>
          <w:rFonts w:asciiTheme="majorBidi" w:hAnsiTheme="majorBidi" w:cstheme="majorBidi"/>
          <w:sz w:val="24"/>
          <w:szCs w:val="24"/>
        </w:rPr>
        <w:t>a number of</w:t>
      </w:r>
      <w:proofErr w:type="gramEnd"/>
      <w:r w:rsidRPr="00A76071">
        <w:rPr>
          <w:rFonts w:asciiTheme="majorBidi" w:hAnsiTheme="majorBidi" w:cstheme="majorBidi"/>
          <w:sz w:val="24"/>
          <w:szCs w:val="24"/>
        </w:rPr>
        <w:t xml:space="preserve"> weaknesses, which this project aims to address. Fi</w:t>
      </w:r>
      <w:r>
        <w:rPr>
          <w:rStyle w:val="cf01"/>
        </w:rPr>
        <w:t xml:space="preserve">rst, </w:t>
      </w:r>
      <w:r w:rsidRPr="00637780">
        <w:rPr>
          <w:rFonts w:asciiTheme="majorBidi" w:hAnsiTheme="majorBidi" w:cstheme="majorBidi"/>
          <w:sz w:val="24"/>
          <w:szCs w:val="24"/>
        </w:rPr>
        <w:t xml:space="preserve">they all suffer from the lack of any discussion about how they interact with regulatory policy or about whether they </w:t>
      </w:r>
      <w:proofErr w:type="gramStart"/>
      <w:r w:rsidRPr="00637780">
        <w:rPr>
          <w:rFonts w:asciiTheme="majorBidi" w:hAnsiTheme="majorBidi" w:cstheme="majorBidi"/>
          <w:sz w:val="24"/>
          <w:szCs w:val="24"/>
        </w:rPr>
        <w:t>are able to</w:t>
      </w:r>
      <w:proofErr w:type="gramEnd"/>
      <w:r w:rsidRPr="00637780">
        <w:rPr>
          <w:rFonts w:asciiTheme="majorBidi" w:hAnsiTheme="majorBidi" w:cstheme="majorBidi"/>
          <w:sz w:val="24"/>
          <w:szCs w:val="24"/>
        </w:rPr>
        <w:t xml:space="preserve"> contribute to a systematic shift in states’ regulatory policies. In fact, all the literatures provide only partial contributions to the most important questions of compliance theory. Literatures that explore concepts such as trust, efficacy of incentives, behavioral ethics, compliance, nudges, the regulatory toolbox, experimental legislation, behavioral approaches to law, cross-cultural differences in solidarity, and rule of law, rarely ask, for example, about the long-term effect of different regulatory interventions on trust or solidarity. This project will be the first to combine regulatory policy theory and behavioral theories to answer the most fundamental questions of compliance – when and to what extent states should trust the public to cooperate and what regulatory policies are likely to contribute to the creation of VC. This book</w:t>
      </w:r>
      <w:r>
        <w:rPr>
          <w:rFonts w:asciiTheme="majorBidi" w:hAnsiTheme="majorBidi" w:cstheme="majorBidi"/>
          <w:sz w:val="24"/>
          <w:szCs w:val="24"/>
        </w:rPr>
        <w:t>’s</w:t>
      </w:r>
      <w:r w:rsidRPr="00637780">
        <w:rPr>
          <w:rFonts w:asciiTheme="majorBidi" w:hAnsiTheme="majorBidi" w:cstheme="majorBidi"/>
          <w:sz w:val="24"/>
          <w:szCs w:val="24"/>
        </w:rPr>
        <w:t xml:space="preserve"> premise is that the motivation to cooperate voluntarily with a regulatory requirement cannot be understood by using only a single perspective, and that there is a need to combine behavioral, institutional, and cultural contexts across many types of doctrines, </w:t>
      </w:r>
      <w:proofErr w:type="gramStart"/>
      <w:r w:rsidRPr="00637780">
        <w:rPr>
          <w:rFonts w:asciiTheme="majorBidi" w:hAnsiTheme="majorBidi" w:cstheme="majorBidi"/>
          <w:sz w:val="24"/>
          <w:szCs w:val="24"/>
        </w:rPr>
        <w:lastRenderedPageBreak/>
        <w:t>cultures</w:t>
      </w:r>
      <w:proofErr w:type="gramEnd"/>
      <w:r w:rsidRPr="00637780">
        <w:rPr>
          <w:rFonts w:asciiTheme="majorBidi" w:hAnsiTheme="majorBidi" w:cstheme="majorBidi"/>
          <w:sz w:val="24"/>
          <w:szCs w:val="24"/>
        </w:rPr>
        <w:t xml:space="preserve"> and behaviors to help create a regulatory balance which can offer insights into the advantages and disadvantages of trying to achieve voluntary compliance.</w:t>
      </w:r>
    </w:p>
    <w:bookmarkEnd w:id="10"/>
    <w:p w14:paraId="6AB54973" w14:textId="77777777" w:rsidR="00A76071" w:rsidRDefault="00A76071" w:rsidP="00A76071">
      <w:pPr>
        <w:spacing w:before="100" w:beforeAutospacing="1" w:after="100" w:afterAutospacing="1"/>
        <w:jc w:val="both"/>
        <w:rPr>
          <w:rFonts w:asciiTheme="majorBidi" w:hAnsiTheme="majorBidi" w:cstheme="majorBidi"/>
          <w:b/>
          <w:bCs/>
          <w:sz w:val="24"/>
          <w:szCs w:val="24"/>
        </w:rPr>
      </w:pPr>
      <w:r w:rsidRPr="00644B88">
        <w:rPr>
          <w:rFonts w:asciiTheme="majorBidi" w:hAnsiTheme="majorBidi" w:cstheme="majorBidi"/>
          <w:sz w:val="24"/>
          <w:szCs w:val="24"/>
        </w:rPr>
        <w:t xml:space="preserve">In the next few paragraphs, we wish to examine in </w:t>
      </w:r>
      <w:proofErr w:type="gramStart"/>
      <w:r w:rsidRPr="00644B88">
        <w:rPr>
          <w:rFonts w:asciiTheme="majorBidi" w:hAnsiTheme="majorBidi" w:cstheme="majorBidi"/>
          <w:sz w:val="24"/>
          <w:szCs w:val="24"/>
        </w:rPr>
        <w:t>short</w:t>
      </w:r>
      <w:proofErr w:type="gramEnd"/>
      <w:r w:rsidRPr="00644B88">
        <w:rPr>
          <w:rFonts w:asciiTheme="majorBidi" w:hAnsiTheme="majorBidi" w:cstheme="majorBidi"/>
          <w:sz w:val="24"/>
          <w:szCs w:val="24"/>
        </w:rPr>
        <w:t xml:space="preserve"> the perspective on voluntary compliance from multiple views we will make a short review of some to the main parts of the literature, some of these bodies of literature will receive more attention in later chapters, but at this point, we are merely interested in portraying using broad brushes the scope of the voluntary compliance dilemma.  </w:t>
      </w:r>
    </w:p>
    <w:p w14:paraId="7F5A2C7D" w14:textId="77777777" w:rsidR="005E6151" w:rsidRPr="00637780" w:rsidRDefault="005E6151" w:rsidP="005E6151">
      <w:pPr>
        <w:spacing w:after="120"/>
        <w:ind w:firstLine="720"/>
        <w:contextualSpacing/>
        <w:jc w:val="both"/>
        <w:rPr>
          <w:rFonts w:asciiTheme="majorBidi" w:hAnsiTheme="majorBidi" w:cstheme="majorBidi"/>
          <w:sz w:val="24"/>
          <w:szCs w:val="24"/>
          <w:rtl/>
        </w:rPr>
      </w:pPr>
    </w:p>
    <w:p w14:paraId="75111975" w14:textId="28DAD804" w:rsidR="0029336E" w:rsidRPr="00644B88" w:rsidRDefault="0029336E" w:rsidP="0029336E">
      <w:pPr>
        <w:pStyle w:val="Heading2"/>
      </w:pPr>
      <w:bookmarkStart w:id="11" w:name="_Toc161578511"/>
      <w:r>
        <w:t>Regulation and Trust</w:t>
      </w:r>
      <w:bookmarkEnd w:id="11"/>
    </w:p>
    <w:p w14:paraId="3739E0E7" w14:textId="77777777" w:rsidR="00D8193F" w:rsidRDefault="00F707F9" w:rsidP="005E6151">
      <w:pPr>
        <w:spacing w:after="120" w:line="16" w:lineRule="atLeast"/>
        <w:ind w:firstLine="720"/>
        <w:contextualSpacing/>
        <w:jc w:val="both"/>
        <w:rPr>
          <w:rFonts w:asciiTheme="majorBidi" w:hAnsiTheme="majorBidi" w:cstheme="majorBidi"/>
          <w:sz w:val="24"/>
          <w:szCs w:val="24"/>
        </w:rPr>
      </w:pPr>
      <w:r w:rsidRPr="00B72AB9">
        <w:rPr>
          <w:rFonts w:asciiTheme="majorBidi" w:hAnsiTheme="majorBidi" w:cstheme="majorBidi"/>
          <w:sz w:val="24"/>
          <w:szCs w:val="24"/>
        </w:rPr>
        <w:t>The Regulation Literature</w:t>
      </w:r>
      <w:r w:rsidRPr="00637780">
        <w:rPr>
          <w:rFonts w:asciiTheme="majorBidi" w:hAnsiTheme="majorBidi" w:cstheme="majorBidi"/>
          <w:b/>
          <w:bCs/>
          <w:sz w:val="24"/>
          <w:szCs w:val="24"/>
        </w:rPr>
        <w:t xml:space="preserve"> </w:t>
      </w:r>
      <w:r w:rsidR="00CB0674">
        <w:rPr>
          <w:rFonts w:asciiTheme="majorBidi" w:hAnsiTheme="majorBidi" w:cstheme="majorBidi"/>
          <w:sz w:val="24"/>
          <w:szCs w:val="24"/>
        </w:rPr>
        <w:t xml:space="preserve">has been studying in last years growing numbers of </w:t>
      </w:r>
      <w:r w:rsidRPr="00637780">
        <w:rPr>
          <w:rFonts w:asciiTheme="majorBidi" w:hAnsiTheme="majorBidi" w:cstheme="majorBidi"/>
          <w:sz w:val="24"/>
          <w:szCs w:val="24"/>
        </w:rPr>
        <w:t>softer approaches aimed at reducing the excessive regulatory burden and eliciting voluntary compliance</w:t>
      </w:r>
      <w:r w:rsidR="00CB0674">
        <w:rPr>
          <w:rStyle w:val="FootnoteReference"/>
          <w:rFonts w:asciiTheme="majorBidi" w:hAnsiTheme="majorBidi" w:cstheme="majorBidi"/>
          <w:sz w:val="24"/>
          <w:szCs w:val="24"/>
        </w:rPr>
        <w:footnoteReference w:id="20"/>
      </w:r>
      <w:r w:rsidRPr="00637780">
        <w:rPr>
          <w:rFonts w:asciiTheme="majorBidi" w:hAnsiTheme="majorBidi" w:cstheme="majorBidi"/>
          <w:sz w:val="24"/>
          <w:szCs w:val="24"/>
        </w:rPr>
        <w:t>. Two especially relevant paradigms are responsive regulation,</w:t>
      </w:r>
      <w:r w:rsidRPr="00637780">
        <w:rPr>
          <w:rStyle w:val="FootnoteReference"/>
          <w:rFonts w:asciiTheme="majorBidi" w:hAnsiTheme="majorBidi" w:cstheme="majorBidi"/>
          <w:sz w:val="24"/>
          <w:szCs w:val="24"/>
        </w:rPr>
        <w:footnoteReference w:id="21"/>
      </w:r>
      <w:r w:rsidRPr="00637780">
        <w:rPr>
          <w:rFonts w:asciiTheme="majorBidi" w:hAnsiTheme="majorBidi" w:cstheme="majorBidi"/>
          <w:sz w:val="24"/>
          <w:szCs w:val="24"/>
        </w:rPr>
        <w:t xml:space="preserve"> a widely discussed paradigm that advances a more flexible and customized approach whereby smarter, less coercive regulatory measures are targeted at those parts of the population for which coercive measures are not needed. Another emerging </w:t>
      </w:r>
      <w:r w:rsidR="00D8193F">
        <w:rPr>
          <w:rFonts w:asciiTheme="majorBidi" w:hAnsiTheme="majorBidi" w:cstheme="majorBidi"/>
          <w:sz w:val="24"/>
          <w:szCs w:val="24"/>
        </w:rPr>
        <w:t>paradigm</w:t>
      </w:r>
      <w:r w:rsidRPr="00637780">
        <w:rPr>
          <w:rFonts w:asciiTheme="majorBidi" w:hAnsiTheme="majorBidi" w:cstheme="majorBidi"/>
          <w:sz w:val="24"/>
          <w:szCs w:val="24"/>
        </w:rPr>
        <w:t xml:space="preserve"> is that of self-regulation,</w:t>
      </w:r>
      <w:r w:rsidRPr="00637780">
        <w:rPr>
          <w:rStyle w:val="FootnoteReference"/>
          <w:rFonts w:asciiTheme="majorBidi" w:hAnsiTheme="majorBidi" w:cstheme="majorBidi"/>
          <w:sz w:val="24"/>
          <w:szCs w:val="24"/>
        </w:rPr>
        <w:footnoteReference w:id="22"/>
      </w:r>
      <w:r w:rsidRPr="00637780">
        <w:rPr>
          <w:rFonts w:asciiTheme="majorBidi" w:hAnsiTheme="majorBidi" w:cstheme="majorBidi"/>
          <w:sz w:val="24"/>
          <w:szCs w:val="24"/>
        </w:rPr>
        <w:t xml:space="preserve"> which focuses on transferring responsibility for the creation of standards and their enforcement to the regulated parties or businesses. However, these paradigms also fail to deal with a fundamental question of whether compliers and whether comply all the time and non-compliers fail to comply all the time? </w:t>
      </w:r>
    </w:p>
    <w:p w14:paraId="4F4547F1" w14:textId="1FAE1125" w:rsidR="00F707F9" w:rsidRPr="00637780" w:rsidRDefault="00F707F9" w:rsidP="005E6151">
      <w:pPr>
        <w:spacing w:after="120" w:line="16" w:lineRule="atLeast"/>
        <w:ind w:firstLine="720"/>
        <w:contextualSpacing/>
        <w:jc w:val="both"/>
        <w:rPr>
          <w:rFonts w:asciiTheme="majorBidi" w:hAnsiTheme="majorBidi" w:cstheme="majorBidi"/>
          <w:sz w:val="24"/>
          <w:szCs w:val="24"/>
          <w:rtl/>
        </w:rPr>
      </w:pPr>
      <w:r w:rsidRPr="00637780">
        <w:rPr>
          <w:rFonts w:asciiTheme="majorBidi" w:hAnsiTheme="majorBidi" w:cstheme="majorBidi"/>
          <w:sz w:val="24"/>
          <w:szCs w:val="24"/>
        </w:rPr>
        <w:t>Part of the complexity is reflected in the growing research on compliance motivation,</w:t>
      </w:r>
      <w:r w:rsidRPr="00637780">
        <w:rPr>
          <w:rStyle w:val="FootnoteReference"/>
          <w:rFonts w:asciiTheme="majorBidi" w:hAnsiTheme="majorBidi" w:cstheme="majorBidi"/>
          <w:sz w:val="24"/>
          <w:szCs w:val="24"/>
        </w:rPr>
        <w:footnoteReference w:id="23"/>
      </w:r>
      <w:r w:rsidRPr="00637780">
        <w:rPr>
          <w:rFonts w:asciiTheme="majorBidi" w:hAnsiTheme="majorBidi" w:cstheme="majorBidi"/>
          <w:sz w:val="24"/>
          <w:szCs w:val="24"/>
        </w:rPr>
        <w:t xml:space="preserve"> where scholars differ in their perceptions of what can be considered the leading motivation for compliance, whether procedural legitimacy,</w:t>
      </w:r>
      <w:r w:rsidRPr="00637780">
        <w:rPr>
          <w:rStyle w:val="FootnoteReference"/>
          <w:rFonts w:asciiTheme="majorBidi" w:hAnsiTheme="majorBidi" w:cstheme="majorBidi"/>
          <w:sz w:val="24"/>
          <w:szCs w:val="24"/>
        </w:rPr>
        <w:footnoteReference w:id="24"/>
      </w:r>
      <w:r w:rsidRPr="00637780">
        <w:rPr>
          <w:rFonts w:asciiTheme="majorBidi" w:hAnsiTheme="majorBidi" w:cstheme="majorBidi"/>
          <w:sz w:val="24"/>
          <w:szCs w:val="24"/>
          <w:lang w:val="en-GB"/>
        </w:rPr>
        <w:t xml:space="preserve"> costs of </w:t>
      </w:r>
      <w:r w:rsidRPr="00637780">
        <w:rPr>
          <w:rFonts w:asciiTheme="majorBidi" w:hAnsiTheme="majorBidi" w:cstheme="majorBidi"/>
          <w:sz w:val="24"/>
          <w:szCs w:val="24"/>
          <w:lang w:val="en-GB"/>
        </w:rPr>
        <w:lastRenderedPageBreak/>
        <w:t>compliance,</w:t>
      </w:r>
      <w:r w:rsidRPr="00637780">
        <w:rPr>
          <w:rStyle w:val="FootnoteReference"/>
          <w:rFonts w:asciiTheme="majorBidi" w:hAnsiTheme="majorBidi" w:cstheme="majorBidi"/>
          <w:sz w:val="24"/>
          <w:szCs w:val="24"/>
          <w:lang w:val="en-GB"/>
        </w:rPr>
        <w:footnoteReference w:id="25"/>
      </w:r>
      <w:r w:rsidRPr="00637780">
        <w:rPr>
          <w:rFonts w:asciiTheme="majorBidi" w:hAnsiTheme="majorBidi" w:cstheme="majorBidi"/>
          <w:sz w:val="24"/>
          <w:szCs w:val="24"/>
          <w:lang w:val="en-GB"/>
        </w:rPr>
        <w:t xml:space="preserve"> deterrence,</w:t>
      </w:r>
      <w:r w:rsidRPr="00637780">
        <w:rPr>
          <w:rStyle w:val="FootnoteReference"/>
          <w:rFonts w:asciiTheme="majorBidi" w:hAnsiTheme="majorBidi" w:cstheme="majorBidi"/>
          <w:sz w:val="24"/>
          <w:szCs w:val="24"/>
          <w:lang w:val="en-GB"/>
        </w:rPr>
        <w:footnoteReference w:id="26"/>
      </w:r>
      <w:r w:rsidRPr="00637780">
        <w:rPr>
          <w:rFonts w:asciiTheme="majorBidi" w:hAnsiTheme="majorBidi" w:cstheme="majorBidi"/>
          <w:sz w:val="24"/>
          <w:szCs w:val="24"/>
          <w:lang w:val="en-GB"/>
        </w:rPr>
        <w:t xml:space="preserve"> obligation to obey the law.</w:t>
      </w:r>
      <w:r w:rsidRPr="00637780">
        <w:rPr>
          <w:rStyle w:val="FootnoteReference"/>
          <w:rFonts w:asciiTheme="majorBidi" w:hAnsiTheme="majorBidi" w:cstheme="majorBidi"/>
          <w:sz w:val="24"/>
          <w:szCs w:val="24"/>
          <w:lang w:val="en-GB"/>
        </w:rPr>
        <w:footnoteReference w:id="27"/>
      </w:r>
      <w:r w:rsidRPr="00637780">
        <w:rPr>
          <w:rFonts w:asciiTheme="majorBidi" w:hAnsiTheme="majorBidi" w:cstheme="majorBidi"/>
          <w:sz w:val="24"/>
          <w:szCs w:val="24"/>
          <w:lang w:val="en-GB"/>
        </w:rPr>
        <w:t xml:space="preserve"> and political orientation.</w:t>
      </w:r>
      <w:r w:rsidRPr="00637780">
        <w:rPr>
          <w:rStyle w:val="FootnoteReference"/>
          <w:rFonts w:asciiTheme="majorBidi" w:hAnsiTheme="majorBidi" w:cstheme="majorBidi"/>
          <w:sz w:val="24"/>
          <w:szCs w:val="24"/>
          <w:lang w:val="en-GB"/>
        </w:rPr>
        <w:footnoteReference w:id="28"/>
      </w:r>
      <w:r w:rsidRPr="00637780">
        <w:rPr>
          <w:rFonts w:asciiTheme="majorBidi" w:hAnsiTheme="majorBidi" w:cstheme="majorBidi"/>
          <w:sz w:val="24"/>
          <w:szCs w:val="24"/>
          <w:lang w:val="en-GB"/>
        </w:rPr>
        <w:t xml:space="preserve"> </w:t>
      </w:r>
      <w:r w:rsidRPr="00637780">
        <w:rPr>
          <w:rFonts w:asciiTheme="majorBidi" w:hAnsiTheme="majorBidi" w:cstheme="majorBidi"/>
          <w:sz w:val="24"/>
          <w:szCs w:val="24"/>
        </w:rPr>
        <w:t xml:space="preserve">As part of its conceptual work regarding regulatory theory, </w:t>
      </w:r>
      <w:r w:rsidR="004308E3" w:rsidRPr="00637780">
        <w:rPr>
          <w:rFonts w:asciiTheme="majorBidi" w:hAnsiTheme="majorBidi" w:cstheme="majorBidi"/>
          <w:sz w:val="24"/>
          <w:szCs w:val="24"/>
        </w:rPr>
        <w:t xml:space="preserve">we will create </w:t>
      </w:r>
      <w:r w:rsidRPr="00637780">
        <w:rPr>
          <w:rFonts w:asciiTheme="majorBidi" w:hAnsiTheme="majorBidi" w:cstheme="majorBidi"/>
          <w:sz w:val="24"/>
          <w:szCs w:val="24"/>
        </w:rPr>
        <w:t>a taxonomy</w:t>
      </w:r>
      <w:r w:rsidR="004308E3" w:rsidRPr="00637780">
        <w:rPr>
          <w:rFonts w:asciiTheme="majorBidi" w:hAnsiTheme="majorBidi" w:cstheme="majorBidi"/>
          <w:sz w:val="24"/>
          <w:szCs w:val="24"/>
        </w:rPr>
        <w:t xml:space="preserve"> in the book</w:t>
      </w:r>
      <w:r w:rsidRPr="00637780">
        <w:rPr>
          <w:rFonts w:asciiTheme="majorBidi" w:hAnsiTheme="majorBidi" w:cstheme="majorBidi"/>
          <w:sz w:val="24"/>
          <w:szCs w:val="24"/>
        </w:rPr>
        <w:t xml:space="preserve"> which will examine to what extent</w:t>
      </w:r>
      <w:r w:rsidR="00D8193F">
        <w:rPr>
          <w:rFonts w:asciiTheme="majorBidi" w:hAnsiTheme="majorBidi" w:cstheme="majorBidi"/>
          <w:sz w:val="24"/>
          <w:szCs w:val="24"/>
        </w:rPr>
        <w:t xml:space="preserve">, not just what is voluntary compliance but also from the </w:t>
      </w:r>
      <w:r w:rsidR="00FB45DE">
        <w:rPr>
          <w:rFonts w:asciiTheme="majorBidi" w:hAnsiTheme="majorBidi" w:cstheme="majorBidi"/>
          <w:sz w:val="24"/>
          <w:szCs w:val="24"/>
        </w:rPr>
        <w:t>regulatory perspective</w:t>
      </w:r>
      <w:r w:rsidR="00D8193F">
        <w:rPr>
          <w:rFonts w:asciiTheme="majorBidi" w:hAnsiTheme="majorBidi" w:cstheme="majorBidi"/>
          <w:sz w:val="24"/>
          <w:szCs w:val="24"/>
        </w:rPr>
        <w:t xml:space="preserve">, what </w:t>
      </w:r>
      <w:r w:rsidRPr="00637780">
        <w:rPr>
          <w:rFonts w:asciiTheme="majorBidi" w:hAnsiTheme="majorBidi" w:cstheme="majorBidi"/>
          <w:sz w:val="24"/>
          <w:szCs w:val="24"/>
        </w:rPr>
        <w:t xml:space="preserve">regulatory tool could be treated as </w:t>
      </w:r>
      <w:r w:rsidRPr="00637780">
        <w:rPr>
          <w:rFonts w:asciiTheme="majorBidi" w:hAnsiTheme="majorBidi" w:cstheme="majorBidi"/>
          <w:i/>
          <w:iCs/>
          <w:sz w:val="24"/>
          <w:szCs w:val="24"/>
        </w:rPr>
        <w:t>cooperative</w:t>
      </w:r>
      <w:r w:rsidR="00D8193F">
        <w:rPr>
          <w:rFonts w:asciiTheme="majorBidi" w:hAnsiTheme="majorBidi" w:cstheme="majorBidi"/>
          <w:i/>
          <w:iCs/>
          <w:sz w:val="24"/>
          <w:szCs w:val="24"/>
        </w:rPr>
        <w:t xml:space="preserve"> </w:t>
      </w:r>
      <w:r w:rsidRPr="00637780">
        <w:rPr>
          <w:rFonts w:asciiTheme="majorBidi" w:hAnsiTheme="majorBidi" w:cstheme="majorBidi"/>
          <w:sz w:val="24"/>
          <w:szCs w:val="24"/>
        </w:rPr>
        <w:t xml:space="preserve"> (e.g., how to define </w:t>
      </w:r>
      <w:r w:rsidR="00D8193F">
        <w:rPr>
          <w:rFonts w:asciiTheme="majorBidi" w:hAnsiTheme="majorBidi" w:cstheme="majorBidi"/>
          <w:sz w:val="24"/>
          <w:szCs w:val="24"/>
        </w:rPr>
        <w:t>large</w:t>
      </w:r>
      <w:r w:rsidRPr="00637780">
        <w:rPr>
          <w:rFonts w:asciiTheme="majorBidi" w:hAnsiTheme="majorBidi" w:cstheme="majorBidi"/>
          <w:sz w:val="24"/>
          <w:szCs w:val="24"/>
        </w:rPr>
        <w:t xml:space="preserve"> incentives or system 1 nudges), with a special focus on</w:t>
      </w:r>
      <w:r w:rsidR="00D8193F">
        <w:rPr>
          <w:rFonts w:asciiTheme="majorBidi" w:hAnsiTheme="majorBidi" w:cstheme="majorBidi"/>
          <w:sz w:val="24"/>
          <w:szCs w:val="24"/>
        </w:rPr>
        <w:t xml:space="preserve"> trust based and</w:t>
      </w:r>
      <w:r w:rsidRPr="00637780">
        <w:rPr>
          <w:rFonts w:asciiTheme="majorBidi" w:hAnsiTheme="majorBidi" w:cstheme="majorBidi"/>
          <w:sz w:val="24"/>
          <w:szCs w:val="24"/>
        </w:rPr>
        <w:t xml:space="preserve"> behavioral-based regulation</w:t>
      </w:r>
      <w:r w:rsidR="00D8193F">
        <w:rPr>
          <w:rFonts w:asciiTheme="majorBidi" w:hAnsiTheme="majorBidi" w:cstheme="majorBidi"/>
          <w:sz w:val="24"/>
          <w:szCs w:val="24"/>
        </w:rPr>
        <w:t xml:space="preserve">. </w:t>
      </w:r>
    </w:p>
    <w:p w14:paraId="409F0F2E" w14:textId="5C181C17" w:rsidR="00F707F9" w:rsidRPr="00644B88" w:rsidRDefault="00FB45DE" w:rsidP="000B7E23">
      <w:pPr>
        <w:spacing w:before="100" w:beforeAutospacing="1" w:after="100" w:afterAutospacing="1"/>
        <w:ind w:firstLine="720"/>
        <w:jc w:val="both"/>
        <w:rPr>
          <w:rFonts w:asciiTheme="majorBidi" w:hAnsiTheme="majorBidi" w:cstheme="majorBidi"/>
          <w:sz w:val="24"/>
          <w:szCs w:val="24"/>
        </w:rPr>
      </w:pPr>
      <w:r>
        <w:rPr>
          <w:rFonts w:asciiTheme="majorBidi" w:hAnsiTheme="majorBidi" w:cstheme="majorBidi"/>
          <w:sz w:val="24"/>
          <w:szCs w:val="24"/>
        </w:rPr>
        <w:t xml:space="preserve">Defining regulatory tools based on their level of cooperativeness becomes more complicated because </w:t>
      </w:r>
      <w:r w:rsidRPr="00644B88">
        <w:rPr>
          <w:rFonts w:asciiTheme="majorBidi" w:hAnsiTheme="majorBidi" w:cstheme="majorBidi"/>
          <w:sz w:val="24"/>
          <w:szCs w:val="24"/>
        </w:rPr>
        <w:t>Incorporating</w:t>
      </w:r>
      <w:r w:rsidR="00F707F9" w:rsidRPr="00644B88">
        <w:rPr>
          <w:rFonts w:asciiTheme="majorBidi" w:hAnsiTheme="majorBidi" w:cstheme="majorBidi"/>
          <w:sz w:val="24"/>
          <w:szCs w:val="24"/>
        </w:rPr>
        <w:t xml:space="preserve"> behavioral approaches, has </w:t>
      </w:r>
      <w:r w:rsidR="000B7E23">
        <w:rPr>
          <w:rFonts w:asciiTheme="majorBidi" w:hAnsiTheme="majorBidi" w:cstheme="majorBidi"/>
          <w:sz w:val="24"/>
          <w:szCs w:val="24"/>
        </w:rPr>
        <w:t xml:space="preserve">led to a </w:t>
      </w:r>
      <w:proofErr w:type="gramStart"/>
      <w:r w:rsidR="000B7E23">
        <w:rPr>
          <w:rFonts w:asciiTheme="majorBidi" w:hAnsiTheme="majorBidi" w:cstheme="majorBidi"/>
          <w:sz w:val="24"/>
          <w:szCs w:val="24"/>
        </w:rPr>
        <w:t xml:space="preserve">dramatic </w:t>
      </w:r>
      <w:r w:rsidR="00F707F9" w:rsidRPr="00644B88">
        <w:rPr>
          <w:rFonts w:asciiTheme="majorBidi" w:hAnsiTheme="majorBidi" w:cstheme="majorBidi"/>
          <w:sz w:val="24"/>
          <w:szCs w:val="24"/>
        </w:rPr>
        <w:t xml:space="preserve"> increase</w:t>
      </w:r>
      <w:proofErr w:type="gramEnd"/>
      <w:r w:rsidR="000B7E23">
        <w:rPr>
          <w:rFonts w:asciiTheme="majorBidi" w:hAnsiTheme="majorBidi" w:cstheme="majorBidi"/>
          <w:sz w:val="24"/>
          <w:szCs w:val="24"/>
        </w:rPr>
        <w:t xml:space="preserve"> in the</w:t>
      </w:r>
      <w:r w:rsidR="00F707F9" w:rsidRPr="00644B88">
        <w:rPr>
          <w:rFonts w:asciiTheme="majorBidi" w:hAnsiTheme="majorBidi" w:cstheme="majorBidi"/>
          <w:sz w:val="24"/>
          <w:szCs w:val="24"/>
        </w:rPr>
        <w:t xml:space="preserve"> variety of regulatory tools available to policy makers (e.g., nudges, framing, pledges, etc.). While the greater number of tools available render the instrument choice dilemma more difficult, they do offer concrete, quantitative means to measure and compare their efficacy.</w:t>
      </w:r>
      <w:r w:rsidR="00F707F9" w:rsidRPr="00644B88">
        <w:rPr>
          <w:rStyle w:val="FootnoteReference"/>
          <w:rFonts w:asciiTheme="majorBidi" w:hAnsiTheme="majorBidi" w:cstheme="majorBidi"/>
          <w:sz w:val="24"/>
          <w:szCs w:val="24"/>
        </w:rPr>
        <w:footnoteReference w:id="29"/>
      </w:r>
      <w:r w:rsidR="00F707F9" w:rsidRPr="00644B88">
        <w:rPr>
          <w:rFonts w:asciiTheme="majorBidi" w:hAnsiTheme="majorBidi" w:cstheme="majorBidi"/>
          <w:sz w:val="24"/>
          <w:szCs w:val="24"/>
        </w:rPr>
        <w:t xml:space="preserve"> The nudge approach</w:t>
      </w:r>
      <w:r w:rsidR="001838A2">
        <w:rPr>
          <w:rStyle w:val="FootnoteReference"/>
          <w:rFonts w:asciiTheme="majorBidi" w:hAnsiTheme="majorBidi" w:cstheme="majorBidi"/>
          <w:sz w:val="24"/>
          <w:szCs w:val="24"/>
        </w:rPr>
        <w:footnoteReference w:id="30"/>
      </w:r>
      <w:r w:rsidR="00F707F9" w:rsidRPr="00644B88">
        <w:rPr>
          <w:rFonts w:asciiTheme="majorBidi" w:hAnsiTheme="majorBidi" w:cstheme="majorBidi"/>
          <w:sz w:val="24"/>
          <w:szCs w:val="24"/>
        </w:rPr>
        <w:t>, based on the influential work of Thaler and Sunstein,</w:t>
      </w:r>
      <w:r w:rsidR="00F707F9" w:rsidRPr="00644B88">
        <w:rPr>
          <w:rStyle w:val="FootnoteReference"/>
          <w:rFonts w:asciiTheme="majorBidi" w:hAnsiTheme="majorBidi" w:cstheme="majorBidi"/>
          <w:sz w:val="24"/>
          <w:szCs w:val="24"/>
        </w:rPr>
        <w:footnoteReference w:id="31"/>
      </w:r>
      <w:r w:rsidR="00F707F9" w:rsidRPr="00644B88">
        <w:rPr>
          <w:rFonts w:asciiTheme="majorBidi" w:hAnsiTheme="majorBidi" w:cstheme="majorBidi"/>
          <w:sz w:val="24"/>
          <w:szCs w:val="24"/>
        </w:rPr>
        <w:t xml:space="preserve"> represents an important addition to the regulatory choice dilemma, leading numerous scholars to examine when nudges can be relied upon to replace more mandatory rules.</w:t>
      </w:r>
      <w:r w:rsidR="00F707F9" w:rsidRPr="00644B88">
        <w:rPr>
          <w:rStyle w:val="FootnoteReference"/>
          <w:rFonts w:asciiTheme="majorBidi" w:hAnsiTheme="majorBidi" w:cstheme="majorBidi"/>
          <w:sz w:val="24"/>
          <w:szCs w:val="24"/>
        </w:rPr>
        <w:footnoteReference w:id="32"/>
      </w:r>
      <w:r w:rsidR="00F707F9" w:rsidRPr="00644B88">
        <w:rPr>
          <w:rFonts w:asciiTheme="majorBidi" w:hAnsiTheme="majorBidi" w:cstheme="majorBidi"/>
          <w:sz w:val="24"/>
          <w:szCs w:val="24"/>
        </w:rPr>
        <w:t xml:space="preserve"> </w:t>
      </w:r>
    </w:p>
    <w:p w14:paraId="6AA6F34C" w14:textId="467C089D" w:rsidR="0029336E" w:rsidRPr="0029336E" w:rsidRDefault="002A3AB0" w:rsidP="00632B97">
      <w:pPr>
        <w:pStyle w:val="Heading2"/>
      </w:pPr>
      <w:bookmarkStart w:id="13" w:name="_Toc161578512"/>
      <w:r>
        <w:t>Intrinsic c</w:t>
      </w:r>
      <w:r w:rsidR="00F707F9" w:rsidRPr="00644B88">
        <w:t>ompliance motivation</w:t>
      </w:r>
      <w:r>
        <w:t>s</w:t>
      </w:r>
      <w:bookmarkEnd w:id="13"/>
    </w:p>
    <w:p w14:paraId="38E74F0E" w14:textId="78A1A1B4" w:rsidR="00F707F9" w:rsidRPr="00637780" w:rsidRDefault="002A3AB0" w:rsidP="005E6151">
      <w:pPr>
        <w:spacing w:after="120" w:line="16" w:lineRule="atLeast"/>
        <w:ind w:firstLine="720"/>
        <w:contextualSpacing/>
        <w:jc w:val="both"/>
        <w:rPr>
          <w:rFonts w:asciiTheme="majorBidi" w:hAnsiTheme="majorBidi" w:cstheme="majorBidi"/>
          <w:sz w:val="24"/>
          <w:szCs w:val="24"/>
        </w:rPr>
      </w:pPr>
      <w:r>
        <w:rPr>
          <w:rFonts w:asciiTheme="majorBidi" w:hAnsiTheme="majorBidi" w:cstheme="majorBidi"/>
          <w:sz w:val="24"/>
          <w:szCs w:val="24"/>
        </w:rPr>
        <w:t>As suggested above, the advantages of voluntary compliance and its</w:t>
      </w:r>
      <w:r w:rsidR="00F707F9" w:rsidRPr="00637780">
        <w:rPr>
          <w:rFonts w:asciiTheme="majorBidi" w:hAnsiTheme="majorBidi" w:cstheme="majorBidi"/>
          <w:sz w:val="24"/>
          <w:szCs w:val="24"/>
        </w:rPr>
        <w:t xml:space="preserve"> importance have been recognized across a number of dimensions.</w:t>
      </w:r>
      <w:r w:rsidR="00F707F9" w:rsidRPr="00637780">
        <w:rPr>
          <w:rStyle w:val="FootnoteReference"/>
          <w:rFonts w:asciiTheme="majorBidi" w:hAnsiTheme="majorBidi" w:cstheme="majorBidi"/>
          <w:sz w:val="24"/>
          <w:szCs w:val="24"/>
        </w:rPr>
        <w:footnoteReference w:id="33"/>
      </w:r>
      <w:r w:rsidR="00F707F9" w:rsidRPr="00637780">
        <w:rPr>
          <w:rFonts w:asciiTheme="majorBidi" w:hAnsiTheme="majorBidi" w:cstheme="majorBidi"/>
          <w:sz w:val="24"/>
          <w:szCs w:val="24"/>
        </w:rPr>
        <w:t xml:space="preserve"> VC, especially if driven by intrinsic motivation,</w:t>
      </w:r>
      <w:r w:rsidR="00F707F9" w:rsidRPr="00637780">
        <w:rPr>
          <w:rStyle w:val="FootnoteReference"/>
          <w:rFonts w:asciiTheme="majorBidi" w:hAnsiTheme="majorBidi" w:cstheme="majorBidi"/>
          <w:sz w:val="24"/>
          <w:szCs w:val="24"/>
        </w:rPr>
        <w:footnoteReference w:id="34"/>
      </w:r>
      <w:r w:rsidR="00F707F9" w:rsidRPr="00637780">
        <w:rPr>
          <w:rFonts w:asciiTheme="majorBidi" w:hAnsiTheme="majorBidi" w:cstheme="majorBidi"/>
          <w:sz w:val="24"/>
          <w:szCs w:val="24"/>
        </w:rPr>
        <w:t xml:space="preserve"> is usually considered more sustainable and of higher quality than coerced compliance when the government is afraid to trust the likelihood of public cooperation with coercive measures, which tends to be short-term and sensitive to the </w:t>
      </w:r>
      <w:r w:rsidR="00F707F9" w:rsidRPr="00637780">
        <w:rPr>
          <w:rFonts w:asciiTheme="majorBidi" w:hAnsiTheme="majorBidi" w:cstheme="majorBidi"/>
          <w:sz w:val="24"/>
          <w:szCs w:val="24"/>
        </w:rPr>
        <w:lastRenderedPageBreak/>
        <w:t>existence of sanctions.</w:t>
      </w:r>
      <w:r w:rsidR="00F707F9" w:rsidRPr="00637780">
        <w:rPr>
          <w:rStyle w:val="FootnoteReference"/>
          <w:rFonts w:asciiTheme="majorBidi" w:hAnsiTheme="majorBidi" w:cstheme="majorBidi"/>
          <w:sz w:val="24"/>
          <w:szCs w:val="24"/>
        </w:rPr>
        <w:footnoteReference w:id="35"/>
      </w:r>
      <w:r w:rsidR="00F707F9" w:rsidRPr="00637780">
        <w:rPr>
          <w:rFonts w:asciiTheme="majorBidi" w:hAnsiTheme="majorBidi" w:cstheme="majorBidi"/>
          <w:sz w:val="24"/>
          <w:szCs w:val="24"/>
        </w:rPr>
        <w:t xml:space="preserve"> In addition, reliance on VC is more likely to increase feelings of trust and trustworthiness among regulatees,</w:t>
      </w:r>
      <w:r w:rsidR="00F707F9" w:rsidRPr="00637780">
        <w:rPr>
          <w:rStyle w:val="FootnoteReference"/>
          <w:rFonts w:asciiTheme="majorBidi" w:hAnsiTheme="majorBidi" w:cstheme="majorBidi"/>
          <w:sz w:val="24"/>
          <w:szCs w:val="24"/>
        </w:rPr>
        <w:footnoteReference w:id="36"/>
      </w:r>
      <w:r w:rsidR="00F707F9" w:rsidRPr="00637780">
        <w:rPr>
          <w:rFonts w:asciiTheme="majorBidi" w:hAnsiTheme="majorBidi" w:cstheme="majorBidi"/>
          <w:sz w:val="24"/>
          <w:szCs w:val="24"/>
        </w:rPr>
        <w:t xml:space="preserve"> entail lower enforcement costs,</w:t>
      </w:r>
      <w:r w:rsidR="00F707F9" w:rsidRPr="00637780">
        <w:rPr>
          <w:rStyle w:val="FootnoteReference"/>
          <w:rFonts w:asciiTheme="majorBidi" w:hAnsiTheme="majorBidi" w:cstheme="majorBidi"/>
          <w:sz w:val="24"/>
          <w:szCs w:val="24"/>
        </w:rPr>
        <w:footnoteReference w:id="37"/>
      </w:r>
      <w:r w:rsidR="00F707F9" w:rsidRPr="00637780">
        <w:rPr>
          <w:rFonts w:asciiTheme="majorBidi" w:hAnsiTheme="majorBidi" w:cstheme="majorBidi"/>
          <w:sz w:val="24"/>
          <w:szCs w:val="24"/>
        </w:rPr>
        <w:t xml:space="preserve"> and result in a higher quality of cooperation.</w:t>
      </w:r>
      <w:r w:rsidR="00F707F9" w:rsidRPr="00637780">
        <w:rPr>
          <w:rStyle w:val="FootnoteReference"/>
          <w:rFonts w:asciiTheme="majorBidi" w:hAnsiTheme="majorBidi" w:cstheme="majorBidi"/>
          <w:sz w:val="24"/>
          <w:szCs w:val="24"/>
        </w:rPr>
        <w:footnoteReference w:id="38"/>
      </w:r>
      <w:r w:rsidR="00F707F9" w:rsidRPr="00637780">
        <w:rPr>
          <w:rFonts w:asciiTheme="majorBidi" w:hAnsiTheme="majorBidi" w:cstheme="majorBidi"/>
          <w:sz w:val="24"/>
          <w:szCs w:val="24"/>
        </w:rPr>
        <w:t xml:space="preserve"> </w:t>
      </w:r>
      <w:r w:rsidR="00136E85">
        <w:rPr>
          <w:rFonts w:asciiTheme="majorBidi" w:hAnsiTheme="majorBidi" w:cstheme="majorBidi"/>
          <w:sz w:val="24"/>
          <w:szCs w:val="24"/>
        </w:rPr>
        <w:t>Compliance which is more voluntary i</w:t>
      </w:r>
      <w:r w:rsidR="00F707F9" w:rsidRPr="00637780">
        <w:rPr>
          <w:rFonts w:asciiTheme="majorBidi" w:hAnsiTheme="majorBidi" w:cstheme="majorBidi"/>
          <w:sz w:val="24"/>
          <w:szCs w:val="24"/>
        </w:rPr>
        <w:t>s also more likely to lead to greater resilience,</w:t>
      </w:r>
      <w:r w:rsidR="00F707F9" w:rsidRPr="00637780">
        <w:rPr>
          <w:rStyle w:val="FootnoteReference"/>
          <w:rFonts w:asciiTheme="majorBidi" w:hAnsiTheme="majorBidi" w:cstheme="majorBidi"/>
          <w:sz w:val="24"/>
          <w:szCs w:val="24"/>
        </w:rPr>
        <w:footnoteReference w:id="39"/>
      </w:r>
      <w:r w:rsidR="00F707F9" w:rsidRPr="00637780">
        <w:rPr>
          <w:rFonts w:asciiTheme="majorBidi" w:hAnsiTheme="majorBidi" w:cstheme="majorBidi"/>
          <w:sz w:val="24"/>
          <w:szCs w:val="24"/>
        </w:rPr>
        <w:t xml:space="preserve"> as evidenced in findings from research on therapeutic jurisprudence</w:t>
      </w:r>
      <w:r w:rsidR="00F707F9" w:rsidRPr="00637780">
        <w:rPr>
          <w:rStyle w:val="FootnoteReference"/>
          <w:rFonts w:asciiTheme="majorBidi" w:hAnsiTheme="majorBidi" w:cstheme="majorBidi"/>
          <w:sz w:val="24"/>
          <w:szCs w:val="24"/>
        </w:rPr>
        <w:footnoteReference w:id="40"/>
      </w:r>
      <w:r w:rsidR="00F707F9" w:rsidRPr="00637780">
        <w:rPr>
          <w:rFonts w:asciiTheme="majorBidi" w:hAnsiTheme="majorBidi" w:cstheme="majorBidi"/>
          <w:sz w:val="24"/>
          <w:szCs w:val="24"/>
        </w:rPr>
        <w:t xml:space="preserve"> and on happiness.</w:t>
      </w:r>
      <w:r w:rsidR="00F707F9" w:rsidRPr="00637780">
        <w:rPr>
          <w:rStyle w:val="FootnoteReference"/>
          <w:rFonts w:asciiTheme="majorBidi" w:hAnsiTheme="majorBidi" w:cstheme="majorBidi"/>
          <w:sz w:val="24"/>
          <w:szCs w:val="24"/>
        </w:rPr>
        <w:footnoteReference w:id="41"/>
      </w:r>
    </w:p>
    <w:p w14:paraId="11EBABED" w14:textId="77777777" w:rsidR="00DB0310" w:rsidRDefault="00F707F9" w:rsidP="005E6151">
      <w:pPr>
        <w:spacing w:after="120" w:line="16" w:lineRule="atLeast"/>
        <w:ind w:firstLine="720"/>
        <w:contextualSpacing/>
        <w:jc w:val="both"/>
        <w:rPr>
          <w:rFonts w:asciiTheme="majorBidi" w:hAnsiTheme="majorBidi" w:cstheme="majorBidi"/>
          <w:sz w:val="24"/>
          <w:szCs w:val="24"/>
        </w:rPr>
      </w:pPr>
      <w:r w:rsidRPr="00637780">
        <w:rPr>
          <w:rFonts w:asciiTheme="majorBidi" w:hAnsiTheme="majorBidi" w:cstheme="majorBidi"/>
          <w:sz w:val="24"/>
          <w:szCs w:val="24"/>
        </w:rPr>
        <w:t>Efforts to understand how to stimulate and encourage VC have acknowledged that factors related to fairness,</w:t>
      </w:r>
      <w:r w:rsidRPr="00637780">
        <w:rPr>
          <w:rStyle w:val="FootnoteReference"/>
          <w:rFonts w:asciiTheme="majorBidi" w:hAnsiTheme="majorBidi" w:cstheme="majorBidi"/>
          <w:sz w:val="24"/>
          <w:szCs w:val="24"/>
        </w:rPr>
        <w:footnoteReference w:id="42"/>
      </w:r>
      <w:r w:rsidRPr="00637780">
        <w:rPr>
          <w:rFonts w:asciiTheme="majorBidi" w:hAnsiTheme="majorBidi" w:cstheme="majorBidi"/>
          <w:sz w:val="24"/>
          <w:szCs w:val="24"/>
        </w:rPr>
        <w:t xml:space="preserve"> morality,</w:t>
      </w:r>
      <w:r w:rsidRPr="00637780">
        <w:rPr>
          <w:rStyle w:val="FootnoteReference"/>
          <w:rFonts w:asciiTheme="majorBidi" w:hAnsiTheme="majorBidi" w:cstheme="majorBidi"/>
          <w:color w:val="000000" w:themeColor="text1"/>
          <w:sz w:val="24"/>
          <w:szCs w:val="24"/>
        </w:rPr>
        <w:footnoteReference w:id="43"/>
      </w:r>
      <w:r w:rsidRPr="00637780">
        <w:rPr>
          <w:rFonts w:asciiTheme="majorBidi" w:hAnsiTheme="majorBidi" w:cstheme="majorBidi"/>
          <w:sz w:val="24"/>
          <w:szCs w:val="24"/>
        </w:rPr>
        <w:t xml:space="preserve"> duty to obey, and trust</w:t>
      </w:r>
      <w:r w:rsidRPr="00637780">
        <w:rPr>
          <w:rStyle w:val="FootnoteReference"/>
          <w:rFonts w:asciiTheme="majorBidi" w:hAnsiTheme="majorBidi" w:cstheme="majorBidi"/>
          <w:sz w:val="24"/>
          <w:szCs w:val="24"/>
        </w:rPr>
        <w:footnoteReference w:id="44"/>
      </w:r>
      <w:r w:rsidRPr="00637780">
        <w:rPr>
          <w:rFonts w:asciiTheme="majorBidi" w:hAnsiTheme="majorBidi" w:cstheme="majorBidi"/>
          <w:sz w:val="24"/>
          <w:szCs w:val="24"/>
        </w:rPr>
        <w:t xml:space="preserve"> play an important role in compliance in areas from environmental and health regulations (including COVID-19 measures)</w:t>
      </w:r>
      <w:r w:rsidRPr="00637780">
        <w:rPr>
          <w:rStyle w:val="FootnoteReference"/>
          <w:rFonts w:asciiTheme="majorBidi" w:hAnsiTheme="majorBidi" w:cstheme="majorBidi"/>
          <w:sz w:val="24"/>
          <w:szCs w:val="24"/>
        </w:rPr>
        <w:footnoteReference w:id="45"/>
      </w:r>
      <w:r w:rsidRPr="00637780">
        <w:rPr>
          <w:rFonts w:asciiTheme="majorBidi" w:hAnsiTheme="majorBidi" w:cstheme="majorBidi"/>
          <w:sz w:val="24"/>
          <w:szCs w:val="24"/>
        </w:rPr>
        <w:t xml:space="preserve"> to traffic and tax laws.</w:t>
      </w:r>
    </w:p>
    <w:p w14:paraId="1CD0ABC6" w14:textId="5C7736E4" w:rsidR="00F707F9" w:rsidRPr="00637780" w:rsidRDefault="00F707F9" w:rsidP="005E6151">
      <w:pPr>
        <w:spacing w:after="120" w:line="16" w:lineRule="atLeast"/>
        <w:ind w:firstLine="720"/>
        <w:contextualSpacing/>
        <w:jc w:val="both"/>
        <w:rPr>
          <w:rFonts w:asciiTheme="majorBidi" w:hAnsiTheme="majorBidi" w:cstheme="majorBidi"/>
          <w:b/>
          <w:bCs/>
          <w:sz w:val="24"/>
          <w:szCs w:val="24"/>
          <w:rtl/>
        </w:rPr>
      </w:pPr>
      <w:r w:rsidRPr="00637780">
        <w:rPr>
          <w:rFonts w:asciiTheme="majorBidi" w:hAnsiTheme="majorBidi" w:cstheme="majorBidi"/>
          <w:sz w:val="24"/>
          <w:szCs w:val="24"/>
        </w:rPr>
        <w:t xml:space="preserve"> This focus on </w:t>
      </w:r>
      <w:r w:rsidR="005A11FC">
        <w:rPr>
          <w:rFonts w:asciiTheme="majorBidi" w:hAnsiTheme="majorBidi" w:cstheme="majorBidi"/>
          <w:sz w:val="24"/>
          <w:szCs w:val="24"/>
        </w:rPr>
        <w:t>voluntary compliance</w:t>
      </w:r>
      <w:r w:rsidRPr="00637780">
        <w:rPr>
          <w:rFonts w:asciiTheme="majorBidi" w:hAnsiTheme="majorBidi" w:cstheme="majorBidi"/>
          <w:sz w:val="24"/>
          <w:szCs w:val="24"/>
        </w:rPr>
        <w:t xml:space="preserve"> has also been highly relevant to the growing recognition of the importance of intrinsic compliance motivations,</w:t>
      </w:r>
      <w:r w:rsidRPr="00637780">
        <w:rPr>
          <w:rStyle w:val="FootnoteReference"/>
          <w:rFonts w:asciiTheme="majorBidi" w:hAnsiTheme="majorBidi" w:cstheme="majorBidi"/>
          <w:sz w:val="24"/>
          <w:szCs w:val="24"/>
        </w:rPr>
        <w:footnoteReference w:id="46"/>
      </w:r>
      <w:r w:rsidRPr="00637780">
        <w:rPr>
          <w:rFonts w:asciiTheme="majorBidi" w:hAnsiTheme="majorBidi" w:cstheme="majorBidi"/>
          <w:sz w:val="24"/>
          <w:szCs w:val="24"/>
        </w:rPr>
        <w:t xml:space="preserve"> and supports the preference for tailoring the focus of compliance measures to individuals’ motivations.</w:t>
      </w:r>
      <w:r w:rsidRPr="00637780">
        <w:rPr>
          <w:rStyle w:val="FootnoteReference"/>
          <w:rFonts w:asciiTheme="majorBidi" w:hAnsiTheme="majorBidi" w:cstheme="majorBidi"/>
          <w:sz w:val="24"/>
          <w:szCs w:val="24"/>
        </w:rPr>
        <w:footnoteReference w:id="47"/>
      </w:r>
      <w:r w:rsidR="009D1080">
        <w:rPr>
          <w:rFonts w:asciiTheme="majorBidi" w:hAnsiTheme="majorBidi" w:cstheme="majorBidi"/>
          <w:sz w:val="24"/>
          <w:szCs w:val="24"/>
        </w:rPr>
        <w:t xml:space="preserve"> By and large, i</w:t>
      </w:r>
      <w:r w:rsidRPr="00637780">
        <w:rPr>
          <w:rFonts w:asciiTheme="majorBidi" w:hAnsiTheme="majorBidi" w:cstheme="majorBidi"/>
          <w:sz w:val="24"/>
          <w:szCs w:val="24"/>
        </w:rPr>
        <w:t>t has been shown that extrinsic motivators, such as deterrence, are not only less effective than was once assumed, but that they also undermine the ability of intrinsic motivation to enhance compliance with regulation efforts.</w:t>
      </w:r>
      <w:r w:rsidRPr="00637780">
        <w:rPr>
          <w:rStyle w:val="FootnoteReference"/>
          <w:rFonts w:asciiTheme="majorBidi" w:hAnsiTheme="majorBidi" w:cstheme="majorBidi"/>
          <w:sz w:val="24"/>
          <w:szCs w:val="24"/>
        </w:rPr>
        <w:footnoteReference w:id="48"/>
      </w:r>
      <w:r w:rsidRPr="00637780">
        <w:rPr>
          <w:rFonts w:asciiTheme="majorBidi" w:hAnsiTheme="majorBidi" w:cstheme="majorBidi"/>
          <w:b/>
          <w:bCs/>
          <w:sz w:val="24"/>
          <w:szCs w:val="24"/>
        </w:rPr>
        <w:tab/>
      </w:r>
    </w:p>
    <w:p w14:paraId="24066457" w14:textId="1434CFF3" w:rsidR="00545BCC" w:rsidRPr="00637780" w:rsidRDefault="00F707F9" w:rsidP="005E6151">
      <w:pPr>
        <w:spacing w:after="120" w:line="16" w:lineRule="atLeast"/>
        <w:ind w:firstLine="720"/>
        <w:contextualSpacing/>
        <w:jc w:val="both"/>
        <w:rPr>
          <w:rFonts w:asciiTheme="majorBidi" w:hAnsiTheme="majorBidi" w:cstheme="majorBidi"/>
          <w:sz w:val="24"/>
          <w:szCs w:val="24"/>
        </w:rPr>
      </w:pPr>
      <w:r w:rsidRPr="00637780">
        <w:rPr>
          <w:rFonts w:asciiTheme="majorBidi" w:hAnsiTheme="majorBidi" w:cstheme="majorBidi"/>
          <w:sz w:val="24"/>
          <w:szCs w:val="24"/>
        </w:rPr>
        <w:lastRenderedPageBreak/>
        <w:t xml:space="preserve">However, </w:t>
      </w:r>
      <w:r w:rsidR="009D1080">
        <w:rPr>
          <w:rFonts w:asciiTheme="majorBidi" w:hAnsiTheme="majorBidi" w:cstheme="majorBidi"/>
          <w:sz w:val="24"/>
          <w:szCs w:val="24"/>
        </w:rPr>
        <w:t xml:space="preserve">as will be discussed in more </w:t>
      </w:r>
      <w:proofErr w:type="gramStart"/>
      <w:r w:rsidR="009D1080">
        <w:rPr>
          <w:rFonts w:asciiTheme="majorBidi" w:hAnsiTheme="majorBidi" w:cstheme="majorBidi"/>
          <w:sz w:val="24"/>
          <w:szCs w:val="24"/>
        </w:rPr>
        <w:t>details</w:t>
      </w:r>
      <w:proofErr w:type="gramEnd"/>
      <w:r w:rsidR="009D1080">
        <w:rPr>
          <w:rFonts w:asciiTheme="majorBidi" w:hAnsiTheme="majorBidi" w:cstheme="majorBidi"/>
          <w:sz w:val="24"/>
          <w:szCs w:val="24"/>
        </w:rPr>
        <w:t xml:space="preserve"> in chapter 4 that focuses on crowding out motivation, </w:t>
      </w:r>
      <w:r w:rsidRPr="00637780">
        <w:rPr>
          <w:rFonts w:asciiTheme="majorBidi" w:hAnsiTheme="majorBidi" w:cstheme="majorBidi"/>
          <w:sz w:val="24"/>
          <w:szCs w:val="24"/>
        </w:rPr>
        <w:t xml:space="preserve">it is not fully clear from the literature whether compliance can be considered voluntary only when people </w:t>
      </w:r>
      <w:r w:rsidRPr="00637780">
        <w:rPr>
          <w:rFonts w:asciiTheme="majorBidi" w:hAnsiTheme="majorBidi" w:cstheme="majorBidi"/>
          <w:i/>
          <w:iCs/>
          <w:sz w:val="24"/>
          <w:szCs w:val="24"/>
        </w:rPr>
        <w:t>want</w:t>
      </w:r>
      <w:r w:rsidRPr="00637780">
        <w:rPr>
          <w:rFonts w:asciiTheme="majorBidi" w:hAnsiTheme="majorBidi" w:cstheme="majorBidi"/>
          <w:sz w:val="24"/>
          <w:szCs w:val="24"/>
        </w:rPr>
        <w:t xml:space="preserve"> to cooperate. Or is compliance voluntary also when people are not being coerced, but, rather, motivated to act in a certain way directly through incentives, or indirectly, through community norms or reputational mechanisms? Finally, the literature on VC assumes its desirability, but rarely examines its effect on the distribution, sustainability, and quality of compliance. It also fails to account for any research on the societal externalities of compliance</w:t>
      </w:r>
      <w:r w:rsidR="005A11FC">
        <w:rPr>
          <w:rFonts w:asciiTheme="majorBidi" w:hAnsiTheme="majorBidi" w:cstheme="majorBidi"/>
          <w:sz w:val="24"/>
          <w:szCs w:val="24"/>
        </w:rPr>
        <w:t xml:space="preserve"> such as lack of trust and crowding out as discussed in chapter 3</w:t>
      </w:r>
      <w:r w:rsidRPr="00637780">
        <w:rPr>
          <w:rFonts w:asciiTheme="majorBidi" w:hAnsiTheme="majorBidi" w:cstheme="majorBidi"/>
          <w:sz w:val="24"/>
          <w:szCs w:val="24"/>
        </w:rPr>
        <w:t xml:space="preserve">. </w:t>
      </w:r>
    </w:p>
    <w:p w14:paraId="4C27F05B" w14:textId="77777777" w:rsidR="00F707F9" w:rsidRPr="00644B88" w:rsidRDefault="00F707F9" w:rsidP="00632B97">
      <w:pPr>
        <w:spacing w:after="120" w:line="16" w:lineRule="atLeast"/>
        <w:ind w:firstLine="720"/>
        <w:contextualSpacing/>
        <w:jc w:val="both"/>
        <w:rPr>
          <w:rFonts w:asciiTheme="majorBidi" w:hAnsiTheme="majorBidi" w:cstheme="majorBidi"/>
          <w:b/>
          <w:bCs/>
          <w:sz w:val="24"/>
          <w:szCs w:val="24"/>
        </w:rPr>
      </w:pPr>
    </w:p>
    <w:p w14:paraId="311636B9" w14:textId="3070767D" w:rsidR="00F707F9" w:rsidRPr="00644B88" w:rsidRDefault="002A3A12" w:rsidP="00632B97">
      <w:pPr>
        <w:spacing w:before="100" w:beforeAutospacing="1" w:after="100" w:afterAutospacing="1"/>
        <w:ind w:firstLine="720"/>
        <w:jc w:val="both"/>
        <w:rPr>
          <w:rFonts w:asciiTheme="majorBidi" w:hAnsiTheme="majorBidi" w:cstheme="majorBidi"/>
          <w:sz w:val="24"/>
          <w:szCs w:val="24"/>
        </w:rPr>
      </w:pPr>
      <w:r>
        <w:rPr>
          <w:rFonts w:asciiTheme="majorBidi" w:hAnsiTheme="majorBidi" w:cstheme="majorBidi"/>
          <w:sz w:val="24"/>
          <w:szCs w:val="24"/>
        </w:rPr>
        <w:t>A</w:t>
      </w:r>
      <w:r w:rsidR="00F707F9" w:rsidRPr="00644B88">
        <w:rPr>
          <w:rFonts w:asciiTheme="majorBidi" w:hAnsiTheme="majorBidi" w:cstheme="majorBidi"/>
          <w:sz w:val="24"/>
          <w:szCs w:val="24"/>
        </w:rPr>
        <w:t>nother evolving area of study on the issue of regulatory compliance,</w:t>
      </w:r>
      <w:r w:rsidR="00F707F9" w:rsidRPr="00644B88">
        <w:rPr>
          <w:rStyle w:val="FootnoteReference"/>
          <w:rFonts w:asciiTheme="majorBidi" w:hAnsiTheme="majorBidi" w:cstheme="majorBidi"/>
          <w:sz w:val="24"/>
          <w:szCs w:val="24"/>
        </w:rPr>
        <w:footnoteReference w:id="49"/>
      </w:r>
      <w:r w:rsidR="00F707F9" w:rsidRPr="00644B88">
        <w:rPr>
          <w:rFonts w:asciiTheme="majorBidi" w:hAnsiTheme="majorBidi" w:cstheme="majorBidi"/>
          <w:sz w:val="24"/>
          <w:szCs w:val="24"/>
        </w:rPr>
        <w:t xml:space="preserve"> has emphasized how voluntary compliance and its importance have been recognized across a number of dimensions.</w:t>
      </w:r>
      <w:r w:rsidR="00F707F9" w:rsidRPr="00644B88">
        <w:rPr>
          <w:rStyle w:val="FootnoteReference"/>
          <w:rFonts w:asciiTheme="majorBidi" w:hAnsiTheme="majorBidi" w:cstheme="majorBidi"/>
          <w:sz w:val="24"/>
          <w:szCs w:val="24"/>
        </w:rPr>
        <w:footnoteReference w:id="50"/>
      </w:r>
      <w:r w:rsidR="00F707F9" w:rsidRPr="00644B88">
        <w:rPr>
          <w:rFonts w:asciiTheme="majorBidi" w:hAnsiTheme="majorBidi" w:cstheme="majorBidi"/>
          <w:sz w:val="24"/>
          <w:szCs w:val="24"/>
        </w:rPr>
        <w:t xml:space="preserve"> Voluntary compliance, especially if driven by intrinsic motivation,</w:t>
      </w:r>
      <w:r w:rsidR="00F707F9" w:rsidRPr="00644B88">
        <w:rPr>
          <w:rStyle w:val="FootnoteReference"/>
          <w:rFonts w:asciiTheme="majorBidi" w:hAnsiTheme="majorBidi" w:cstheme="majorBidi"/>
          <w:sz w:val="24"/>
          <w:szCs w:val="24"/>
        </w:rPr>
        <w:footnoteReference w:id="51"/>
      </w:r>
      <w:r w:rsidR="00F707F9" w:rsidRPr="00644B88">
        <w:rPr>
          <w:rFonts w:asciiTheme="majorBidi" w:hAnsiTheme="majorBidi" w:cstheme="majorBidi"/>
          <w:sz w:val="24"/>
          <w:szCs w:val="24"/>
        </w:rPr>
        <w:t xml:space="preserve"> is usually considered preferable and more sustainable than coerced compliance, which tends to be short-term and sensitive to the existence of sanctions.</w:t>
      </w:r>
      <w:r w:rsidR="00F707F9" w:rsidRPr="00644B88">
        <w:rPr>
          <w:rStyle w:val="FootnoteReference"/>
          <w:rFonts w:asciiTheme="majorBidi" w:hAnsiTheme="majorBidi" w:cstheme="majorBidi"/>
          <w:sz w:val="24"/>
          <w:szCs w:val="24"/>
        </w:rPr>
        <w:footnoteReference w:id="52"/>
      </w:r>
      <w:r w:rsidR="00F707F9" w:rsidRPr="00644B88">
        <w:rPr>
          <w:rFonts w:asciiTheme="majorBidi" w:hAnsiTheme="majorBidi" w:cstheme="majorBidi"/>
          <w:sz w:val="24"/>
          <w:szCs w:val="24"/>
        </w:rPr>
        <w:t xml:space="preserve"> In addition, reliance on voluntary compliance is more likely to increase trust among regulates,</w:t>
      </w:r>
      <w:r w:rsidR="00F707F9" w:rsidRPr="00644B88">
        <w:rPr>
          <w:rStyle w:val="FootnoteReference"/>
          <w:rFonts w:asciiTheme="majorBidi" w:hAnsiTheme="majorBidi" w:cstheme="majorBidi"/>
          <w:sz w:val="24"/>
          <w:szCs w:val="24"/>
        </w:rPr>
        <w:footnoteReference w:id="53"/>
      </w:r>
      <w:r w:rsidR="00F707F9" w:rsidRPr="00644B88">
        <w:rPr>
          <w:rFonts w:asciiTheme="majorBidi" w:hAnsiTheme="majorBidi" w:cstheme="majorBidi"/>
          <w:sz w:val="24"/>
          <w:szCs w:val="24"/>
        </w:rPr>
        <w:t xml:space="preserve"> entail lower enforcement costs,</w:t>
      </w:r>
      <w:r w:rsidR="00F707F9" w:rsidRPr="00644B88">
        <w:rPr>
          <w:rStyle w:val="FootnoteReference"/>
          <w:rFonts w:asciiTheme="majorBidi" w:hAnsiTheme="majorBidi" w:cstheme="majorBidi"/>
          <w:sz w:val="24"/>
          <w:szCs w:val="24"/>
        </w:rPr>
        <w:footnoteReference w:id="54"/>
      </w:r>
      <w:r w:rsidR="00F707F9" w:rsidRPr="00644B88">
        <w:rPr>
          <w:rFonts w:asciiTheme="majorBidi" w:hAnsiTheme="majorBidi" w:cstheme="majorBidi"/>
          <w:sz w:val="24"/>
          <w:szCs w:val="24"/>
        </w:rPr>
        <w:t xml:space="preserve"> and is likely to result in a higher quality of cooperation.</w:t>
      </w:r>
      <w:r w:rsidR="00F707F9" w:rsidRPr="00644B88">
        <w:rPr>
          <w:rStyle w:val="FootnoteReference"/>
          <w:rFonts w:asciiTheme="majorBidi" w:hAnsiTheme="majorBidi" w:cstheme="majorBidi"/>
          <w:sz w:val="24"/>
          <w:szCs w:val="24"/>
        </w:rPr>
        <w:footnoteReference w:id="55"/>
      </w:r>
      <w:r w:rsidR="00F707F9" w:rsidRPr="00644B88">
        <w:rPr>
          <w:rFonts w:asciiTheme="majorBidi" w:hAnsiTheme="majorBidi" w:cstheme="majorBidi"/>
          <w:sz w:val="24"/>
          <w:szCs w:val="24"/>
        </w:rPr>
        <w:t xml:space="preserve"> Factors related to fairness, morality, duty to obey, and trust have been acknowledged as playing an important role in compliance in areas from environmental and health regulations (including COVID-19 measures)</w:t>
      </w:r>
      <w:r w:rsidR="00F707F9" w:rsidRPr="00644B88">
        <w:rPr>
          <w:rStyle w:val="FootnoteReference"/>
          <w:rFonts w:asciiTheme="majorBidi" w:hAnsiTheme="majorBidi" w:cstheme="majorBidi"/>
          <w:sz w:val="24"/>
          <w:szCs w:val="24"/>
        </w:rPr>
        <w:footnoteReference w:id="56"/>
      </w:r>
      <w:r w:rsidR="00F707F9" w:rsidRPr="00644B88">
        <w:rPr>
          <w:rFonts w:asciiTheme="majorBidi" w:hAnsiTheme="majorBidi" w:cstheme="majorBidi"/>
          <w:sz w:val="24"/>
          <w:szCs w:val="24"/>
        </w:rPr>
        <w:t xml:space="preserve"> to traffic and tax laws. This focus on voluntary compliance has also been highly relevant to the growing recognition of the importance of intrinsic motivations</w:t>
      </w:r>
      <w:r w:rsidR="00856DC2">
        <w:rPr>
          <w:rFonts w:asciiTheme="majorBidi" w:hAnsiTheme="majorBidi" w:cstheme="majorBidi"/>
          <w:sz w:val="24"/>
          <w:szCs w:val="24"/>
        </w:rPr>
        <w:t xml:space="preserve"> across many types of compliance behaviors</w:t>
      </w:r>
      <w:r w:rsidR="00F707F9" w:rsidRPr="00644B88">
        <w:rPr>
          <w:rStyle w:val="FootnoteReference"/>
          <w:rFonts w:asciiTheme="majorBidi" w:hAnsiTheme="majorBidi" w:cstheme="majorBidi"/>
          <w:sz w:val="24"/>
          <w:szCs w:val="24"/>
        </w:rPr>
        <w:footnoteReference w:id="57"/>
      </w:r>
      <w:r w:rsidR="00F707F9" w:rsidRPr="00644B88">
        <w:rPr>
          <w:rFonts w:asciiTheme="majorBidi" w:hAnsiTheme="majorBidi" w:cstheme="majorBidi"/>
          <w:sz w:val="24"/>
          <w:szCs w:val="24"/>
        </w:rPr>
        <w:t xml:space="preserve"> </w:t>
      </w:r>
      <w:r w:rsidR="00F707F9" w:rsidRPr="00644B88">
        <w:rPr>
          <w:rFonts w:asciiTheme="majorBidi" w:hAnsiTheme="majorBidi" w:cstheme="majorBidi"/>
          <w:sz w:val="24"/>
          <w:szCs w:val="24"/>
        </w:rPr>
        <w:lastRenderedPageBreak/>
        <w:t>and supports the preference for shifting the focus of compliance to that of individuals’ motivations.</w:t>
      </w:r>
      <w:r w:rsidR="00F707F9" w:rsidRPr="00644B88">
        <w:rPr>
          <w:rStyle w:val="FootnoteReference"/>
          <w:rFonts w:asciiTheme="majorBidi" w:hAnsiTheme="majorBidi" w:cstheme="majorBidi"/>
          <w:sz w:val="24"/>
          <w:szCs w:val="24"/>
        </w:rPr>
        <w:footnoteReference w:id="58"/>
      </w:r>
      <w:r w:rsidR="00F707F9" w:rsidRPr="00644B88">
        <w:rPr>
          <w:rFonts w:asciiTheme="majorBidi" w:hAnsiTheme="majorBidi" w:cstheme="majorBidi"/>
          <w:sz w:val="24"/>
          <w:szCs w:val="24"/>
        </w:rPr>
        <w:t>.</w:t>
      </w:r>
      <w:r w:rsidR="00F707F9" w:rsidRPr="00644B88">
        <w:rPr>
          <w:rStyle w:val="FootnoteReference"/>
          <w:rFonts w:asciiTheme="majorBidi" w:hAnsiTheme="majorBidi" w:cstheme="majorBidi"/>
          <w:sz w:val="24"/>
          <w:szCs w:val="24"/>
        </w:rPr>
        <w:footnoteReference w:id="59"/>
      </w:r>
    </w:p>
    <w:p w14:paraId="03C19479" w14:textId="0531B5F7" w:rsidR="0029336E" w:rsidRPr="0029336E" w:rsidRDefault="0029336E" w:rsidP="00632B97">
      <w:pPr>
        <w:pStyle w:val="Heading2"/>
      </w:pPr>
      <w:bookmarkStart w:id="18" w:name="_Toc161578513"/>
      <w:r>
        <w:t xml:space="preserve">Voluntary compliance </w:t>
      </w:r>
      <w:r w:rsidR="00856DC2">
        <w:t>vs.</w:t>
      </w:r>
      <w:r>
        <w:t xml:space="preserve"> Honesty</w:t>
      </w:r>
      <w:bookmarkEnd w:id="18"/>
    </w:p>
    <w:p w14:paraId="60302C13" w14:textId="0CF17380" w:rsidR="00F707F9" w:rsidRPr="00637780" w:rsidRDefault="00F707F9" w:rsidP="005E6151">
      <w:pPr>
        <w:spacing w:after="120" w:line="16" w:lineRule="atLeast"/>
        <w:ind w:firstLine="720"/>
        <w:contextualSpacing/>
        <w:jc w:val="both"/>
        <w:rPr>
          <w:rFonts w:asciiTheme="majorBidi" w:hAnsiTheme="majorBidi" w:cstheme="majorBidi"/>
          <w:sz w:val="24"/>
          <w:szCs w:val="24"/>
          <w:rtl/>
        </w:rPr>
      </w:pPr>
      <w:r w:rsidRPr="00702CB4">
        <w:rPr>
          <w:rFonts w:asciiTheme="majorBidi" w:hAnsiTheme="majorBidi" w:cstheme="majorBidi"/>
          <w:sz w:val="24"/>
          <w:szCs w:val="24"/>
        </w:rPr>
        <w:t>Behavioral Ethics</w:t>
      </w:r>
      <w:r w:rsidRPr="00637780">
        <w:rPr>
          <w:rFonts w:asciiTheme="majorBidi" w:hAnsiTheme="majorBidi" w:cstheme="majorBidi"/>
          <w:sz w:val="24"/>
          <w:szCs w:val="24"/>
        </w:rPr>
        <w:t xml:space="preserve"> is another relatively new field exploring peoples’ ethical decision-making processes.</w:t>
      </w:r>
      <w:r w:rsidRPr="00637780">
        <w:rPr>
          <w:rStyle w:val="FootnoteReference"/>
          <w:rFonts w:asciiTheme="majorBidi" w:hAnsiTheme="majorBidi" w:cstheme="majorBidi"/>
          <w:sz w:val="24"/>
          <w:szCs w:val="24"/>
        </w:rPr>
        <w:footnoteReference w:id="60"/>
      </w:r>
      <w:r w:rsidRPr="00637780">
        <w:rPr>
          <w:rFonts w:asciiTheme="majorBidi" w:hAnsiTheme="majorBidi" w:cstheme="majorBidi"/>
          <w:sz w:val="24"/>
          <w:szCs w:val="24"/>
        </w:rPr>
        <w:t xml:space="preserve"> My recent book, </w:t>
      </w:r>
      <w:r w:rsidRPr="00637780">
        <w:rPr>
          <w:rFonts w:asciiTheme="majorBidi" w:hAnsiTheme="majorBidi" w:cstheme="majorBidi"/>
          <w:i/>
          <w:iCs/>
          <w:sz w:val="24"/>
          <w:szCs w:val="24"/>
        </w:rPr>
        <w:t>The Law of Good People</w:t>
      </w:r>
      <w:r w:rsidRPr="00637780">
        <w:rPr>
          <w:rFonts w:asciiTheme="majorBidi" w:hAnsiTheme="majorBidi" w:cstheme="majorBidi"/>
          <w:sz w:val="24"/>
          <w:szCs w:val="24"/>
        </w:rPr>
        <w:t>,</w:t>
      </w:r>
      <w:r w:rsidRPr="00637780">
        <w:rPr>
          <w:rStyle w:val="FootnoteReference"/>
          <w:rFonts w:asciiTheme="majorBidi" w:hAnsiTheme="majorBidi" w:cstheme="majorBidi"/>
          <w:sz w:val="24"/>
          <w:szCs w:val="24"/>
        </w:rPr>
        <w:footnoteReference w:id="61"/>
      </w:r>
      <w:r w:rsidRPr="00637780">
        <w:rPr>
          <w:rFonts w:asciiTheme="majorBidi" w:hAnsiTheme="majorBidi" w:cstheme="majorBidi"/>
          <w:sz w:val="24"/>
          <w:szCs w:val="24"/>
        </w:rPr>
        <w:t xml:space="preserve"> examines the challenges faced by governments that need to regulate people who don’t view themselves as needing regulation in view of their ethical and legal perceptions, or, more accurately, misperceptions, of their own behavior</w:t>
      </w:r>
      <w:r w:rsidRPr="00637780">
        <w:rPr>
          <w:rStyle w:val="FootnoteReference"/>
          <w:rFonts w:asciiTheme="majorBidi" w:hAnsiTheme="majorBidi" w:cstheme="majorBidi"/>
          <w:sz w:val="24"/>
          <w:szCs w:val="24"/>
        </w:rPr>
        <w:footnoteReference w:id="62"/>
      </w:r>
      <w:r w:rsidRPr="00637780">
        <w:rPr>
          <w:rFonts w:asciiTheme="majorBidi" w:hAnsiTheme="majorBidi" w:cstheme="majorBidi"/>
          <w:sz w:val="24"/>
          <w:szCs w:val="24"/>
        </w:rPr>
        <w:t>. Scientific research on honesty and dishonesty has spiked in recent years.</w:t>
      </w:r>
      <w:r w:rsidRPr="00637780">
        <w:rPr>
          <w:rStyle w:val="FootnoteReference"/>
          <w:rFonts w:asciiTheme="majorBidi" w:hAnsiTheme="majorBidi" w:cstheme="majorBidi"/>
          <w:sz w:val="24"/>
          <w:szCs w:val="24"/>
        </w:rPr>
        <w:footnoteReference w:id="63"/>
      </w:r>
      <w:r w:rsidRPr="00637780">
        <w:rPr>
          <w:rFonts w:asciiTheme="majorBidi" w:hAnsiTheme="majorBidi" w:cstheme="majorBidi"/>
          <w:sz w:val="24"/>
          <w:szCs w:val="24"/>
        </w:rPr>
        <w:t xml:space="preserve"> In most studies, “dishonesty” is typically mentioned in the context of rule following or rule violation.</w:t>
      </w:r>
      <w:r w:rsidRPr="00637780">
        <w:rPr>
          <w:rStyle w:val="FootnoteReference"/>
          <w:rFonts w:asciiTheme="majorBidi" w:hAnsiTheme="majorBidi" w:cstheme="majorBidi"/>
          <w:sz w:val="24"/>
          <w:szCs w:val="24"/>
        </w:rPr>
        <w:footnoteReference w:id="64"/>
      </w:r>
      <w:r w:rsidRPr="00637780">
        <w:rPr>
          <w:rFonts w:asciiTheme="majorBidi" w:hAnsiTheme="majorBidi" w:cstheme="majorBidi"/>
          <w:sz w:val="24"/>
          <w:szCs w:val="24"/>
        </w:rPr>
        <w:t xml:space="preserve"> </w:t>
      </w:r>
      <w:r w:rsidRPr="00637780">
        <w:rPr>
          <w:rFonts w:asciiTheme="majorBidi" w:hAnsiTheme="majorBidi" w:cstheme="majorBidi"/>
          <w:color w:val="000000"/>
          <w:sz w:val="24"/>
          <w:szCs w:val="24"/>
          <w:shd w:val="clear" w:color="auto" w:fill="FFFFFF"/>
        </w:rPr>
        <w:t>Laboratory studies of dishonesty have shown dishonesty in games to be related to various types of unethical behaviors outside the laboratory. For example, dishonesty in dice role and coin toss tasks has been associated with free-riding on buses,</w:t>
      </w:r>
      <w:r w:rsidRPr="00637780">
        <w:rPr>
          <w:rStyle w:val="FootnoteReference"/>
          <w:rFonts w:asciiTheme="majorBidi" w:hAnsiTheme="majorBidi" w:cstheme="majorBidi"/>
          <w:color w:val="000000"/>
          <w:sz w:val="24"/>
          <w:szCs w:val="24"/>
          <w:shd w:val="clear" w:color="auto" w:fill="FFFFFF"/>
        </w:rPr>
        <w:footnoteReference w:id="65"/>
      </w:r>
      <w:r w:rsidRPr="00637780">
        <w:rPr>
          <w:rFonts w:asciiTheme="majorBidi" w:hAnsiTheme="majorBidi" w:cstheme="majorBidi"/>
          <w:color w:val="000000"/>
          <w:sz w:val="24"/>
          <w:szCs w:val="24"/>
          <w:shd w:val="clear" w:color="auto" w:fill="FFFFFF"/>
        </w:rPr>
        <w:t xml:space="preserve"> not returning undeserved pay,</w:t>
      </w:r>
      <w:r w:rsidRPr="00637780">
        <w:rPr>
          <w:rStyle w:val="FootnoteReference"/>
          <w:rFonts w:asciiTheme="majorBidi" w:hAnsiTheme="majorBidi" w:cstheme="majorBidi"/>
          <w:color w:val="000000"/>
          <w:sz w:val="24"/>
          <w:szCs w:val="24"/>
          <w:shd w:val="clear" w:color="auto" w:fill="FFFFFF"/>
        </w:rPr>
        <w:footnoteReference w:id="66"/>
      </w:r>
      <w:r w:rsidRPr="00637780">
        <w:rPr>
          <w:rFonts w:asciiTheme="majorBidi" w:hAnsiTheme="majorBidi" w:cstheme="majorBidi"/>
          <w:color w:val="000000"/>
          <w:sz w:val="24"/>
          <w:szCs w:val="24"/>
          <w:shd w:val="clear" w:color="auto" w:fill="FFFFFF"/>
        </w:rPr>
        <w:t xml:space="preserve"> and being late to work.</w:t>
      </w:r>
      <w:r w:rsidRPr="00637780">
        <w:rPr>
          <w:rStyle w:val="FootnoteReference"/>
          <w:rFonts w:asciiTheme="majorBidi" w:hAnsiTheme="majorBidi" w:cstheme="majorBidi"/>
          <w:color w:val="000000"/>
          <w:sz w:val="24"/>
          <w:szCs w:val="24"/>
          <w:shd w:val="clear" w:color="auto" w:fill="FFFFFF"/>
        </w:rPr>
        <w:footnoteReference w:id="67"/>
      </w:r>
      <w:r w:rsidRPr="00637780">
        <w:rPr>
          <w:rFonts w:asciiTheme="majorBidi" w:hAnsiTheme="majorBidi" w:cstheme="majorBidi"/>
          <w:color w:val="000000"/>
          <w:sz w:val="24"/>
          <w:szCs w:val="24"/>
          <w:shd w:val="clear" w:color="auto" w:fill="FFFFFF"/>
        </w:rPr>
        <w:t xml:space="preserve"> </w:t>
      </w:r>
      <w:r w:rsidR="00856DC2">
        <w:rPr>
          <w:rFonts w:asciiTheme="majorBidi" w:hAnsiTheme="majorBidi" w:cstheme="majorBidi"/>
          <w:color w:val="000000"/>
          <w:sz w:val="24"/>
          <w:szCs w:val="24"/>
          <w:shd w:val="clear" w:color="auto" w:fill="FFFFFF"/>
        </w:rPr>
        <w:t xml:space="preserve">Presumably, this line of research is such that it might shed some pessimism on the </w:t>
      </w:r>
      <w:r w:rsidR="00FF72A9">
        <w:rPr>
          <w:rFonts w:asciiTheme="majorBidi" w:hAnsiTheme="majorBidi" w:cstheme="majorBidi"/>
          <w:color w:val="000000"/>
          <w:sz w:val="24"/>
          <w:szCs w:val="24"/>
          <w:shd w:val="clear" w:color="auto" w:fill="FFFFFF"/>
        </w:rPr>
        <w:t xml:space="preserve">that government can actually trust people, as in some of the studies, percentage of </w:t>
      </w:r>
      <w:r w:rsidR="00856DC2">
        <w:rPr>
          <w:rFonts w:asciiTheme="majorBidi" w:hAnsiTheme="majorBidi" w:cstheme="majorBidi"/>
          <w:color w:val="000000"/>
          <w:sz w:val="24"/>
          <w:szCs w:val="24"/>
          <w:shd w:val="clear" w:color="auto" w:fill="FFFFFF"/>
        </w:rPr>
        <w:t xml:space="preserve"> </w:t>
      </w:r>
      <w:r w:rsidRPr="00637780">
        <w:rPr>
          <w:rFonts w:asciiTheme="majorBidi" w:hAnsiTheme="majorBidi" w:cstheme="majorBidi"/>
          <w:color w:val="000000"/>
          <w:sz w:val="24"/>
          <w:szCs w:val="24"/>
          <w:shd w:val="clear" w:color="auto" w:fill="FFFFFF"/>
        </w:rPr>
        <w:t>However, because a connection between honesty and compliance to rules which are not solely related to honesty has not been studied, it is not clear to what extent honest people differ from cooperators or compliers. For example, are honest people more likely to care for the environment? In addition, current dishonesty research, while focusing on the notion of the proportion of dishonest people,</w:t>
      </w:r>
      <w:r w:rsidRPr="00637780">
        <w:rPr>
          <w:rStyle w:val="FootnoteReference"/>
          <w:rFonts w:asciiTheme="majorBidi" w:hAnsiTheme="majorBidi" w:cstheme="majorBidi"/>
          <w:color w:val="000000"/>
          <w:sz w:val="24"/>
          <w:szCs w:val="24"/>
          <w:shd w:val="clear" w:color="auto" w:fill="FFFFFF"/>
        </w:rPr>
        <w:footnoteReference w:id="68"/>
      </w:r>
      <w:r w:rsidRPr="00637780">
        <w:rPr>
          <w:rFonts w:asciiTheme="majorBidi" w:hAnsiTheme="majorBidi" w:cstheme="majorBidi"/>
          <w:color w:val="000000"/>
          <w:sz w:val="24"/>
          <w:szCs w:val="24"/>
          <w:shd w:val="clear" w:color="auto" w:fill="FFFFFF"/>
        </w:rPr>
        <w:t xml:space="preserve"> nonetheless fails to predict the distributive effect of the situational factors </w:t>
      </w:r>
      <w:r w:rsidRPr="00637780">
        <w:rPr>
          <w:rFonts w:asciiTheme="majorBidi" w:hAnsiTheme="majorBidi" w:cstheme="majorBidi"/>
          <w:color w:val="000000"/>
          <w:sz w:val="24"/>
          <w:szCs w:val="24"/>
          <w:shd w:val="clear" w:color="auto" w:fill="FFFFFF"/>
        </w:rPr>
        <w:lastRenderedPageBreak/>
        <w:t>which might undermine honesty.</w:t>
      </w:r>
      <w:r w:rsidRPr="00637780">
        <w:rPr>
          <w:rStyle w:val="FootnoteReference"/>
          <w:rFonts w:asciiTheme="majorBidi" w:hAnsiTheme="majorBidi" w:cstheme="majorBidi"/>
          <w:color w:val="000000"/>
          <w:sz w:val="24"/>
          <w:szCs w:val="24"/>
          <w:shd w:val="clear" w:color="auto" w:fill="FFFFFF"/>
        </w:rPr>
        <w:footnoteReference w:id="69"/>
      </w:r>
      <w:r w:rsidRPr="00637780">
        <w:rPr>
          <w:rFonts w:asciiTheme="majorBidi" w:hAnsiTheme="majorBidi" w:cstheme="majorBidi"/>
          <w:color w:val="000000"/>
          <w:sz w:val="24"/>
          <w:szCs w:val="24"/>
          <w:shd w:val="clear" w:color="auto" w:fill="FFFFFF"/>
        </w:rPr>
        <w:t xml:space="preserve"> Recognizing that different people engage in misconduct on different levels of awareness and intentionality is an important contribution to understanding the likelihood of coercive vs. cooperative regulatory styles succeeding in creating voluntary compliance in different segments of the population. Reviewing this literature is also important to help discern the proportion of “good” people in a given population, who might be more likely to react to trust-enhancing cooperative regulatory measures.  </w:t>
      </w:r>
    </w:p>
    <w:p w14:paraId="3CA956F4" w14:textId="77777777" w:rsidR="00936580" w:rsidRDefault="004308E3"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A</w:t>
      </w:r>
      <w:r w:rsidR="00F707F9" w:rsidRPr="00644B88">
        <w:rPr>
          <w:rFonts w:asciiTheme="majorBidi" w:hAnsiTheme="majorBidi" w:cstheme="majorBidi"/>
          <w:sz w:val="24"/>
          <w:szCs w:val="24"/>
        </w:rPr>
        <w:t xml:space="preserve">ccording to this approach, if even moral people cannot be completely trusted, given their ability to misperceive their own behavior, how can states trust the entirety of the public? </w:t>
      </w:r>
    </w:p>
    <w:p w14:paraId="3C3E16F9" w14:textId="561B8B5A" w:rsidR="00F707F9" w:rsidRDefault="00936580"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Along those line, i</w:t>
      </w:r>
      <w:r w:rsidR="00F707F9" w:rsidRPr="00644B88">
        <w:rPr>
          <w:rFonts w:asciiTheme="majorBidi" w:hAnsiTheme="majorBidi" w:cstheme="majorBidi"/>
          <w:sz w:val="24"/>
          <w:szCs w:val="24"/>
        </w:rPr>
        <w:t>n related works, I have endeavored to create a taxonomy of the situations in which government should be more concerned about the likelihood of non-deliberative and unintended unethicality.</w:t>
      </w:r>
      <w:r w:rsidR="00F707F9" w:rsidRPr="00644B88">
        <w:rPr>
          <w:rStyle w:val="FootnoteReference"/>
          <w:rFonts w:asciiTheme="majorBidi" w:hAnsiTheme="majorBidi" w:cstheme="majorBidi"/>
          <w:sz w:val="24"/>
          <w:szCs w:val="24"/>
        </w:rPr>
        <w:footnoteReference w:id="70"/>
      </w:r>
      <w:r w:rsidR="00F707F9" w:rsidRPr="00644B88">
        <w:rPr>
          <w:rFonts w:asciiTheme="majorBidi" w:hAnsiTheme="majorBidi" w:cstheme="majorBidi"/>
          <w:sz w:val="24"/>
          <w:szCs w:val="24"/>
        </w:rPr>
        <w:t xml:space="preserve"> </w:t>
      </w:r>
      <w:r>
        <w:rPr>
          <w:rFonts w:asciiTheme="majorBidi" w:hAnsiTheme="majorBidi" w:cstheme="majorBidi"/>
          <w:sz w:val="24"/>
          <w:szCs w:val="24"/>
        </w:rPr>
        <w:t xml:space="preserve">In addition, in collaboration with others I have also examined </w:t>
      </w:r>
      <w:r w:rsidR="00F707F9" w:rsidRPr="00644B88">
        <w:rPr>
          <w:rFonts w:asciiTheme="majorBidi" w:hAnsiTheme="majorBidi" w:cstheme="majorBidi"/>
          <w:sz w:val="24"/>
          <w:szCs w:val="24"/>
        </w:rPr>
        <w:t xml:space="preserve"> various ways in which a design aimed at inducing people to self-deceive themselves might work,</w:t>
      </w:r>
      <w:r w:rsidR="00F707F9" w:rsidRPr="00644B88">
        <w:rPr>
          <w:rStyle w:val="FootnoteReference"/>
          <w:rFonts w:asciiTheme="majorBidi" w:hAnsiTheme="majorBidi" w:cstheme="majorBidi"/>
          <w:sz w:val="24"/>
          <w:szCs w:val="24"/>
        </w:rPr>
        <w:footnoteReference w:id="71"/>
      </w:r>
      <w:r w:rsidR="00F707F9" w:rsidRPr="00644B88">
        <w:rPr>
          <w:rFonts w:asciiTheme="majorBidi" w:hAnsiTheme="majorBidi" w:cstheme="majorBidi"/>
          <w:sz w:val="24"/>
          <w:szCs w:val="24"/>
        </w:rPr>
        <w:t xml:space="preserve"> and the “self-imposed red lines” that people adopt for their own self-serving interpretations of the law.</w:t>
      </w:r>
      <w:r w:rsidR="00F707F9" w:rsidRPr="00644B88">
        <w:rPr>
          <w:rStyle w:val="FootnoteReference"/>
          <w:rFonts w:asciiTheme="majorBidi" w:hAnsiTheme="majorBidi" w:cstheme="majorBidi"/>
          <w:sz w:val="24"/>
          <w:szCs w:val="24"/>
        </w:rPr>
        <w:footnoteReference w:id="72"/>
      </w:r>
      <w:r w:rsidR="00F707F9" w:rsidRPr="00644B88">
        <w:rPr>
          <w:rFonts w:asciiTheme="majorBidi" w:hAnsiTheme="majorBidi" w:cstheme="majorBidi"/>
          <w:sz w:val="24"/>
          <w:szCs w:val="24"/>
        </w:rPr>
        <w:t xml:space="preserve"> </w:t>
      </w:r>
    </w:p>
    <w:p w14:paraId="2F307575" w14:textId="47800B2D" w:rsidR="00E50828" w:rsidRPr="00637780" w:rsidRDefault="00E50828" w:rsidP="00E50828">
      <w:pPr>
        <w:pStyle w:val="Heading2"/>
        <w:rPr>
          <w:rFonts w:asciiTheme="majorBidi" w:hAnsiTheme="majorBidi"/>
          <w:sz w:val="24"/>
          <w:szCs w:val="24"/>
        </w:rPr>
      </w:pPr>
      <w:bookmarkStart w:id="19" w:name="_Toc139556459"/>
      <w:bookmarkStart w:id="20" w:name="_Toc161578514"/>
      <w:r w:rsidRPr="00637780">
        <w:rPr>
          <w:rFonts w:asciiTheme="majorBidi" w:hAnsiTheme="majorBidi"/>
          <w:sz w:val="24"/>
          <w:szCs w:val="24"/>
        </w:rPr>
        <w:t xml:space="preserve">Between </w:t>
      </w:r>
      <w:r w:rsidR="00FA5329">
        <w:rPr>
          <w:rFonts w:asciiTheme="majorBidi" w:hAnsiTheme="majorBidi"/>
          <w:sz w:val="24"/>
          <w:szCs w:val="24"/>
        </w:rPr>
        <w:t>H</w:t>
      </w:r>
      <w:r w:rsidRPr="00637780">
        <w:rPr>
          <w:rFonts w:asciiTheme="majorBidi" w:hAnsiTheme="majorBidi"/>
          <w:sz w:val="24"/>
          <w:szCs w:val="24"/>
        </w:rPr>
        <w:t xml:space="preserve">onesty and </w:t>
      </w:r>
      <w:r w:rsidR="00FA5329">
        <w:rPr>
          <w:rFonts w:asciiTheme="majorBidi" w:hAnsiTheme="majorBidi"/>
          <w:sz w:val="24"/>
          <w:szCs w:val="24"/>
        </w:rPr>
        <w:t>C</w:t>
      </w:r>
      <w:r w:rsidRPr="00637780">
        <w:rPr>
          <w:rFonts w:asciiTheme="majorBidi" w:hAnsiTheme="majorBidi"/>
          <w:sz w:val="24"/>
          <w:szCs w:val="24"/>
        </w:rPr>
        <w:t>ompliance</w:t>
      </w:r>
      <w:bookmarkEnd w:id="19"/>
      <w:r w:rsidRPr="00637780">
        <w:rPr>
          <w:rFonts w:asciiTheme="majorBidi" w:hAnsiTheme="majorBidi"/>
          <w:sz w:val="24"/>
          <w:szCs w:val="24"/>
        </w:rPr>
        <w:t xml:space="preserve"> </w:t>
      </w:r>
      <w:bookmarkEnd w:id="20"/>
    </w:p>
    <w:p w14:paraId="1C98DBAE" w14:textId="18B2F18C" w:rsidR="00E50828" w:rsidRDefault="00936580" w:rsidP="00857447">
      <w:pPr>
        <w:spacing w:before="100" w:beforeAutospacing="1" w:after="100" w:afterAutospacing="1"/>
        <w:jc w:val="both"/>
        <w:rPr>
          <w:rFonts w:asciiTheme="majorBidi" w:hAnsiTheme="majorBidi" w:cstheme="majorBidi"/>
          <w:sz w:val="24"/>
          <w:szCs w:val="24"/>
          <w:rtl/>
        </w:rPr>
      </w:pPr>
      <w:r>
        <w:rPr>
          <w:rFonts w:asciiTheme="majorBidi" w:hAnsiTheme="majorBidi" w:cstheme="majorBidi"/>
          <w:sz w:val="24"/>
          <w:szCs w:val="24"/>
        </w:rPr>
        <w:t xml:space="preserve">Another important angle that will be examined throughout the book </w:t>
      </w:r>
      <w:r w:rsidR="00C814F8">
        <w:rPr>
          <w:rFonts w:asciiTheme="majorBidi" w:hAnsiTheme="majorBidi" w:cstheme="majorBidi"/>
          <w:sz w:val="24"/>
          <w:szCs w:val="24"/>
        </w:rPr>
        <w:t xml:space="preserve">is related to the ability to learn from </w:t>
      </w:r>
      <w:proofErr w:type="gramStart"/>
      <w:r w:rsidR="00C814F8">
        <w:rPr>
          <w:rFonts w:asciiTheme="majorBidi" w:hAnsiTheme="majorBidi" w:cstheme="majorBidi"/>
          <w:sz w:val="24"/>
          <w:szCs w:val="24"/>
        </w:rPr>
        <w:t>literatures</w:t>
      </w:r>
      <w:proofErr w:type="gramEnd"/>
      <w:r w:rsidR="00C814F8">
        <w:rPr>
          <w:rFonts w:asciiTheme="majorBidi" w:hAnsiTheme="majorBidi" w:cstheme="majorBidi"/>
          <w:sz w:val="24"/>
          <w:szCs w:val="24"/>
        </w:rPr>
        <w:t xml:space="preserve"> related to cooperation and honesty on the likelihood that voluntary compliance will work. </w:t>
      </w:r>
      <w:r w:rsidR="00702CB4">
        <w:rPr>
          <w:rFonts w:asciiTheme="majorBidi" w:hAnsiTheme="majorBidi" w:cstheme="majorBidi"/>
          <w:sz w:val="24"/>
          <w:szCs w:val="24"/>
        </w:rPr>
        <w:t xml:space="preserve">For </w:t>
      </w:r>
      <w:proofErr w:type="gramStart"/>
      <w:r w:rsidR="00702CB4">
        <w:rPr>
          <w:rFonts w:asciiTheme="majorBidi" w:hAnsiTheme="majorBidi" w:cstheme="majorBidi"/>
          <w:sz w:val="24"/>
          <w:szCs w:val="24"/>
        </w:rPr>
        <w:t>example</w:t>
      </w:r>
      <w:proofErr w:type="gramEnd"/>
      <w:r w:rsidR="00702CB4">
        <w:rPr>
          <w:rFonts w:asciiTheme="majorBidi" w:hAnsiTheme="majorBidi" w:cstheme="majorBidi"/>
          <w:sz w:val="24"/>
          <w:szCs w:val="24"/>
        </w:rPr>
        <w:t xml:space="preserve"> in chapter 9 and 10 we focus on taxation and environmental behavior respectively. </w:t>
      </w:r>
      <w:r w:rsidR="00C814F8">
        <w:rPr>
          <w:rFonts w:asciiTheme="majorBidi" w:hAnsiTheme="majorBidi" w:cstheme="majorBidi"/>
          <w:sz w:val="24"/>
          <w:szCs w:val="24"/>
        </w:rPr>
        <w:t xml:space="preserve">In chapter 10 that focuses on environmental compliance, we will focus mostly on finding from the cooperation and pro-social research to understand when </w:t>
      </w:r>
      <w:proofErr w:type="gramStart"/>
      <w:r w:rsidR="00C814F8">
        <w:rPr>
          <w:rFonts w:asciiTheme="majorBidi" w:hAnsiTheme="majorBidi" w:cstheme="majorBidi"/>
          <w:sz w:val="24"/>
          <w:szCs w:val="24"/>
        </w:rPr>
        <w:t>is compliance</w:t>
      </w:r>
      <w:proofErr w:type="gramEnd"/>
      <w:r w:rsidR="00C814F8">
        <w:rPr>
          <w:rFonts w:asciiTheme="majorBidi" w:hAnsiTheme="majorBidi" w:cstheme="majorBidi"/>
          <w:sz w:val="24"/>
          <w:szCs w:val="24"/>
        </w:rPr>
        <w:t xml:space="preserve"> likely to occur. </w:t>
      </w:r>
      <w:r w:rsidR="008D69B5">
        <w:rPr>
          <w:rFonts w:asciiTheme="majorBidi" w:hAnsiTheme="majorBidi" w:cstheme="majorBidi"/>
          <w:sz w:val="24"/>
          <w:szCs w:val="24"/>
        </w:rPr>
        <w:t xml:space="preserve">However, </w:t>
      </w:r>
      <w:r w:rsidR="00C814F8">
        <w:rPr>
          <w:rFonts w:asciiTheme="majorBidi" w:hAnsiTheme="majorBidi" w:cstheme="majorBidi"/>
          <w:sz w:val="24"/>
          <w:szCs w:val="24"/>
        </w:rPr>
        <w:t xml:space="preserve">when it comes to </w:t>
      </w:r>
      <w:r w:rsidR="005922CA">
        <w:rPr>
          <w:rFonts w:asciiTheme="majorBidi" w:hAnsiTheme="majorBidi" w:cstheme="majorBidi"/>
          <w:sz w:val="24"/>
          <w:szCs w:val="24"/>
        </w:rPr>
        <w:t xml:space="preserve">taxation tax morale as discussed in chapter 9, we focus mostly on the resemblance with research about honesty and try to examine to what extent the predictions from honesty research are relevant to compliance. </w:t>
      </w:r>
      <w:r w:rsidR="008D69B5">
        <w:rPr>
          <w:rFonts w:asciiTheme="majorBidi" w:hAnsiTheme="majorBidi" w:cstheme="majorBidi"/>
          <w:sz w:val="24"/>
          <w:szCs w:val="24"/>
        </w:rPr>
        <w:t>Finally</w:t>
      </w:r>
      <w:r w:rsidR="00857447">
        <w:rPr>
          <w:rFonts w:asciiTheme="majorBidi" w:hAnsiTheme="majorBidi" w:cstheme="majorBidi"/>
          <w:sz w:val="24"/>
          <w:szCs w:val="24"/>
        </w:rPr>
        <w:t>, w</w:t>
      </w:r>
      <w:r w:rsidR="00702CB4">
        <w:rPr>
          <w:rFonts w:asciiTheme="majorBidi" w:hAnsiTheme="majorBidi" w:cstheme="majorBidi"/>
          <w:sz w:val="24"/>
          <w:szCs w:val="24"/>
        </w:rPr>
        <w:t>hen we talk on public health</w:t>
      </w:r>
      <w:r w:rsidR="008D69B5">
        <w:rPr>
          <w:rFonts w:asciiTheme="majorBidi" w:hAnsiTheme="majorBidi" w:cstheme="majorBidi"/>
          <w:sz w:val="24"/>
          <w:szCs w:val="24"/>
        </w:rPr>
        <w:t xml:space="preserve"> in chapter </w:t>
      </w:r>
      <w:proofErr w:type="gramStart"/>
      <w:r w:rsidR="008D69B5">
        <w:rPr>
          <w:rFonts w:asciiTheme="majorBidi" w:hAnsiTheme="majorBidi" w:cstheme="majorBidi"/>
          <w:sz w:val="24"/>
          <w:szCs w:val="24"/>
        </w:rPr>
        <w:t>8</w:t>
      </w:r>
      <w:proofErr w:type="gramEnd"/>
      <w:r w:rsidR="00702CB4">
        <w:rPr>
          <w:rFonts w:asciiTheme="majorBidi" w:hAnsiTheme="majorBidi" w:cstheme="majorBidi"/>
          <w:sz w:val="24"/>
          <w:szCs w:val="24"/>
        </w:rPr>
        <w:t xml:space="preserve"> we focus </w:t>
      </w:r>
      <w:r w:rsidR="008D69B5">
        <w:rPr>
          <w:rFonts w:asciiTheme="majorBidi" w:hAnsiTheme="majorBidi" w:cstheme="majorBidi"/>
          <w:sz w:val="24"/>
          <w:szCs w:val="24"/>
        </w:rPr>
        <w:t>mostly on cooperation.</w:t>
      </w:r>
      <w:r w:rsidR="00857447">
        <w:rPr>
          <w:rFonts w:asciiTheme="majorBidi" w:hAnsiTheme="majorBidi" w:cstheme="majorBidi"/>
          <w:sz w:val="24"/>
          <w:szCs w:val="24"/>
        </w:rPr>
        <w:t xml:space="preserve"> While this distinction is not mutually exclusive, it is possible to recognize that there are systematic differences between these three regulatory domains. Thus, f</w:t>
      </w:r>
      <w:r w:rsidR="005922CA">
        <w:rPr>
          <w:rFonts w:asciiTheme="majorBidi" w:hAnsiTheme="majorBidi" w:cstheme="majorBidi"/>
          <w:sz w:val="24"/>
          <w:szCs w:val="24"/>
        </w:rPr>
        <w:t xml:space="preserve">or example, when we talk about </w:t>
      </w:r>
      <w:proofErr w:type="gramStart"/>
      <w:r w:rsidR="005922CA">
        <w:rPr>
          <w:rFonts w:asciiTheme="majorBidi" w:hAnsiTheme="majorBidi" w:cstheme="majorBidi"/>
          <w:sz w:val="24"/>
          <w:szCs w:val="24"/>
        </w:rPr>
        <w:t>taxation</w:t>
      </w:r>
      <w:proofErr w:type="gramEnd"/>
      <w:r w:rsidR="005922CA">
        <w:rPr>
          <w:rFonts w:asciiTheme="majorBidi" w:hAnsiTheme="majorBidi" w:cstheme="majorBidi"/>
          <w:sz w:val="24"/>
          <w:szCs w:val="24"/>
        </w:rPr>
        <w:t xml:space="preserve"> we can </w:t>
      </w:r>
      <w:r w:rsidR="00E50828" w:rsidRPr="00644B88">
        <w:rPr>
          <w:rFonts w:asciiTheme="majorBidi" w:hAnsiTheme="majorBidi" w:cstheme="majorBidi"/>
          <w:sz w:val="24"/>
          <w:szCs w:val="24"/>
        </w:rPr>
        <w:t>compare the notion of whether you can trust people to declare their</w:t>
      </w:r>
      <w:r w:rsidR="004D1356">
        <w:rPr>
          <w:rFonts w:asciiTheme="majorBidi" w:hAnsiTheme="majorBidi" w:cstheme="majorBidi"/>
          <w:sz w:val="24"/>
          <w:szCs w:val="24"/>
        </w:rPr>
        <w:t xml:space="preserve"> </w:t>
      </w:r>
      <w:r w:rsidR="00E50828" w:rsidRPr="00644B88">
        <w:rPr>
          <w:rFonts w:asciiTheme="majorBidi" w:hAnsiTheme="majorBidi" w:cstheme="majorBidi"/>
          <w:sz w:val="24"/>
          <w:szCs w:val="24"/>
        </w:rPr>
        <w:t xml:space="preserve">donations </w:t>
      </w:r>
      <w:r w:rsidR="0066387F" w:rsidRPr="00644B88">
        <w:rPr>
          <w:rFonts w:asciiTheme="majorBidi" w:hAnsiTheme="majorBidi" w:cstheme="majorBidi"/>
          <w:sz w:val="24"/>
          <w:szCs w:val="24"/>
        </w:rPr>
        <w:t>without</w:t>
      </w:r>
      <w:r w:rsidR="00E50828" w:rsidRPr="00644B88">
        <w:rPr>
          <w:rFonts w:asciiTheme="majorBidi" w:hAnsiTheme="majorBidi" w:cstheme="majorBidi"/>
          <w:sz w:val="24"/>
          <w:szCs w:val="24"/>
        </w:rPr>
        <w:t xml:space="preserve"> attaching the </w:t>
      </w:r>
      <w:r w:rsidR="0066387F" w:rsidRPr="00644B88">
        <w:rPr>
          <w:rFonts w:asciiTheme="majorBidi" w:hAnsiTheme="majorBidi" w:cstheme="majorBidi"/>
          <w:sz w:val="24"/>
          <w:szCs w:val="24"/>
        </w:rPr>
        <w:t>receipts</w:t>
      </w:r>
      <w:r w:rsidR="00E50828" w:rsidRPr="00644B88">
        <w:rPr>
          <w:rFonts w:asciiTheme="majorBidi" w:hAnsiTheme="majorBidi" w:cstheme="majorBidi"/>
          <w:sz w:val="24"/>
          <w:szCs w:val="24"/>
        </w:rPr>
        <w:t xml:space="preserve"> why can't you trust </w:t>
      </w:r>
      <w:r w:rsidR="0066387F" w:rsidRPr="00644B88">
        <w:rPr>
          <w:rFonts w:asciiTheme="majorBidi" w:hAnsiTheme="majorBidi" w:cstheme="majorBidi"/>
          <w:sz w:val="24"/>
          <w:szCs w:val="24"/>
        </w:rPr>
        <w:t>Israelis</w:t>
      </w:r>
      <w:r w:rsidR="00E50828" w:rsidRPr="00644B88">
        <w:rPr>
          <w:rFonts w:asciiTheme="majorBidi" w:hAnsiTheme="majorBidi" w:cstheme="majorBidi"/>
          <w:sz w:val="24"/>
          <w:szCs w:val="24"/>
        </w:rPr>
        <w:t xml:space="preserve"> to turn right on red or turn left. is it better to covid - whether countries that use more </w:t>
      </w:r>
      <w:r w:rsidR="0066387F" w:rsidRPr="00644B88">
        <w:rPr>
          <w:rFonts w:asciiTheme="majorBidi" w:hAnsiTheme="majorBidi" w:cstheme="majorBidi"/>
          <w:sz w:val="24"/>
          <w:szCs w:val="24"/>
        </w:rPr>
        <w:t>responsible</w:t>
      </w:r>
      <w:r w:rsidR="00E50828" w:rsidRPr="00644B88">
        <w:rPr>
          <w:rFonts w:asciiTheme="majorBidi" w:hAnsiTheme="majorBidi" w:cstheme="majorBidi"/>
          <w:sz w:val="24"/>
          <w:szCs w:val="24"/>
        </w:rPr>
        <w:t xml:space="preserve"> behavior</w:t>
      </w:r>
      <w:r w:rsidR="004D1356">
        <w:rPr>
          <w:rFonts w:asciiTheme="majorBidi" w:hAnsiTheme="majorBidi" w:cstheme="majorBidi"/>
          <w:sz w:val="24"/>
          <w:szCs w:val="24"/>
        </w:rPr>
        <w:t xml:space="preserve"> </w:t>
      </w:r>
      <w:r w:rsidR="00E50828" w:rsidRPr="00644B88">
        <w:rPr>
          <w:rFonts w:asciiTheme="majorBidi" w:hAnsiTheme="majorBidi" w:cstheme="majorBidi"/>
          <w:sz w:val="24"/>
          <w:szCs w:val="24"/>
        </w:rPr>
        <w:t xml:space="preserve">approach were more </w:t>
      </w:r>
      <w:r w:rsidR="0066387F" w:rsidRPr="00644B88">
        <w:rPr>
          <w:rFonts w:asciiTheme="majorBidi" w:hAnsiTheme="majorBidi" w:cstheme="majorBidi"/>
          <w:sz w:val="24"/>
          <w:szCs w:val="24"/>
        </w:rPr>
        <w:lastRenderedPageBreak/>
        <w:t>successful</w:t>
      </w:r>
      <w:r w:rsidR="00E50828" w:rsidRPr="00644B88">
        <w:rPr>
          <w:rFonts w:asciiTheme="majorBidi" w:hAnsiTheme="majorBidi" w:cstheme="majorBidi"/>
          <w:sz w:val="24"/>
          <w:szCs w:val="24"/>
        </w:rPr>
        <w:t xml:space="preserve"> relative to countries that used covid- when your community is </w:t>
      </w:r>
      <w:r w:rsidR="0066387F" w:rsidRPr="00644B88">
        <w:rPr>
          <w:rFonts w:asciiTheme="majorBidi" w:hAnsiTheme="majorBidi" w:cstheme="majorBidi"/>
          <w:sz w:val="24"/>
          <w:szCs w:val="24"/>
        </w:rPr>
        <w:t>not</w:t>
      </w:r>
      <w:r w:rsidR="00E50828" w:rsidRPr="00644B88">
        <w:rPr>
          <w:rFonts w:asciiTheme="majorBidi" w:hAnsiTheme="majorBidi" w:cstheme="majorBidi"/>
          <w:sz w:val="24"/>
          <w:szCs w:val="24"/>
        </w:rPr>
        <w:t xml:space="preserve"> in line with the </w:t>
      </w:r>
      <w:r w:rsidR="0066387F" w:rsidRPr="00644B88">
        <w:rPr>
          <w:rFonts w:asciiTheme="majorBidi" w:hAnsiTheme="majorBidi" w:cstheme="majorBidi"/>
          <w:sz w:val="24"/>
          <w:szCs w:val="24"/>
        </w:rPr>
        <w:t>government</w:t>
      </w:r>
      <w:r w:rsidR="00E50828" w:rsidRPr="00644B88">
        <w:rPr>
          <w:rFonts w:asciiTheme="majorBidi" w:hAnsiTheme="majorBidi" w:cstheme="majorBidi"/>
          <w:sz w:val="24"/>
          <w:szCs w:val="24"/>
        </w:rPr>
        <w:t xml:space="preserve"> requests</w:t>
      </w:r>
      <w:r w:rsidR="004D1356">
        <w:rPr>
          <w:rStyle w:val="FootnoteReference"/>
          <w:rFonts w:asciiTheme="majorBidi" w:hAnsiTheme="majorBidi" w:cstheme="majorBidi"/>
          <w:sz w:val="24"/>
          <w:szCs w:val="24"/>
        </w:rPr>
        <w:footnoteReference w:id="73"/>
      </w:r>
    </w:p>
    <w:p w14:paraId="123D9029" w14:textId="77777777" w:rsidR="00F3202D" w:rsidRDefault="00F3202D" w:rsidP="00F3202D">
      <w:pPr>
        <w:pStyle w:val="Heading2"/>
        <w:rPr>
          <w:rFonts w:asciiTheme="majorBidi" w:hAnsiTheme="majorBidi"/>
          <w:sz w:val="24"/>
          <w:szCs w:val="24"/>
        </w:rPr>
      </w:pPr>
      <w:bookmarkStart w:id="21" w:name="_Toc161578515"/>
      <w:r w:rsidRPr="00637780">
        <w:rPr>
          <w:rFonts w:asciiTheme="majorBidi" w:hAnsiTheme="majorBidi"/>
          <w:sz w:val="24"/>
          <w:szCs w:val="24"/>
        </w:rPr>
        <w:t>How many cooperators do we need?</w:t>
      </w:r>
      <w:bookmarkEnd w:id="21"/>
    </w:p>
    <w:p w14:paraId="5BBDA207" w14:textId="197B9164" w:rsidR="00F3202D" w:rsidRPr="00F3202D" w:rsidRDefault="00F3202D" w:rsidP="00F3202D">
      <w:r>
        <w:t xml:space="preserve">The relevancy of the honesty literatures discussed </w:t>
      </w:r>
      <w:proofErr w:type="gramStart"/>
      <w:r>
        <w:t>above</w:t>
      </w:r>
      <w:r w:rsidR="00C926BC">
        <w:t>,</w:t>
      </w:r>
      <w:proofErr w:type="gramEnd"/>
      <w:r w:rsidR="00C926BC">
        <w:t xml:space="preserve"> become especially important </w:t>
      </w:r>
      <w:r w:rsidR="005C0ED1">
        <w:t>when it comes to the question of the ability of countries to trust the public. While there are many differences between compliance and honesty in terms of the importance of factors such as institutions and external regulatory contexts. However, since there is some room to think of the correlations between honesty and compliance</w:t>
      </w:r>
      <w:r w:rsidR="00985494">
        <w:t xml:space="preserve">, it is important to understand from current research how many people we know are lying and </w:t>
      </w:r>
      <w:proofErr w:type="gramStart"/>
      <w:r w:rsidR="00985494">
        <w:t>as a consequence</w:t>
      </w:r>
      <w:proofErr w:type="gramEnd"/>
      <w:r w:rsidR="00985494">
        <w:t xml:space="preserve"> at least have some preliminary accounts of how many people cheat. </w:t>
      </w:r>
      <w:r w:rsidR="002B0992">
        <w:t xml:space="preserve">In that regard when looking at the literature, the results </w:t>
      </w:r>
      <w:proofErr w:type="gramStart"/>
      <w:r w:rsidR="002B0992">
        <w:t>seems</w:t>
      </w:r>
      <w:proofErr w:type="gramEnd"/>
      <w:r w:rsidR="002B0992">
        <w:t xml:space="preserve"> to be mixed. On one hand there </w:t>
      </w:r>
      <w:r w:rsidR="00D46BE7">
        <w:t xml:space="preserve">is an </w:t>
      </w:r>
      <w:r w:rsidR="00855FE2">
        <w:t>extensive</w:t>
      </w:r>
      <w:r w:rsidR="00D46BE7">
        <w:t xml:space="preserve"> </w:t>
      </w:r>
      <w:proofErr w:type="gramStart"/>
      <w:r w:rsidR="00D46BE7">
        <w:t>meta analysis</w:t>
      </w:r>
      <w:proofErr w:type="gramEnd"/>
      <w:r w:rsidR="00D46BE7">
        <w:rPr>
          <w:rStyle w:val="FootnoteReference"/>
        </w:rPr>
        <w:footnoteReference w:id="74"/>
      </w:r>
      <w:r w:rsidR="00D46BE7">
        <w:t xml:space="preserve"> which makes up think that with the averaging of all experiments done on honesty, we see something like 50 percent of the people lie. On the other </w:t>
      </w:r>
      <w:r w:rsidR="00855FE2">
        <w:t>hand,</w:t>
      </w:r>
      <w:r w:rsidR="00D46BE7">
        <w:t xml:space="preserve"> in another highly influential economics paper</w:t>
      </w:r>
      <w:r w:rsidR="00D46BE7">
        <w:rPr>
          <w:rStyle w:val="FootnoteReference"/>
        </w:rPr>
        <w:footnoteReference w:id="75"/>
      </w:r>
      <w:r w:rsidR="00D46BE7">
        <w:t xml:space="preserve"> that focused on trust telling the numbers of liars seems to be much smaller. This </w:t>
      </w:r>
      <w:proofErr w:type="gramStart"/>
      <w:r w:rsidR="00E21A80">
        <w:t>inconsistency</w:t>
      </w:r>
      <w:proofErr w:type="gramEnd"/>
      <w:r w:rsidR="00D46BE7">
        <w:t xml:space="preserve"> which seems to </w:t>
      </w:r>
      <w:r w:rsidR="00E21A80">
        <w:t>emerge</w:t>
      </w:r>
      <w:r w:rsidR="00D46BE7">
        <w:t xml:space="preserve"> also from other studies that </w:t>
      </w:r>
      <w:r w:rsidR="00E21A80">
        <w:t>focus on honesty, raise an important aspect</w:t>
      </w:r>
      <w:r w:rsidR="00855FE2">
        <w:t xml:space="preserve"> related to the likelihood that we will have enough people who cooperate even without the coercion. It is also </w:t>
      </w:r>
      <w:proofErr w:type="gramStart"/>
      <w:r w:rsidR="00855FE2">
        <w:t>suggest</w:t>
      </w:r>
      <w:proofErr w:type="gramEnd"/>
      <w:r w:rsidR="00855FE2">
        <w:t xml:space="preserve"> how impotant it is to collect data with regard to a new regulation or law before attempting to decide how coercive should be the regulatory approach. </w:t>
      </w:r>
    </w:p>
    <w:p w14:paraId="51D12D43" w14:textId="7D9641DD" w:rsidR="0029336E" w:rsidRPr="00644B88" w:rsidRDefault="00F3202D" w:rsidP="0029171A">
      <w:pPr>
        <w:pStyle w:val="Heading2"/>
      </w:pPr>
      <w:r w:rsidRPr="00644B88">
        <w:rPr>
          <w:rFonts w:asciiTheme="majorBidi" w:hAnsiTheme="majorBidi"/>
          <w:sz w:val="24"/>
          <w:szCs w:val="24"/>
        </w:rPr>
        <w:br/>
      </w:r>
      <w:r w:rsidR="0029336E">
        <w:t>Voluntary compliance and Trust</w:t>
      </w:r>
    </w:p>
    <w:p w14:paraId="3504180A" w14:textId="7DCC9EB6" w:rsidR="00F707F9" w:rsidRPr="00644B88" w:rsidRDefault="00F707F9"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The fourth body of literature involves the growing recognition of the importance of trust and legitimacy in achieving voluntary compliance. Numerous studies across almost all the social sciences have sought to understand what builds trust</w:t>
      </w:r>
      <w:r w:rsidRPr="00644B88">
        <w:rPr>
          <w:rStyle w:val="FootnoteReference"/>
          <w:rFonts w:asciiTheme="majorBidi" w:hAnsiTheme="majorBidi" w:cstheme="majorBidi"/>
          <w:sz w:val="24"/>
          <w:szCs w:val="24"/>
        </w:rPr>
        <w:footnoteReference w:id="76"/>
      </w:r>
      <w:r w:rsidRPr="00644B88">
        <w:rPr>
          <w:rFonts w:asciiTheme="majorBidi" w:hAnsiTheme="majorBidi" w:cstheme="majorBidi"/>
          <w:sz w:val="24"/>
          <w:szCs w:val="24"/>
        </w:rPr>
        <w:t xml:space="preserve"> and how </w:t>
      </w:r>
      <w:r w:rsidRPr="00644B88">
        <w:rPr>
          <w:rFonts w:asciiTheme="majorBidi" w:hAnsiTheme="majorBidi" w:cstheme="majorBidi"/>
          <w:sz w:val="24"/>
          <w:szCs w:val="24"/>
        </w:rPr>
        <w:lastRenderedPageBreak/>
        <w:t>trust contributes to the creation of a just and functioning society.</w:t>
      </w:r>
      <w:r w:rsidRPr="00644B88">
        <w:rPr>
          <w:rStyle w:val="FootnoteReference"/>
          <w:rFonts w:asciiTheme="majorBidi" w:hAnsiTheme="majorBidi" w:cstheme="majorBidi"/>
          <w:sz w:val="24"/>
          <w:szCs w:val="24"/>
        </w:rPr>
        <w:footnoteReference w:id="77"/>
      </w:r>
      <w:r w:rsidRPr="00644B88">
        <w:rPr>
          <w:rFonts w:asciiTheme="majorBidi" w:hAnsiTheme="majorBidi" w:cstheme="majorBidi"/>
          <w:sz w:val="24"/>
          <w:szCs w:val="24"/>
        </w:rPr>
        <w:t xml:space="preserve"> However, most of this literature focuses on the ways by which people can trust public and legal institutions,</w:t>
      </w:r>
      <w:r w:rsidRPr="00644B88">
        <w:rPr>
          <w:rStyle w:val="FootnoteReference"/>
          <w:rFonts w:asciiTheme="majorBidi" w:hAnsiTheme="majorBidi" w:cstheme="majorBidi"/>
          <w:sz w:val="24"/>
          <w:szCs w:val="24"/>
        </w:rPr>
        <w:footnoteReference w:id="78"/>
      </w:r>
      <w:r w:rsidRPr="00644B88">
        <w:rPr>
          <w:rFonts w:asciiTheme="majorBidi" w:hAnsiTheme="majorBidi" w:cstheme="majorBidi"/>
          <w:sz w:val="24"/>
          <w:szCs w:val="24"/>
        </w:rPr>
        <w:t xml:space="preserve"> and overlooks the mechanisms state institutions need in order to trust the public. A prime example of the importance of trust and reputation in commercial transactions can be found in classic studies of the diamond industry, which has long relied on the extralegal enforcement of its business norms.</w:t>
      </w:r>
      <w:r w:rsidRPr="00644B88">
        <w:rPr>
          <w:rStyle w:val="FootnoteReference"/>
          <w:rFonts w:asciiTheme="majorBidi" w:hAnsiTheme="majorBidi" w:cstheme="majorBidi"/>
          <w:sz w:val="24"/>
          <w:szCs w:val="24"/>
        </w:rPr>
        <w:footnoteReference w:id="79"/>
      </w:r>
      <w:r w:rsidRPr="00644B88">
        <w:rPr>
          <w:rFonts w:asciiTheme="majorBidi" w:hAnsiTheme="majorBidi" w:cstheme="majorBidi"/>
          <w:sz w:val="24"/>
          <w:szCs w:val="24"/>
        </w:rPr>
        <w:t xml:space="preserve"> Similar situations can be found in the cotton industry,</w:t>
      </w:r>
      <w:r w:rsidRPr="00644B88">
        <w:rPr>
          <w:rStyle w:val="FootnoteReference"/>
          <w:rFonts w:asciiTheme="majorBidi" w:hAnsiTheme="majorBidi" w:cstheme="majorBidi"/>
          <w:sz w:val="24"/>
          <w:szCs w:val="24"/>
        </w:rPr>
        <w:footnoteReference w:id="80"/>
      </w:r>
      <w:r w:rsidRPr="00644B88">
        <w:rPr>
          <w:rFonts w:asciiTheme="majorBidi" w:hAnsiTheme="majorBidi" w:cstheme="majorBidi"/>
          <w:sz w:val="24"/>
          <w:szCs w:val="24"/>
        </w:rPr>
        <w:t xml:space="preserve"> and among farmers in Shasta County.</w:t>
      </w:r>
      <w:r w:rsidRPr="00644B88">
        <w:rPr>
          <w:rStyle w:val="FootnoteReference"/>
          <w:rFonts w:asciiTheme="majorBidi" w:hAnsiTheme="majorBidi" w:cstheme="majorBidi"/>
          <w:sz w:val="24"/>
          <w:szCs w:val="24"/>
        </w:rPr>
        <w:footnoteReference w:id="81"/>
      </w:r>
      <w:r w:rsidRPr="00644B88">
        <w:rPr>
          <w:rFonts w:asciiTheme="majorBidi" w:hAnsiTheme="majorBidi" w:cstheme="majorBidi"/>
          <w:sz w:val="24"/>
          <w:szCs w:val="24"/>
        </w:rPr>
        <w:t xml:space="preserve"> While clearly there are some reciprocal relationship in places, many of the mechanisms related to the ability of states to trust its own citizens</w:t>
      </w:r>
      <w:r w:rsidRPr="00644B88">
        <w:rPr>
          <w:rStyle w:val="FootnoteReference"/>
          <w:rFonts w:asciiTheme="majorBidi" w:hAnsiTheme="majorBidi" w:cstheme="majorBidi"/>
          <w:sz w:val="24"/>
          <w:szCs w:val="24"/>
        </w:rPr>
        <w:footnoteReference w:id="82"/>
      </w:r>
      <w:r w:rsidRPr="00644B88">
        <w:rPr>
          <w:rFonts w:asciiTheme="majorBidi" w:hAnsiTheme="majorBidi" w:cstheme="majorBidi"/>
          <w:sz w:val="24"/>
          <w:szCs w:val="24"/>
        </w:rPr>
        <w:t xml:space="preserve"> involve concepts such as social capital</w:t>
      </w:r>
      <w:r w:rsidRPr="00644B88">
        <w:rPr>
          <w:rStyle w:val="FootnoteReference"/>
          <w:rFonts w:asciiTheme="majorBidi" w:hAnsiTheme="majorBidi" w:cstheme="majorBidi"/>
          <w:sz w:val="24"/>
          <w:szCs w:val="24"/>
        </w:rPr>
        <w:footnoteReference w:id="83"/>
      </w:r>
      <w:r w:rsidRPr="00644B88">
        <w:rPr>
          <w:rFonts w:asciiTheme="majorBidi" w:hAnsiTheme="majorBidi" w:cstheme="majorBidi"/>
          <w:sz w:val="24"/>
          <w:szCs w:val="24"/>
        </w:rPr>
        <w:t xml:space="preserve"> and interpersonal trust.</w:t>
      </w:r>
      <w:r w:rsidRPr="00644B88">
        <w:rPr>
          <w:rStyle w:val="FootnoteReference"/>
          <w:rFonts w:asciiTheme="majorBidi" w:hAnsiTheme="majorBidi" w:cstheme="majorBidi"/>
          <w:sz w:val="24"/>
          <w:szCs w:val="24"/>
          <w:rtl/>
        </w:rPr>
        <w:footnoteReference w:id="84"/>
      </w:r>
    </w:p>
    <w:p w14:paraId="0030BFE2" w14:textId="1D78C590" w:rsidR="00857447" w:rsidRDefault="00EC7AD4" w:rsidP="006F667C">
      <w:pPr>
        <w:pStyle w:val="Heading2"/>
      </w:pPr>
      <w:bookmarkStart w:id="23" w:name="_Toc161578516"/>
      <w:r>
        <w:t>Voluntary Compliance without Law?</w:t>
      </w:r>
      <w:bookmarkEnd w:id="23"/>
    </w:p>
    <w:p w14:paraId="479F1F85" w14:textId="3E8906F6" w:rsidR="006F667C" w:rsidRDefault="00EC7AD4" w:rsidP="006F667C">
      <w:pPr>
        <w:spacing w:after="120" w:line="16" w:lineRule="atLeast"/>
        <w:ind w:firstLine="720"/>
        <w:contextualSpacing/>
        <w:jc w:val="both"/>
        <w:rPr>
          <w:rFonts w:asciiTheme="majorBidi" w:hAnsiTheme="majorBidi" w:cstheme="majorBidi"/>
          <w:sz w:val="24"/>
          <w:szCs w:val="24"/>
        </w:rPr>
      </w:pPr>
      <w:r>
        <w:rPr>
          <w:rFonts w:asciiTheme="majorBidi" w:hAnsiTheme="majorBidi" w:cstheme="majorBidi"/>
          <w:sz w:val="24"/>
          <w:szCs w:val="24"/>
        </w:rPr>
        <w:t>As mentioned in the early parts of the chapter, it is possible to think about voluntary compliance, where there is no particular law</w:t>
      </w:r>
      <w:r w:rsidR="006F667C">
        <w:rPr>
          <w:rFonts w:asciiTheme="majorBidi" w:hAnsiTheme="majorBidi" w:cstheme="majorBidi"/>
          <w:sz w:val="24"/>
          <w:szCs w:val="24"/>
        </w:rPr>
        <w:t xml:space="preserve"> that one needs to obey but rather a </w:t>
      </w:r>
      <w:proofErr w:type="gramStart"/>
      <w:r w:rsidR="006F667C">
        <w:rPr>
          <w:rFonts w:asciiTheme="majorBidi" w:hAnsiTheme="majorBidi" w:cstheme="majorBidi"/>
          <w:sz w:val="24"/>
          <w:szCs w:val="24"/>
        </w:rPr>
        <w:t>social norms</w:t>
      </w:r>
      <w:proofErr w:type="gramEnd"/>
      <w:r w:rsidR="006F667C">
        <w:rPr>
          <w:rFonts w:asciiTheme="majorBidi" w:hAnsiTheme="majorBidi" w:cstheme="majorBidi"/>
          <w:sz w:val="24"/>
          <w:szCs w:val="24"/>
        </w:rPr>
        <w:t xml:space="preserve">. Th order without law </w:t>
      </w:r>
      <w:r w:rsidR="00B4184B" w:rsidRPr="00637780">
        <w:rPr>
          <w:rFonts w:asciiTheme="majorBidi" w:hAnsiTheme="majorBidi" w:cstheme="majorBidi"/>
          <w:sz w:val="24"/>
          <w:szCs w:val="24"/>
        </w:rPr>
        <w:t xml:space="preserve">literature </w:t>
      </w:r>
      <w:r w:rsidR="00F707F9" w:rsidRPr="00637780">
        <w:rPr>
          <w:rFonts w:asciiTheme="majorBidi" w:hAnsiTheme="majorBidi" w:cstheme="majorBidi"/>
          <w:sz w:val="24"/>
          <w:szCs w:val="24"/>
        </w:rPr>
        <w:t xml:space="preserve">offers an additional theoretical perspective on </w:t>
      </w:r>
      <w:r w:rsidR="000265E8">
        <w:rPr>
          <w:rFonts w:asciiTheme="majorBidi" w:hAnsiTheme="majorBidi" w:cstheme="majorBidi"/>
          <w:sz w:val="24"/>
          <w:szCs w:val="24"/>
        </w:rPr>
        <w:t>voluntary compliance</w:t>
      </w:r>
      <w:r w:rsidR="00F707F9" w:rsidRPr="00637780">
        <w:rPr>
          <w:rFonts w:asciiTheme="majorBidi" w:hAnsiTheme="majorBidi" w:cstheme="majorBidi"/>
          <w:sz w:val="24"/>
          <w:szCs w:val="24"/>
        </w:rPr>
        <w:t>, indicating that behavioral change can be achieved even with limited involvement of the state</w:t>
      </w:r>
      <w:r w:rsidR="00B4184B" w:rsidRPr="00637780">
        <w:rPr>
          <w:rFonts w:asciiTheme="majorBidi" w:hAnsiTheme="majorBidi" w:cstheme="majorBidi"/>
          <w:sz w:val="24"/>
          <w:szCs w:val="24"/>
        </w:rPr>
        <w:t xml:space="preserve"> is related to the order without law literature. This type of literature, usually emphasize that </w:t>
      </w:r>
      <w:r w:rsidR="00F571E7" w:rsidRPr="00637780">
        <w:rPr>
          <w:rFonts w:asciiTheme="majorBidi" w:hAnsiTheme="majorBidi" w:cstheme="majorBidi"/>
          <w:sz w:val="24"/>
          <w:szCs w:val="24"/>
        </w:rPr>
        <w:t>in many contexts, people can</w:t>
      </w:r>
      <w:r w:rsidR="00654E58" w:rsidRPr="00637780">
        <w:rPr>
          <w:rFonts w:asciiTheme="majorBidi" w:hAnsiTheme="majorBidi" w:cstheme="majorBidi"/>
          <w:sz w:val="24"/>
          <w:szCs w:val="24"/>
        </w:rPr>
        <w:t xml:space="preserve"> find alternative arrangements</w:t>
      </w:r>
      <w:r w:rsidR="00216B2B" w:rsidRPr="00637780">
        <w:rPr>
          <w:rFonts w:asciiTheme="majorBidi" w:hAnsiTheme="majorBidi" w:cstheme="majorBidi"/>
          <w:sz w:val="24"/>
          <w:szCs w:val="24"/>
        </w:rPr>
        <w:t xml:space="preserve"> to those imposed by the law. However, the focus of this book will mostly attempt to understand in what ways the interaction between people could be done in a way which would allow the state to take a step back and trust that existing reactions by the public would </w:t>
      </w:r>
      <w:r w:rsidR="00B56D82" w:rsidRPr="00637780">
        <w:rPr>
          <w:rFonts w:asciiTheme="majorBidi" w:hAnsiTheme="majorBidi" w:cstheme="majorBidi"/>
          <w:sz w:val="24"/>
          <w:szCs w:val="24"/>
        </w:rPr>
        <w:t>by sufficient and stable enough over time to reduce the need for alternative mechanisms. Such approach</w:t>
      </w:r>
      <w:r w:rsidR="00AB7A75">
        <w:rPr>
          <w:rFonts w:asciiTheme="majorBidi" w:hAnsiTheme="majorBidi" w:cstheme="majorBidi"/>
          <w:sz w:val="24"/>
          <w:szCs w:val="24"/>
        </w:rPr>
        <w:t xml:space="preserve"> by the state</w:t>
      </w:r>
      <w:r w:rsidR="00B56D82" w:rsidRPr="00637780">
        <w:rPr>
          <w:rFonts w:asciiTheme="majorBidi" w:hAnsiTheme="majorBidi" w:cstheme="majorBidi"/>
          <w:sz w:val="24"/>
          <w:szCs w:val="24"/>
        </w:rPr>
        <w:t xml:space="preserve"> could be </w:t>
      </w:r>
      <w:r w:rsidR="00AB7A75">
        <w:rPr>
          <w:rFonts w:asciiTheme="majorBidi" w:hAnsiTheme="majorBidi" w:cstheme="majorBidi"/>
          <w:sz w:val="24"/>
          <w:szCs w:val="24"/>
        </w:rPr>
        <w:t>taken</w:t>
      </w:r>
      <w:r w:rsidR="00B56D82" w:rsidRPr="00637780">
        <w:rPr>
          <w:rFonts w:asciiTheme="majorBidi" w:hAnsiTheme="majorBidi" w:cstheme="majorBidi"/>
          <w:sz w:val="24"/>
          <w:szCs w:val="24"/>
        </w:rPr>
        <w:t xml:space="preserve"> in the context of </w:t>
      </w:r>
      <w:r w:rsidR="00F571E7" w:rsidRPr="00637780">
        <w:rPr>
          <w:rFonts w:asciiTheme="majorBidi" w:hAnsiTheme="majorBidi" w:cstheme="majorBidi"/>
          <w:sz w:val="24"/>
          <w:szCs w:val="24"/>
        </w:rPr>
        <w:t xml:space="preserve"> </w:t>
      </w:r>
      <w:r w:rsidR="00F707F9" w:rsidRPr="00637780">
        <w:rPr>
          <w:rFonts w:asciiTheme="majorBidi" w:hAnsiTheme="majorBidi" w:cstheme="majorBidi"/>
          <w:sz w:val="24"/>
          <w:szCs w:val="24"/>
        </w:rPr>
        <w:t>response to regulation (as in cases such as using children’s car seats, where VC was achieved by applying reason and science),</w:t>
      </w:r>
      <w:r w:rsidR="00F707F9" w:rsidRPr="00637780">
        <w:rPr>
          <w:rStyle w:val="FootnoteReference"/>
          <w:rFonts w:asciiTheme="majorBidi" w:hAnsiTheme="majorBidi" w:cstheme="majorBidi"/>
          <w:sz w:val="24"/>
          <w:szCs w:val="24"/>
        </w:rPr>
        <w:footnoteReference w:id="85"/>
      </w:r>
      <w:r w:rsidR="00F707F9" w:rsidRPr="00637780">
        <w:rPr>
          <w:rFonts w:asciiTheme="majorBidi" w:hAnsiTheme="majorBidi" w:cstheme="majorBidi"/>
          <w:sz w:val="24"/>
          <w:szCs w:val="24"/>
        </w:rPr>
        <w:t xml:space="preserve"> or even in the absence of </w:t>
      </w:r>
      <w:r w:rsidR="00F707F9" w:rsidRPr="00637780">
        <w:rPr>
          <w:rFonts w:asciiTheme="majorBidi" w:hAnsiTheme="majorBidi" w:cstheme="majorBidi"/>
          <w:sz w:val="24"/>
          <w:szCs w:val="24"/>
        </w:rPr>
        <w:lastRenderedPageBreak/>
        <w:t>regulation, where the social and community norms emerged without any state involvement (as in the case of allocating fencing costs among the farmers in Shasta County, California</w:t>
      </w:r>
      <w:r w:rsidR="00F707F9" w:rsidRPr="00637780">
        <w:rPr>
          <w:rStyle w:val="FootnoteReference"/>
          <w:rFonts w:asciiTheme="majorBidi" w:hAnsiTheme="majorBidi" w:cstheme="majorBidi"/>
          <w:sz w:val="24"/>
          <w:szCs w:val="24"/>
        </w:rPr>
        <w:footnoteReference w:id="86"/>
      </w:r>
      <w:r w:rsidR="00F707F9" w:rsidRPr="00637780">
        <w:rPr>
          <w:rFonts w:asciiTheme="majorBidi" w:hAnsiTheme="majorBidi" w:cstheme="majorBidi"/>
          <w:sz w:val="24"/>
          <w:szCs w:val="24"/>
        </w:rPr>
        <w:t xml:space="preserve">). Nonetheless, not only is it unclear whether one can even define compliance with social and community norms as voluntary, but it is impossible to generalize from the few well-known examples, such as that of people learning not to smoke in public places, or the changing norms </w:t>
      </w:r>
      <w:proofErr w:type="gramStart"/>
      <w:r w:rsidR="00F707F9" w:rsidRPr="00637780">
        <w:rPr>
          <w:rFonts w:asciiTheme="majorBidi" w:hAnsiTheme="majorBidi" w:cstheme="majorBidi"/>
          <w:sz w:val="24"/>
          <w:szCs w:val="24"/>
        </w:rPr>
        <w:t>with regard to</w:t>
      </w:r>
      <w:proofErr w:type="gramEnd"/>
      <w:r w:rsidR="00F707F9" w:rsidRPr="00637780">
        <w:rPr>
          <w:rFonts w:asciiTheme="majorBidi" w:hAnsiTheme="majorBidi" w:cstheme="majorBidi"/>
          <w:sz w:val="24"/>
          <w:szCs w:val="24"/>
        </w:rPr>
        <w:t xml:space="preserve"> sexual harassment,</w:t>
      </w:r>
      <w:r w:rsidR="00F707F9" w:rsidRPr="00637780">
        <w:rPr>
          <w:rStyle w:val="FootnoteReference"/>
          <w:rFonts w:asciiTheme="majorBidi" w:hAnsiTheme="majorBidi" w:cstheme="majorBidi"/>
          <w:sz w:val="24"/>
          <w:szCs w:val="24"/>
        </w:rPr>
        <w:footnoteReference w:id="87"/>
      </w:r>
      <w:r w:rsidR="00F707F9" w:rsidRPr="00637780">
        <w:rPr>
          <w:rFonts w:asciiTheme="majorBidi" w:hAnsiTheme="majorBidi" w:cstheme="majorBidi"/>
          <w:sz w:val="24"/>
          <w:szCs w:val="24"/>
        </w:rPr>
        <w:t xml:space="preserve"> and then apply them to other contexts. </w:t>
      </w:r>
    </w:p>
    <w:p w14:paraId="2F831A69" w14:textId="77777777" w:rsidR="006F667C" w:rsidRDefault="006F667C" w:rsidP="006F667C">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When discussing the concept of voluntary compliance, an outstanding study is that related to the emergence of social norms as governing the behavior of people with limited involvement of the state, either as a consequence  of regulation (as in cases such as using children’s car seats, where voluntary compliance was achieved by applying reason and science)</w:t>
      </w:r>
      <w:r>
        <w:rPr>
          <w:rFonts w:asciiTheme="majorBidi" w:hAnsiTheme="majorBidi" w:cstheme="majorBidi"/>
          <w:sz w:val="24"/>
          <w:szCs w:val="24"/>
        </w:rPr>
        <w:t>.</w:t>
      </w:r>
      <w:r w:rsidRPr="00644B88">
        <w:rPr>
          <w:rStyle w:val="FootnoteReference"/>
          <w:rFonts w:asciiTheme="majorBidi" w:hAnsiTheme="majorBidi" w:cstheme="majorBidi"/>
          <w:sz w:val="24"/>
          <w:szCs w:val="24"/>
        </w:rPr>
        <w:footnoteReference w:id="88"/>
      </w:r>
      <w:r w:rsidRPr="00644B88">
        <w:rPr>
          <w:rFonts w:asciiTheme="majorBidi" w:hAnsiTheme="majorBidi" w:cstheme="majorBidi"/>
          <w:sz w:val="24"/>
          <w:szCs w:val="24"/>
        </w:rPr>
        <w:t xml:space="preserve"> </w:t>
      </w:r>
      <w:r>
        <w:rPr>
          <w:rFonts w:asciiTheme="majorBidi" w:hAnsiTheme="majorBidi" w:cstheme="majorBidi"/>
          <w:sz w:val="24"/>
          <w:szCs w:val="24"/>
        </w:rPr>
        <w:t>While these studies are novel</w:t>
      </w:r>
      <w:r w:rsidRPr="00644B88">
        <w:rPr>
          <w:rFonts w:asciiTheme="majorBidi" w:hAnsiTheme="majorBidi" w:cstheme="majorBidi"/>
          <w:sz w:val="24"/>
          <w:szCs w:val="24"/>
        </w:rPr>
        <w:t>, it is impossible to generalize from the few well-known examples, such as that of people learning not to smoke in public places, or the changing norms with regard to sexual harassment</w:t>
      </w:r>
      <w:r w:rsidRPr="00644B88">
        <w:rPr>
          <w:rStyle w:val="FootnoteReference"/>
          <w:rFonts w:asciiTheme="majorBidi" w:hAnsiTheme="majorBidi" w:cstheme="majorBidi"/>
          <w:sz w:val="24"/>
          <w:szCs w:val="24"/>
        </w:rPr>
        <w:footnoteReference w:id="89"/>
      </w:r>
      <w:r w:rsidRPr="00644B88">
        <w:rPr>
          <w:rFonts w:asciiTheme="majorBidi" w:hAnsiTheme="majorBidi" w:cstheme="majorBidi"/>
          <w:sz w:val="24"/>
          <w:szCs w:val="24"/>
        </w:rPr>
        <w:t xml:space="preserve"> and apply them to other contexts. These few cases do not enable us to build a comprehensive account of when monitoring and sanctioning are not needed. Nor do they help us understand the </w:t>
      </w:r>
      <w:r w:rsidRPr="00644B88">
        <w:rPr>
          <w:rFonts w:asciiTheme="majorBidi" w:hAnsiTheme="majorBidi" w:cstheme="majorBidi"/>
          <w:sz w:val="24"/>
          <w:szCs w:val="24"/>
        </w:rPr>
        <w:lastRenderedPageBreak/>
        <w:t xml:space="preserve">mechanisms of why voluntary compliance succeeded in these cases. In fact, these few cases have provided a very limited view of the social norm of voluntary compliance. </w:t>
      </w:r>
    </w:p>
    <w:p w14:paraId="74806C6E" w14:textId="585C470C" w:rsidR="006F667C" w:rsidRDefault="004C2556" w:rsidP="004C2556">
      <w:pPr>
        <w:spacing w:before="100" w:beforeAutospacing="1" w:after="100" w:afterAutospacing="1"/>
        <w:ind w:firstLine="720"/>
        <w:jc w:val="both"/>
        <w:rPr>
          <w:rFonts w:asciiTheme="majorBidi" w:hAnsiTheme="majorBidi" w:cstheme="majorBidi"/>
          <w:sz w:val="24"/>
          <w:szCs w:val="24"/>
        </w:rPr>
      </w:pPr>
      <w:r>
        <w:rPr>
          <w:rFonts w:asciiTheme="majorBidi" w:hAnsiTheme="majorBidi" w:cstheme="majorBidi"/>
          <w:sz w:val="24"/>
          <w:szCs w:val="24"/>
        </w:rPr>
        <w:t>For example, a</w:t>
      </w:r>
      <w:r w:rsidR="006F667C" w:rsidRPr="00644B88">
        <w:rPr>
          <w:rFonts w:asciiTheme="majorBidi" w:hAnsiTheme="majorBidi" w:cstheme="majorBidi"/>
          <w:sz w:val="24"/>
          <w:szCs w:val="24"/>
        </w:rPr>
        <w:t>ccording to Bernstein</w:t>
      </w:r>
      <w:r>
        <w:rPr>
          <w:rFonts w:asciiTheme="majorBidi" w:hAnsiTheme="majorBidi" w:cstheme="majorBidi"/>
          <w:sz w:val="24"/>
          <w:szCs w:val="24"/>
        </w:rPr>
        <w:t xml:space="preserve">, who was mentioned above and </w:t>
      </w:r>
      <w:r w:rsidR="006F667C" w:rsidRPr="00644B88">
        <w:rPr>
          <w:rFonts w:asciiTheme="majorBidi" w:hAnsiTheme="majorBidi" w:cstheme="majorBidi"/>
          <w:sz w:val="24"/>
          <w:szCs w:val="24"/>
        </w:rPr>
        <w:t>conducted studies in the diamond</w:t>
      </w:r>
      <w:r w:rsidR="006F667C" w:rsidRPr="00644B88">
        <w:rPr>
          <w:rStyle w:val="FootnoteReference"/>
          <w:rFonts w:asciiTheme="majorBidi" w:hAnsiTheme="majorBidi" w:cstheme="majorBidi"/>
          <w:sz w:val="24"/>
          <w:szCs w:val="24"/>
        </w:rPr>
        <w:footnoteReference w:id="90"/>
      </w:r>
      <w:r w:rsidR="006F667C" w:rsidRPr="00644B88">
        <w:rPr>
          <w:rFonts w:asciiTheme="majorBidi" w:hAnsiTheme="majorBidi" w:cstheme="majorBidi"/>
          <w:sz w:val="24"/>
          <w:szCs w:val="24"/>
        </w:rPr>
        <w:t xml:space="preserve"> and the cotton industries,</w:t>
      </w:r>
      <w:r w:rsidR="006F667C" w:rsidRPr="00644B88">
        <w:rPr>
          <w:rStyle w:val="FootnoteReference"/>
          <w:rFonts w:asciiTheme="majorBidi" w:hAnsiTheme="majorBidi" w:cstheme="majorBidi"/>
          <w:sz w:val="24"/>
          <w:szCs w:val="24"/>
        </w:rPr>
        <w:footnoteReference w:id="91"/>
      </w:r>
      <w:r w:rsidR="006F667C" w:rsidRPr="00644B88">
        <w:rPr>
          <w:rFonts w:asciiTheme="majorBidi" w:hAnsiTheme="majorBidi" w:cstheme="majorBidi"/>
          <w:sz w:val="24"/>
          <w:szCs w:val="24"/>
        </w:rPr>
        <w:t xml:space="preserve"> close social groups with shared values could function with only limited formal legal intervention. Even when discussing approaches beyond command and control, it should be recognized that there are different, sometimes competing, approaches which could lead to voluntary compliance, such as nudges, internalization, social norms, moral persuasion, procedural fairness, and self-regulation mechanisms. These beyond-compliance mechanisms, which differ significantly, are likely to lead to different behaviors. Consequently, it is important to understand which non-coercive measure is more effective in enhancing voluntary compliance. Can people who are nudged to </w:t>
      </w:r>
      <w:proofErr w:type="gramStart"/>
      <w:r w:rsidR="006F667C" w:rsidRPr="00644B88">
        <w:rPr>
          <w:rFonts w:asciiTheme="majorBidi" w:hAnsiTheme="majorBidi" w:cstheme="majorBidi"/>
          <w:sz w:val="24"/>
          <w:szCs w:val="24"/>
        </w:rPr>
        <w:t>behave</w:t>
      </w:r>
      <w:proofErr w:type="gramEnd"/>
      <w:r w:rsidR="006F667C" w:rsidRPr="00644B88">
        <w:rPr>
          <w:rFonts w:asciiTheme="majorBidi" w:hAnsiTheme="majorBidi" w:cstheme="majorBidi"/>
          <w:sz w:val="24"/>
          <w:szCs w:val="24"/>
        </w:rPr>
        <w:t xml:space="preserve"> a certain way be considered as complying voluntarily? In addition, given that compliance nudges could result in what could be termed mindless cooperation, can the resulting behavior be viewed as voluntary? Even in cases where the law successfully changes people’s attitudes and preferences, it is questionable how stable this change is. Finally, it needs to be examined to what extent sanctions are or are not part of a process which might create voluntary compliance.</w:t>
      </w:r>
    </w:p>
    <w:p w14:paraId="23F51DAE" w14:textId="00D7DE86" w:rsidR="00F707F9" w:rsidRPr="00637780" w:rsidRDefault="00F707F9" w:rsidP="006F667C">
      <w:pPr>
        <w:spacing w:before="100" w:beforeAutospacing="1" w:after="100" w:afterAutospacing="1"/>
        <w:ind w:firstLine="720"/>
        <w:jc w:val="both"/>
        <w:rPr>
          <w:rFonts w:asciiTheme="majorBidi" w:hAnsiTheme="majorBidi" w:cstheme="majorBidi"/>
          <w:b/>
          <w:bCs/>
          <w:sz w:val="24"/>
          <w:szCs w:val="24"/>
        </w:rPr>
      </w:pPr>
      <w:r w:rsidRPr="00637780">
        <w:rPr>
          <w:rFonts w:asciiTheme="majorBidi" w:hAnsiTheme="majorBidi" w:cstheme="majorBidi"/>
          <w:sz w:val="24"/>
          <w:szCs w:val="24"/>
        </w:rPr>
        <w:t>Furthermore, because this literature has not traditionally been considered part of the regulatory and behavioral ethics literature, many important questions on the interaction between regulatory choices and the response of communities have not been studied. For example, what regulatory interventions are more likely to lead to change, if at all, in a sustainable way within the social norms of a given community? To what extent can a strong sense of solidarity with one’s community lead one to comply with states’ laws and regulations? These questions are of particular interest in contexts in which the greater good (global warming or enriching the state treasury) is not seen as being aligned with that of the community, thus raising the need to adjust the regulation to account for community as well as behavioral factors. Insights from the social norms literature also has great importance because it, too, weakens the dichotomy between external vs. internal measures, as people’s reaction to their surrounding communities represents a combination of intrinsic and extrinsic motivations.</w:t>
      </w:r>
      <w:r w:rsidRPr="00637780">
        <w:rPr>
          <w:rFonts w:asciiTheme="majorBidi" w:hAnsiTheme="majorBidi" w:cstheme="majorBidi"/>
          <w:sz w:val="24"/>
          <w:szCs w:val="24"/>
          <w:vertAlign w:val="superscript"/>
        </w:rPr>
        <w:footnoteReference w:id="92"/>
      </w:r>
      <w:r w:rsidRPr="00637780">
        <w:rPr>
          <w:rFonts w:asciiTheme="majorBidi" w:hAnsiTheme="majorBidi" w:cstheme="majorBidi"/>
          <w:sz w:val="24"/>
          <w:szCs w:val="24"/>
        </w:rPr>
        <w:t xml:space="preserve"> </w:t>
      </w:r>
    </w:p>
    <w:p w14:paraId="640C7B74" w14:textId="48A48107" w:rsidR="0029336E" w:rsidRDefault="00F707F9" w:rsidP="0029336E">
      <w:pPr>
        <w:pStyle w:val="Heading2"/>
      </w:pPr>
      <w:bookmarkStart w:id="24" w:name="_Toc161578517"/>
      <w:r w:rsidRPr="00637780">
        <w:t xml:space="preserve">Behavioral Public Policy </w:t>
      </w:r>
      <w:r w:rsidR="0029336E">
        <w:t>and Voluntary Compliance</w:t>
      </w:r>
      <w:bookmarkEnd w:id="24"/>
    </w:p>
    <w:p w14:paraId="3D3BFB0C" w14:textId="77777777" w:rsidR="0029336E" w:rsidRDefault="0029336E" w:rsidP="005E6151">
      <w:pPr>
        <w:spacing w:after="120" w:line="16" w:lineRule="atLeast"/>
        <w:ind w:firstLine="720"/>
        <w:contextualSpacing/>
        <w:jc w:val="both"/>
        <w:rPr>
          <w:rFonts w:asciiTheme="majorBidi" w:hAnsiTheme="majorBidi" w:cstheme="majorBidi"/>
          <w:b/>
          <w:bCs/>
          <w:sz w:val="24"/>
          <w:szCs w:val="24"/>
        </w:rPr>
      </w:pPr>
    </w:p>
    <w:p w14:paraId="19EE94E7" w14:textId="15024167" w:rsidR="004C2556" w:rsidRDefault="0029336E" w:rsidP="005E6151">
      <w:pPr>
        <w:spacing w:after="120" w:line="16" w:lineRule="atLeast"/>
        <w:ind w:firstLine="720"/>
        <w:contextualSpacing/>
        <w:jc w:val="both"/>
        <w:rPr>
          <w:rFonts w:asciiTheme="majorBidi" w:hAnsiTheme="majorBidi" w:cstheme="majorBidi"/>
          <w:sz w:val="24"/>
          <w:szCs w:val="24"/>
        </w:rPr>
      </w:pPr>
      <w:r w:rsidRPr="004C2556">
        <w:rPr>
          <w:rFonts w:asciiTheme="majorBidi" w:hAnsiTheme="majorBidi" w:cstheme="majorBidi"/>
          <w:sz w:val="24"/>
          <w:szCs w:val="24"/>
        </w:rPr>
        <w:t xml:space="preserve">This </w:t>
      </w:r>
      <w:r w:rsidR="00F707F9" w:rsidRPr="004C2556">
        <w:rPr>
          <w:rFonts w:asciiTheme="majorBidi" w:hAnsiTheme="majorBidi" w:cstheme="majorBidi"/>
          <w:sz w:val="24"/>
          <w:szCs w:val="24"/>
        </w:rPr>
        <w:t>Literature</w:t>
      </w:r>
      <w:r w:rsidR="00F707F9" w:rsidRPr="00637780">
        <w:rPr>
          <w:rFonts w:asciiTheme="majorBidi" w:hAnsiTheme="majorBidi" w:cstheme="majorBidi"/>
          <w:sz w:val="24"/>
          <w:szCs w:val="24"/>
        </w:rPr>
        <w:t xml:space="preserve"> serves as one of the basic foundations of this </w:t>
      </w:r>
      <w:r w:rsidR="00914546" w:rsidRPr="00637780">
        <w:rPr>
          <w:rFonts w:asciiTheme="majorBidi" w:hAnsiTheme="majorBidi" w:cstheme="majorBidi"/>
          <w:sz w:val="24"/>
          <w:szCs w:val="24"/>
        </w:rPr>
        <w:t>book</w:t>
      </w:r>
      <w:r w:rsidR="00F707F9" w:rsidRPr="00637780">
        <w:rPr>
          <w:rFonts w:asciiTheme="majorBidi" w:hAnsiTheme="majorBidi" w:cstheme="majorBidi"/>
          <w:sz w:val="24"/>
          <w:szCs w:val="24"/>
        </w:rPr>
        <w:t xml:space="preserve">, with its emphasis on the recognition that people cannot comply solely by reacting to prices. </w:t>
      </w:r>
      <w:r w:rsidR="00736B51">
        <w:rPr>
          <w:rFonts w:asciiTheme="majorBidi" w:hAnsiTheme="majorBidi" w:cstheme="majorBidi"/>
          <w:sz w:val="24"/>
          <w:szCs w:val="24"/>
        </w:rPr>
        <w:t>Behavioral public policy h</w:t>
      </w:r>
      <w:r w:rsidR="00F707F9" w:rsidRPr="00637780">
        <w:rPr>
          <w:rFonts w:asciiTheme="majorBidi" w:hAnsiTheme="majorBidi" w:cstheme="majorBidi"/>
          <w:sz w:val="24"/>
          <w:szCs w:val="24"/>
        </w:rPr>
        <w:t xml:space="preserve">as contributed to the greater variety of regulatory tools </w:t>
      </w:r>
      <w:r w:rsidR="00F707F9" w:rsidRPr="00637780">
        <w:rPr>
          <w:rFonts w:asciiTheme="majorBidi" w:hAnsiTheme="majorBidi" w:cstheme="majorBidi"/>
          <w:sz w:val="24"/>
          <w:szCs w:val="24"/>
        </w:rPr>
        <w:lastRenderedPageBreak/>
        <w:t>available to policy makers (e.g., nudges, framing, pledges,</w:t>
      </w:r>
      <w:r w:rsidR="00F707F9" w:rsidRPr="00637780">
        <w:rPr>
          <w:rStyle w:val="FootnoteReference"/>
          <w:rFonts w:asciiTheme="majorBidi" w:hAnsiTheme="majorBidi" w:cstheme="majorBidi"/>
          <w:sz w:val="24"/>
          <w:szCs w:val="24"/>
        </w:rPr>
        <w:footnoteReference w:id="93"/>
      </w:r>
      <w:r w:rsidR="00F707F9" w:rsidRPr="00637780">
        <w:rPr>
          <w:rFonts w:asciiTheme="majorBidi" w:hAnsiTheme="majorBidi" w:cstheme="majorBidi"/>
          <w:sz w:val="24"/>
          <w:szCs w:val="24"/>
        </w:rPr>
        <w:t xml:space="preserve"> etc.) aimed at changing people’s behavior through means other than coercion. </w:t>
      </w:r>
      <w:r w:rsidR="00E7681A">
        <w:rPr>
          <w:rFonts w:asciiTheme="majorBidi" w:hAnsiTheme="majorBidi" w:cstheme="majorBidi"/>
          <w:sz w:val="24"/>
          <w:szCs w:val="24"/>
        </w:rPr>
        <w:t xml:space="preserve">However, BPP suffers from the fact that they lack any normative </w:t>
      </w:r>
      <w:proofErr w:type="gramStart"/>
      <w:r w:rsidR="00E7681A">
        <w:rPr>
          <w:rFonts w:asciiTheme="majorBidi" w:hAnsiTheme="majorBidi" w:cstheme="majorBidi"/>
          <w:sz w:val="24"/>
          <w:szCs w:val="24"/>
        </w:rPr>
        <w:t>perspective</w:t>
      </w:r>
      <w:proofErr w:type="gramEnd"/>
      <w:r w:rsidR="00E7681A">
        <w:rPr>
          <w:rFonts w:asciiTheme="majorBidi" w:hAnsiTheme="majorBidi" w:cstheme="majorBidi"/>
          <w:sz w:val="24"/>
          <w:szCs w:val="24"/>
        </w:rPr>
        <w:t xml:space="preserve"> </w:t>
      </w:r>
    </w:p>
    <w:p w14:paraId="4BADD63E" w14:textId="515A9BAB" w:rsidR="004C2556" w:rsidRDefault="004C2556" w:rsidP="005E6151">
      <w:pPr>
        <w:spacing w:after="120" w:line="16" w:lineRule="atLeast"/>
        <w:ind w:firstLine="720"/>
        <w:contextualSpacing/>
        <w:jc w:val="both"/>
        <w:rPr>
          <w:rFonts w:asciiTheme="majorBidi" w:hAnsiTheme="majorBidi" w:cstheme="majorBidi"/>
          <w:sz w:val="24"/>
          <w:szCs w:val="24"/>
        </w:rPr>
      </w:pPr>
      <w:r>
        <w:rPr>
          <w:rFonts w:asciiTheme="majorBidi" w:hAnsiTheme="majorBidi" w:cstheme="majorBidi"/>
          <w:sz w:val="24"/>
          <w:szCs w:val="24"/>
        </w:rPr>
        <w:t xml:space="preserve">Nudges are indeed somewhere in the middle between the more intrinsically oriented </w:t>
      </w:r>
      <w:proofErr w:type="gramStart"/>
      <w:r>
        <w:rPr>
          <w:rFonts w:asciiTheme="majorBidi" w:hAnsiTheme="majorBidi" w:cstheme="majorBidi"/>
          <w:sz w:val="24"/>
          <w:szCs w:val="24"/>
        </w:rPr>
        <w:t>intervention</w:t>
      </w:r>
      <w:proofErr w:type="gramEnd"/>
      <w:r>
        <w:rPr>
          <w:rFonts w:asciiTheme="majorBidi" w:hAnsiTheme="majorBidi" w:cstheme="majorBidi"/>
          <w:sz w:val="24"/>
          <w:szCs w:val="24"/>
        </w:rPr>
        <w:t xml:space="preserve"> such as morality and reason to the more extrinsically oriented measures such as incentives and sanctions. Nudges themselves can of course move between educating people or reminding them of their morality and the likelihood of getting a sanction</w:t>
      </w:r>
      <w:r w:rsidR="00E263B2">
        <w:rPr>
          <w:rFonts w:asciiTheme="majorBidi" w:hAnsiTheme="majorBidi" w:cstheme="majorBidi"/>
          <w:sz w:val="24"/>
          <w:szCs w:val="24"/>
        </w:rPr>
        <w:t xml:space="preserve"> or simply somewhere in the middle where the simply change the choice architecture</w:t>
      </w:r>
      <w:r w:rsidR="00D8383B">
        <w:rPr>
          <w:rStyle w:val="FootnoteReference"/>
          <w:rFonts w:asciiTheme="majorBidi" w:hAnsiTheme="majorBidi" w:cstheme="majorBidi"/>
          <w:sz w:val="24"/>
          <w:szCs w:val="24"/>
        </w:rPr>
        <w:footnoteReference w:id="94"/>
      </w:r>
      <w:r w:rsidR="00E263B2">
        <w:rPr>
          <w:rFonts w:asciiTheme="majorBidi" w:hAnsiTheme="majorBidi" w:cstheme="majorBidi"/>
          <w:sz w:val="24"/>
          <w:szCs w:val="24"/>
        </w:rPr>
        <w:t xml:space="preserve">. </w:t>
      </w:r>
    </w:p>
    <w:p w14:paraId="6E53AF64" w14:textId="746860B3" w:rsidR="00F707F9" w:rsidRPr="00637780" w:rsidRDefault="0029032F" w:rsidP="005E6151">
      <w:pPr>
        <w:spacing w:after="120" w:line="16" w:lineRule="atLeast"/>
        <w:ind w:firstLine="720"/>
        <w:contextualSpacing/>
        <w:jc w:val="both"/>
        <w:rPr>
          <w:rFonts w:asciiTheme="majorBidi" w:hAnsiTheme="majorBidi" w:cstheme="majorBidi"/>
          <w:sz w:val="24"/>
          <w:szCs w:val="24"/>
        </w:rPr>
      </w:pPr>
      <w:r>
        <w:rPr>
          <w:rFonts w:asciiTheme="majorBidi" w:hAnsiTheme="majorBidi" w:cstheme="majorBidi"/>
          <w:sz w:val="24"/>
          <w:szCs w:val="24"/>
        </w:rPr>
        <w:t xml:space="preserve">As suggested above, </w:t>
      </w:r>
      <w:r w:rsidR="00E53359">
        <w:rPr>
          <w:rFonts w:asciiTheme="majorBidi" w:hAnsiTheme="majorBidi" w:cstheme="majorBidi"/>
          <w:sz w:val="24"/>
          <w:szCs w:val="24"/>
        </w:rPr>
        <w:t xml:space="preserve">while we </w:t>
      </w:r>
      <w:r w:rsidR="00FA5CCD">
        <w:rPr>
          <w:rFonts w:asciiTheme="majorBidi" w:hAnsiTheme="majorBidi" w:cstheme="majorBidi"/>
          <w:sz w:val="24"/>
          <w:szCs w:val="24"/>
        </w:rPr>
        <w:t xml:space="preserve">see a grow in the amount of interventions in the behavioral </w:t>
      </w:r>
      <w:r w:rsidR="00653E86">
        <w:rPr>
          <w:rFonts w:asciiTheme="majorBidi" w:hAnsiTheme="majorBidi" w:cstheme="majorBidi"/>
          <w:sz w:val="24"/>
          <w:szCs w:val="24"/>
        </w:rPr>
        <w:t>regulatory</w:t>
      </w:r>
      <w:r w:rsidR="00FA5CCD">
        <w:rPr>
          <w:rFonts w:asciiTheme="majorBidi" w:hAnsiTheme="majorBidi" w:cstheme="majorBidi"/>
          <w:sz w:val="24"/>
          <w:szCs w:val="24"/>
        </w:rPr>
        <w:t xml:space="preserve"> era and there are some comparative studies, most of them</w:t>
      </w:r>
      <w:r w:rsidR="00E53359">
        <w:rPr>
          <w:rFonts w:asciiTheme="majorBidi" w:hAnsiTheme="majorBidi" w:cstheme="majorBidi"/>
          <w:sz w:val="24"/>
          <w:szCs w:val="24"/>
        </w:rPr>
        <w:t xml:space="preserve"> </w:t>
      </w:r>
      <w:r w:rsidR="00F707F9" w:rsidRPr="00637780">
        <w:rPr>
          <w:rFonts w:asciiTheme="majorBidi" w:hAnsiTheme="majorBidi" w:cstheme="majorBidi"/>
          <w:sz w:val="24"/>
          <w:szCs w:val="24"/>
        </w:rPr>
        <w:t xml:space="preserve"> they do allow for concrete, quantitative measurements and comparisons of their efficacy.</w:t>
      </w:r>
      <w:r w:rsidR="00F707F9" w:rsidRPr="00637780">
        <w:rPr>
          <w:rStyle w:val="FootnoteReference"/>
          <w:rFonts w:asciiTheme="majorBidi" w:hAnsiTheme="majorBidi" w:cstheme="majorBidi"/>
          <w:sz w:val="24"/>
          <w:szCs w:val="24"/>
        </w:rPr>
        <w:footnoteReference w:id="95"/>
      </w:r>
      <w:r w:rsidR="00F707F9" w:rsidRPr="00637780">
        <w:rPr>
          <w:rFonts w:asciiTheme="majorBidi" w:hAnsiTheme="majorBidi" w:cstheme="majorBidi"/>
          <w:sz w:val="24"/>
          <w:szCs w:val="24"/>
        </w:rPr>
        <w:t xml:space="preserve"> The nudge approach, based on the influential work of Thaler and Sunstein,</w:t>
      </w:r>
      <w:r w:rsidR="00F707F9" w:rsidRPr="00637780">
        <w:rPr>
          <w:rStyle w:val="FootnoteReference"/>
          <w:rFonts w:asciiTheme="majorBidi" w:hAnsiTheme="majorBidi" w:cstheme="majorBidi"/>
          <w:sz w:val="24"/>
          <w:szCs w:val="24"/>
        </w:rPr>
        <w:footnoteReference w:id="96"/>
      </w:r>
      <w:r w:rsidR="00F707F9" w:rsidRPr="00637780">
        <w:rPr>
          <w:rFonts w:asciiTheme="majorBidi" w:hAnsiTheme="majorBidi" w:cstheme="majorBidi"/>
          <w:sz w:val="24"/>
          <w:szCs w:val="24"/>
        </w:rPr>
        <w:t xml:space="preserve"> represents an important addition to the regulatory choice dilemma, leading numerous scholars to examine when nudges can be relied upon to replace more mandatory rules.</w:t>
      </w:r>
      <w:r w:rsidR="00F707F9" w:rsidRPr="00637780">
        <w:rPr>
          <w:rStyle w:val="FootnoteReference"/>
          <w:rFonts w:asciiTheme="majorBidi" w:hAnsiTheme="majorBidi" w:cstheme="majorBidi"/>
          <w:sz w:val="24"/>
          <w:szCs w:val="24"/>
        </w:rPr>
        <w:footnoteReference w:id="97"/>
      </w:r>
      <w:r w:rsidR="00F707F9" w:rsidRPr="00637780">
        <w:rPr>
          <w:rFonts w:asciiTheme="majorBidi" w:hAnsiTheme="majorBidi" w:cstheme="majorBidi"/>
          <w:sz w:val="24"/>
          <w:szCs w:val="24"/>
        </w:rPr>
        <w:t xml:space="preserve"> </w:t>
      </w:r>
      <w:r w:rsidR="00FA5CCD">
        <w:rPr>
          <w:rFonts w:asciiTheme="majorBidi" w:hAnsiTheme="majorBidi" w:cstheme="majorBidi"/>
          <w:sz w:val="24"/>
          <w:szCs w:val="24"/>
        </w:rPr>
        <w:t>Famous studies by Milkman</w:t>
      </w:r>
      <w:r w:rsidR="003E7890">
        <w:rPr>
          <w:rFonts w:asciiTheme="majorBidi" w:hAnsiTheme="majorBidi" w:cstheme="majorBidi"/>
          <w:sz w:val="24"/>
          <w:szCs w:val="24"/>
        </w:rPr>
        <w:t xml:space="preserve"> for example show negative correlation between expert predictions of what regulatory intervention works better and this is happening only when it comes to short terms change in behavior</w:t>
      </w:r>
      <w:r w:rsidR="002D62BB">
        <w:rPr>
          <w:rStyle w:val="FootnoteReference"/>
          <w:rFonts w:asciiTheme="majorBidi" w:hAnsiTheme="majorBidi" w:cstheme="majorBidi"/>
          <w:sz w:val="24"/>
          <w:szCs w:val="24"/>
        </w:rPr>
        <w:footnoteReference w:id="98"/>
      </w:r>
      <w:r w:rsidR="003E7890">
        <w:rPr>
          <w:rFonts w:asciiTheme="majorBidi" w:hAnsiTheme="majorBidi" w:cstheme="majorBidi"/>
          <w:sz w:val="24"/>
          <w:szCs w:val="24"/>
        </w:rPr>
        <w:t xml:space="preserve">. The comparison between </w:t>
      </w:r>
      <w:r w:rsidR="00FA5CCD">
        <w:rPr>
          <w:rFonts w:asciiTheme="majorBidi" w:hAnsiTheme="majorBidi" w:cstheme="majorBidi"/>
          <w:sz w:val="24"/>
          <w:szCs w:val="24"/>
        </w:rPr>
        <w:t xml:space="preserve">  </w:t>
      </w:r>
      <w:r w:rsidR="00F707F9" w:rsidRPr="00637780">
        <w:rPr>
          <w:rFonts w:asciiTheme="majorBidi" w:hAnsiTheme="majorBidi" w:cstheme="majorBidi"/>
          <w:sz w:val="24"/>
          <w:szCs w:val="24"/>
        </w:rPr>
        <w:t xml:space="preserve"> </w:t>
      </w:r>
      <w:proofErr w:type="gramStart"/>
      <w:r w:rsidR="00F707F9" w:rsidRPr="00637780">
        <w:rPr>
          <w:rFonts w:asciiTheme="majorBidi" w:hAnsiTheme="majorBidi" w:cstheme="majorBidi"/>
          <w:sz w:val="24"/>
          <w:szCs w:val="24"/>
        </w:rPr>
        <w:t>An</w:t>
      </w:r>
      <w:proofErr w:type="gramEnd"/>
      <w:r w:rsidR="00F707F9" w:rsidRPr="00637780">
        <w:rPr>
          <w:rFonts w:asciiTheme="majorBidi" w:hAnsiTheme="majorBidi" w:cstheme="majorBidi"/>
          <w:sz w:val="24"/>
          <w:szCs w:val="24"/>
        </w:rPr>
        <w:t xml:space="preserve"> important goal of this project is distinguishing the long</w:t>
      </w:r>
      <w:r w:rsidR="00F707F9" w:rsidRPr="00637780">
        <w:rPr>
          <w:rFonts w:asciiTheme="majorBidi" w:hAnsiTheme="majorBidi" w:cstheme="majorBidi"/>
          <w:sz w:val="24"/>
          <w:szCs w:val="24"/>
          <w:rtl/>
        </w:rPr>
        <w:t>-</w:t>
      </w:r>
      <w:r w:rsidR="00F707F9" w:rsidRPr="00637780">
        <w:rPr>
          <w:rFonts w:asciiTheme="majorBidi" w:hAnsiTheme="majorBidi" w:cstheme="majorBidi"/>
          <w:sz w:val="24"/>
          <w:szCs w:val="24"/>
        </w:rPr>
        <w:t>term impacts of the vast array of behavioral regulatory tools, which lie somewhere on the spectrum between intrinsic and extrinsic measures, in the context of the above-mentioned dimensions.</w:t>
      </w:r>
      <w:r w:rsidR="00771C92">
        <w:rPr>
          <w:rFonts w:asciiTheme="majorBidi" w:hAnsiTheme="majorBidi" w:cstheme="majorBidi"/>
          <w:sz w:val="24"/>
          <w:szCs w:val="24"/>
        </w:rPr>
        <w:t xml:space="preserve"> </w:t>
      </w:r>
    </w:p>
    <w:p w14:paraId="51BE008C" w14:textId="7423DBEE" w:rsidR="00F65D41" w:rsidRPr="00637780" w:rsidRDefault="008F7A4C" w:rsidP="008F7A4C">
      <w:pPr>
        <w:pStyle w:val="Heading2"/>
        <w:rPr>
          <w:rtl/>
        </w:rPr>
      </w:pPr>
      <w:bookmarkStart w:id="25" w:name="_Toc161578518"/>
      <w:r>
        <w:t>The importance of culture in Voluntary Compliance</w:t>
      </w:r>
      <w:bookmarkEnd w:id="25"/>
    </w:p>
    <w:p w14:paraId="0127DD65" w14:textId="23191D19" w:rsidR="00F65D41" w:rsidRPr="00644B88" w:rsidRDefault="00F65D41" w:rsidP="00F65D41">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To better clarify the issue of compliance, it is critical to understand how trust, social diversity, social inclusiveness, solidarity, and helpfulness affect the different levels of cohesion and solidarity in European countries. Generally, countries with a higher value of social cohesion are more likely to have a higher level of innovation and social progress.</w:t>
      </w:r>
      <w:r w:rsidRPr="00644B88">
        <w:rPr>
          <w:rStyle w:val="FootnoteReference"/>
          <w:rFonts w:asciiTheme="majorBidi" w:hAnsiTheme="majorBidi" w:cstheme="majorBidi"/>
          <w:sz w:val="24"/>
          <w:szCs w:val="24"/>
        </w:rPr>
        <w:footnoteReference w:id="99"/>
      </w:r>
      <w:r w:rsidRPr="00644B88">
        <w:rPr>
          <w:rFonts w:asciiTheme="majorBidi" w:hAnsiTheme="majorBidi" w:cstheme="majorBidi"/>
          <w:sz w:val="24"/>
          <w:szCs w:val="24"/>
        </w:rPr>
        <w:t xml:space="preserve"> </w:t>
      </w:r>
      <w:r w:rsidR="00855FE2">
        <w:rPr>
          <w:rFonts w:asciiTheme="majorBidi" w:hAnsiTheme="majorBidi" w:cstheme="majorBidi"/>
          <w:sz w:val="24"/>
          <w:szCs w:val="24"/>
        </w:rPr>
        <w:t>In chapter 6 of the book that focus on culture and voluntary compliance we examine the huge variation that exists between the countries with regard to trust</w:t>
      </w:r>
      <w:r w:rsidR="00306D4A">
        <w:rPr>
          <w:rStyle w:val="FootnoteReference"/>
          <w:rFonts w:asciiTheme="majorBidi" w:hAnsiTheme="majorBidi" w:cstheme="majorBidi"/>
          <w:sz w:val="24"/>
          <w:szCs w:val="24"/>
        </w:rPr>
        <w:footnoteReference w:id="100"/>
      </w:r>
      <w:r w:rsidR="00855FE2">
        <w:rPr>
          <w:rFonts w:asciiTheme="majorBidi" w:hAnsiTheme="majorBidi" w:cstheme="majorBidi"/>
          <w:sz w:val="24"/>
          <w:szCs w:val="24"/>
        </w:rPr>
        <w:t xml:space="preserve">, </w:t>
      </w:r>
      <w:r w:rsidR="00855FE2">
        <w:rPr>
          <w:rFonts w:asciiTheme="majorBidi" w:hAnsiTheme="majorBidi" w:cstheme="majorBidi"/>
          <w:sz w:val="24"/>
          <w:szCs w:val="24"/>
        </w:rPr>
        <w:lastRenderedPageBreak/>
        <w:t xml:space="preserve">power, </w:t>
      </w:r>
      <w:r w:rsidR="00306D4A">
        <w:rPr>
          <w:rFonts w:asciiTheme="majorBidi" w:hAnsiTheme="majorBidi" w:cstheme="majorBidi"/>
          <w:sz w:val="24"/>
          <w:szCs w:val="24"/>
        </w:rPr>
        <w:t>collectivist culture vs. individualistic ones</w:t>
      </w:r>
      <w:r w:rsidR="00306D4A">
        <w:rPr>
          <w:rStyle w:val="FootnoteReference"/>
          <w:rFonts w:asciiTheme="majorBidi" w:hAnsiTheme="majorBidi" w:cstheme="majorBidi"/>
          <w:sz w:val="24"/>
          <w:szCs w:val="24"/>
        </w:rPr>
        <w:footnoteReference w:id="101"/>
      </w:r>
      <w:r w:rsidR="00855FE2">
        <w:rPr>
          <w:rFonts w:asciiTheme="majorBidi" w:hAnsiTheme="majorBidi" w:cstheme="majorBidi"/>
          <w:sz w:val="24"/>
          <w:szCs w:val="24"/>
        </w:rPr>
        <w:t xml:space="preserve">solidarity and other values which seems to predict the likelihood of voluntary compliance. </w:t>
      </w:r>
    </w:p>
    <w:p w14:paraId="4DF00AA3" w14:textId="77777777" w:rsidR="00F65D41" w:rsidRPr="00637780" w:rsidRDefault="00F65D41" w:rsidP="00F65D41">
      <w:pPr>
        <w:spacing w:after="120" w:line="16" w:lineRule="atLeast"/>
        <w:ind w:firstLine="720"/>
        <w:contextualSpacing/>
        <w:jc w:val="both"/>
        <w:rPr>
          <w:rFonts w:asciiTheme="majorBidi" w:hAnsiTheme="majorBidi" w:cstheme="majorBidi"/>
          <w:sz w:val="24"/>
          <w:szCs w:val="24"/>
        </w:rPr>
      </w:pPr>
    </w:p>
    <w:p w14:paraId="19B16916" w14:textId="06A6B393" w:rsidR="00F707F9" w:rsidRPr="00637780" w:rsidRDefault="00F65D41" w:rsidP="00D5259B">
      <w:pPr>
        <w:pStyle w:val="Heading2"/>
      </w:pPr>
      <w:bookmarkStart w:id="26" w:name="_Toc161578519"/>
      <w:r w:rsidRPr="00637780">
        <w:t>W</w:t>
      </w:r>
      <w:r w:rsidR="00F707F9" w:rsidRPr="00637780">
        <w:t>hat Current Literature Does Not Explain about Voluntary Compliance</w:t>
      </w:r>
      <w:bookmarkEnd w:id="26"/>
    </w:p>
    <w:p w14:paraId="461939AC" w14:textId="77777777" w:rsidR="00F707F9" w:rsidRDefault="00F707F9"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As described above, relevant literature has emerged that identifies voluntary compliance and self-regulation as the optimal guiding principles of regulatory governance. However, these concepts can be elusive and thus difficult to fully understand conceptually and practically on both the individual level and the aggregate level, which is of interest for the regulatory state. Part of the argument to be developed in the proposed book is that many of the studies on voluntary compliance were carried out in very contextualized circumstances, thus limiting the possibility of generalizing from them to the realm of broader policies.</w:t>
      </w:r>
    </w:p>
    <w:tbl>
      <w:tblPr>
        <w:tblStyle w:val="TableGrid"/>
        <w:tblW w:w="0" w:type="auto"/>
        <w:tblLook w:val="04A0" w:firstRow="1" w:lastRow="0" w:firstColumn="1" w:lastColumn="0" w:noHBand="0" w:noVBand="1"/>
      </w:tblPr>
      <w:tblGrid>
        <w:gridCol w:w="1652"/>
        <w:gridCol w:w="1870"/>
        <w:gridCol w:w="1632"/>
        <w:gridCol w:w="1571"/>
        <w:gridCol w:w="1571"/>
      </w:tblGrid>
      <w:tr w:rsidR="002D62BB" w14:paraId="4BAEC619" w14:textId="77777777" w:rsidTr="002D62BB">
        <w:tc>
          <w:tcPr>
            <w:tcW w:w="1659" w:type="dxa"/>
          </w:tcPr>
          <w:p w14:paraId="3D44F5BC" w14:textId="08D9A4B2"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Voluntariness </w:t>
            </w:r>
          </w:p>
        </w:tc>
        <w:tc>
          <w:tcPr>
            <w:tcW w:w="1659" w:type="dxa"/>
          </w:tcPr>
          <w:p w14:paraId="199412AD" w14:textId="47CF7501"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Regulatory approach </w:t>
            </w:r>
          </w:p>
        </w:tc>
        <w:tc>
          <w:tcPr>
            <w:tcW w:w="1659" w:type="dxa"/>
          </w:tcPr>
          <w:p w14:paraId="609D4778" w14:textId="2E721E09" w:rsidR="002D62BB" w:rsidRDefault="00177EC4"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Type of definition</w:t>
            </w:r>
          </w:p>
        </w:tc>
        <w:tc>
          <w:tcPr>
            <w:tcW w:w="1659" w:type="dxa"/>
          </w:tcPr>
          <w:p w14:paraId="0CCBB185"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7D65F682"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7C323F0A" w14:textId="77777777" w:rsidTr="002D62BB">
        <w:tc>
          <w:tcPr>
            <w:tcW w:w="1659" w:type="dxa"/>
          </w:tcPr>
          <w:p w14:paraId="0AF28414" w14:textId="23759845"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Spontaneous</w:t>
            </w:r>
            <w:r w:rsidR="002D62BB">
              <w:rPr>
                <w:rFonts w:asciiTheme="majorBidi" w:hAnsiTheme="majorBidi" w:cstheme="majorBidi"/>
                <w:sz w:val="24"/>
                <w:szCs w:val="24"/>
              </w:rPr>
              <w:t xml:space="preserve"> </w:t>
            </w:r>
          </w:p>
        </w:tc>
        <w:tc>
          <w:tcPr>
            <w:tcW w:w="1659" w:type="dxa"/>
          </w:tcPr>
          <w:p w14:paraId="14C1A253" w14:textId="53B2105E"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Order without law</w:t>
            </w:r>
          </w:p>
        </w:tc>
        <w:tc>
          <w:tcPr>
            <w:tcW w:w="1659" w:type="dxa"/>
          </w:tcPr>
          <w:p w14:paraId="637D0053" w14:textId="51C9F025" w:rsidR="002D62BB" w:rsidRDefault="000847A7" w:rsidP="00CD7986">
            <w:pPr>
              <w:spacing w:before="100" w:beforeAutospacing="1" w:after="100" w:afterAutospacing="1"/>
              <w:jc w:val="both"/>
              <w:rPr>
                <w:rFonts w:asciiTheme="majorBidi" w:hAnsiTheme="majorBidi" w:cstheme="majorBidi"/>
                <w:sz w:val="24"/>
                <w:szCs w:val="24"/>
                <w:rtl/>
              </w:rPr>
            </w:pPr>
            <w:r>
              <w:rPr>
                <w:rFonts w:asciiTheme="majorBidi" w:hAnsiTheme="majorBidi" w:cstheme="majorBidi"/>
                <w:sz w:val="24"/>
                <w:szCs w:val="24"/>
              </w:rPr>
              <w:t>Narrowest definition</w:t>
            </w:r>
          </w:p>
        </w:tc>
        <w:tc>
          <w:tcPr>
            <w:tcW w:w="1659" w:type="dxa"/>
          </w:tcPr>
          <w:p w14:paraId="4D825681"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1C3D715A"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01F25CC7" w14:textId="77777777" w:rsidTr="002D62BB">
        <w:tc>
          <w:tcPr>
            <w:tcW w:w="1659" w:type="dxa"/>
          </w:tcPr>
          <w:p w14:paraId="2EA96F6D" w14:textId="3040EA72" w:rsidR="002D62BB" w:rsidRDefault="002D62BB" w:rsidP="00CD7986">
            <w:pPr>
              <w:spacing w:before="100" w:beforeAutospacing="1" w:after="100" w:afterAutospacing="1"/>
              <w:jc w:val="both"/>
              <w:rPr>
                <w:rFonts w:asciiTheme="majorBidi" w:hAnsiTheme="majorBidi" w:cstheme="majorBidi"/>
                <w:sz w:val="24"/>
                <w:szCs w:val="24"/>
              </w:rPr>
            </w:pPr>
            <w:proofErr w:type="gramStart"/>
            <w:r>
              <w:rPr>
                <w:rFonts w:asciiTheme="majorBidi" w:hAnsiTheme="majorBidi" w:cstheme="majorBidi"/>
                <w:sz w:val="24"/>
                <w:szCs w:val="24"/>
              </w:rPr>
              <w:t>Not-coerced</w:t>
            </w:r>
            <w:proofErr w:type="gramEnd"/>
            <w:r>
              <w:rPr>
                <w:rFonts w:asciiTheme="majorBidi" w:hAnsiTheme="majorBidi" w:cstheme="majorBidi"/>
                <w:sz w:val="24"/>
                <w:szCs w:val="24"/>
              </w:rPr>
              <w:t xml:space="preserve"> </w:t>
            </w:r>
          </w:p>
        </w:tc>
        <w:tc>
          <w:tcPr>
            <w:tcW w:w="1659" w:type="dxa"/>
          </w:tcPr>
          <w:p w14:paraId="352467C3" w14:textId="449A523B"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Sanction / monitoring </w:t>
            </w:r>
          </w:p>
        </w:tc>
        <w:tc>
          <w:tcPr>
            <w:tcW w:w="1659" w:type="dxa"/>
          </w:tcPr>
          <w:p w14:paraId="50AD8266" w14:textId="4A31BA99"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Broadest definition </w:t>
            </w:r>
          </w:p>
        </w:tc>
        <w:tc>
          <w:tcPr>
            <w:tcW w:w="1659" w:type="dxa"/>
          </w:tcPr>
          <w:p w14:paraId="2B7065BD"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11FBBF9B"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440982D6" w14:textId="77777777" w:rsidTr="002D62BB">
        <w:tc>
          <w:tcPr>
            <w:tcW w:w="1659" w:type="dxa"/>
          </w:tcPr>
          <w:p w14:paraId="49DDEC00" w14:textId="1FAC1932"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incentivized</w:t>
            </w:r>
          </w:p>
        </w:tc>
        <w:tc>
          <w:tcPr>
            <w:tcW w:w="1659" w:type="dxa"/>
          </w:tcPr>
          <w:p w14:paraId="61B38E32" w14:textId="03E4D8A7" w:rsidR="002D62BB" w:rsidRDefault="00546B20"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Positive/negative</w:t>
            </w:r>
          </w:p>
        </w:tc>
        <w:tc>
          <w:tcPr>
            <w:tcW w:w="1659" w:type="dxa"/>
          </w:tcPr>
          <w:p w14:paraId="40630EF9" w14:textId="237FD986" w:rsidR="002D62BB" w:rsidRDefault="00546B20"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Depends on size and social meaning </w:t>
            </w:r>
          </w:p>
        </w:tc>
        <w:tc>
          <w:tcPr>
            <w:tcW w:w="1659" w:type="dxa"/>
          </w:tcPr>
          <w:p w14:paraId="33423522"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0DFD288E"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714F9458" w14:textId="77777777" w:rsidTr="002D62BB">
        <w:tc>
          <w:tcPr>
            <w:tcW w:w="1659" w:type="dxa"/>
          </w:tcPr>
          <w:p w14:paraId="3BED2EDF" w14:textId="4420E16D"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Intrinsically motivation</w:t>
            </w:r>
          </w:p>
        </w:tc>
        <w:tc>
          <w:tcPr>
            <w:tcW w:w="1659" w:type="dxa"/>
          </w:tcPr>
          <w:p w14:paraId="152C06C4" w14:textId="7F8DBF2E"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Reasoning </w:t>
            </w:r>
          </w:p>
        </w:tc>
        <w:tc>
          <w:tcPr>
            <w:tcW w:w="1659" w:type="dxa"/>
          </w:tcPr>
          <w:p w14:paraId="550C5A4E"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55F138A7"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2217421A"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71BF3B98" w14:textId="77777777" w:rsidTr="002D62BB">
        <w:tc>
          <w:tcPr>
            <w:tcW w:w="1659" w:type="dxa"/>
          </w:tcPr>
          <w:p w14:paraId="14FAD6F4" w14:textId="33D4AF7C"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Aware </w:t>
            </w:r>
          </w:p>
        </w:tc>
        <w:tc>
          <w:tcPr>
            <w:tcW w:w="1659" w:type="dxa"/>
          </w:tcPr>
          <w:p w14:paraId="7615002A" w14:textId="654722F6"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Nudge?</w:t>
            </w:r>
          </w:p>
        </w:tc>
        <w:tc>
          <w:tcPr>
            <w:tcW w:w="1659" w:type="dxa"/>
          </w:tcPr>
          <w:p w14:paraId="1EB44DEF" w14:textId="1622DA54" w:rsidR="002D62BB" w:rsidRDefault="00546B20"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Choice without aware</w:t>
            </w:r>
          </w:p>
        </w:tc>
        <w:tc>
          <w:tcPr>
            <w:tcW w:w="1659" w:type="dxa"/>
          </w:tcPr>
          <w:p w14:paraId="061E9B46"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5F3790EA"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59D3CE54" w14:textId="77777777" w:rsidTr="002D62BB">
        <w:tc>
          <w:tcPr>
            <w:tcW w:w="1659" w:type="dxa"/>
          </w:tcPr>
          <w:p w14:paraId="01E6D938" w14:textId="4818AC79" w:rsidR="002D62BB" w:rsidRDefault="002D62BB"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Mandated </w:t>
            </w:r>
          </w:p>
        </w:tc>
        <w:tc>
          <w:tcPr>
            <w:tcW w:w="1659" w:type="dxa"/>
          </w:tcPr>
          <w:p w14:paraId="1027DA17" w14:textId="45F6EFDA"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Duty </w:t>
            </w:r>
          </w:p>
        </w:tc>
        <w:tc>
          <w:tcPr>
            <w:tcW w:w="1659" w:type="dxa"/>
          </w:tcPr>
          <w:p w14:paraId="63E6664B"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18EF3619"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2BFB114F"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0CC16B5F" w14:textId="77777777" w:rsidTr="002D62BB">
        <w:tc>
          <w:tcPr>
            <w:tcW w:w="1659" w:type="dxa"/>
          </w:tcPr>
          <w:p w14:paraId="2D9F430F" w14:textId="6255B3CD" w:rsidR="002D62BB" w:rsidRDefault="001D01C5"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Reputation </w:t>
            </w:r>
          </w:p>
        </w:tc>
        <w:tc>
          <w:tcPr>
            <w:tcW w:w="1659" w:type="dxa"/>
          </w:tcPr>
          <w:p w14:paraId="51DC686C" w14:textId="79CE5E1C"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Social norms </w:t>
            </w:r>
          </w:p>
        </w:tc>
        <w:tc>
          <w:tcPr>
            <w:tcW w:w="1659" w:type="dxa"/>
          </w:tcPr>
          <w:p w14:paraId="0F9EC623" w14:textId="74E6F9B9"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5923EA74"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51E657C1"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2C84158B" w14:textId="77777777" w:rsidTr="002D62BB">
        <w:tc>
          <w:tcPr>
            <w:tcW w:w="1659" w:type="dxa"/>
          </w:tcPr>
          <w:p w14:paraId="7340D055" w14:textId="3374F6CD"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Citizenship</w:t>
            </w:r>
          </w:p>
        </w:tc>
        <w:tc>
          <w:tcPr>
            <w:tcW w:w="1659" w:type="dxa"/>
          </w:tcPr>
          <w:p w14:paraId="18854F42" w14:textId="3D5CCA29" w:rsidR="002D62BB" w:rsidRDefault="000847A7"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Legitimacy/ trust</w:t>
            </w:r>
          </w:p>
        </w:tc>
        <w:tc>
          <w:tcPr>
            <w:tcW w:w="1659" w:type="dxa"/>
          </w:tcPr>
          <w:p w14:paraId="4D3E4C8D" w14:textId="7AFD5728" w:rsidR="002D62BB" w:rsidRDefault="00546B20"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Less related </w:t>
            </w:r>
          </w:p>
        </w:tc>
        <w:tc>
          <w:tcPr>
            <w:tcW w:w="1659" w:type="dxa"/>
          </w:tcPr>
          <w:p w14:paraId="6A0B9230"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58F43AE4"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2BC3ECB4" w14:textId="77777777" w:rsidTr="002D62BB">
        <w:tc>
          <w:tcPr>
            <w:tcW w:w="1659" w:type="dxa"/>
          </w:tcPr>
          <w:p w14:paraId="623B51BB" w14:textId="5A32E24B" w:rsidR="002D62BB" w:rsidRDefault="00177EC4"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Moralistic</w:t>
            </w:r>
          </w:p>
        </w:tc>
        <w:tc>
          <w:tcPr>
            <w:tcW w:w="1659" w:type="dxa"/>
          </w:tcPr>
          <w:p w14:paraId="18BB63C7" w14:textId="2058D45B" w:rsidR="002D62BB" w:rsidRDefault="00177EC4"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Guilt</w:t>
            </w:r>
          </w:p>
        </w:tc>
        <w:tc>
          <w:tcPr>
            <w:tcW w:w="1659" w:type="dxa"/>
          </w:tcPr>
          <w:p w14:paraId="67EF91E5" w14:textId="795DAE15" w:rsidR="002D62BB" w:rsidRDefault="00177EC4" w:rsidP="00CD7986">
            <w:pPr>
              <w:spacing w:before="100" w:beforeAutospacing="1" w:after="100" w:afterAutospacing="1"/>
              <w:jc w:val="both"/>
              <w:rPr>
                <w:rFonts w:asciiTheme="majorBidi" w:hAnsiTheme="majorBidi" w:cstheme="majorBidi"/>
                <w:sz w:val="24"/>
                <w:szCs w:val="24"/>
                <w:rtl/>
              </w:rPr>
            </w:pPr>
            <w:r>
              <w:rPr>
                <w:rFonts w:asciiTheme="majorBidi" w:hAnsiTheme="majorBidi" w:cstheme="majorBidi"/>
                <w:sz w:val="24"/>
                <w:szCs w:val="24"/>
              </w:rPr>
              <w:t xml:space="preserve">Could be quite coercive </w:t>
            </w:r>
          </w:p>
        </w:tc>
        <w:tc>
          <w:tcPr>
            <w:tcW w:w="1659" w:type="dxa"/>
          </w:tcPr>
          <w:p w14:paraId="6CBCFEC4"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298699B8" w14:textId="77777777" w:rsidR="002D62BB" w:rsidRDefault="002D62BB" w:rsidP="00CD7986">
            <w:pPr>
              <w:spacing w:before="100" w:beforeAutospacing="1" w:after="100" w:afterAutospacing="1"/>
              <w:jc w:val="both"/>
              <w:rPr>
                <w:rFonts w:asciiTheme="majorBidi" w:hAnsiTheme="majorBidi" w:cstheme="majorBidi"/>
                <w:sz w:val="24"/>
                <w:szCs w:val="24"/>
              </w:rPr>
            </w:pPr>
          </w:p>
        </w:tc>
      </w:tr>
      <w:tr w:rsidR="002D62BB" w14:paraId="688E373C" w14:textId="77777777" w:rsidTr="002D62BB">
        <w:tc>
          <w:tcPr>
            <w:tcW w:w="1659" w:type="dxa"/>
          </w:tcPr>
          <w:p w14:paraId="165C8C76"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778540E3"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4E17433E"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59" w:type="dxa"/>
          </w:tcPr>
          <w:p w14:paraId="6D7B883F" w14:textId="77777777" w:rsidR="002D62BB" w:rsidRDefault="002D62BB" w:rsidP="00CD7986">
            <w:pPr>
              <w:spacing w:before="100" w:beforeAutospacing="1" w:after="100" w:afterAutospacing="1"/>
              <w:jc w:val="both"/>
              <w:rPr>
                <w:rFonts w:asciiTheme="majorBidi" w:hAnsiTheme="majorBidi" w:cstheme="majorBidi"/>
                <w:sz w:val="24"/>
                <w:szCs w:val="24"/>
              </w:rPr>
            </w:pPr>
          </w:p>
        </w:tc>
        <w:tc>
          <w:tcPr>
            <w:tcW w:w="1660" w:type="dxa"/>
          </w:tcPr>
          <w:p w14:paraId="3726DA37" w14:textId="77777777" w:rsidR="002D62BB" w:rsidRDefault="002D62BB" w:rsidP="00CD7986">
            <w:pPr>
              <w:spacing w:before="100" w:beforeAutospacing="1" w:after="100" w:afterAutospacing="1"/>
              <w:jc w:val="both"/>
              <w:rPr>
                <w:rFonts w:asciiTheme="majorBidi" w:hAnsiTheme="majorBidi" w:cstheme="majorBidi"/>
                <w:sz w:val="24"/>
                <w:szCs w:val="24"/>
              </w:rPr>
            </w:pPr>
          </w:p>
        </w:tc>
      </w:tr>
    </w:tbl>
    <w:p w14:paraId="4BBF92B0" w14:textId="77777777" w:rsidR="003D7766" w:rsidRDefault="003D7766" w:rsidP="00D5259B">
      <w:pPr>
        <w:pStyle w:val="Heading2"/>
      </w:pPr>
      <w:bookmarkStart w:id="27" w:name="_Toc161578520"/>
    </w:p>
    <w:p w14:paraId="2D6D5B54" w14:textId="56B3D357" w:rsidR="00F707F9" w:rsidRPr="00637780" w:rsidRDefault="00F707F9" w:rsidP="00D5259B">
      <w:pPr>
        <w:pStyle w:val="Heading2"/>
      </w:pPr>
      <w:r w:rsidRPr="00637780">
        <w:t>What is Non-Voluntary Compliance</w:t>
      </w:r>
      <w:bookmarkEnd w:id="27"/>
    </w:p>
    <w:p w14:paraId="57557217" w14:textId="6CACAEFA" w:rsidR="00F707F9" w:rsidRDefault="00F707F9"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Clearly,</w:t>
      </w:r>
      <w:r w:rsidR="003C3103">
        <w:rPr>
          <w:rFonts w:asciiTheme="majorBidi" w:hAnsiTheme="majorBidi" w:cstheme="majorBidi"/>
          <w:sz w:val="24"/>
          <w:szCs w:val="24"/>
        </w:rPr>
        <w:t xml:space="preserve"> as suggested above, when we tried to define </w:t>
      </w:r>
      <w:r w:rsidR="00C56B03">
        <w:rPr>
          <w:rFonts w:asciiTheme="majorBidi" w:hAnsiTheme="majorBidi" w:cstheme="majorBidi"/>
          <w:sz w:val="24"/>
          <w:szCs w:val="24"/>
        </w:rPr>
        <w:t xml:space="preserve">the voluntariness of behaviors which are driven by </w:t>
      </w:r>
      <w:proofErr w:type="gramStart"/>
      <w:r w:rsidR="00C56B03">
        <w:rPr>
          <w:rFonts w:asciiTheme="majorBidi" w:hAnsiTheme="majorBidi" w:cstheme="majorBidi"/>
          <w:sz w:val="24"/>
          <w:szCs w:val="24"/>
        </w:rPr>
        <w:t>nudges</w:t>
      </w:r>
      <w:r w:rsidR="003C3103">
        <w:rPr>
          <w:rFonts w:asciiTheme="majorBidi" w:hAnsiTheme="majorBidi" w:cstheme="majorBidi"/>
          <w:sz w:val="24"/>
          <w:szCs w:val="24"/>
        </w:rPr>
        <w:t xml:space="preserve">, </w:t>
      </w:r>
      <w:r w:rsidRPr="00644B88">
        <w:rPr>
          <w:rFonts w:asciiTheme="majorBidi" w:hAnsiTheme="majorBidi" w:cstheme="majorBidi"/>
          <w:sz w:val="24"/>
          <w:szCs w:val="24"/>
        </w:rPr>
        <w:t xml:space="preserve"> when</w:t>
      </w:r>
      <w:proofErr w:type="gramEnd"/>
      <w:r w:rsidRPr="00644B88">
        <w:rPr>
          <w:rFonts w:asciiTheme="majorBidi" w:hAnsiTheme="majorBidi" w:cstheme="majorBidi"/>
          <w:sz w:val="24"/>
          <w:szCs w:val="24"/>
        </w:rPr>
        <w:t xml:space="preserve"> people comply to avoid sanctions, they do not do so voluntarily. </w:t>
      </w:r>
      <w:r w:rsidR="00814BA6">
        <w:rPr>
          <w:rFonts w:asciiTheme="majorBidi" w:hAnsiTheme="majorBidi" w:cstheme="majorBidi"/>
          <w:sz w:val="24"/>
          <w:szCs w:val="24"/>
        </w:rPr>
        <w:t xml:space="preserve">Fully understanding the effect of </w:t>
      </w:r>
      <w:r w:rsidRPr="00644B88">
        <w:rPr>
          <w:rFonts w:asciiTheme="majorBidi" w:hAnsiTheme="majorBidi" w:cstheme="majorBidi"/>
          <w:sz w:val="24"/>
          <w:szCs w:val="24"/>
        </w:rPr>
        <w:t>sanctions becomes even more complicated when we move from a behavioral perspective to a</w:t>
      </w:r>
      <w:r w:rsidR="00C56B03">
        <w:rPr>
          <w:rFonts w:asciiTheme="majorBidi" w:hAnsiTheme="majorBidi" w:cstheme="majorBidi"/>
          <w:sz w:val="24"/>
          <w:szCs w:val="24"/>
        </w:rPr>
        <w:t xml:space="preserve"> less direct one --</w:t>
      </w:r>
      <w:r w:rsidRPr="00644B88">
        <w:rPr>
          <w:rFonts w:asciiTheme="majorBidi" w:hAnsiTheme="majorBidi" w:cstheme="majorBidi"/>
          <w:sz w:val="24"/>
          <w:szCs w:val="24"/>
        </w:rPr>
        <w:t xml:space="preserve"> sociological (e.g., Durkheim), according to which punishment is viewed as solidarity </w:t>
      </w:r>
      <w:r w:rsidRPr="00644B88">
        <w:rPr>
          <w:rFonts w:asciiTheme="majorBidi" w:hAnsiTheme="majorBidi" w:cstheme="majorBidi"/>
          <w:sz w:val="24"/>
          <w:szCs w:val="24"/>
        </w:rPr>
        <w:lastRenderedPageBreak/>
        <w:t>producing mechanism,</w:t>
      </w:r>
      <w:r w:rsidRPr="00644B88">
        <w:rPr>
          <w:rStyle w:val="FootnoteReference"/>
          <w:rFonts w:asciiTheme="majorBidi" w:hAnsiTheme="majorBidi" w:cstheme="majorBidi"/>
          <w:sz w:val="24"/>
          <w:szCs w:val="24"/>
        </w:rPr>
        <w:footnoteReference w:id="102"/>
      </w:r>
      <w:r w:rsidRPr="00644B88">
        <w:rPr>
          <w:rFonts w:asciiTheme="majorBidi" w:hAnsiTheme="majorBidi" w:cstheme="majorBidi"/>
          <w:sz w:val="24"/>
          <w:szCs w:val="24"/>
        </w:rPr>
        <w:t xml:space="preserve"> although the</w:t>
      </w:r>
      <w:r w:rsidR="00AE0352">
        <w:rPr>
          <w:rFonts w:asciiTheme="majorBidi" w:hAnsiTheme="majorBidi" w:cstheme="majorBidi"/>
          <w:sz w:val="24"/>
          <w:szCs w:val="24"/>
        </w:rPr>
        <w:t xml:space="preserve"> actual</w:t>
      </w:r>
      <w:r w:rsidRPr="00644B88">
        <w:rPr>
          <w:rFonts w:asciiTheme="majorBidi" w:hAnsiTheme="majorBidi" w:cstheme="majorBidi"/>
          <w:sz w:val="24"/>
          <w:szCs w:val="24"/>
        </w:rPr>
        <w:t xml:space="preserve"> punishment effect is more indirect. However, what is not fully clear from the literature is whether voluntary compliance includes</w:t>
      </w:r>
      <w:r w:rsidR="00AE0352">
        <w:rPr>
          <w:rFonts w:asciiTheme="majorBidi" w:hAnsiTheme="majorBidi" w:cstheme="majorBidi"/>
          <w:sz w:val="24"/>
          <w:szCs w:val="24"/>
        </w:rPr>
        <w:t xml:space="preserve"> more ambiguous</w:t>
      </w:r>
      <w:r w:rsidRPr="00644B88">
        <w:rPr>
          <w:rFonts w:asciiTheme="majorBidi" w:hAnsiTheme="majorBidi" w:cstheme="majorBidi"/>
          <w:sz w:val="24"/>
          <w:szCs w:val="24"/>
        </w:rPr>
        <w:t xml:space="preserve"> situations where people react to positive incentives or when people are nudged to behave in a pro-social manner. Although coercion is usually considered the opposite of voluntary compliance, such is not always the case. For example, if a reputational mechanism is put in place which will increase the reputational cost that people will pay for not cooperating with a certain norm, can their ensuing compliance be considered voluntary</w:t>
      </w:r>
      <w:r w:rsidR="00F65DFA">
        <w:rPr>
          <w:rFonts w:asciiTheme="majorBidi" w:hAnsiTheme="majorBidi" w:cstheme="majorBidi"/>
          <w:sz w:val="24"/>
          <w:szCs w:val="24"/>
        </w:rPr>
        <w:t xml:space="preserve"> because people want to belong to a certain community in which certain behavior is seen as a desirable one</w:t>
      </w:r>
      <w:r w:rsidRPr="00644B88">
        <w:rPr>
          <w:rFonts w:asciiTheme="majorBidi" w:hAnsiTheme="majorBidi" w:cstheme="majorBidi"/>
          <w:sz w:val="24"/>
          <w:szCs w:val="24"/>
        </w:rPr>
        <w:t>? In essence,</w:t>
      </w:r>
      <w:r w:rsidR="00F65DFA">
        <w:rPr>
          <w:rFonts w:asciiTheme="majorBidi" w:hAnsiTheme="majorBidi" w:cstheme="majorBidi"/>
          <w:sz w:val="24"/>
          <w:szCs w:val="24"/>
        </w:rPr>
        <w:t xml:space="preserve"> as we will examine in</w:t>
      </w:r>
      <w:r w:rsidR="000B335F">
        <w:rPr>
          <w:rFonts w:asciiTheme="majorBidi" w:hAnsiTheme="majorBidi" w:cstheme="majorBidi"/>
          <w:sz w:val="24"/>
          <w:szCs w:val="24"/>
        </w:rPr>
        <w:t xml:space="preserve"> the</w:t>
      </w:r>
      <w:r w:rsidR="00F65DFA">
        <w:rPr>
          <w:rFonts w:asciiTheme="majorBidi" w:hAnsiTheme="majorBidi" w:cstheme="majorBidi"/>
          <w:sz w:val="24"/>
          <w:szCs w:val="24"/>
        </w:rPr>
        <w:t xml:space="preserve"> next chapter that </w:t>
      </w:r>
      <w:proofErr w:type="gramStart"/>
      <w:r w:rsidR="00F65DFA">
        <w:rPr>
          <w:rFonts w:asciiTheme="majorBidi" w:hAnsiTheme="majorBidi" w:cstheme="majorBidi"/>
          <w:sz w:val="24"/>
          <w:szCs w:val="24"/>
        </w:rPr>
        <w:t>discuss</w:t>
      </w:r>
      <w:proofErr w:type="gramEnd"/>
      <w:r w:rsidR="00F65DFA">
        <w:rPr>
          <w:rFonts w:asciiTheme="majorBidi" w:hAnsiTheme="majorBidi" w:cstheme="majorBidi"/>
          <w:sz w:val="24"/>
          <w:szCs w:val="24"/>
        </w:rPr>
        <w:t xml:space="preserve"> intrinsic motivation, our question is whether</w:t>
      </w:r>
      <w:r w:rsidRPr="00644B88">
        <w:rPr>
          <w:rFonts w:asciiTheme="majorBidi" w:hAnsiTheme="majorBidi" w:cstheme="majorBidi"/>
          <w:sz w:val="24"/>
          <w:szCs w:val="24"/>
        </w:rPr>
        <w:t xml:space="preserve"> compliance</w:t>
      </w:r>
      <w:r w:rsidR="00F65DFA">
        <w:rPr>
          <w:rFonts w:asciiTheme="majorBidi" w:hAnsiTheme="majorBidi" w:cstheme="majorBidi"/>
          <w:sz w:val="24"/>
          <w:szCs w:val="24"/>
        </w:rPr>
        <w:t xml:space="preserve"> can</w:t>
      </w:r>
      <w:r w:rsidRPr="00644B88">
        <w:rPr>
          <w:rFonts w:asciiTheme="majorBidi" w:hAnsiTheme="majorBidi" w:cstheme="majorBidi"/>
          <w:sz w:val="24"/>
          <w:szCs w:val="24"/>
        </w:rPr>
        <w:t xml:space="preserve"> be considered voluntary only when people</w:t>
      </w:r>
      <w:r w:rsidR="00F65DFA">
        <w:rPr>
          <w:rFonts w:asciiTheme="majorBidi" w:hAnsiTheme="majorBidi" w:cstheme="majorBidi"/>
          <w:sz w:val="24"/>
          <w:szCs w:val="24"/>
        </w:rPr>
        <w:t xml:space="preserve"> autonomously</w:t>
      </w:r>
      <w:r w:rsidRPr="00644B88">
        <w:rPr>
          <w:rFonts w:asciiTheme="majorBidi" w:hAnsiTheme="majorBidi" w:cstheme="majorBidi"/>
          <w:sz w:val="24"/>
          <w:szCs w:val="24"/>
        </w:rPr>
        <w:t xml:space="preserve"> </w:t>
      </w:r>
      <w:r w:rsidRPr="00644B88">
        <w:rPr>
          <w:rFonts w:asciiTheme="majorBidi" w:hAnsiTheme="majorBidi" w:cstheme="majorBidi"/>
          <w:i/>
          <w:iCs/>
          <w:sz w:val="24"/>
          <w:szCs w:val="24"/>
        </w:rPr>
        <w:t>want</w:t>
      </w:r>
      <w:r w:rsidRPr="00644B88">
        <w:rPr>
          <w:rFonts w:asciiTheme="majorBidi" w:hAnsiTheme="majorBidi" w:cstheme="majorBidi"/>
          <w:sz w:val="24"/>
          <w:szCs w:val="24"/>
        </w:rPr>
        <w:t xml:space="preserve"> to cooperate? Or is compliance voluntary also when people are not being coerced, but, rather, incentivized to act in a certain way directly through incentives, or indirectly, through reputational mechanisms? Similarly, when non-voluntary interventions are used to induce voluntary compliance, how long do they successfully affect people’s choices to cooperate?</w:t>
      </w:r>
      <w:r w:rsidR="000B335F">
        <w:rPr>
          <w:rFonts w:asciiTheme="majorBidi" w:hAnsiTheme="majorBidi" w:cstheme="majorBidi"/>
          <w:sz w:val="24"/>
          <w:szCs w:val="24"/>
        </w:rPr>
        <w:t xml:space="preserve"> Some of these questions will be examined in chapter 3 which </w:t>
      </w:r>
      <w:proofErr w:type="gramStart"/>
      <w:r w:rsidR="000B335F">
        <w:rPr>
          <w:rFonts w:asciiTheme="majorBidi" w:hAnsiTheme="majorBidi" w:cstheme="majorBidi"/>
          <w:sz w:val="24"/>
          <w:szCs w:val="24"/>
        </w:rPr>
        <w:t>attempt</w:t>
      </w:r>
      <w:proofErr w:type="gramEnd"/>
      <w:r w:rsidR="000B335F">
        <w:rPr>
          <w:rFonts w:asciiTheme="majorBidi" w:hAnsiTheme="majorBidi" w:cstheme="majorBidi"/>
          <w:sz w:val="24"/>
          <w:szCs w:val="24"/>
        </w:rPr>
        <w:t xml:space="preserve"> to examine the connection between regulatory tools used and the likelihood that voluntary compliance will emerge from them. </w:t>
      </w:r>
    </w:p>
    <w:p w14:paraId="08A314CF" w14:textId="792DB0B7" w:rsidR="004A780E" w:rsidRDefault="006C39FB" w:rsidP="004A780E">
      <w:pPr>
        <w:pStyle w:val="Heading2"/>
      </w:pPr>
      <w:bookmarkStart w:id="28" w:name="_Toc161578521"/>
      <w:r>
        <w:t>S</w:t>
      </w:r>
      <w:r w:rsidR="004A780E">
        <w:t>pontaneous compliance</w:t>
      </w:r>
      <w:bookmarkEnd w:id="28"/>
    </w:p>
    <w:p w14:paraId="7361EDD6" w14:textId="68E15616" w:rsidR="004A780E" w:rsidRDefault="004A780E" w:rsidP="004A780E">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 xml:space="preserve">The first approach could differentiate between </w:t>
      </w:r>
      <w:r w:rsidRPr="00644B88">
        <w:rPr>
          <w:rFonts w:asciiTheme="majorBidi" w:hAnsiTheme="majorBidi" w:cstheme="majorBidi"/>
          <w:sz w:val="24"/>
          <w:szCs w:val="24"/>
        </w:rPr>
        <w:t>induced vs. spontaneous</w:t>
      </w:r>
      <w:r>
        <w:rPr>
          <w:rFonts w:asciiTheme="majorBidi" w:hAnsiTheme="majorBidi" w:cstheme="majorBidi"/>
          <w:sz w:val="24"/>
          <w:szCs w:val="24"/>
        </w:rPr>
        <w:t xml:space="preserve">, where the focus on this definition is related to the process </w:t>
      </w:r>
      <w:proofErr w:type="gramStart"/>
      <w:r>
        <w:rPr>
          <w:rFonts w:asciiTheme="majorBidi" w:hAnsiTheme="majorBidi" w:cstheme="majorBidi"/>
          <w:sz w:val="24"/>
          <w:szCs w:val="24"/>
        </w:rPr>
        <w:t>though</w:t>
      </w:r>
      <w:proofErr w:type="gramEnd"/>
      <w:r>
        <w:rPr>
          <w:rFonts w:asciiTheme="majorBidi" w:hAnsiTheme="majorBidi" w:cstheme="majorBidi"/>
          <w:sz w:val="24"/>
          <w:szCs w:val="24"/>
        </w:rPr>
        <w:t xml:space="preserve"> which people choose to comply. According to this approach, any time </w:t>
      </w:r>
      <w:proofErr w:type="gramStart"/>
      <w:r>
        <w:rPr>
          <w:rFonts w:asciiTheme="majorBidi" w:hAnsiTheme="majorBidi" w:cstheme="majorBidi"/>
          <w:sz w:val="24"/>
          <w:szCs w:val="24"/>
        </w:rPr>
        <w:t>the compliance</w:t>
      </w:r>
      <w:proofErr w:type="gramEnd"/>
      <w:r>
        <w:rPr>
          <w:rFonts w:asciiTheme="majorBidi" w:hAnsiTheme="majorBidi" w:cstheme="majorBidi"/>
          <w:sz w:val="24"/>
          <w:szCs w:val="24"/>
        </w:rPr>
        <w:t xml:space="preserve"> is a process through which the individual has chosen to comply without any intervention that triggered it, could be seen as a voluntary. Examples for </w:t>
      </w:r>
      <w:proofErr w:type="gramStart"/>
      <w:r>
        <w:rPr>
          <w:rFonts w:asciiTheme="majorBidi" w:hAnsiTheme="majorBidi" w:cstheme="majorBidi"/>
          <w:sz w:val="24"/>
          <w:szCs w:val="24"/>
        </w:rPr>
        <w:t>such as</w:t>
      </w:r>
      <w:proofErr w:type="gramEnd"/>
      <w:r>
        <w:rPr>
          <w:rFonts w:asciiTheme="majorBidi" w:hAnsiTheme="majorBidi" w:cstheme="majorBidi"/>
          <w:sz w:val="24"/>
          <w:szCs w:val="24"/>
        </w:rPr>
        <w:t xml:space="preserve"> an approach are various social practices which have evolved in legal institutions. In addition</w:t>
      </w:r>
      <w:r w:rsidR="006C39FB">
        <w:rPr>
          <w:rFonts w:asciiTheme="majorBidi" w:hAnsiTheme="majorBidi" w:cstheme="majorBidi"/>
          <w:sz w:val="24"/>
          <w:szCs w:val="24"/>
        </w:rPr>
        <w:t>,</w:t>
      </w:r>
      <w:r>
        <w:rPr>
          <w:rFonts w:asciiTheme="majorBidi" w:hAnsiTheme="majorBidi" w:cstheme="majorBidi"/>
          <w:sz w:val="24"/>
          <w:szCs w:val="24"/>
        </w:rPr>
        <w:t xml:space="preserve"> this is the situation also </w:t>
      </w:r>
      <w:proofErr w:type="gramStart"/>
      <w:r>
        <w:rPr>
          <w:rFonts w:asciiTheme="majorBidi" w:hAnsiTheme="majorBidi" w:cstheme="majorBidi"/>
          <w:sz w:val="24"/>
          <w:szCs w:val="24"/>
        </w:rPr>
        <w:t>with regard to</w:t>
      </w:r>
      <w:proofErr w:type="gramEnd"/>
      <w:r>
        <w:rPr>
          <w:rFonts w:asciiTheme="majorBidi" w:hAnsiTheme="majorBidi" w:cstheme="majorBidi"/>
          <w:sz w:val="24"/>
          <w:szCs w:val="24"/>
        </w:rPr>
        <w:t xml:space="preserve"> various environmental contents such as not eating meat or buying recycled product</w:t>
      </w:r>
      <w:r>
        <w:rPr>
          <w:rStyle w:val="FootnoteReference"/>
          <w:rFonts w:asciiTheme="majorBidi" w:hAnsiTheme="majorBidi" w:cstheme="majorBidi"/>
          <w:sz w:val="24"/>
          <w:szCs w:val="24"/>
        </w:rPr>
        <w:footnoteReference w:id="103"/>
      </w:r>
      <w:r>
        <w:rPr>
          <w:rFonts w:asciiTheme="majorBidi" w:hAnsiTheme="majorBidi" w:cstheme="majorBidi"/>
          <w:sz w:val="24"/>
          <w:szCs w:val="24"/>
        </w:rPr>
        <w:t xml:space="preserve"> where the behavior is not induced in any way but rather is voluntary because this is what the person wants to do. Such definition of voluntary limits the contexts in which they are possible, as in areas such as taxation, there is no expectation of people wanting to pay a tax which does not exist. </w:t>
      </w:r>
    </w:p>
    <w:p w14:paraId="0EEE2421" w14:textId="77777777" w:rsidR="004A780E" w:rsidRDefault="004A780E" w:rsidP="004A780E">
      <w:pPr>
        <w:pStyle w:val="Heading2"/>
      </w:pPr>
      <w:bookmarkStart w:id="29" w:name="_Toc161578522"/>
      <w:r>
        <w:t>Voluntary as awareness</w:t>
      </w:r>
      <w:bookmarkEnd w:id="29"/>
    </w:p>
    <w:p w14:paraId="60ECC35A" w14:textId="2D7BA75A" w:rsidR="004A780E" w:rsidRDefault="004A780E" w:rsidP="004A780E">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 xml:space="preserve">A second approach, following our previous discussion regarding nudges might focus on awareness </w:t>
      </w:r>
      <w:proofErr w:type="gramStart"/>
      <w:r>
        <w:rPr>
          <w:rFonts w:asciiTheme="majorBidi" w:hAnsiTheme="majorBidi" w:cstheme="majorBidi"/>
          <w:sz w:val="24"/>
          <w:szCs w:val="24"/>
        </w:rPr>
        <w:t>to</w:t>
      </w:r>
      <w:proofErr w:type="gramEnd"/>
      <w:r>
        <w:rPr>
          <w:rFonts w:asciiTheme="majorBidi" w:hAnsiTheme="majorBidi" w:cstheme="majorBidi"/>
          <w:sz w:val="24"/>
          <w:szCs w:val="24"/>
        </w:rPr>
        <w:t xml:space="preserve"> the decision, where voluntary will be seen as such, </w:t>
      </w:r>
      <w:r w:rsidR="0014166D">
        <w:rPr>
          <w:rFonts w:asciiTheme="majorBidi" w:hAnsiTheme="majorBidi" w:cstheme="majorBidi"/>
          <w:sz w:val="24"/>
          <w:szCs w:val="24"/>
        </w:rPr>
        <w:t xml:space="preserve">only </w:t>
      </w:r>
      <w:r>
        <w:rPr>
          <w:rFonts w:asciiTheme="majorBidi" w:hAnsiTheme="majorBidi" w:cstheme="majorBidi"/>
          <w:sz w:val="24"/>
          <w:szCs w:val="24"/>
        </w:rPr>
        <w:t>when people are fully aware to their action. When they are engaging mindlessly in compliance</w:t>
      </w:r>
      <w:r w:rsidR="0014166D">
        <w:rPr>
          <w:rFonts w:asciiTheme="majorBidi" w:hAnsiTheme="majorBidi" w:cstheme="majorBidi"/>
          <w:sz w:val="24"/>
          <w:szCs w:val="24"/>
        </w:rPr>
        <w:t xml:space="preserve"> because of some shift in the default</w:t>
      </w:r>
      <w:r>
        <w:rPr>
          <w:rFonts w:asciiTheme="majorBidi" w:hAnsiTheme="majorBidi" w:cstheme="majorBidi"/>
          <w:sz w:val="24"/>
          <w:szCs w:val="24"/>
        </w:rPr>
        <w:t xml:space="preserve">, the voluntary aspect of it is absent. Embedded in this approach is some criticism on nudge approaches which are seen as non-coercive but at the same time do call for some mindless processes, in a similar way where </w:t>
      </w:r>
      <w:r>
        <w:rPr>
          <w:rFonts w:asciiTheme="majorBidi" w:hAnsiTheme="majorBidi" w:cstheme="majorBidi"/>
          <w:sz w:val="24"/>
          <w:szCs w:val="24"/>
        </w:rPr>
        <w:lastRenderedPageBreak/>
        <w:t>people might engage in binge watching on Netflix and other streaming service, because of the default created by the next episode in 10 seconds feature</w:t>
      </w:r>
      <w:r>
        <w:rPr>
          <w:rStyle w:val="FootnoteReference"/>
          <w:rFonts w:asciiTheme="majorBidi" w:hAnsiTheme="majorBidi" w:cstheme="majorBidi"/>
          <w:sz w:val="24"/>
          <w:szCs w:val="24"/>
        </w:rPr>
        <w:footnoteReference w:id="104"/>
      </w:r>
      <w:r>
        <w:rPr>
          <w:rFonts w:asciiTheme="majorBidi" w:hAnsiTheme="majorBidi" w:cstheme="majorBidi"/>
          <w:sz w:val="24"/>
          <w:szCs w:val="24"/>
        </w:rPr>
        <w:t xml:space="preserve">.  </w:t>
      </w:r>
    </w:p>
    <w:p w14:paraId="6D2DD74D" w14:textId="193BEB5B" w:rsidR="00C21D43" w:rsidRDefault="00C21D43" w:rsidP="00C21D43">
      <w:pPr>
        <w:pStyle w:val="Heading2"/>
      </w:pPr>
      <w:bookmarkStart w:id="30" w:name="_Toc161578523"/>
      <w:r>
        <w:t>Voluntary as autonomous choice</w:t>
      </w:r>
      <w:bookmarkEnd w:id="30"/>
    </w:p>
    <w:p w14:paraId="76D292C4" w14:textId="77777777" w:rsidR="00FF1996" w:rsidRDefault="004A780E" w:rsidP="004A780E">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Another related approach is related to the question of whether we are talking on a subjective feeling or an objective one</w:t>
      </w:r>
      <w:r>
        <w:rPr>
          <w:rStyle w:val="FootnoteReference"/>
          <w:rFonts w:asciiTheme="majorBidi" w:hAnsiTheme="majorBidi" w:cstheme="majorBidi"/>
          <w:sz w:val="24"/>
          <w:szCs w:val="24"/>
        </w:rPr>
        <w:footnoteReference w:id="105"/>
      </w:r>
      <w:r>
        <w:rPr>
          <w:rFonts w:asciiTheme="majorBidi" w:hAnsiTheme="majorBidi" w:cstheme="majorBidi"/>
          <w:sz w:val="24"/>
          <w:szCs w:val="24"/>
        </w:rPr>
        <w:t>. One might argue that if people subjectively feel that they have the freedom not to comply, then this this falls under the definition of voluntary even though it is not the case objectively</w:t>
      </w:r>
      <w:r>
        <w:rPr>
          <w:rStyle w:val="FootnoteReference"/>
          <w:rFonts w:asciiTheme="majorBidi" w:hAnsiTheme="majorBidi" w:cstheme="majorBidi"/>
          <w:sz w:val="24"/>
          <w:szCs w:val="24"/>
        </w:rPr>
        <w:footnoteReference w:id="106"/>
      </w:r>
      <w:r>
        <w:rPr>
          <w:rFonts w:asciiTheme="majorBidi" w:hAnsiTheme="majorBidi" w:cstheme="majorBidi"/>
          <w:sz w:val="24"/>
          <w:szCs w:val="24"/>
        </w:rPr>
        <w:t xml:space="preserve">. A different approach might suggest that if we see for example that people in a certain </w:t>
      </w:r>
      <w:proofErr w:type="gramStart"/>
      <w:r>
        <w:rPr>
          <w:rFonts w:asciiTheme="majorBidi" w:hAnsiTheme="majorBidi" w:cstheme="majorBidi"/>
          <w:sz w:val="24"/>
          <w:szCs w:val="24"/>
        </w:rPr>
        <w:t>group,</w:t>
      </w:r>
      <w:proofErr w:type="gramEnd"/>
      <w:r>
        <w:rPr>
          <w:rFonts w:asciiTheme="majorBidi" w:hAnsiTheme="majorBidi" w:cstheme="majorBidi"/>
          <w:sz w:val="24"/>
          <w:szCs w:val="24"/>
        </w:rPr>
        <w:t xml:space="preserve"> make similar compliance choices, then there might be some social mechanism that cause people to comply, even if they think that this is their choice. </w:t>
      </w:r>
    </w:p>
    <w:p w14:paraId="2B2743FB" w14:textId="77777777" w:rsidR="00FF1996" w:rsidRDefault="00FF1996" w:rsidP="00FF1996">
      <w:pPr>
        <w:pStyle w:val="Heading2"/>
      </w:pPr>
      <w:bookmarkStart w:id="31" w:name="_Toc161578524"/>
      <w:r>
        <w:t>Voluntary compliance as discretion</w:t>
      </w:r>
      <w:bookmarkEnd w:id="31"/>
    </w:p>
    <w:p w14:paraId="727F97C7" w14:textId="32A9FE22" w:rsidR="00FF1996" w:rsidRPr="00395069" w:rsidRDefault="00FF1996" w:rsidP="009B5FD3">
      <w:r>
        <w:t xml:space="preserve">Another possibility to understand the meaning of voluntary compliance is related to the amount of discretion that states give people. The more discretion people get, the more room they </w:t>
      </w:r>
      <w:proofErr w:type="gramStart"/>
      <w:r>
        <w:t>have to</w:t>
      </w:r>
      <w:proofErr w:type="gramEnd"/>
      <w:r>
        <w:t xml:space="preserve"> bring their own </w:t>
      </w:r>
      <w:r w:rsidR="009B5FD3">
        <w:t>interpretation</w:t>
      </w:r>
      <w:r>
        <w:t xml:space="preserve"> to what is expected from them</w:t>
      </w:r>
      <w:r w:rsidR="009B5FD3">
        <w:rPr>
          <w:rStyle w:val="FootnoteReference"/>
        </w:rPr>
        <w:footnoteReference w:id="107"/>
      </w:r>
      <w:r>
        <w:t xml:space="preserve">. While by most accounts, giving people discretion could not be seen as voluntary compliance, to the extent that within certain requirements, people have more than one </w:t>
      </w:r>
      <w:proofErr w:type="gramStart"/>
      <w:r>
        <w:t>behaviors</w:t>
      </w:r>
      <w:proofErr w:type="gramEnd"/>
      <w:r>
        <w:t xml:space="preserve"> they can choose from, definitely have an effect on people</w:t>
      </w:r>
      <w:r w:rsidR="009B5FD3">
        <w:rPr>
          <w:rStyle w:val="FootnoteReference"/>
        </w:rPr>
        <w:footnoteReference w:id="108"/>
      </w:r>
      <w:r>
        <w:t xml:space="preserve">. </w:t>
      </w:r>
      <w:r w:rsidRPr="00395069">
        <w:t xml:space="preserve">Wearing mask always or only near people?  </w:t>
      </w:r>
      <w:r>
        <w:t xml:space="preserve">Never </w:t>
      </w:r>
      <w:proofErr w:type="gramStart"/>
      <w:r>
        <w:t>turn on</w:t>
      </w:r>
      <w:proofErr w:type="gramEnd"/>
      <w:r>
        <w:t xml:space="preserve"> </w:t>
      </w:r>
      <w:proofErr w:type="gramStart"/>
      <w:r>
        <w:t>red, or</w:t>
      </w:r>
      <w:proofErr w:type="gramEnd"/>
      <w:r>
        <w:t xml:space="preserve"> turn on when </w:t>
      </w:r>
      <w:r w:rsidR="009B5FD3">
        <w:t xml:space="preserve">traffic allows for it. </w:t>
      </w:r>
    </w:p>
    <w:p w14:paraId="79C98905" w14:textId="72F9C069" w:rsidR="00FF1996" w:rsidRPr="00EA1657" w:rsidRDefault="00FF1996" w:rsidP="009B5FD3">
      <w:r>
        <w:t xml:space="preserve">Much of the inspiration for writing this </w:t>
      </w:r>
      <w:proofErr w:type="gramStart"/>
      <w:r>
        <w:t>book,</w:t>
      </w:r>
      <w:proofErr w:type="gramEnd"/>
      <w:r>
        <w:t xml:space="preserve"> came from the covid crisis, during which states came to understand the classical limits of compliance. One classical </w:t>
      </w:r>
      <w:proofErr w:type="gramStart"/>
      <w:r>
        <w:t>dilemmas</w:t>
      </w:r>
      <w:proofErr w:type="gramEnd"/>
      <w:r>
        <w:t xml:space="preserve"> that many countries, faced is related to whether to trust people with the decision whether to wear the mask all the time or only when there are people near them</w:t>
      </w:r>
      <w:r w:rsidR="0003076A">
        <w:rPr>
          <w:rStyle w:val="FootnoteReference"/>
        </w:rPr>
        <w:footnoteReference w:id="109"/>
      </w:r>
      <w:r>
        <w:t>.</w:t>
      </w:r>
      <w:r w:rsidR="0003076A">
        <w:t xml:space="preserve"> Since the definition of what it means to be near people, could be explained in more than one way</w:t>
      </w:r>
      <w:r w:rsidR="00E2635F">
        <w:t xml:space="preserve">, people have some leverage to decide what is their level of </w:t>
      </w:r>
      <w:r w:rsidR="00F364CE">
        <w:t xml:space="preserve">compliance and how careull they want to be and define terms like crowded or near people accordingly. In Israel for example in the early days for covid, people had to be with a </w:t>
      </w:r>
      <w:proofErr w:type="gramStart"/>
      <w:r w:rsidR="00F364CE">
        <w:t>masks</w:t>
      </w:r>
      <w:proofErr w:type="gramEnd"/>
      <w:r w:rsidR="00F364CE">
        <w:t xml:space="preserve"> all the time</w:t>
      </w:r>
      <w:r w:rsidR="0033645C">
        <w:t xml:space="preserve">, as if their discretion is not to be trusted. A similar theme in Israeli culture views for example the fact that there are not right on red light, like the one which exists in most other counties. A similar debated in the literature is related to sex education for adolescences between safe sex and absenteeism. </w:t>
      </w:r>
    </w:p>
    <w:p w14:paraId="43B69FE0" w14:textId="659D429C" w:rsidR="004A780E" w:rsidRDefault="004A780E" w:rsidP="004A780E">
      <w:pPr>
        <w:pStyle w:val="Heading2"/>
      </w:pPr>
      <w:bookmarkStart w:id="32" w:name="_Toc161578525"/>
      <w:r>
        <w:lastRenderedPageBreak/>
        <w:t>Voluntary</w:t>
      </w:r>
      <w:r w:rsidR="000E2C83">
        <w:t xml:space="preserve"> </w:t>
      </w:r>
      <w:proofErr w:type="gramStart"/>
      <w:r w:rsidR="000E2C83">
        <w:t xml:space="preserve">compliance </w:t>
      </w:r>
      <w:r>
        <w:t xml:space="preserve"> motivation</w:t>
      </w:r>
      <w:bookmarkEnd w:id="32"/>
      <w:proofErr w:type="gramEnd"/>
    </w:p>
    <w:p w14:paraId="50202DC4" w14:textId="7EE73207" w:rsidR="004A780E" w:rsidRDefault="004A780E" w:rsidP="004A780E">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A third approach, which is the most classical one, focuses on the motivation behind the compliance is it coerced by state sanctions or by other barriers which makes compliance impossible. For example, people might comply</w:t>
      </w:r>
      <w:r w:rsidR="00C21D43">
        <w:rPr>
          <w:rFonts w:asciiTheme="majorBidi" w:hAnsiTheme="majorBidi" w:cstheme="majorBidi"/>
          <w:sz w:val="24"/>
          <w:szCs w:val="24"/>
        </w:rPr>
        <w:t xml:space="preserve"> </w:t>
      </w:r>
      <w:proofErr w:type="gramStart"/>
      <w:r w:rsidR="00C21D43">
        <w:rPr>
          <w:rFonts w:asciiTheme="majorBidi" w:hAnsiTheme="majorBidi" w:cstheme="majorBidi"/>
          <w:sz w:val="24"/>
          <w:szCs w:val="24"/>
        </w:rPr>
        <w:t xml:space="preserve">with </w:t>
      </w:r>
      <w:r>
        <w:rPr>
          <w:rFonts w:asciiTheme="majorBidi" w:hAnsiTheme="majorBidi" w:cstheme="majorBidi"/>
          <w:sz w:val="24"/>
          <w:szCs w:val="24"/>
        </w:rPr>
        <w:t xml:space="preserve"> some</w:t>
      </w:r>
      <w:proofErr w:type="gramEnd"/>
      <w:r>
        <w:rPr>
          <w:rFonts w:asciiTheme="majorBidi" w:hAnsiTheme="majorBidi" w:cstheme="majorBidi"/>
          <w:sz w:val="24"/>
          <w:szCs w:val="24"/>
        </w:rPr>
        <w:t xml:space="preserve"> public transportation rules, in some countries, where there is simply no way to got on without a ticket</w:t>
      </w:r>
      <w:r w:rsidR="00C21D43">
        <w:rPr>
          <w:rFonts w:asciiTheme="majorBidi" w:hAnsiTheme="majorBidi" w:cstheme="majorBidi"/>
          <w:sz w:val="24"/>
          <w:szCs w:val="24"/>
        </w:rPr>
        <w:t xml:space="preserve">, in such contexts </w:t>
      </w:r>
    </w:p>
    <w:p w14:paraId="7D88866D" w14:textId="77777777" w:rsidR="004A780E" w:rsidRDefault="004A780E" w:rsidP="004A780E">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 xml:space="preserve">In some cases, enforcing the payment for the fare is being done by administrative tools, such as fines. There are several enforcement strategies such as: increasing the fine amount; improving the fine collection procedure; changing the offence from civil to criminal; improving the ability to identify the identity of the passengers; adopting a joint fast track justice procedure </w:t>
      </w:r>
      <w:proofErr w:type="gramStart"/>
      <w:r>
        <w:rPr>
          <w:rFonts w:asciiTheme="majorBidi" w:hAnsiTheme="majorBidi" w:cstheme="majorBidi"/>
          <w:sz w:val="24"/>
          <w:szCs w:val="24"/>
        </w:rPr>
        <w:t>in order to</w:t>
      </w:r>
      <w:proofErr w:type="gramEnd"/>
      <w:r>
        <w:rPr>
          <w:rFonts w:asciiTheme="majorBidi" w:hAnsiTheme="majorBidi" w:cstheme="majorBidi"/>
          <w:sz w:val="24"/>
          <w:szCs w:val="24"/>
        </w:rPr>
        <w:t xml:space="preserve"> pay fines.</w:t>
      </w:r>
      <w:r>
        <w:rPr>
          <w:rStyle w:val="FootnoteReference"/>
          <w:rFonts w:asciiTheme="majorBidi" w:hAnsiTheme="majorBidi" w:cstheme="majorBidi"/>
          <w:sz w:val="24"/>
          <w:szCs w:val="24"/>
        </w:rPr>
        <w:footnoteReference w:id="110"/>
      </w:r>
    </w:p>
    <w:p w14:paraId="7999F5B6" w14:textId="77777777" w:rsidR="004A780E" w:rsidRDefault="004A780E" w:rsidP="004A780E">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In other public transportation systems, the enforcement is done via inspectors,</w:t>
      </w:r>
      <w:r>
        <w:rPr>
          <w:rStyle w:val="FootnoteReference"/>
          <w:rFonts w:asciiTheme="majorBidi" w:hAnsiTheme="majorBidi" w:cstheme="majorBidi"/>
          <w:sz w:val="24"/>
          <w:szCs w:val="24"/>
        </w:rPr>
        <w:footnoteReference w:id="111"/>
      </w:r>
      <w:r>
        <w:rPr>
          <w:rFonts w:asciiTheme="majorBidi" w:hAnsiTheme="majorBidi" w:cstheme="majorBidi"/>
          <w:sz w:val="24"/>
          <w:szCs w:val="24"/>
        </w:rPr>
        <w:t xml:space="preserve"> hence the compliance is voluntary but there is some probabilistic risk that people </w:t>
      </w:r>
      <w:proofErr w:type="gramStart"/>
      <w:r>
        <w:rPr>
          <w:rFonts w:asciiTheme="majorBidi" w:hAnsiTheme="majorBidi" w:cstheme="majorBidi"/>
          <w:sz w:val="24"/>
          <w:szCs w:val="24"/>
        </w:rPr>
        <w:t>take into account</w:t>
      </w:r>
      <w:proofErr w:type="gramEnd"/>
      <w:r>
        <w:rPr>
          <w:rStyle w:val="FootnoteReference"/>
          <w:rFonts w:asciiTheme="majorBidi" w:hAnsiTheme="majorBidi" w:cstheme="majorBidi"/>
          <w:sz w:val="24"/>
          <w:szCs w:val="24"/>
        </w:rPr>
        <w:footnoteReference w:id="112"/>
      </w:r>
      <w:r>
        <w:rPr>
          <w:rFonts w:asciiTheme="majorBidi" w:hAnsiTheme="majorBidi" w:cstheme="majorBidi"/>
          <w:sz w:val="24"/>
          <w:szCs w:val="24"/>
        </w:rPr>
        <w:t xml:space="preserve">. Clearly, current research makes this </w:t>
      </w:r>
      <w:proofErr w:type="gramStart"/>
      <w:r>
        <w:rPr>
          <w:rFonts w:asciiTheme="majorBidi" w:hAnsiTheme="majorBidi" w:cstheme="majorBidi"/>
          <w:sz w:val="24"/>
          <w:szCs w:val="24"/>
        </w:rPr>
        <w:t>distinction</w:t>
      </w:r>
      <w:proofErr w:type="gramEnd"/>
      <w:r>
        <w:rPr>
          <w:rFonts w:asciiTheme="majorBidi" w:hAnsiTheme="majorBidi" w:cstheme="majorBidi"/>
          <w:sz w:val="24"/>
          <w:szCs w:val="24"/>
        </w:rPr>
        <w:t xml:space="preserve"> but it is entirely clear, what level of expected sanction could be seen as taking from the individual, her perceived or actual voluntarism. </w:t>
      </w:r>
    </w:p>
    <w:p w14:paraId="410B9B49" w14:textId="77777777" w:rsidR="000E2C83" w:rsidRDefault="000E2C83" w:rsidP="0028681B">
      <w:pPr>
        <w:pStyle w:val="Heading2"/>
      </w:pPr>
      <w:bookmarkStart w:id="33" w:name="_Toc161578526"/>
      <w:r>
        <w:t>Voluntary compliance and intrinsic motivation</w:t>
      </w:r>
      <w:bookmarkEnd w:id="33"/>
      <w:r>
        <w:t xml:space="preserve"> </w:t>
      </w:r>
    </w:p>
    <w:p w14:paraId="48EAF013" w14:textId="7E2F51FF" w:rsidR="000E2C83" w:rsidRPr="00644B88" w:rsidRDefault="000E2C83" w:rsidP="00544423">
      <w:pPr>
        <w:spacing w:before="100" w:beforeAutospacing="1" w:after="100" w:afterAutospacing="1"/>
        <w:rPr>
          <w:rFonts w:asciiTheme="majorBidi" w:hAnsiTheme="majorBidi" w:cstheme="majorBidi"/>
          <w:sz w:val="24"/>
          <w:szCs w:val="24"/>
          <w:rtl/>
        </w:rPr>
      </w:pPr>
      <w:r>
        <w:rPr>
          <w:rFonts w:asciiTheme="majorBidi" w:hAnsiTheme="majorBidi" w:cstheme="majorBidi"/>
          <w:sz w:val="24"/>
          <w:szCs w:val="24"/>
        </w:rPr>
        <w:t>While one might associate voluntary compliance with intrinsic motivation, for some of the definitions, this might be seen as harming voluntary compliance, given self imposed constrains created by guilt</w:t>
      </w:r>
      <w:r>
        <w:rPr>
          <w:rStyle w:val="FootnoteReference"/>
          <w:rFonts w:asciiTheme="majorBidi" w:hAnsiTheme="majorBidi" w:cstheme="majorBidi"/>
          <w:sz w:val="24"/>
          <w:szCs w:val="24"/>
        </w:rPr>
        <w:footnoteReference w:id="113"/>
      </w:r>
      <w:r w:rsidR="00544423">
        <w:rPr>
          <w:rFonts w:asciiTheme="majorBidi" w:hAnsiTheme="majorBidi" w:cstheme="majorBidi" w:hint="cs"/>
          <w:sz w:val="24"/>
          <w:szCs w:val="24"/>
          <w:rtl/>
        </w:rPr>
        <w:t xml:space="preserve"> </w:t>
      </w:r>
      <w:r>
        <w:rPr>
          <w:rFonts w:asciiTheme="majorBidi" w:hAnsiTheme="majorBidi" w:cstheme="majorBidi"/>
          <w:sz w:val="24"/>
          <w:szCs w:val="24"/>
        </w:rPr>
        <w:t>On the other hand, possible a normative perceptive on a rule of law, will want normative members of society to have gut feelings associated with engaging in wrongful behavior</w:t>
      </w:r>
      <w:r w:rsidR="00544423">
        <w:rPr>
          <w:rFonts w:asciiTheme="majorBidi" w:hAnsiTheme="majorBidi" w:cstheme="majorBidi"/>
          <w:sz w:val="24"/>
          <w:szCs w:val="24"/>
        </w:rPr>
        <w:t xml:space="preserve">. </w:t>
      </w:r>
      <w:r>
        <w:rPr>
          <w:rFonts w:asciiTheme="majorBidi" w:hAnsiTheme="majorBidi" w:cstheme="majorBidi"/>
          <w:sz w:val="24"/>
          <w:szCs w:val="24"/>
        </w:rPr>
        <w:t>The harder question is about things which hare not clear moral violation – malla per se</w:t>
      </w:r>
      <w:r w:rsidR="00544423">
        <w:rPr>
          <w:rStyle w:val="FootnoteReference"/>
          <w:rFonts w:asciiTheme="majorBidi" w:hAnsiTheme="majorBidi" w:cstheme="majorBidi"/>
          <w:sz w:val="24"/>
          <w:szCs w:val="24"/>
        </w:rPr>
        <w:footnoteReference w:id="114"/>
      </w:r>
      <w:r>
        <w:rPr>
          <w:rFonts w:asciiTheme="majorBidi" w:hAnsiTheme="majorBidi" w:cstheme="majorBidi"/>
          <w:sz w:val="24"/>
          <w:szCs w:val="24"/>
        </w:rPr>
        <w:t xml:space="preserve"> – where we might then want to have a situation, where its not a moral violation but rather a legal one but by </w:t>
      </w:r>
      <w:r>
        <w:rPr>
          <w:rFonts w:asciiTheme="majorBidi" w:hAnsiTheme="majorBidi" w:cstheme="majorBidi"/>
          <w:sz w:val="24"/>
          <w:szCs w:val="24"/>
        </w:rPr>
        <w:lastRenderedPageBreak/>
        <w:t xml:space="preserve">adding explanation for why it is important to obey the law might enhance guilt which would prevent people from making fully free choices. </w:t>
      </w:r>
    </w:p>
    <w:p w14:paraId="22743989" w14:textId="1196E73B" w:rsidR="004A780E" w:rsidRDefault="004A780E" w:rsidP="004A780E">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 xml:space="preserve">From many perspectives the fact that someone is making a choice because he himself wants to do it and no external measure, positive or negative is imposed upon him, might seem as the most complete representation of voluntary compliance.  However, it is possible to think of many examples in which being intrinsically motivated might </w:t>
      </w:r>
      <w:proofErr w:type="gramStart"/>
      <w:r>
        <w:rPr>
          <w:rFonts w:asciiTheme="majorBidi" w:hAnsiTheme="majorBidi" w:cstheme="majorBidi"/>
          <w:sz w:val="24"/>
          <w:szCs w:val="24"/>
        </w:rPr>
        <w:t>actually reduce</w:t>
      </w:r>
      <w:proofErr w:type="gramEnd"/>
      <w:r>
        <w:rPr>
          <w:rFonts w:asciiTheme="majorBidi" w:hAnsiTheme="majorBidi" w:cstheme="majorBidi"/>
          <w:sz w:val="24"/>
          <w:szCs w:val="24"/>
        </w:rPr>
        <w:t xml:space="preserve"> your choice with regard to a specific behavior. For example, </w:t>
      </w:r>
      <w:proofErr w:type="gramStart"/>
      <w:r>
        <w:rPr>
          <w:rFonts w:asciiTheme="majorBidi" w:hAnsiTheme="majorBidi" w:cstheme="majorBidi"/>
          <w:sz w:val="24"/>
          <w:szCs w:val="24"/>
        </w:rPr>
        <w:t>If</w:t>
      </w:r>
      <w:proofErr w:type="gramEnd"/>
      <w:r>
        <w:rPr>
          <w:rFonts w:asciiTheme="majorBidi" w:hAnsiTheme="majorBidi" w:cstheme="majorBidi"/>
          <w:sz w:val="24"/>
          <w:szCs w:val="24"/>
        </w:rPr>
        <w:t xml:space="preserve"> someone </w:t>
      </w:r>
      <w:proofErr w:type="gramStart"/>
      <w:r>
        <w:rPr>
          <w:rFonts w:asciiTheme="majorBidi" w:hAnsiTheme="majorBidi" w:cstheme="majorBidi"/>
          <w:sz w:val="24"/>
          <w:szCs w:val="24"/>
        </w:rPr>
        <w:t>want</w:t>
      </w:r>
      <w:proofErr w:type="gramEnd"/>
      <w:r>
        <w:rPr>
          <w:rFonts w:asciiTheme="majorBidi" w:hAnsiTheme="majorBidi" w:cstheme="majorBidi"/>
          <w:sz w:val="24"/>
          <w:szCs w:val="24"/>
        </w:rPr>
        <w:t xml:space="preserve"> to improve their social image by complying to a certain rule, it might be possible to question whether this is not voluntary only because it is done for extrinsic reason? And the same is true for the opposite context, where for example, individual whose compliance is driven by guilt. </w:t>
      </w:r>
    </w:p>
    <w:p w14:paraId="5FCFFE55" w14:textId="6923069C" w:rsidR="004A780E" w:rsidRDefault="004A780E" w:rsidP="004A780E">
      <w:pPr>
        <w:pStyle w:val="Heading2"/>
      </w:pPr>
      <w:r w:rsidRPr="00644B88">
        <w:br/>
      </w:r>
      <w:bookmarkStart w:id="34" w:name="_Toc161578527"/>
      <w:r w:rsidR="00996D3C">
        <w:rPr>
          <w:rFonts w:hint="cs"/>
        </w:rPr>
        <w:t>I</w:t>
      </w:r>
      <w:r>
        <w:t>ncentives and voluntary compliance</w:t>
      </w:r>
      <w:bookmarkEnd w:id="34"/>
    </w:p>
    <w:p w14:paraId="495CDA3F" w14:textId="1207FE9E" w:rsidR="004A780E" w:rsidRDefault="004A780E" w:rsidP="00BA6904">
      <w:pPr>
        <w:spacing w:before="100" w:beforeAutospacing="1" w:after="100" w:afterAutospacing="1"/>
        <w:rPr>
          <w:rFonts w:asciiTheme="majorBidi" w:hAnsiTheme="majorBidi" w:cstheme="majorBidi"/>
          <w:sz w:val="24"/>
          <w:szCs w:val="24"/>
        </w:rPr>
      </w:pPr>
      <w:r w:rsidRPr="00644B88">
        <w:rPr>
          <w:rFonts w:asciiTheme="majorBidi" w:hAnsiTheme="majorBidi" w:cstheme="majorBidi"/>
          <w:sz w:val="24"/>
          <w:szCs w:val="24"/>
        </w:rPr>
        <w:br/>
      </w:r>
      <w:r>
        <w:rPr>
          <w:rFonts w:asciiTheme="majorBidi" w:hAnsiTheme="majorBidi" w:cstheme="majorBidi"/>
          <w:sz w:val="24"/>
          <w:szCs w:val="24"/>
        </w:rPr>
        <w:t>An additional</w:t>
      </w:r>
      <w:r w:rsidR="003C4E79">
        <w:rPr>
          <w:rFonts w:asciiTheme="majorBidi" w:hAnsiTheme="majorBidi" w:cstheme="majorBidi"/>
          <w:sz w:val="24"/>
          <w:szCs w:val="24"/>
        </w:rPr>
        <w:t xml:space="preserve"> regulatory</w:t>
      </w:r>
      <w:r>
        <w:rPr>
          <w:rFonts w:asciiTheme="majorBidi" w:hAnsiTheme="majorBidi" w:cstheme="majorBidi"/>
          <w:sz w:val="24"/>
          <w:szCs w:val="24"/>
        </w:rPr>
        <w:t xml:space="preserve"> approach</w:t>
      </w:r>
      <w:r w:rsidR="00311CBA">
        <w:rPr>
          <w:rFonts w:asciiTheme="majorBidi" w:hAnsiTheme="majorBidi" w:cstheme="majorBidi"/>
          <w:sz w:val="24"/>
          <w:szCs w:val="24"/>
        </w:rPr>
        <w:t xml:space="preserve"> which is based on incentives and </w:t>
      </w:r>
      <w:r w:rsidR="003C4E79">
        <w:rPr>
          <w:rFonts w:asciiTheme="majorBidi" w:hAnsiTheme="majorBidi" w:cstheme="majorBidi"/>
          <w:sz w:val="24"/>
          <w:szCs w:val="24"/>
        </w:rPr>
        <w:t xml:space="preserve">will be discussed in more details in chapter 3 </w:t>
      </w:r>
      <w:proofErr w:type="gramStart"/>
      <w:r w:rsidR="003C4E79">
        <w:rPr>
          <w:rFonts w:asciiTheme="majorBidi" w:hAnsiTheme="majorBidi" w:cstheme="majorBidi"/>
          <w:sz w:val="24"/>
          <w:szCs w:val="24"/>
        </w:rPr>
        <w:t>and also</w:t>
      </w:r>
      <w:proofErr w:type="gramEnd"/>
      <w:r w:rsidR="003C4E79">
        <w:rPr>
          <w:rFonts w:asciiTheme="majorBidi" w:hAnsiTheme="majorBidi" w:cstheme="majorBidi"/>
          <w:sz w:val="24"/>
          <w:szCs w:val="24"/>
        </w:rPr>
        <w:t xml:space="preserve"> in chapter on environmental compliance is related to increasing usage of incentives</w:t>
      </w:r>
      <w:r w:rsidR="00311CBA">
        <w:rPr>
          <w:rStyle w:val="FootnoteReference"/>
          <w:rFonts w:asciiTheme="majorBidi" w:hAnsiTheme="majorBidi" w:cstheme="majorBidi"/>
          <w:sz w:val="24"/>
          <w:szCs w:val="24"/>
        </w:rPr>
        <w:footnoteReference w:id="115"/>
      </w:r>
      <w:r w:rsidR="00311CBA">
        <w:rPr>
          <w:rFonts w:asciiTheme="majorBidi" w:hAnsiTheme="majorBidi" w:cstheme="majorBidi"/>
          <w:sz w:val="24"/>
          <w:szCs w:val="24"/>
        </w:rPr>
        <w:t>. Incentives</w:t>
      </w:r>
      <w:r w:rsidR="00E21C81">
        <w:rPr>
          <w:rFonts w:asciiTheme="majorBidi" w:hAnsiTheme="majorBidi" w:cstheme="majorBidi"/>
          <w:sz w:val="24"/>
          <w:szCs w:val="24"/>
        </w:rPr>
        <w:t xml:space="preserve"> such as </w:t>
      </w:r>
      <w:r w:rsidR="00E21C81" w:rsidRPr="00E21C81">
        <w:rPr>
          <w:rFonts w:asciiTheme="majorBidi" w:hAnsiTheme="majorBidi" w:cstheme="majorBidi"/>
          <w:sz w:val="24"/>
          <w:szCs w:val="24"/>
        </w:rPr>
        <w:t>subsidies</w:t>
      </w:r>
      <w:r w:rsidR="00E21C81">
        <w:rPr>
          <w:rFonts w:asciiTheme="majorBidi" w:hAnsiTheme="majorBidi" w:cstheme="majorBidi"/>
          <w:sz w:val="24"/>
          <w:szCs w:val="24"/>
        </w:rPr>
        <w:t xml:space="preserve"> and</w:t>
      </w:r>
      <w:r w:rsidR="00E21C81" w:rsidRPr="00E21C81">
        <w:rPr>
          <w:rFonts w:asciiTheme="majorBidi" w:hAnsiTheme="majorBidi" w:cstheme="majorBidi"/>
          <w:sz w:val="24"/>
          <w:szCs w:val="24"/>
        </w:rPr>
        <w:t xml:space="preserve"> tax breaks</w:t>
      </w:r>
      <w:r w:rsidR="00311CBA">
        <w:rPr>
          <w:rFonts w:asciiTheme="majorBidi" w:hAnsiTheme="majorBidi" w:cstheme="majorBidi"/>
          <w:sz w:val="24"/>
          <w:szCs w:val="24"/>
        </w:rPr>
        <w:t xml:space="preserve"> have various</w:t>
      </w:r>
      <w:r w:rsidR="00E21C81">
        <w:rPr>
          <w:rFonts w:asciiTheme="majorBidi" w:hAnsiTheme="majorBidi" w:cstheme="majorBidi"/>
          <w:sz w:val="24"/>
          <w:szCs w:val="24"/>
        </w:rPr>
        <w:t xml:space="preserve"> advantages over sanctions since they are seen as being better suited in</w:t>
      </w:r>
      <w:r w:rsidR="00311CBA">
        <w:rPr>
          <w:rFonts w:asciiTheme="majorBidi" w:hAnsiTheme="majorBidi" w:cstheme="majorBidi"/>
          <w:sz w:val="24"/>
          <w:szCs w:val="24"/>
        </w:rPr>
        <w:t xml:space="preserve"> </w:t>
      </w:r>
      <w:r w:rsidR="00E21C81" w:rsidRPr="00E21C81">
        <w:rPr>
          <w:rFonts w:asciiTheme="majorBidi" w:hAnsiTheme="majorBidi" w:cstheme="majorBidi"/>
          <w:sz w:val="24"/>
          <w:szCs w:val="24"/>
        </w:rPr>
        <w:t>fostering cooperation, encouraging innovation, and reducing enforcement costs</w:t>
      </w:r>
      <w:r w:rsidR="00E21C81">
        <w:rPr>
          <w:rFonts w:asciiTheme="majorBidi" w:hAnsiTheme="majorBidi" w:cstheme="majorBidi"/>
          <w:sz w:val="24"/>
          <w:szCs w:val="24"/>
        </w:rPr>
        <w:t>.</w:t>
      </w:r>
      <w:r w:rsidR="00BA6904">
        <w:rPr>
          <w:rFonts w:asciiTheme="majorBidi" w:hAnsiTheme="majorBidi" w:cstheme="majorBidi"/>
          <w:sz w:val="24"/>
          <w:szCs w:val="24"/>
        </w:rPr>
        <w:t xml:space="preserve"> Part of the advantages of incentives seems to be in the fact that they cause people to want to comply even when they do it for financial extrinsic reasons. However, especially when incentives become high and in competitive environments, maybe people don’t really have a real choice rather than to behave in a way which will maximize the regulatory incentives they get for compliance. In such situations, one</w:t>
      </w:r>
      <w:r>
        <w:rPr>
          <w:rFonts w:asciiTheme="majorBidi" w:hAnsiTheme="majorBidi" w:cstheme="majorBidi"/>
          <w:sz w:val="24"/>
          <w:szCs w:val="24"/>
        </w:rPr>
        <w:t xml:space="preserve"> might question whether incentivized compliance which many might view as voluntary, as it seems to be a replica of the behavior of people in the market context which is always seems </w:t>
      </w:r>
      <w:proofErr w:type="gramStart"/>
      <w:r>
        <w:rPr>
          <w:rFonts w:asciiTheme="majorBidi" w:hAnsiTheme="majorBidi" w:cstheme="majorBidi"/>
          <w:sz w:val="24"/>
          <w:szCs w:val="24"/>
        </w:rPr>
        <w:t>as</w:t>
      </w:r>
      <w:proofErr w:type="gramEnd"/>
      <w:r>
        <w:rPr>
          <w:rFonts w:asciiTheme="majorBidi" w:hAnsiTheme="majorBidi" w:cstheme="majorBidi"/>
          <w:sz w:val="24"/>
          <w:szCs w:val="24"/>
        </w:rPr>
        <w:t xml:space="preserve"> the best example of market relations. </w:t>
      </w:r>
      <w:r w:rsidR="00BA6904">
        <w:rPr>
          <w:rFonts w:asciiTheme="majorBidi" w:hAnsiTheme="majorBidi" w:cstheme="majorBidi"/>
          <w:sz w:val="24"/>
          <w:szCs w:val="24"/>
        </w:rPr>
        <w:t xml:space="preserve">Especially if we remember that part of the attempt to clarify what is voluntary compliance is related to the examination of when it might be enduring, leading to positive externalities and causing people to engage in beyond </w:t>
      </w:r>
      <w:proofErr w:type="gramStart"/>
      <w:r w:rsidR="00BA6904">
        <w:rPr>
          <w:rFonts w:asciiTheme="majorBidi" w:hAnsiTheme="majorBidi" w:cstheme="majorBidi"/>
          <w:sz w:val="24"/>
          <w:szCs w:val="24"/>
        </w:rPr>
        <w:t>compliance</w:t>
      </w:r>
      <w:proofErr w:type="gramEnd"/>
    </w:p>
    <w:p w14:paraId="31983335" w14:textId="3DF25180" w:rsidR="004A780E" w:rsidRPr="00644B88" w:rsidRDefault="004A780E" w:rsidP="004A780E">
      <w:pPr>
        <w:pStyle w:val="Heading2"/>
      </w:pPr>
      <w:bookmarkStart w:id="35" w:name="_Toc161578528"/>
      <w:r>
        <w:t xml:space="preserve">Voluntary compliance </w:t>
      </w:r>
      <w:proofErr w:type="gramStart"/>
      <w:r>
        <w:t>and  self</w:t>
      </w:r>
      <w:proofErr w:type="gramEnd"/>
      <w:r>
        <w:t>-regulation</w:t>
      </w:r>
      <w:bookmarkEnd w:id="35"/>
    </w:p>
    <w:p w14:paraId="0F01DA16" w14:textId="2A5B2108" w:rsidR="00F707F9" w:rsidRPr="00637780" w:rsidRDefault="00F707F9" w:rsidP="005E6151">
      <w:pPr>
        <w:spacing w:after="120" w:line="240" w:lineRule="atLeast"/>
        <w:contextualSpacing/>
        <w:jc w:val="both"/>
        <w:rPr>
          <w:rFonts w:asciiTheme="majorBidi" w:hAnsiTheme="majorBidi" w:cstheme="majorBidi"/>
          <w:color w:val="000000"/>
          <w:sz w:val="24"/>
          <w:szCs w:val="24"/>
          <w:shd w:val="clear" w:color="auto" w:fill="FFFFFF"/>
        </w:rPr>
      </w:pPr>
      <w:r w:rsidRPr="00637780">
        <w:rPr>
          <w:rFonts w:asciiTheme="majorBidi" w:hAnsiTheme="majorBidi" w:cstheme="majorBidi"/>
          <w:sz w:val="24"/>
          <w:szCs w:val="24"/>
        </w:rPr>
        <w:t>As described above, relevant literature has emerged that identifies voluntary compliance and self-regulation as the optimal guiding principles of regulatory governance</w:t>
      </w:r>
      <w:r w:rsidR="001F5BB0">
        <w:rPr>
          <w:rFonts w:asciiTheme="majorBidi" w:hAnsiTheme="majorBidi" w:cstheme="majorBidi"/>
          <w:sz w:val="24"/>
          <w:szCs w:val="24"/>
        </w:rPr>
        <w:t>. Both processes are heavily conditioned upon the emergence of trust both between people and between people and their governments</w:t>
      </w:r>
      <w:r w:rsidRPr="00637780">
        <w:rPr>
          <w:rFonts w:asciiTheme="majorBidi" w:hAnsiTheme="majorBidi" w:cstheme="majorBidi"/>
          <w:sz w:val="24"/>
          <w:szCs w:val="24"/>
        </w:rPr>
        <w:t>. However, these concepts can be elusive, and therefore it is difficult to fully capture important behavioral and institutional factors that moderate the behavioral effect of different regulatory governance measures</w:t>
      </w:r>
      <w:r w:rsidRPr="00637780">
        <w:rPr>
          <w:rStyle w:val="FootnoteReference"/>
          <w:rFonts w:asciiTheme="majorBidi" w:hAnsiTheme="majorBidi" w:cstheme="majorBidi"/>
          <w:sz w:val="24"/>
          <w:szCs w:val="24"/>
        </w:rPr>
        <w:footnoteReference w:id="116"/>
      </w:r>
      <w:r w:rsidRPr="00637780">
        <w:rPr>
          <w:rFonts w:asciiTheme="majorBidi" w:hAnsiTheme="majorBidi" w:cstheme="majorBidi"/>
          <w:sz w:val="24"/>
          <w:szCs w:val="24"/>
        </w:rPr>
        <w:t>. C</w:t>
      </w:r>
      <w:r w:rsidRPr="00637780">
        <w:rPr>
          <w:rFonts w:asciiTheme="majorBidi" w:hAnsiTheme="majorBidi" w:cstheme="majorBidi"/>
          <w:color w:val="000000"/>
          <w:sz w:val="24"/>
          <w:szCs w:val="24"/>
          <w:shd w:val="clear" w:color="auto" w:fill="FFFFFF"/>
        </w:rPr>
        <w:t xml:space="preserve">onsidering the range of situations in which there is public interest in promoting honest and ethical behavior, this lacuna is especially significant </w:t>
      </w:r>
      <w:r w:rsidRPr="00637780">
        <w:rPr>
          <w:rFonts w:asciiTheme="majorBidi" w:hAnsiTheme="majorBidi" w:cstheme="majorBidi"/>
          <w:color w:val="000000"/>
          <w:sz w:val="24"/>
          <w:szCs w:val="24"/>
          <w:shd w:val="clear" w:color="auto" w:fill="FFFFFF"/>
        </w:rPr>
        <w:lastRenderedPageBreak/>
        <w:t>for legal and public policy, as such behavior goes beyond mere compliance with the rules.</w:t>
      </w:r>
      <w:r w:rsidRPr="00637780">
        <w:rPr>
          <w:rStyle w:val="FootnoteReference"/>
          <w:rFonts w:asciiTheme="majorBidi" w:hAnsiTheme="majorBidi" w:cstheme="majorBidi"/>
          <w:color w:val="000000"/>
          <w:sz w:val="24"/>
          <w:szCs w:val="24"/>
          <w:shd w:val="clear" w:color="auto" w:fill="FFFFFF"/>
        </w:rPr>
        <w:footnoteReference w:id="117"/>
      </w:r>
      <w:r w:rsidRPr="00637780">
        <w:rPr>
          <w:rFonts w:asciiTheme="majorBidi" w:hAnsiTheme="majorBidi" w:cstheme="majorBidi"/>
          <w:color w:val="000000"/>
          <w:sz w:val="24"/>
          <w:szCs w:val="24"/>
          <w:shd w:val="clear" w:color="auto" w:fill="FFFFFF"/>
        </w:rPr>
        <w:t xml:space="preserve"> While a liberal democratic state may only be able to expect and demand compliance with respect to what is required by the law, it is invaluable to understand not only what underlies questions of compliance, but also behavior that goes beyond the compliance with explicit rules. Our ability to</w:t>
      </w:r>
      <w:r w:rsidR="001F5BB0">
        <w:rPr>
          <w:rFonts w:asciiTheme="majorBidi" w:hAnsiTheme="majorBidi" w:cstheme="majorBidi"/>
          <w:color w:val="000000"/>
          <w:sz w:val="24"/>
          <w:szCs w:val="24"/>
          <w:shd w:val="clear" w:color="auto" w:fill="FFFFFF"/>
        </w:rPr>
        <w:t xml:space="preserve"> accurately</w:t>
      </w:r>
      <w:r w:rsidRPr="00637780">
        <w:rPr>
          <w:rFonts w:asciiTheme="majorBidi" w:hAnsiTheme="majorBidi" w:cstheme="majorBidi"/>
          <w:color w:val="000000"/>
          <w:sz w:val="24"/>
          <w:szCs w:val="24"/>
          <w:shd w:val="clear" w:color="auto" w:fill="FFFFFF"/>
        </w:rPr>
        <w:t xml:space="preserve"> predict such behavior influences policy regarding how to best encourage both accounts of honesty vis-à-vis compliance and vis-à-vis other aspects of ethicality can contribute to better theoretical predictions about voluntary cooperation with different regulatory measures. </w:t>
      </w:r>
    </w:p>
    <w:p w14:paraId="2325F23E" w14:textId="77777777" w:rsidR="00D5259B" w:rsidRDefault="00D5259B" w:rsidP="005E6151">
      <w:pPr>
        <w:spacing w:after="120" w:line="16" w:lineRule="atLeast"/>
        <w:ind w:firstLine="720"/>
        <w:contextualSpacing/>
        <w:jc w:val="both"/>
        <w:rPr>
          <w:rFonts w:asciiTheme="majorBidi" w:hAnsiTheme="majorBidi" w:cstheme="majorBidi"/>
          <w:sz w:val="24"/>
          <w:szCs w:val="24"/>
        </w:rPr>
      </w:pPr>
    </w:p>
    <w:p w14:paraId="55182C86" w14:textId="2C82186E" w:rsidR="00F707F9" w:rsidRPr="00637780" w:rsidRDefault="00F707F9" w:rsidP="004F54E9">
      <w:pPr>
        <w:spacing w:after="120" w:line="16" w:lineRule="atLeast"/>
        <w:ind w:firstLine="720"/>
        <w:contextualSpacing/>
        <w:jc w:val="both"/>
        <w:rPr>
          <w:rFonts w:asciiTheme="majorBidi" w:hAnsiTheme="majorBidi" w:cstheme="majorBidi"/>
          <w:sz w:val="24"/>
          <w:szCs w:val="24"/>
        </w:rPr>
      </w:pPr>
      <w:r w:rsidRPr="00637780">
        <w:rPr>
          <w:rFonts w:asciiTheme="majorBidi" w:hAnsiTheme="majorBidi" w:cstheme="majorBidi"/>
          <w:sz w:val="24"/>
          <w:szCs w:val="24"/>
        </w:rPr>
        <w:t xml:space="preserve">Thus, the main purpose of this </w:t>
      </w:r>
      <w:r w:rsidR="00F65D41" w:rsidRPr="00637780">
        <w:rPr>
          <w:rFonts w:asciiTheme="majorBidi" w:hAnsiTheme="majorBidi" w:cstheme="majorBidi"/>
          <w:sz w:val="24"/>
          <w:szCs w:val="24"/>
        </w:rPr>
        <w:t>book</w:t>
      </w:r>
      <w:r w:rsidRPr="00637780">
        <w:rPr>
          <w:rFonts w:asciiTheme="majorBidi" w:hAnsiTheme="majorBidi" w:cstheme="majorBidi"/>
          <w:sz w:val="24"/>
          <w:szCs w:val="24"/>
        </w:rPr>
        <w:t xml:space="preserve"> is to create a new conceptual language and an integrated concept of voluntary compliance which will combine concepts from different literatures, such as being honest, trustworthy, moral, compliant, and cooperative and examine to what extent findings from the different literatures can help explain </w:t>
      </w:r>
      <w:r w:rsidR="00340084">
        <w:rPr>
          <w:rFonts w:asciiTheme="majorBidi" w:hAnsiTheme="majorBidi" w:cstheme="majorBidi"/>
          <w:sz w:val="24"/>
          <w:szCs w:val="24"/>
        </w:rPr>
        <w:t>and accurately predict voluntary compliance</w:t>
      </w:r>
      <w:r w:rsidRPr="00637780">
        <w:rPr>
          <w:rFonts w:asciiTheme="majorBidi" w:hAnsiTheme="majorBidi" w:cstheme="majorBidi"/>
          <w:sz w:val="24"/>
          <w:szCs w:val="24"/>
        </w:rPr>
        <w:t xml:space="preserve"> and in what contexts. Clearly, there are many situations in life where one is required to comply. These include contexts where, for example, honesty doesn’t play an important part (e.g. </w:t>
      </w:r>
      <w:r w:rsidR="00340084">
        <w:rPr>
          <w:rFonts w:asciiTheme="majorBidi" w:hAnsiTheme="majorBidi" w:cstheme="majorBidi"/>
          <w:sz w:val="24"/>
          <w:szCs w:val="24"/>
        </w:rPr>
        <w:t>environmental compliance</w:t>
      </w:r>
      <w:r w:rsidRPr="00637780">
        <w:rPr>
          <w:rFonts w:asciiTheme="majorBidi" w:hAnsiTheme="majorBidi" w:cstheme="majorBidi"/>
          <w:sz w:val="24"/>
          <w:szCs w:val="24"/>
        </w:rPr>
        <w:t>), some contexts within which compliance and honesty are far more tightly intertwined (e.g., misreporting income on tax forms), and still more contexts within which the relevant behavior appears to be linked primarily to rule-surpassing honesty, or some other aspect of substantive ethicality, as distinct from  mere compliance (e.g., reporting problems in the sale of property, withholding information that could help a customer find a less costly solution, or that the price will go down tomorrow)</w:t>
      </w:r>
      <w:r w:rsidR="004F54E9">
        <w:rPr>
          <w:rStyle w:val="FootnoteReference"/>
          <w:rFonts w:asciiTheme="majorBidi" w:hAnsiTheme="majorBidi" w:cstheme="majorBidi"/>
          <w:sz w:val="24"/>
          <w:szCs w:val="24"/>
        </w:rPr>
        <w:footnoteReference w:id="118"/>
      </w:r>
      <w:r w:rsidRPr="00637780">
        <w:rPr>
          <w:rFonts w:asciiTheme="majorBidi" w:hAnsiTheme="majorBidi" w:cstheme="majorBidi"/>
          <w:sz w:val="24"/>
          <w:szCs w:val="24"/>
        </w:rPr>
        <w:t xml:space="preserve">. </w:t>
      </w:r>
    </w:p>
    <w:p w14:paraId="3338397A" w14:textId="6EACD826" w:rsidR="00F707F9" w:rsidRPr="00644B88" w:rsidRDefault="00F707F9" w:rsidP="00CD7986">
      <w:pPr>
        <w:spacing w:before="100" w:beforeAutospacing="1" w:after="100" w:afterAutospacing="1"/>
        <w:jc w:val="both"/>
        <w:rPr>
          <w:rFonts w:asciiTheme="majorBidi" w:hAnsiTheme="majorBidi" w:cstheme="majorBidi"/>
          <w:sz w:val="24"/>
          <w:szCs w:val="24"/>
        </w:rPr>
      </w:pPr>
    </w:p>
    <w:p w14:paraId="0406CEA0" w14:textId="0A1B9F2D" w:rsidR="00CD7986" w:rsidRPr="00637780" w:rsidRDefault="00CD7986" w:rsidP="00D5259B">
      <w:pPr>
        <w:pStyle w:val="Heading2"/>
      </w:pPr>
      <w:bookmarkStart w:id="36" w:name="_Toc161578529"/>
      <w:r w:rsidRPr="00637780">
        <w:t xml:space="preserve">The </w:t>
      </w:r>
      <w:r w:rsidR="00D5259B">
        <w:t xml:space="preserve">Desired </w:t>
      </w:r>
      <w:r w:rsidRPr="00637780">
        <w:t>Proportion of Voluntary Cooperators and Regulators’ Dilemma</w:t>
      </w:r>
      <w:bookmarkEnd w:id="36"/>
      <w:r w:rsidRPr="00637780">
        <w:t xml:space="preserve"> </w:t>
      </w:r>
    </w:p>
    <w:p w14:paraId="143183AE" w14:textId="1EB1EF23" w:rsidR="00CD7986" w:rsidRPr="00644B88" w:rsidRDefault="00CD7986" w:rsidP="007F3104">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In light of these dilemmas about non-voluntary interventions, other issues to be examined at the group level are the proportion of people who are likely to cooperate and their characteristics relative to the group: whether they are part of the weaker or stronger parts of the group.</w:t>
      </w:r>
      <w:r w:rsidRPr="00644B88">
        <w:rPr>
          <w:rStyle w:val="FootnoteReference"/>
          <w:rFonts w:asciiTheme="majorBidi" w:hAnsiTheme="majorBidi" w:cstheme="majorBidi"/>
          <w:sz w:val="24"/>
          <w:szCs w:val="24"/>
        </w:rPr>
        <w:footnoteReference w:id="119"/>
      </w:r>
      <w:r w:rsidRPr="00644B88">
        <w:rPr>
          <w:rFonts w:asciiTheme="majorBidi" w:hAnsiTheme="majorBidi" w:cstheme="majorBidi"/>
          <w:sz w:val="24"/>
          <w:szCs w:val="24"/>
        </w:rPr>
        <w:t xml:space="preserve"> In addition, how can regulators determine in advance whether or not the advantages from voluntary compliance will be outperformed by a complete lack of compliance? How likely it is that people will hold moral views that reflect those of the state? Are there people who are more likely to engage in voluntary compliance across all disciplines? These issues become important at the level of the regulatory toolbox</w:t>
      </w:r>
      <w:r w:rsidR="007F3104">
        <w:rPr>
          <w:rFonts w:asciiTheme="majorBidi" w:hAnsiTheme="majorBidi" w:cstheme="majorBidi"/>
          <w:sz w:val="24"/>
          <w:szCs w:val="24"/>
        </w:rPr>
        <w:t xml:space="preserve"> available to policy makers</w:t>
      </w:r>
      <w:r w:rsidRPr="00644B88">
        <w:rPr>
          <w:rFonts w:asciiTheme="majorBidi" w:hAnsiTheme="majorBidi" w:cstheme="majorBidi"/>
          <w:sz w:val="24"/>
          <w:szCs w:val="24"/>
        </w:rPr>
        <w:t xml:space="preserve">, where there are numerous barriers to reliance on regulatory tools aimed at enhancing voluntary compliance with respect to creating an effect of compliance cultures and with respect to the emergence of trust within states. </w:t>
      </w:r>
      <w:r w:rsidR="00372724" w:rsidRPr="00644B88">
        <w:rPr>
          <w:rFonts w:asciiTheme="majorBidi" w:hAnsiTheme="majorBidi" w:cstheme="majorBidi"/>
          <w:sz w:val="24"/>
          <w:szCs w:val="24"/>
        </w:rPr>
        <w:t xml:space="preserve">Indeed, </w:t>
      </w:r>
      <w:r w:rsidR="0025062B" w:rsidRPr="00644B88">
        <w:rPr>
          <w:rFonts w:asciiTheme="majorBidi" w:hAnsiTheme="majorBidi" w:cstheme="majorBidi"/>
          <w:sz w:val="24"/>
          <w:szCs w:val="24"/>
        </w:rPr>
        <w:t>many</w:t>
      </w:r>
      <w:r w:rsidR="00372724" w:rsidRPr="00644B88">
        <w:rPr>
          <w:rFonts w:asciiTheme="majorBidi" w:hAnsiTheme="majorBidi" w:cstheme="majorBidi"/>
          <w:sz w:val="24"/>
          <w:szCs w:val="24"/>
        </w:rPr>
        <w:t xml:space="preserve"> models have attempted to offer various taxonomies of </w:t>
      </w:r>
      <w:r w:rsidR="00372724" w:rsidRPr="00644B88">
        <w:rPr>
          <w:rFonts w:asciiTheme="majorBidi" w:hAnsiTheme="majorBidi" w:cstheme="majorBidi"/>
          <w:sz w:val="24"/>
          <w:szCs w:val="24"/>
        </w:rPr>
        <w:lastRenderedPageBreak/>
        <w:t>compliance, for example</w:t>
      </w:r>
      <w:r w:rsidR="007F3104">
        <w:rPr>
          <w:rFonts w:asciiTheme="majorBidi" w:hAnsiTheme="majorBidi" w:cstheme="majorBidi"/>
          <w:sz w:val="24"/>
          <w:szCs w:val="24"/>
        </w:rPr>
        <w:t xml:space="preserve"> Vallery</w:t>
      </w:r>
      <w:r w:rsidR="00372724" w:rsidRPr="00644B88">
        <w:rPr>
          <w:rFonts w:asciiTheme="majorBidi" w:hAnsiTheme="majorBidi" w:cstheme="majorBidi"/>
          <w:sz w:val="24"/>
          <w:szCs w:val="24"/>
        </w:rPr>
        <w:t xml:space="preserve"> Braithwaite</w:t>
      </w:r>
      <w:r w:rsidR="00372724" w:rsidRPr="00644B88">
        <w:rPr>
          <w:rStyle w:val="FootnoteReference"/>
          <w:rFonts w:asciiTheme="majorBidi" w:hAnsiTheme="majorBidi" w:cstheme="majorBidi"/>
          <w:sz w:val="24"/>
          <w:szCs w:val="24"/>
        </w:rPr>
        <w:footnoteReference w:id="120"/>
      </w:r>
      <w:r w:rsidR="00372724" w:rsidRPr="00637780">
        <w:rPr>
          <w:rFonts w:asciiTheme="majorBidi" w:hAnsiTheme="majorBidi" w:cstheme="majorBidi"/>
          <w:color w:val="000000"/>
          <w:sz w:val="24"/>
          <w:szCs w:val="24"/>
          <w:lang w:val="en-AU"/>
        </w:rPr>
        <w:t xml:space="preserve"> motivational postures of commitment</w:t>
      </w:r>
      <w:r w:rsidR="00736E55">
        <w:rPr>
          <w:rFonts w:asciiTheme="majorBidi" w:hAnsiTheme="majorBidi" w:cstheme="majorBidi"/>
          <w:color w:val="000000"/>
          <w:sz w:val="24"/>
          <w:szCs w:val="24"/>
          <w:lang w:val="en-AU"/>
        </w:rPr>
        <w:t xml:space="preserve"> differentiate between the following modes of compliance</w:t>
      </w:r>
      <w:r w:rsidR="00372724" w:rsidRPr="00637780">
        <w:rPr>
          <w:rFonts w:asciiTheme="majorBidi" w:hAnsiTheme="majorBidi" w:cstheme="majorBidi"/>
          <w:color w:val="000000"/>
          <w:sz w:val="24"/>
          <w:szCs w:val="24"/>
          <w:lang w:val="en-AU"/>
        </w:rPr>
        <w:t xml:space="preserve"> capitulation, resistance, </w:t>
      </w:r>
      <w:proofErr w:type="gramStart"/>
      <w:r w:rsidR="00372724" w:rsidRPr="00637780">
        <w:rPr>
          <w:rFonts w:asciiTheme="majorBidi" w:hAnsiTheme="majorBidi" w:cstheme="majorBidi"/>
          <w:color w:val="000000"/>
          <w:sz w:val="24"/>
          <w:szCs w:val="24"/>
          <w:lang w:val="en-AU"/>
        </w:rPr>
        <w:t>disengagement</w:t>
      </w:r>
      <w:proofErr w:type="gramEnd"/>
      <w:r w:rsidR="00372724" w:rsidRPr="00637780">
        <w:rPr>
          <w:rFonts w:asciiTheme="majorBidi" w:hAnsiTheme="majorBidi" w:cstheme="majorBidi"/>
          <w:color w:val="000000"/>
          <w:sz w:val="24"/>
          <w:szCs w:val="24"/>
          <w:lang w:val="en-AU"/>
        </w:rPr>
        <w:t xml:space="preserve"> and game-playing are helpful for thinking about such variation. </w:t>
      </w:r>
    </w:p>
    <w:p w14:paraId="4A955C7D" w14:textId="77777777" w:rsidR="00CD7986" w:rsidRPr="00637780" w:rsidRDefault="00CD7986" w:rsidP="00D5259B">
      <w:pPr>
        <w:pStyle w:val="Heading2"/>
      </w:pPr>
      <w:bookmarkStart w:id="37" w:name="_Toc161578530"/>
      <w:r w:rsidRPr="00637780">
        <w:t>Situational Analysis of Voluntary Compliance</w:t>
      </w:r>
      <w:bookmarkEnd w:id="37"/>
    </w:p>
    <w:p w14:paraId="5F09FCAD" w14:textId="74ACD1D1" w:rsidR="00CD7986" w:rsidRPr="00644B88" w:rsidRDefault="00736E55" w:rsidP="00736E55">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The</w:t>
      </w:r>
      <w:r w:rsidR="00A470FD" w:rsidRPr="00644B88">
        <w:rPr>
          <w:rFonts w:asciiTheme="majorBidi" w:hAnsiTheme="majorBidi" w:cstheme="majorBidi"/>
          <w:sz w:val="24"/>
          <w:szCs w:val="24"/>
        </w:rPr>
        <w:t xml:space="preserve"> variation in compliance motivation</w:t>
      </w:r>
      <w:r>
        <w:rPr>
          <w:rFonts w:asciiTheme="majorBidi" w:hAnsiTheme="majorBidi" w:cstheme="majorBidi"/>
          <w:sz w:val="24"/>
          <w:szCs w:val="24"/>
        </w:rPr>
        <w:t xml:space="preserve"> discussed above with regard to the likelihood of </w:t>
      </w:r>
      <w:r w:rsidRPr="00644B88">
        <w:rPr>
          <w:rFonts w:asciiTheme="majorBidi" w:hAnsiTheme="majorBidi" w:cstheme="majorBidi"/>
          <w:sz w:val="24"/>
          <w:szCs w:val="24"/>
        </w:rPr>
        <w:t>voluntary</w:t>
      </w:r>
      <w:r w:rsidR="00CD7986" w:rsidRPr="00644B88">
        <w:rPr>
          <w:rFonts w:asciiTheme="majorBidi" w:hAnsiTheme="majorBidi" w:cstheme="majorBidi"/>
          <w:sz w:val="24"/>
          <w:szCs w:val="24"/>
        </w:rPr>
        <w:t xml:space="preserve"> compliance may not depen</w:t>
      </w:r>
      <w:r>
        <w:rPr>
          <w:rFonts w:asciiTheme="majorBidi" w:hAnsiTheme="majorBidi" w:cstheme="majorBidi"/>
          <w:sz w:val="24"/>
          <w:szCs w:val="24"/>
        </w:rPr>
        <w:t>d just</w:t>
      </w:r>
      <w:r w:rsidR="00CD7986" w:rsidRPr="00644B88">
        <w:rPr>
          <w:rFonts w:asciiTheme="majorBidi" w:hAnsiTheme="majorBidi" w:cstheme="majorBidi"/>
          <w:sz w:val="24"/>
          <w:szCs w:val="24"/>
        </w:rPr>
        <w:t xml:space="preserve"> on who the particular individual is, but </w:t>
      </w:r>
      <w:r>
        <w:rPr>
          <w:rFonts w:asciiTheme="majorBidi" w:hAnsiTheme="majorBidi" w:cstheme="majorBidi"/>
          <w:sz w:val="24"/>
          <w:szCs w:val="24"/>
        </w:rPr>
        <w:t>also</w:t>
      </w:r>
      <w:r w:rsidR="00CD7986" w:rsidRPr="00644B88">
        <w:rPr>
          <w:rFonts w:asciiTheme="majorBidi" w:hAnsiTheme="majorBidi" w:cstheme="majorBidi"/>
          <w:sz w:val="24"/>
          <w:szCs w:val="24"/>
        </w:rPr>
        <w:t xml:space="preserve"> the environment in which that individual is operating.</w:t>
      </w:r>
      <w:r w:rsidR="00CD7986" w:rsidRPr="00644B88">
        <w:rPr>
          <w:rStyle w:val="FootnoteReference"/>
          <w:rFonts w:asciiTheme="majorBidi" w:hAnsiTheme="majorBidi" w:cstheme="majorBidi"/>
          <w:sz w:val="24"/>
          <w:szCs w:val="24"/>
        </w:rPr>
        <w:footnoteReference w:id="121"/>
      </w:r>
      <w:r w:rsidR="00CD7986" w:rsidRPr="00644B88">
        <w:rPr>
          <w:rFonts w:asciiTheme="majorBidi" w:hAnsiTheme="majorBidi" w:cstheme="majorBidi"/>
          <w:sz w:val="24"/>
          <w:szCs w:val="24"/>
        </w:rPr>
        <w:t xml:space="preserve"> Behavioral ethics research indicates that most people are capable of engaging in ordinary unethicality if they are able to deceive themselves, either deliberately by finding a justification for non-compliance, or with limited deliberation, that is, engaging in motivated reasoning in ambiguous situations. Thus, according to this approach, when policy makers are interested in understanding when can they trust people to exhibit a greater likelihood of cooperation, they need to pay special attention to the situational characteristics which might enhance the likelihood that more people will cooperate voluntarily with the government’s approach. These characteristics include lack of ambiguity, clear victims, the logic behind the regulation, and visible compliance behavior.</w:t>
      </w:r>
      <w:r w:rsidR="00CD7986" w:rsidRPr="00644B88">
        <w:rPr>
          <w:rStyle w:val="FootnoteReference"/>
          <w:rFonts w:asciiTheme="majorBidi" w:hAnsiTheme="majorBidi" w:cstheme="majorBidi"/>
          <w:sz w:val="24"/>
          <w:szCs w:val="24"/>
        </w:rPr>
        <w:footnoteReference w:id="122"/>
      </w:r>
      <w:r w:rsidR="00CD7986" w:rsidRPr="00644B88">
        <w:rPr>
          <w:rFonts w:asciiTheme="majorBidi" w:hAnsiTheme="majorBidi" w:cstheme="majorBidi"/>
          <w:sz w:val="24"/>
          <w:szCs w:val="24"/>
        </w:rPr>
        <w:t xml:space="preserve"> </w:t>
      </w:r>
    </w:p>
    <w:p w14:paraId="1D2F6DD0" w14:textId="77777777" w:rsidR="00CD7986" w:rsidRPr="00637780" w:rsidRDefault="00CD7986" w:rsidP="00D5259B">
      <w:pPr>
        <w:pStyle w:val="Heading2"/>
      </w:pPr>
      <w:bookmarkStart w:id="38" w:name="_Toc161578531"/>
      <w:r w:rsidRPr="00637780">
        <w:t>The Lack of Research on Contextual Factors</w:t>
      </w:r>
      <w:bookmarkEnd w:id="38"/>
    </w:p>
    <w:p w14:paraId="3F948CCB" w14:textId="5199FAE4" w:rsidR="00CD7986" w:rsidRPr="00644B88" w:rsidRDefault="00CD7986"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While</w:t>
      </w:r>
      <w:r w:rsidR="008B12A9">
        <w:rPr>
          <w:rFonts w:asciiTheme="majorBidi" w:hAnsiTheme="majorBidi" w:cstheme="majorBidi"/>
          <w:sz w:val="24"/>
          <w:szCs w:val="24"/>
        </w:rPr>
        <w:t xml:space="preserve"> as suggested</w:t>
      </w:r>
      <w:r w:rsidRPr="00644B88">
        <w:rPr>
          <w:rFonts w:asciiTheme="majorBidi" w:hAnsiTheme="majorBidi" w:cstheme="majorBidi"/>
          <w:sz w:val="24"/>
          <w:szCs w:val="24"/>
        </w:rPr>
        <w:t xml:space="preserve"> the literature on voluntary compliance is vast</w:t>
      </w:r>
      <w:r w:rsidR="008B12A9">
        <w:rPr>
          <w:rFonts w:asciiTheme="majorBidi" w:hAnsiTheme="majorBidi" w:cstheme="majorBidi"/>
          <w:sz w:val="24"/>
          <w:szCs w:val="24"/>
        </w:rPr>
        <w:t xml:space="preserve"> and is related to many different literatures</w:t>
      </w:r>
      <w:r w:rsidRPr="00644B88">
        <w:rPr>
          <w:rFonts w:asciiTheme="majorBidi" w:hAnsiTheme="majorBidi" w:cstheme="majorBidi"/>
          <w:sz w:val="24"/>
          <w:szCs w:val="24"/>
        </w:rPr>
        <w:t>, it fails dramatically in its ability to generalize beyond the specific context being studied. There are indeed quite a number of predictors indicating that in a given regulatory context, more lenient regulatory measures are likely to be at least as effective as more coercive ones. It is known that the efficacy of voluntary compliance is based upon numerous indicators, such as cultural and social norms, personality, institutions, characteristics of the regulatory environment, and more. However, there is limited data about how these factors interact, which thus limits the ability of regulators to identify the situations in which less coercive measures are more likely to be effective. For example, it is known that in certain countries, people can be trusted to pay their public transportation fares without coercion.</w:t>
      </w:r>
      <w:r w:rsidRPr="00644B88">
        <w:rPr>
          <w:rStyle w:val="FootnoteReference"/>
          <w:rFonts w:asciiTheme="majorBidi" w:hAnsiTheme="majorBidi" w:cstheme="majorBidi"/>
          <w:sz w:val="24"/>
          <w:szCs w:val="24"/>
        </w:rPr>
        <w:footnoteReference w:id="123"/>
      </w:r>
      <w:r w:rsidRPr="00644B88">
        <w:rPr>
          <w:rFonts w:asciiTheme="majorBidi" w:hAnsiTheme="majorBidi" w:cstheme="majorBidi"/>
          <w:sz w:val="24"/>
          <w:szCs w:val="24"/>
        </w:rPr>
        <w:t xml:space="preserve"> </w:t>
      </w:r>
      <w:r w:rsidR="00736E55">
        <w:rPr>
          <w:rFonts w:asciiTheme="majorBidi" w:hAnsiTheme="majorBidi" w:cstheme="majorBidi"/>
          <w:sz w:val="24"/>
          <w:szCs w:val="24"/>
        </w:rPr>
        <w:t xml:space="preserve">The problem is that these anecdotal </w:t>
      </w:r>
      <w:r w:rsidRPr="00644B88">
        <w:rPr>
          <w:rFonts w:asciiTheme="majorBidi" w:hAnsiTheme="majorBidi" w:cstheme="majorBidi"/>
          <w:sz w:val="24"/>
          <w:szCs w:val="24"/>
        </w:rPr>
        <w:lastRenderedPageBreak/>
        <w:t>findings</w:t>
      </w:r>
      <w:r w:rsidR="00736E55">
        <w:rPr>
          <w:rFonts w:asciiTheme="majorBidi" w:hAnsiTheme="majorBidi" w:cstheme="majorBidi"/>
          <w:sz w:val="24"/>
          <w:szCs w:val="24"/>
        </w:rPr>
        <w:t xml:space="preserve"> are not consistent and hence</w:t>
      </w:r>
      <w:r w:rsidRPr="00644B88">
        <w:rPr>
          <w:rFonts w:asciiTheme="majorBidi" w:hAnsiTheme="majorBidi" w:cstheme="majorBidi"/>
          <w:sz w:val="24"/>
          <w:szCs w:val="24"/>
        </w:rPr>
        <w:t xml:space="preserve"> offer little to no evidence about what mechanisms drive the success of this voluntary compliance, and thus offer no guidance as to how similar trust-based systems might work in other countries or contexts.</w:t>
      </w:r>
    </w:p>
    <w:p w14:paraId="37B6A8D2" w14:textId="1F3E18E2" w:rsidR="00A30D53" w:rsidRPr="00637780" w:rsidRDefault="00D5259B" w:rsidP="00D5259B">
      <w:pPr>
        <w:pStyle w:val="Heading2"/>
      </w:pPr>
      <w:bookmarkStart w:id="39" w:name="_Toc161578532"/>
      <w:r>
        <w:t xml:space="preserve">Could </w:t>
      </w:r>
      <w:r w:rsidR="00A30D53" w:rsidRPr="00637780">
        <w:t xml:space="preserve">nudges </w:t>
      </w:r>
      <w:r>
        <w:t>be counted as</w:t>
      </w:r>
      <w:r w:rsidR="00A30D53" w:rsidRPr="00637780">
        <w:t xml:space="preserve"> voluntary compliance</w:t>
      </w:r>
      <w:bookmarkEnd w:id="39"/>
      <w:r w:rsidR="00A30D53" w:rsidRPr="00637780">
        <w:t xml:space="preserve"> </w:t>
      </w:r>
    </w:p>
    <w:p w14:paraId="09CBE39C" w14:textId="023A2F03" w:rsidR="00736E55" w:rsidRDefault="002A3A12" w:rsidP="00D942F8">
      <w:pPr>
        <w:rPr>
          <w:rFonts w:asciiTheme="majorBidi" w:hAnsiTheme="majorBidi" w:cstheme="majorBidi"/>
          <w:sz w:val="24"/>
          <w:szCs w:val="24"/>
        </w:rPr>
      </w:pPr>
      <w:r>
        <w:rPr>
          <w:rFonts w:asciiTheme="majorBidi" w:hAnsiTheme="majorBidi" w:cstheme="majorBidi"/>
          <w:sz w:val="24"/>
          <w:szCs w:val="24"/>
        </w:rPr>
        <w:t xml:space="preserve">Another </w:t>
      </w:r>
      <w:r w:rsidR="00746878">
        <w:rPr>
          <w:rFonts w:asciiTheme="majorBidi" w:hAnsiTheme="majorBidi" w:cstheme="majorBidi"/>
          <w:sz w:val="24"/>
          <w:szCs w:val="24"/>
        </w:rPr>
        <w:t>regulatory approach</w:t>
      </w:r>
      <w:r>
        <w:rPr>
          <w:rFonts w:asciiTheme="majorBidi" w:hAnsiTheme="majorBidi" w:cstheme="majorBidi"/>
          <w:sz w:val="24"/>
          <w:szCs w:val="24"/>
        </w:rPr>
        <w:t xml:space="preserve">, which will be discussed more extensively in </w:t>
      </w:r>
      <w:r w:rsidR="009850F5">
        <w:rPr>
          <w:rFonts w:asciiTheme="majorBidi" w:hAnsiTheme="majorBidi" w:cstheme="majorBidi"/>
          <w:sz w:val="24"/>
          <w:szCs w:val="24"/>
        </w:rPr>
        <w:t xml:space="preserve">chapter 2 and 3 is related to </w:t>
      </w:r>
      <w:proofErr w:type="gramStart"/>
      <w:r w:rsidR="009850F5">
        <w:rPr>
          <w:rFonts w:asciiTheme="majorBidi" w:hAnsiTheme="majorBidi" w:cstheme="majorBidi"/>
          <w:sz w:val="24"/>
          <w:szCs w:val="24"/>
        </w:rPr>
        <w:t>role</w:t>
      </w:r>
      <w:proofErr w:type="gramEnd"/>
      <w:r w:rsidR="009850F5">
        <w:rPr>
          <w:rFonts w:asciiTheme="majorBidi" w:hAnsiTheme="majorBidi" w:cstheme="majorBidi"/>
          <w:sz w:val="24"/>
          <w:szCs w:val="24"/>
        </w:rPr>
        <w:t xml:space="preserve"> of nudges in shifting peoples' behavior. </w:t>
      </w:r>
      <w:r w:rsidR="00D942F8">
        <w:rPr>
          <w:rFonts w:asciiTheme="majorBidi" w:hAnsiTheme="majorBidi" w:cstheme="majorBidi"/>
          <w:sz w:val="24"/>
          <w:szCs w:val="24"/>
        </w:rPr>
        <w:t xml:space="preserve">Much of the original research regarding nudges was related to </w:t>
      </w:r>
      <w:r w:rsidR="002C457F">
        <w:rPr>
          <w:rFonts w:asciiTheme="majorBidi" w:hAnsiTheme="majorBidi" w:cstheme="majorBidi"/>
          <w:sz w:val="24"/>
          <w:szCs w:val="24"/>
        </w:rPr>
        <w:t>the notion of how they are not paternalistic despite being used in the early days to areas such as nutrition, consumerism and long terms saving</w:t>
      </w:r>
      <w:r w:rsidR="002C457F">
        <w:rPr>
          <w:rStyle w:val="FootnoteReference"/>
          <w:rFonts w:asciiTheme="majorBidi" w:hAnsiTheme="majorBidi" w:cstheme="majorBidi"/>
          <w:sz w:val="24"/>
          <w:szCs w:val="24"/>
        </w:rPr>
        <w:footnoteReference w:id="124"/>
      </w:r>
      <w:r w:rsidR="002C457F">
        <w:rPr>
          <w:rFonts w:asciiTheme="majorBidi" w:hAnsiTheme="majorBidi" w:cstheme="majorBidi"/>
          <w:sz w:val="24"/>
          <w:szCs w:val="24"/>
        </w:rPr>
        <w:t xml:space="preserve">. </w:t>
      </w:r>
      <w:r w:rsidR="00736E55">
        <w:rPr>
          <w:rFonts w:asciiTheme="majorBidi" w:hAnsiTheme="majorBidi" w:cstheme="majorBidi"/>
          <w:sz w:val="24"/>
          <w:szCs w:val="24"/>
        </w:rPr>
        <w:t>N</w:t>
      </w:r>
      <w:r w:rsidR="00736E55" w:rsidRPr="00637780">
        <w:rPr>
          <w:rFonts w:asciiTheme="majorBidi" w:hAnsiTheme="majorBidi" w:cstheme="majorBidi"/>
          <w:sz w:val="24"/>
          <w:szCs w:val="24"/>
        </w:rPr>
        <w:t>udges are perceived as a tool that maintains people’s freedom of choice</w:t>
      </w:r>
      <w:r w:rsidR="00736E55">
        <w:rPr>
          <w:rFonts w:asciiTheme="majorBidi" w:hAnsiTheme="majorBidi" w:cstheme="majorBidi"/>
          <w:sz w:val="24"/>
          <w:szCs w:val="24"/>
        </w:rPr>
        <w:t xml:space="preserve"> and </w:t>
      </w:r>
      <w:r w:rsidR="00736E55" w:rsidRPr="00637780">
        <w:rPr>
          <w:rFonts w:asciiTheme="majorBidi" w:hAnsiTheme="majorBidi" w:cstheme="majorBidi"/>
          <w:sz w:val="24"/>
          <w:szCs w:val="24"/>
        </w:rPr>
        <w:t>the fact that they are employed with limited awareness by the public could potentially lead to their being viewed as a more sophisticated form of coercion.</w:t>
      </w:r>
      <w:r w:rsidR="00736E55" w:rsidRPr="00637780">
        <w:rPr>
          <w:rStyle w:val="FootnoteReference"/>
          <w:rFonts w:asciiTheme="majorBidi" w:hAnsiTheme="majorBidi" w:cstheme="majorBidi"/>
          <w:sz w:val="24"/>
          <w:szCs w:val="24"/>
        </w:rPr>
        <w:footnoteReference w:id="125"/>
      </w:r>
      <w:r w:rsidR="00736E55" w:rsidRPr="00637780">
        <w:rPr>
          <w:rFonts w:asciiTheme="majorBidi" w:hAnsiTheme="majorBidi" w:cstheme="majorBidi"/>
          <w:sz w:val="24"/>
          <w:szCs w:val="24"/>
        </w:rPr>
        <w:t xml:space="preserve"> The salience of this literature in the context of </w:t>
      </w:r>
      <w:r w:rsidR="00736E55">
        <w:rPr>
          <w:rFonts w:asciiTheme="majorBidi" w:hAnsiTheme="majorBidi" w:cstheme="majorBidi"/>
          <w:sz w:val="24"/>
          <w:szCs w:val="24"/>
        </w:rPr>
        <w:t>compliance research</w:t>
      </w:r>
      <w:r w:rsidR="00736E55" w:rsidRPr="00637780">
        <w:rPr>
          <w:rFonts w:asciiTheme="majorBidi" w:hAnsiTheme="majorBidi" w:cstheme="majorBidi"/>
          <w:sz w:val="24"/>
          <w:szCs w:val="24"/>
        </w:rPr>
        <w:t xml:space="preserve"> is that it unravels many of the dichotomies usually seen in the regulation literature, whereby government either attempts to focus on external factors, such as prices, or on internal factors, such as morality.</w:t>
      </w:r>
      <w:r w:rsidR="00736E55" w:rsidRPr="00637780">
        <w:rPr>
          <w:rStyle w:val="FootnoteReference"/>
          <w:rFonts w:asciiTheme="majorBidi" w:hAnsiTheme="majorBidi" w:cstheme="majorBidi"/>
          <w:sz w:val="24"/>
          <w:szCs w:val="24"/>
        </w:rPr>
        <w:footnoteReference w:id="126"/>
      </w:r>
      <w:r w:rsidR="00736E55" w:rsidRPr="00637780">
        <w:rPr>
          <w:rFonts w:asciiTheme="majorBidi" w:hAnsiTheme="majorBidi" w:cstheme="majorBidi"/>
          <w:sz w:val="24"/>
          <w:szCs w:val="24"/>
        </w:rPr>
        <w:t xml:space="preserve"> </w:t>
      </w:r>
    </w:p>
    <w:p w14:paraId="310C1967" w14:textId="77777777" w:rsidR="00736E55" w:rsidRDefault="00736E55" w:rsidP="00736E55">
      <w:pPr>
        <w:rPr>
          <w:rFonts w:asciiTheme="majorBidi" w:hAnsiTheme="majorBidi" w:cstheme="majorBidi"/>
          <w:sz w:val="24"/>
          <w:szCs w:val="24"/>
        </w:rPr>
      </w:pPr>
      <w:r>
        <w:rPr>
          <w:rFonts w:asciiTheme="majorBidi" w:hAnsiTheme="majorBidi" w:cstheme="majorBidi"/>
          <w:sz w:val="24"/>
          <w:szCs w:val="24"/>
        </w:rPr>
        <w:t>On one hand, the whole debate around liberal paternalism</w:t>
      </w:r>
      <w:r>
        <w:rPr>
          <w:rStyle w:val="FootnoteReference"/>
          <w:rFonts w:asciiTheme="majorBidi" w:hAnsiTheme="majorBidi" w:cstheme="majorBidi"/>
          <w:sz w:val="24"/>
          <w:szCs w:val="24"/>
        </w:rPr>
        <w:footnoteReference w:id="127"/>
      </w:r>
      <w:r>
        <w:rPr>
          <w:rFonts w:asciiTheme="majorBidi" w:hAnsiTheme="majorBidi" w:cstheme="majorBidi"/>
          <w:sz w:val="24"/>
          <w:szCs w:val="24"/>
        </w:rPr>
        <w:t>, is based on the argument that people are free to choose and that nudges do not force them to choose what to do</w:t>
      </w:r>
      <w:r>
        <w:rPr>
          <w:rStyle w:val="FootnoteReference"/>
          <w:rFonts w:asciiTheme="majorBidi" w:hAnsiTheme="majorBidi" w:cstheme="majorBidi"/>
          <w:sz w:val="24"/>
          <w:szCs w:val="24"/>
        </w:rPr>
        <w:footnoteReference w:id="128"/>
      </w:r>
      <w:r>
        <w:rPr>
          <w:rFonts w:asciiTheme="majorBidi" w:hAnsiTheme="majorBidi" w:cstheme="majorBidi"/>
          <w:sz w:val="24"/>
          <w:szCs w:val="24"/>
        </w:rPr>
        <w:t>. On the other hand, much of the research on the mindlessness and lack of transparency associated with nudges</w:t>
      </w:r>
      <w:r>
        <w:rPr>
          <w:rStyle w:val="FootnoteReference"/>
          <w:rFonts w:asciiTheme="majorBidi" w:hAnsiTheme="majorBidi" w:cstheme="majorBidi"/>
          <w:sz w:val="24"/>
          <w:szCs w:val="24"/>
        </w:rPr>
        <w:footnoteReference w:id="129"/>
      </w:r>
      <w:r>
        <w:rPr>
          <w:rFonts w:asciiTheme="majorBidi" w:hAnsiTheme="majorBidi" w:cstheme="majorBidi"/>
          <w:sz w:val="24"/>
          <w:szCs w:val="24"/>
        </w:rPr>
        <w:t xml:space="preserve"> and with the fact that many nudges, even the basic ones, focus on biases such as status quo could basically seen as supporting a regime with limited deliberation. </w:t>
      </w:r>
    </w:p>
    <w:p w14:paraId="6EE5BC87" w14:textId="2ABF8A6F" w:rsidR="00736E55" w:rsidRDefault="00736E55" w:rsidP="00A30D53">
      <w:pPr>
        <w:rPr>
          <w:rFonts w:asciiTheme="majorBidi" w:hAnsiTheme="majorBidi" w:cstheme="majorBidi"/>
          <w:sz w:val="24"/>
          <w:szCs w:val="24"/>
        </w:rPr>
      </w:pPr>
      <w:r>
        <w:rPr>
          <w:rFonts w:asciiTheme="majorBidi" w:hAnsiTheme="majorBidi" w:cstheme="majorBidi"/>
          <w:sz w:val="24"/>
          <w:szCs w:val="24"/>
        </w:rPr>
        <w:t>Clearly when people are being “</w:t>
      </w:r>
      <w:r w:rsidR="002C457F">
        <w:rPr>
          <w:rFonts w:asciiTheme="majorBidi" w:hAnsiTheme="majorBidi" w:cstheme="majorBidi"/>
          <w:sz w:val="24"/>
          <w:szCs w:val="24"/>
        </w:rPr>
        <w:t xml:space="preserve">gently </w:t>
      </w:r>
      <w:r>
        <w:rPr>
          <w:rFonts w:asciiTheme="majorBidi" w:hAnsiTheme="majorBidi" w:cstheme="majorBidi"/>
          <w:sz w:val="24"/>
          <w:szCs w:val="24"/>
        </w:rPr>
        <w:t xml:space="preserve">pushed” to behave in a certain way </w:t>
      </w:r>
      <w:proofErr w:type="gramStart"/>
      <w:r>
        <w:rPr>
          <w:rFonts w:asciiTheme="majorBidi" w:hAnsiTheme="majorBidi" w:cstheme="majorBidi"/>
          <w:sz w:val="24"/>
          <w:szCs w:val="24"/>
        </w:rPr>
        <w:t>due</w:t>
      </w:r>
      <w:proofErr w:type="gramEnd"/>
      <w:r>
        <w:rPr>
          <w:rFonts w:asciiTheme="majorBidi" w:hAnsiTheme="majorBidi" w:cstheme="majorBidi"/>
          <w:sz w:val="24"/>
          <w:szCs w:val="24"/>
        </w:rPr>
        <w:t xml:space="preserve"> some a default rule choice architecture it is very hard to define whether their compliance motivation is voluntary. When we define voluntary as </w:t>
      </w:r>
      <w:r w:rsidR="007D49C0">
        <w:rPr>
          <w:rFonts w:asciiTheme="majorBidi" w:hAnsiTheme="majorBidi" w:cstheme="majorBidi"/>
          <w:sz w:val="24"/>
          <w:szCs w:val="24"/>
        </w:rPr>
        <w:t>non-coerced</w:t>
      </w:r>
      <w:r>
        <w:rPr>
          <w:rFonts w:asciiTheme="majorBidi" w:hAnsiTheme="majorBidi" w:cstheme="majorBidi"/>
          <w:sz w:val="24"/>
          <w:szCs w:val="24"/>
        </w:rPr>
        <w:t xml:space="preserve">, then clearly behaving in a certain way due to the default rule, doesn’t involve coercion. However, </w:t>
      </w:r>
      <w:r>
        <w:rPr>
          <w:rFonts w:asciiTheme="majorBidi" w:hAnsiTheme="majorBidi" w:cstheme="majorBidi"/>
          <w:sz w:val="24"/>
          <w:szCs w:val="24"/>
        </w:rPr>
        <w:lastRenderedPageBreak/>
        <w:t xml:space="preserve">if people don’t know why they behave in a certain way, </w:t>
      </w:r>
      <w:proofErr w:type="gramStart"/>
      <w:r>
        <w:rPr>
          <w:rFonts w:asciiTheme="majorBidi" w:hAnsiTheme="majorBidi" w:cstheme="majorBidi"/>
          <w:sz w:val="24"/>
          <w:szCs w:val="24"/>
        </w:rPr>
        <w:t>than</w:t>
      </w:r>
      <w:proofErr w:type="gramEnd"/>
      <w:r>
        <w:rPr>
          <w:rFonts w:asciiTheme="majorBidi" w:hAnsiTheme="majorBidi" w:cstheme="majorBidi"/>
          <w:sz w:val="24"/>
          <w:szCs w:val="24"/>
        </w:rPr>
        <w:t xml:space="preserve"> the</w:t>
      </w:r>
      <w:r w:rsidR="007D49C0">
        <w:rPr>
          <w:rFonts w:asciiTheme="majorBidi" w:hAnsiTheme="majorBidi" w:cstheme="majorBidi"/>
          <w:sz w:val="24"/>
          <w:szCs w:val="24"/>
        </w:rPr>
        <w:t>ir self</w:t>
      </w:r>
      <w:r>
        <w:rPr>
          <w:rFonts w:asciiTheme="majorBidi" w:hAnsiTheme="majorBidi" w:cstheme="majorBidi"/>
          <w:sz w:val="24"/>
          <w:szCs w:val="24"/>
        </w:rPr>
        <w:t xml:space="preserve"> perception of voluntary choice is of course </w:t>
      </w:r>
      <w:r w:rsidR="007D49C0">
        <w:rPr>
          <w:rFonts w:asciiTheme="majorBidi" w:hAnsiTheme="majorBidi" w:cstheme="majorBidi"/>
          <w:sz w:val="24"/>
          <w:szCs w:val="24"/>
        </w:rPr>
        <w:t>missing</w:t>
      </w:r>
      <w:r w:rsidR="007D49C0">
        <w:rPr>
          <w:rStyle w:val="FootnoteReference"/>
          <w:rFonts w:asciiTheme="majorBidi" w:hAnsiTheme="majorBidi" w:cstheme="majorBidi"/>
          <w:sz w:val="24"/>
          <w:szCs w:val="24"/>
        </w:rPr>
        <w:footnoteReference w:id="130"/>
      </w:r>
      <w:r>
        <w:rPr>
          <w:rFonts w:asciiTheme="majorBidi" w:hAnsiTheme="majorBidi" w:cstheme="majorBidi"/>
          <w:sz w:val="24"/>
          <w:szCs w:val="24"/>
        </w:rPr>
        <w:t xml:space="preserve">. </w:t>
      </w:r>
      <w:r w:rsidRPr="00637780">
        <w:rPr>
          <w:rFonts w:asciiTheme="majorBidi" w:hAnsiTheme="majorBidi" w:cstheme="majorBidi"/>
          <w:sz w:val="24"/>
          <w:szCs w:val="24"/>
        </w:rPr>
        <w:t xml:space="preserve">  </w:t>
      </w:r>
    </w:p>
    <w:p w14:paraId="7781F164" w14:textId="379D4654" w:rsidR="00A30D53" w:rsidRDefault="007E7AE9" w:rsidP="003F2666">
      <w:pPr>
        <w:rPr>
          <w:rFonts w:asciiTheme="majorBidi" w:hAnsiTheme="majorBidi" w:cstheme="majorBidi"/>
          <w:sz w:val="24"/>
          <w:szCs w:val="24"/>
        </w:rPr>
      </w:pPr>
      <w:r>
        <w:rPr>
          <w:rFonts w:asciiTheme="majorBidi" w:hAnsiTheme="majorBidi" w:cstheme="majorBidi"/>
          <w:sz w:val="24"/>
          <w:szCs w:val="24"/>
        </w:rPr>
        <w:t>At the same time, one cannot ignore the importance of nudges in the process of sanctions and monitoring</w:t>
      </w:r>
      <w:r w:rsidR="00E10C59">
        <w:rPr>
          <w:rFonts w:asciiTheme="majorBidi" w:hAnsiTheme="majorBidi" w:cstheme="majorBidi"/>
          <w:sz w:val="24"/>
          <w:szCs w:val="24"/>
        </w:rPr>
        <w:t xml:space="preserve">-free regulation. </w:t>
      </w:r>
      <w:r w:rsidR="00A30D53" w:rsidRPr="00637780">
        <w:rPr>
          <w:rFonts w:asciiTheme="majorBidi" w:hAnsiTheme="majorBidi" w:cstheme="majorBidi"/>
          <w:sz w:val="24"/>
          <w:szCs w:val="24"/>
        </w:rPr>
        <w:t>Nudges are used in many cases where you cannot use laws</w:t>
      </w:r>
      <w:r w:rsidR="00E10C59">
        <w:rPr>
          <w:rFonts w:asciiTheme="majorBidi" w:hAnsiTheme="majorBidi" w:cstheme="majorBidi"/>
          <w:sz w:val="24"/>
          <w:szCs w:val="24"/>
        </w:rPr>
        <w:t xml:space="preserve">. </w:t>
      </w:r>
      <w:r w:rsidR="00A30D53" w:rsidRPr="00637780">
        <w:rPr>
          <w:rFonts w:asciiTheme="majorBidi" w:hAnsiTheme="majorBidi" w:cstheme="majorBidi"/>
          <w:sz w:val="24"/>
          <w:szCs w:val="24"/>
        </w:rPr>
        <w:t>to boost vaccination,</w:t>
      </w:r>
      <w:r w:rsidR="00E10C59">
        <w:rPr>
          <w:rFonts w:asciiTheme="majorBidi" w:hAnsiTheme="majorBidi" w:cstheme="majorBidi"/>
          <w:sz w:val="24"/>
          <w:szCs w:val="24"/>
        </w:rPr>
        <w:t xml:space="preserve"> encourage</w:t>
      </w:r>
      <w:r w:rsidR="00A30D53" w:rsidRPr="00637780">
        <w:rPr>
          <w:rFonts w:asciiTheme="majorBidi" w:hAnsiTheme="majorBidi" w:cstheme="majorBidi"/>
          <w:sz w:val="24"/>
          <w:szCs w:val="24"/>
        </w:rPr>
        <w:t xml:space="preserve"> organ donation, diet and long term saving</w:t>
      </w:r>
      <w:r w:rsidR="003F2666">
        <w:rPr>
          <w:rFonts w:asciiTheme="majorBidi" w:hAnsiTheme="majorBidi" w:cstheme="majorBidi"/>
          <w:sz w:val="24"/>
          <w:szCs w:val="24"/>
        </w:rPr>
        <w:t xml:space="preserve">, laws are naturally less likely to work in context where the preservation of </w:t>
      </w:r>
      <w:r w:rsidR="004732AD">
        <w:rPr>
          <w:rStyle w:val="FootnoteReference"/>
          <w:rFonts w:asciiTheme="majorBidi" w:hAnsiTheme="majorBidi" w:cstheme="majorBidi"/>
          <w:sz w:val="24"/>
          <w:szCs w:val="24"/>
        </w:rPr>
        <w:footnoteReference w:id="131"/>
      </w:r>
      <w:r w:rsidR="003F2666">
        <w:rPr>
          <w:rFonts w:asciiTheme="majorBidi" w:hAnsiTheme="majorBidi" w:cstheme="majorBidi"/>
          <w:sz w:val="24"/>
          <w:szCs w:val="24"/>
        </w:rPr>
        <w:t xml:space="preserve">choice is crucial. Nonetheless, it is increasingly used in areas where it is possible </w:t>
      </w:r>
      <w:proofErr w:type="gramStart"/>
      <w:r w:rsidR="003F2666">
        <w:rPr>
          <w:rFonts w:asciiTheme="majorBidi" w:hAnsiTheme="majorBidi" w:cstheme="majorBidi"/>
          <w:sz w:val="24"/>
          <w:szCs w:val="24"/>
        </w:rPr>
        <w:t>to</w:t>
      </w:r>
      <w:proofErr w:type="gramEnd"/>
      <w:r w:rsidR="003F2666">
        <w:rPr>
          <w:rFonts w:asciiTheme="majorBidi" w:hAnsiTheme="majorBidi" w:cstheme="majorBidi"/>
          <w:sz w:val="24"/>
          <w:szCs w:val="24"/>
        </w:rPr>
        <w:t xml:space="preserve"> </w:t>
      </w:r>
      <w:r w:rsidR="00A30D53" w:rsidRPr="00637780">
        <w:rPr>
          <w:rFonts w:asciiTheme="majorBidi" w:hAnsiTheme="majorBidi" w:cstheme="majorBidi"/>
          <w:sz w:val="24"/>
          <w:szCs w:val="24"/>
        </w:rPr>
        <w:t>but nudges are increasingly used in contexts such as employment discrimination</w:t>
      </w:r>
      <w:r w:rsidR="007D49C0">
        <w:rPr>
          <w:rStyle w:val="FootnoteReference"/>
          <w:rFonts w:asciiTheme="majorBidi" w:hAnsiTheme="majorBidi" w:cstheme="majorBidi"/>
          <w:sz w:val="24"/>
          <w:szCs w:val="24"/>
        </w:rPr>
        <w:footnoteReference w:id="132"/>
      </w:r>
      <w:r w:rsidR="00A30D53" w:rsidRPr="00637780">
        <w:rPr>
          <w:rFonts w:asciiTheme="majorBidi" w:hAnsiTheme="majorBidi" w:cstheme="majorBidi"/>
          <w:sz w:val="24"/>
          <w:szCs w:val="24"/>
        </w:rPr>
        <w:t xml:space="preserve"> or tax compliance</w:t>
      </w:r>
      <w:r w:rsidR="007D49C0">
        <w:rPr>
          <w:rStyle w:val="FootnoteReference"/>
          <w:rFonts w:asciiTheme="majorBidi" w:hAnsiTheme="majorBidi" w:cstheme="majorBidi"/>
          <w:sz w:val="24"/>
          <w:szCs w:val="24"/>
        </w:rPr>
        <w:footnoteReference w:id="133"/>
      </w:r>
      <w:r w:rsidR="003F2666">
        <w:rPr>
          <w:rFonts w:asciiTheme="majorBidi" w:hAnsiTheme="majorBidi" w:cstheme="majorBidi"/>
          <w:sz w:val="24"/>
          <w:szCs w:val="24"/>
        </w:rPr>
        <w:t xml:space="preserve">, where laws could have been used. </w:t>
      </w:r>
    </w:p>
    <w:p w14:paraId="716B182F" w14:textId="590B90C0" w:rsidR="00A30D53" w:rsidRPr="00637780" w:rsidRDefault="003F2666" w:rsidP="003F2666">
      <w:pPr>
        <w:rPr>
          <w:rFonts w:asciiTheme="majorBidi" w:hAnsiTheme="majorBidi" w:cstheme="majorBidi"/>
          <w:sz w:val="24"/>
          <w:szCs w:val="24"/>
        </w:rPr>
      </w:pPr>
      <w:r>
        <w:rPr>
          <w:rFonts w:asciiTheme="majorBidi" w:hAnsiTheme="majorBidi" w:cstheme="majorBidi"/>
          <w:sz w:val="24"/>
          <w:szCs w:val="24"/>
        </w:rPr>
        <w:t xml:space="preserve">In such situation it is important to discuss also the </w:t>
      </w:r>
      <w:r w:rsidR="00A30D53" w:rsidRPr="00637780">
        <w:rPr>
          <w:rFonts w:asciiTheme="majorBidi" w:hAnsiTheme="majorBidi" w:cstheme="majorBidi"/>
          <w:sz w:val="24"/>
          <w:szCs w:val="24"/>
        </w:rPr>
        <w:t>expressive value</w:t>
      </w:r>
      <w:r>
        <w:rPr>
          <w:rFonts w:asciiTheme="majorBidi" w:hAnsiTheme="majorBidi" w:cstheme="majorBidi"/>
          <w:sz w:val="24"/>
          <w:szCs w:val="24"/>
        </w:rPr>
        <w:t>, we use,</w:t>
      </w:r>
      <w:r w:rsidR="00A30D53" w:rsidRPr="00637780">
        <w:rPr>
          <w:rFonts w:asciiTheme="majorBidi" w:hAnsiTheme="majorBidi" w:cstheme="majorBidi"/>
          <w:sz w:val="24"/>
          <w:szCs w:val="24"/>
        </w:rPr>
        <w:t xml:space="preserve"> where we want people not to discriminate not just to hire minorities through some choice architecture</w:t>
      </w:r>
      <w:r w:rsidR="00BC56B4">
        <w:rPr>
          <w:rFonts w:asciiTheme="majorBidi" w:hAnsiTheme="majorBidi" w:cstheme="majorBidi"/>
          <w:sz w:val="24"/>
          <w:szCs w:val="24"/>
        </w:rPr>
        <w:t xml:space="preserve"> modifications</w:t>
      </w:r>
      <w:r w:rsidR="00BC56B4">
        <w:rPr>
          <w:rStyle w:val="FootnoteReference"/>
          <w:rFonts w:asciiTheme="majorBidi" w:hAnsiTheme="majorBidi" w:cstheme="majorBidi"/>
          <w:sz w:val="24"/>
          <w:szCs w:val="24"/>
        </w:rPr>
        <w:footnoteReference w:id="134"/>
      </w:r>
      <w:r>
        <w:rPr>
          <w:rFonts w:asciiTheme="majorBidi" w:hAnsiTheme="majorBidi" w:cstheme="majorBidi"/>
          <w:sz w:val="24"/>
          <w:szCs w:val="24"/>
        </w:rPr>
        <w:t xml:space="preserve">. </w:t>
      </w:r>
      <w:proofErr w:type="gramStart"/>
      <w:r>
        <w:rPr>
          <w:rFonts w:asciiTheme="majorBidi" w:hAnsiTheme="majorBidi" w:cstheme="majorBidi"/>
          <w:sz w:val="24"/>
          <w:szCs w:val="24"/>
        </w:rPr>
        <w:t>S</w:t>
      </w:r>
      <w:r w:rsidR="00A30D53" w:rsidRPr="00637780">
        <w:rPr>
          <w:rFonts w:asciiTheme="majorBidi" w:hAnsiTheme="majorBidi" w:cstheme="majorBidi"/>
          <w:sz w:val="24"/>
          <w:szCs w:val="24"/>
        </w:rPr>
        <w:t>o</w:t>
      </w:r>
      <w:proofErr w:type="gramEnd"/>
      <w:r w:rsidR="00A30D53" w:rsidRPr="00637780">
        <w:rPr>
          <w:rFonts w:asciiTheme="majorBidi" w:hAnsiTheme="majorBidi" w:cstheme="majorBidi"/>
          <w:sz w:val="24"/>
          <w:szCs w:val="24"/>
        </w:rPr>
        <w:t xml:space="preserve"> in areas where we have no alternative</w:t>
      </w:r>
      <w:r w:rsidR="00150476" w:rsidRPr="00637780">
        <w:rPr>
          <w:rFonts w:asciiTheme="majorBidi" w:hAnsiTheme="majorBidi" w:cstheme="majorBidi"/>
          <w:sz w:val="24"/>
          <w:szCs w:val="24"/>
        </w:rPr>
        <w:t xml:space="preserve">, nudges are obviously better than simply </w:t>
      </w:r>
      <w:proofErr w:type="gramStart"/>
      <w:r w:rsidR="00150476" w:rsidRPr="00637780">
        <w:rPr>
          <w:rFonts w:asciiTheme="majorBidi" w:hAnsiTheme="majorBidi" w:cstheme="majorBidi"/>
          <w:sz w:val="24"/>
          <w:szCs w:val="24"/>
        </w:rPr>
        <w:t>ask</w:t>
      </w:r>
      <w:proofErr w:type="gramEnd"/>
      <w:r w:rsidR="00150476" w:rsidRPr="00637780">
        <w:rPr>
          <w:rFonts w:asciiTheme="majorBidi" w:hAnsiTheme="majorBidi" w:cstheme="majorBidi"/>
          <w:sz w:val="24"/>
          <w:szCs w:val="24"/>
        </w:rPr>
        <w:t xml:space="preserve"> the public to do it nicely</w:t>
      </w:r>
      <w:r w:rsidR="00AD134F">
        <w:rPr>
          <w:rFonts w:asciiTheme="majorBidi" w:hAnsiTheme="majorBidi" w:cstheme="majorBidi"/>
          <w:sz w:val="24"/>
          <w:szCs w:val="24"/>
        </w:rPr>
        <w:t xml:space="preserve">. However, we </w:t>
      </w:r>
      <w:proofErr w:type="gramStart"/>
      <w:r w:rsidR="00AD134F">
        <w:rPr>
          <w:rFonts w:asciiTheme="majorBidi" w:hAnsiTheme="majorBidi" w:cstheme="majorBidi"/>
          <w:sz w:val="24"/>
          <w:szCs w:val="24"/>
        </w:rPr>
        <w:t>have to</w:t>
      </w:r>
      <w:proofErr w:type="gramEnd"/>
      <w:r w:rsidR="00AD134F">
        <w:rPr>
          <w:rFonts w:asciiTheme="majorBidi" w:hAnsiTheme="majorBidi" w:cstheme="majorBidi"/>
          <w:sz w:val="24"/>
          <w:szCs w:val="24"/>
        </w:rPr>
        <w:t xml:space="preserve"> recognize from the perspective of the book, which is interested in long term effect on compliance, </w:t>
      </w:r>
      <w:r w:rsidR="00EC18E9">
        <w:rPr>
          <w:rFonts w:asciiTheme="majorBidi" w:hAnsiTheme="majorBidi" w:cstheme="majorBidi"/>
          <w:sz w:val="24"/>
          <w:szCs w:val="24"/>
        </w:rPr>
        <w:t>short term compliance which is achieved thorough nudges has its limitations</w:t>
      </w:r>
      <w:r w:rsidR="00EC18E9">
        <w:rPr>
          <w:rStyle w:val="FootnoteReference"/>
          <w:rFonts w:asciiTheme="majorBidi" w:hAnsiTheme="majorBidi" w:cstheme="majorBidi"/>
          <w:sz w:val="24"/>
          <w:szCs w:val="24"/>
        </w:rPr>
        <w:footnoteReference w:id="135"/>
      </w:r>
      <w:r w:rsidR="00EC18E9">
        <w:rPr>
          <w:rFonts w:asciiTheme="majorBidi" w:hAnsiTheme="majorBidi" w:cstheme="majorBidi"/>
          <w:sz w:val="24"/>
          <w:szCs w:val="24"/>
        </w:rPr>
        <w:t>.</w:t>
      </w:r>
    </w:p>
    <w:p w14:paraId="4CC131EE" w14:textId="73ACF2F5" w:rsidR="00B80AD1" w:rsidRPr="00637780" w:rsidRDefault="003F2666" w:rsidP="00A30D53">
      <w:pPr>
        <w:rPr>
          <w:rFonts w:asciiTheme="majorBidi" w:hAnsiTheme="majorBidi" w:cstheme="majorBidi"/>
          <w:sz w:val="24"/>
          <w:szCs w:val="24"/>
        </w:rPr>
      </w:pPr>
      <w:proofErr w:type="gramStart"/>
      <w:r>
        <w:rPr>
          <w:rFonts w:asciiTheme="majorBidi" w:hAnsiTheme="majorBidi" w:cstheme="majorBidi"/>
          <w:sz w:val="24"/>
          <w:szCs w:val="24"/>
        </w:rPr>
        <w:t>Indeed</w:t>
      </w:r>
      <w:proofErr w:type="gramEnd"/>
      <w:r>
        <w:rPr>
          <w:rFonts w:asciiTheme="majorBidi" w:hAnsiTheme="majorBidi" w:cstheme="majorBidi"/>
          <w:sz w:val="24"/>
          <w:szCs w:val="24"/>
        </w:rPr>
        <w:t xml:space="preserve"> in recent years behavioral public policy scholar</w:t>
      </w:r>
      <w:r w:rsidR="004732AD">
        <w:rPr>
          <w:rFonts w:asciiTheme="majorBidi" w:hAnsiTheme="majorBidi" w:cstheme="majorBidi"/>
          <w:sz w:val="24"/>
          <w:szCs w:val="24"/>
        </w:rPr>
        <w:t>s</w:t>
      </w:r>
      <w:r>
        <w:rPr>
          <w:rFonts w:asciiTheme="majorBidi" w:hAnsiTheme="majorBidi" w:cstheme="majorBidi"/>
          <w:sz w:val="24"/>
          <w:szCs w:val="24"/>
        </w:rPr>
        <w:t xml:space="preserve"> have discussed agency p</w:t>
      </w:r>
      <w:r w:rsidR="00577B7F">
        <w:rPr>
          <w:rFonts w:asciiTheme="majorBidi" w:hAnsiTheme="majorBidi" w:cstheme="majorBidi"/>
          <w:sz w:val="24"/>
          <w:szCs w:val="24"/>
        </w:rPr>
        <w:t>reserving nudges such as the nudge plus approach</w:t>
      </w:r>
      <w:r w:rsidR="004732AD">
        <w:rPr>
          <w:rStyle w:val="FootnoteReference"/>
          <w:rFonts w:asciiTheme="majorBidi" w:hAnsiTheme="majorBidi" w:cstheme="majorBidi"/>
          <w:sz w:val="24"/>
          <w:szCs w:val="24"/>
        </w:rPr>
        <w:footnoteReference w:id="136"/>
      </w:r>
      <w:r w:rsidR="00577B7F">
        <w:rPr>
          <w:rFonts w:asciiTheme="majorBidi" w:hAnsiTheme="majorBidi" w:cstheme="majorBidi"/>
          <w:sz w:val="24"/>
          <w:szCs w:val="24"/>
        </w:rPr>
        <w:t xml:space="preserve"> were discussed</w:t>
      </w:r>
      <w:r w:rsidR="009A285E">
        <w:rPr>
          <w:rFonts w:asciiTheme="majorBidi" w:hAnsiTheme="majorBidi" w:cstheme="majorBidi"/>
          <w:sz w:val="24"/>
          <w:szCs w:val="24"/>
        </w:rPr>
        <w:t>, as a way</w:t>
      </w:r>
      <w:r w:rsidR="00B80AD1" w:rsidRPr="00637780">
        <w:rPr>
          <w:rFonts w:asciiTheme="majorBidi" w:hAnsiTheme="majorBidi" w:cstheme="majorBidi"/>
          <w:sz w:val="24"/>
          <w:szCs w:val="24"/>
        </w:rPr>
        <w:t xml:space="preserve"> to enhance </w:t>
      </w:r>
      <w:r w:rsidR="00050AFC" w:rsidRPr="00637780">
        <w:rPr>
          <w:rFonts w:asciiTheme="majorBidi" w:hAnsiTheme="majorBidi" w:cstheme="majorBidi"/>
          <w:sz w:val="24"/>
          <w:szCs w:val="24"/>
        </w:rPr>
        <w:t xml:space="preserve">peoples’ reflection following the nudge, this might enhance our ability to </w:t>
      </w:r>
      <w:r w:rsidR="009A285E">
        <w:rPr>
          <w:rFonts w:asciiTheme="majorBidi" w:hAnsiTheme="majorBidi" w:cstheme="majorBidi"/>
          <w:sz w:val="24"/>
          <w:szCs w:val="24"/>
        </w:rPr>
        <w:t xml:space="preserve">combine the efficacy of nudges with some advantages, with regard to </w:t>
      </w:r>
      <w:r w:rsidR="00EC18E9">
        <w:rPr>
          <w:rFonts w:asciiTheme="majorBidi" w:hAnsiTheme="majorBidi" w:cstheme="majorBidi"/>
          <w:sz w:val="24"/>
          <w:szCs w:val="24"/>
        </w:rPr>
        <w:t xml:space="preserve">a process of reflection and internalization.  </w:t>
      </w:r>
      <w:r w:rsidR="00050AFC" w:rsidRPr="00637780">
        <w:rPr>
          <w:rFonts w:asciiTheme="majorBidi" w:hAnsiTheme="majorBidi" w:cstheme="majorBidi"/>
          <w:sz w:val="24"/>
          <w:szCs w:val="24"/>
        </w:rPr>
        <w:t xml:space="preserve"> </w:t>
      </w:r>
    </w:p>
    <w:p w14:paraId="0F1B534B" w14:textId="77777777" w:rsidR="00150476" w:rsidRPr="00637780" w:rsidRDefault="00150476" w:rsidP="00A30D53">
      <w:pPr>
        <w:rPr>
          <w:rFonts w:asciiTheme="majorBidi" w:hAnsiTheme="majorBidi" w:cstheme="majorBidi"/>
          <w:sz w:val="24"/>
          <w:szCs w:val="24"/>
        </w:rPr>
      </w:pPr>
    </w:p>
    <w:p w14:paraId="40EA257B" w14:textId="77777777" w:rsidR="00CD7986" w:rsidRPr="00637780" w:rsidRDefault="00CD7986" w:rsidP="00D5259B">
      <w:pPr>
        <w:pStyle w:val="Heading2"/>
      </w:pPr>
      <w:bookmarkStart w:id="40" w:name="_Toc161578533"/>
      <w:r w:rsidRPr="00637780">
        <w:t>Responsive Regulation</w:t>
      </w:r>
      <w:r w:rsidRPr="00637780">
        <w:rPr>
          <w:vertAlign w:val="superscript"/>
        </w:rPr>
        <w:footnoteReference w:id="137"/>
      </w:r>
      <w:r w:rsidRPr="00637780">
        <w:rPr>
          <w:vertAlign w:val="superscript"/>
        </w:rPr>
        <w:t xml:space="preserve"> </w:t>
      </w:r>
      <w:r w:rsidRPr="00637780">
        <w:t>and the Challenge of the Heterogeneity of Intrinsic Motivation</w:t>
      </w:r>
      <w:bookmarkEnd w:id="40"/>
    </w:p>
    <w:p w14:paraId="71ACC270" w14:textId="1E312012" w:rsidR="00CD7986" w:rsidRPr="00644B88" w:rsidRDefault="00CD7986"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 xml:space="preserve">An important paradigm with which </w:t>
      </w:r>
      <w:r w:rsidR="00584CC2">
        <w:rPr>
          <w:rFonts w:asciiTheme="majorBidi" w:hAnsiTheme="majorBidi" w:cstheme="majorBidi"/>
          <w:sz w:val="24"/>
          <w:szCs w:val="24"/>
        </w:rPr>
        <w:t xml:space="preserve">any behavioral approach recognizes is related to responsive regulation which takes into account behavioral predictions combined </w:t>
      </w:r>
      <w:proofErr w:type="gramStart"/>
      <w:r w:rsidR="00584CC2">
        <w:rPr>
          <w:rFonts w:asciiTheme="majorBidi" w:hAnsiTheme="majorBidi" w:cstheme="majorBidi"/>
          <w:sz w:val="24"/>
          <w:szCs w:val="24"/>
        </w:rPr>
        <w:t xml:space="preserve">with  </w:t>
      </w:r>
      <w:r w:rsidRPr="00644B88">
        <w:rPr>
          <w:rFonts w:asciiTheme="majorBidi" w:hAnsiTheme="majorBidi" w:cstheme="majorBidi"/>
          <w:sz w:val="24"/>
          <w:szCs w:val="24"/>
        </w:rPr>
        <w:t>,</w:t>
      </w:r>
      <w:proofErr w:type="gramEnd"/>
      <w:r w:rsidRPr="00644B88">
        <w:rPr>
          <w:rFonts w:asciiTheme="majorBidi" w:hAnsiTheme="majorBidi" w:cstheme="majorBidi"/>
          <w:sz w:val="24"/>
          <w:szCs w:val="24"/>
        </w:rPr>
        <w:t xml:space="preserve"> </w:t>
      </w:r>
      <w:r w:rsidRPr="00644B88">
        <w:rPr>
          <w:rFonts w:asciiTheme="majorBidi" w:hAnsiTheme="majorBidi" w:cstheme="majorBidi"/>
          <w:sz w:val="24"/>
          <w:szCs w:val="24"/>
        </w:rPr>
        <w:lastRenderedPageBreak/>
        <w:t xml:space="preserve">which represents the broadest interpretation of a regulatory approach, and which is sensitive to the characteristics of the people and organizations requiring regulation. This expansive paradigm is balanced with the recognition of the need to understand that incentives and deterrence are still needed. This kind of analysis can help advance the understanding of the advantages of non-coercive regulation and can underscore the fact that states cannot use identical regulatory measures to deal with different types of people. According to this analysis, states must instead rely on a sequential approach where softer means precedes harsher and harsher steps towards those who refuse to engage in voluntary cooperation. This book will examine </w:t>
      </w:r>
      <w:r w:rsidR="00BC56B4">
        <w:rPr>
          <w:rFonts w:asciiTheme="majorBidi" w:hAnsiTheme="majorBidi" w:cstheme="majorBidi"/>
          <w:sz w:val="24"/>
          <w:szCs w:val="24"/>
        </w:rPr>
        <w:t>some of the aspects of</w:t>
      </w:r>
      <w:r w:rsidRPr="00644B88">
        <w:rPr>
          <w:rFonts w:asciiTheme="majorBidi" w:hAnsiTheme="majorBidi" w:cstheme="majorBidi"/>
          <w:sz w:val="24"/>
          <w:szCs w:val="24"/>
        </w:rPr>
        <w:t xml:space="preserve"> responsive</w:t>
      </w:r>
      <w:r w:rsidR="001D1B9A">
        <w:rPr>
          <w:rFonts w:asciiTheme="majorBidi" w:hAnsiTheme="majorBidi" w:cstheme="majorBidi"/>
          <w:sz w:val="24"/>
          <w:szCs w:val="24"/>
        </w:rPr>
        <w:t xml:space="preserve"> and agile</w:t>
      </w:r>
      <w:r w:rsidRPr="00644B88">
        <w:rPr>
          <w:rFonts w:asciiTheme="majorBidi" w:hAnsiTheme="majorBidi" w:cstheme="majorBidi"/>
          <w:sz w:val="24"/>
          <w:szCs w:val="24"/>
        </w:rPr>
        <w:t xml:space="preserve"> regulation paradigm</w:t>
      </w:r>
      <w:r w:rsidR="001D1B9A">
        <w:rPr>
          <w:rFonts w:asciiTheme="majorBidi" w:hAnsiTheme="majorBidi" w:cstheme="majorBidi"/>
          <w:sz w:val="24"/>
          <w:szCs w:val="24"/>
        </w:rPr>
        <w:t>s</w:t>
      </w:r>
      <w:r w:rsidRPr="00644B88">
        <w:rPr>
          <w:rFonts w:asciiTheme="majorBidi" w:hAnsiTheme="majorBidi" w:cstheme="majorBidi"/>
          <w:sz w:val="24"/>
          <w:szCs w:val="24"/>
        </w:rPr>
        <w:t xml:space="preserve"> </w:t>
      </w:r>
      <w:proofErr w:type="gramStart"/>
      <w:r w:rsidRPr="00644B88">
        <w:rPr>
          <w:rFonts w:asciiTheme="majorBidi" w:hAnsiTheme="majorBidi" w:cstheme="majorBidi"/>
          <w:sz w:val="24"/>
          <w:szCs w:val="24"/>
        </w:rPr>
        <w:t>in order to</w:t>
      </w:r>
      <w:proofErr w:type="gramEnd"/>
      <w:r w:rsidRPr="00644B88">
        <w:rPr>
          <w:rFonts w:asciiTheme="majorBidi" w:hAnsiTheme="majorBidi" w:cstheme="majorBidi"/>
          <w:sz w:val="24"/>
          <w:szCs w:val="24"/>
        </w:rPr>
        <w:t xml:space="preserve"> identify and classify the factors that need to be addressed when determining how to reach a level of voluntary compliance which will be sensitive to the risks</w:t>
      </w:r>
      <w:r w:rsidR="00BC56B4">
        <w:rPr>
          <w:rFonts w:asciiTheme="majorBidi" w:hAnsiTheme="majorBidi" w:cstheme="majorBidi"/>
          <w:sz w:val="24"/>
          <w:szCs w:val="24"/>
        </w:rPr>
        <w:t xml:space="preserve"> to the public</w:t>
      </w:r>
      <w:r w:rsidRPr="00644B88">
        <w:rPr>
          <w:rFonts w:asciiTheme="majorBidi" w:hAnsiTheme="majorBidi" w:cstheme="majorBidi"/>
          <w:sz w:val="24"/>
          <w:szCs w:val="24"/>
        </w:rPr>
        <w:t xml:space="preserve"> associated with different regulatory settings. </w:t>
      </w:r>
    </w:p>
    <w:p w14:paraId="0BAC2BF7" w14:textId="77777777" w:rsidR="00CD7986" w:rsidRPr="00637780" w:rsidRDefault="00CD7986" w:rsidP="00D5259B">
      <w:pPr>
        <w:pStyle w:val="Heading2"/>
      </w:pPr>
      <w:bookmarkStart w:id="41" w:name="_Toc161578534"/>
      <w:r w:rsidRPr="00637780">
        <w:t>Healthy Compliance and Therapeutic Jurisprudence</w:t>
      </w:r>
      <w:bookmarkEnd w:id="41"/>
    </w:p>
    <w:p w14:paraId="671F5E26" w14:textId="45FB97DA" w:rsidR="00CD7986" w:rsidRPr="00644B88" w:rsidRDefault="00CD7986"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 xml:space="preserve">Part of the potential advantage of voluntary compliance involves not just increased </w:t>
      </w:r>
      <w:r w:rsidR="00BC56B4">
        <w:rPr>
          <w:rFonts w:asciiTheme="majorBidi" w:hAnsiTheme="majorBidi" w:cstheme="majorBidi"/>
          <w:sz w:val="24"/>
          <w:szCs w:val="24"/>
        </w:rPr>
        <w:t xml:space="preserve">personal </w:t>
      </w:r>
      <w:r w:rsidRPr="00644B88">
        <w:rPr>
          <w:rFonts w:asciiTheme="majorBidi" w:hAnsiTheme="majorBidi" w:cstheme="majorBidi"/>
          <w:sz w:val="24"/>
          <w:szCs w:val="24"/>
        </w:rPr>
        <w:t>commitment by people and the perception of better compliance by the public</w:t>
      </w:r>
      <w:r w:rsidR="00BC56B4">
        <w:rPr>
          <w:rFonts w:asciiTheme="majorBidi" w:hAnsiTheme="majorBidi" w:cstheme="majorBidi"/>
          <w:sz w:val="24"/>
          <w:szCs w:val="24"/>
        </w:rPr>
        <w:t xml:space="preserve">, but </w:t>
      </w:r>
      <w:r w:rsidR="007B329B">
        <w:rPr>
          <w:rFonts w:asciiTheme="majorBidi" w:hAnsiTheme="majorBidi" w:cstheme="majorBidi"/>
          <w:sz w:val="24"/>
          <w:szCs w:val="24"/>
        </w:rPr>
        <w:t xml:space="preserve">also </w:t>
      </w:r>
      <w:r w:rsidR="00BC56B4">
        <w:rPr>
          <w:rFonts w:asciiTheme="majorBidi" w:hAnsiTheme="majorBidi" w:cstheme="majorBidi"/>
          <w:sz w:val="24"/>
          <w:szCs w:val="24"/>
        </w:rPr>
        <w:t xml:space="preserve">their well-being. </w:t>
      </w:r>
      <w:r w:rsidR="001D1B9A">
        <w:rPr>
          <w:rFonts w:asciiTheme="majorBidi" w:hAnsiTheme="majorBidi" w:cstheme="majorBidi"/>
          <w:sz w:val="24"/>
          <w:szCs w:val="24"/>
        </w:rPr>
        <w:t>I</w:t>
      </w:r>
      <w:r w:rsidRPr="00644B88">
        <w:rPr>
          <w:rFonts w:asciiTheme="majorBidi" w:hAnsiTheme="majorBidi" w:cstheme="majorBidi"/>
          <w:sz w:val="24"/>
          <w:szCs w:val="24"/>
        </w:rPr>
        <w:t>f people are given the choice to comply, they will have better cognitive and emotional capacities to deal with uncertainties, to adapt, and to demonstrate greater resilience</w:t>
      </w:r>
      <w:r w:rsidRPr="00644B88">
        <w:rPr>
          <w:rStyle w:val="FootnoteReference"/>
          <w:rFonts w:asciiTheme="majorBidi" w:hAnsiTheme="majorBidi" w:cstheme="majorBidi"/>
          <w:sz w:val="24"/>
          <w:szCs w:val="24"/>
        </w:rPr>
        <w:footnoteReference w:id="138"/>
      </w:r>
      <w:r w:rsidRPr="00644B88">
        <w:rPr>
          <w:rFonts w:asciiTheme="majorBidi" w:hAnsiTheme="majorBidi" w:cstheme="majorBidi"/>
          <w:sz w:val="24"/>
          <w:szCs w:val="24"/>
        </w:rPr>
        <w:t>. This aspect of the book’s examination of voluntary compliance will draw on the</w:t>
      </w:r>
      <w:r w:rsidR="00BC56B4">
        <w:rPr>
          <w:rFonts w:asciiTheme="majorBidi" w:hAnsiTheme="majorBidi" w:cstheme="majorBidi"/>
          <w:sz w:val="24"/>
          <w:szCs w:val="24"/>
        </w:rPr>
        <w:t xml:space="preserve"> classical</w:t>
      </w:r>
      <w:r w:rsidRPr="00644B88">
        <w:rPr>
          <w:rFonts w:asciiTheme="majorBidi" w:hAnsiTheme="majorBidi" w:cstheme="majorBidi"/>
          <w:sz w:val="24"/>
          <w:szCs w:val="24"/>
        </w:rPr>
        <w:t xml:space="preserve"> literature about therapeutic jurisprudence,</w:t>
      </w:r>
      <w:r w:rsidRPr="00644B88">
        <w:rPr>
          <w:rStyle w:val="FootnoteReference"/>
          <w:rFonts w:asciiTheme="majorBidi" w:hAnsiTheme="majorBidi" w:cstheme="majorBidi"/>
          <w:sz w:val="24"/>
          <w:szCs w:val="24"/>
        </w:rPr>
        <w:footnoteReference w:id="139"/>
      </w:r>
      <w:r w:rsidRPr="00644B88">
        <w:rPr>
          <w:rFonts w:asciiTheme="majorBidi" w:hAnsiTheme="majorBidi" w:cstheme="majorBidi"/>
          <w:sz w:val="24"/>
          <w:szCs w:val="24"/>
        </w:rPr>
        <w:t xml:space="preserve"> as well on the data accumulated in research on happiness,</w:t>
      </w:r>
      <w:r w:rsidRPr="00644B88">
        <w:rPr>
          <w:rStyle w:val="FootnoteReference"/>
          <w:rFonts w:asciiTheme="majorBidi" w:hAnsiTheme="majorBidi" w:cstheme="majorBidi"/>
          <w:sz w:val="24"/>
          <w:szCs w:val="24"/>
        </w:rPr>
        <w:footnoteReference w:id="140"/>
      </w:r>
      <w:r w:rsidRPr="00644B88">
        <w:rPr>
          <w:rFonts w:asciiTheme="majorBidi" w:hAnsiTheme="majorBidi" w:cstheme="majorBidi"/>
          <w:sz w:val="24"/>
          <w:szCs w:val="24"/>
        </w:rPr>
        <w:t xml:space="preserve"> to try to improve our understanding of the </w:t>
      </w:r>
      <w:r w:rsidR="00BC56B4">
        <w:rPr>
          <w:rFonts w:asciiTheme="majorBidi" w:hAnsiTheme="majorBidi" w:cstheme="majorBidi"/>
          <w:sz w:val="24"/>
          <w:szCs w:val="24"/>
        </w:rPr>
        <w:t>mental</w:t>
      </w:r>
      <w:r w:rsidRPr="00644B88">
        <w:rPr>
          <w:rFonts w:asciiTheme="majorBidi" w:hAnsiTheme="majorBidi" w:cstheme="majorBidi"/>
          <w:sz w:val="24"/>
          <w:szCs w:val="24"/>
        </w:rPr>
        <w:t xml:space="preserve"> advantages of having people comply voluntarily and not as a response to external pressure. Understanding the causal relationships is highly complicated given that the government’s ability to rely upon non-coercive mechanisms is highly connected to the type of society in which such mechanisms are likely to work, as well to policymakers’ heavy reliance on expectations that people are more likely to benefit from being able to cooperate voluntarily. </w:t>
      </w:r>
    </w:p>
    <w:p w14:paraId="396BB338" w14:textId="77777777" w:rsidR="00CD7986" w:rsidRPr="00637780" w:rsidRDefault="00CD7986" w:rsidP="00D5259B">
      <w:pPr>
        <w:pStyle w:val="Heading2"/>
      </w:pPr>
      <w:bookmarkStart w:id="42" w:name="_Toc161578535"/>
      <w:r w:rsidRPr="00637780">
        <w:t>Can Corporations be Trusted?</w:t>
      </w:r>
      <w:bookmarkEnd w:id="42"/>
      <w:r w:rsidRPr="00637780">
        <w:t xml:space="preserve"> </w:t>
      </w:r>
    </w:p>
    <w:p w14:paraId="73C735E5" w14:textId="62FF3239" w:rsidR="00CD7986" w:rsidRPr="00644B88" w:rsidRDefault="00CD7986"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 xml:space="preserve">Another important issue </w:t>
      </w:r>
      <w:r w:rsidR="00543C1D">
        <w:rPr>
          <w:rFonts w:asciiTheme="majorBidi" w:hAnsiTheme="majorBidi" w:cstheme="majorBidi"/>
          <w:sz w:val="24"/>
          <w:szCs w:val="24"/>
        </w:rPr>
        <w:t>which is of high importance from a regulatory standpoint is</w:t>
      </w:r>
      <w:r w:rsidRPr="00644B88">
        <w:rPr>
          <w:rFonts w:asciiTheme="majorBidi" w:hAnsiTheme="majorBidi" w:cstheme="majorBidi"/>
          <w:sz w:val="24"/>
          <w:szCs w:val="24"/>
        </w:rPr>
        <w:t xml:space="preserve"> whether corporations can be trusted</w:t>
      </w:r>
      <w:r w:rsidR="00866F22">
        <w:rPr>
          <w:rFonts w:asciiTheme="majorBidi" w:hAnsiTheme="majorBidi" w:cstheme="majorBidi"/>
          <w:sz w:val="24"/>
          <w:szCs w:val="24"/>
        </w:rPr>
        <w:t xml:space="preserve"> </w:t>
      </w:r>
      <w:r w:rsidR="001D1B9A">
        <w:rPr>
          <w:rFonts w:asciiTheme="majorBidi" w:hAnsiTheme="majorBidi" w:cstheme="majorBidi"/>
          <w:sz w:val="24"/>
          <w:szCs w:val="24"/>
        </w:rPr>
        <w:t>by regulators and policy makers</w:t>
      </w:r>
      <w:r w:rsidRPr="00644B88">
        <w:rPr>
          <w:rFonts w:asciiTheme="majorBidi" w:hAnsiTheme="majorBidi" w:cstheme="majorBidi"/>
          <w:sz w:val="24"/>
          <w:szCs w:val="24"/>
        </w:rPr>
        <w:t>, as much of the debate on self-regulation involves businesses and corporations.</w:t>
      </w:r>
      <w:r w:rsidR="00543C1D">
        <w:rPr>
          <w:rFonts w:asciiTheme="majorBidi" w:hAnsiTheme="majorBidi" w:cstheme="majorBidi"/>
          <w:sz w:val="24"/>
          <w:szCs w:val="24"/>
        </w:rPr>
        <w:t xml:space="preserve"> Much of the research today, emphasizes the importance of understanding </w:t>
      </w:r>
      <w:proofErr w:type="gramStart"/>
      <w:r w:rsidR="00543C1D">
        <w:rPr>
          <w:rFonts w:asciiTheme="majorBidi" w:hAnsiTheme="majorBidi" w:cstheme="majorBidi"/>
          <w:sz w:val="24"/>
          <w:szCs w:val="24"/>
        </w:rPr>
        <w:t>corporations</w:t>
      </w:r>
      <w:proofErr w:type="gramEnd"/>
      <w:r w:rsidR="00A85A41">
        <w:rPr>
          <w:rFonts w:asciiTheme="majorBidi" w:hAnsiTheme="majorBidi" w:cstheme="majorBidi"/>
          <w:sz w:val="24"/>
          <w:szCs w:val="24"/>
        </w:rPr>
        <w:t xml:space="preserve"> impact on the environment, rather than to spending all of the effort of the public on individual </w:t>
      </w:r>
      <w:r w:rsidR="00A85A41">
        <w:rPr>
          <w:rFonts w:asciiTheme="majorBidi" w:hAnsiTheme="majorBidi" w:cstheme="majorBidi"/>
          <w:sz w:val="24"/>
          <w:szCs w:val="24"/>
        </w:rPr>
        <w:lastRenderedPageBreak/>
        <w:t>behavior</w:t>
      </w:r>
      <w:r w:rsidR="00A85A41">
        <w:rPr>
          <w:rStyle w:val="FootnoteReference"/>
          <w:rFonts w:asciiTheme="majorBidi" w:hAnsiTheme="majorBidi" w:cstheme="majorBidi"/>
          <w:sz w:val="24"/>
          <w:szCs w:val="24"/>
        </w:rPr>
        <w:footnoteReference w:id="141"/>
      </w:r>
      <w:r w:rsidRPr="00644B88">
        <w:rPr>
          <w:rFonts w:asciiTheme="majorBidi" w:hAnsiTheme="majorBidi" w:cstheme="majorBidi"/>
          <w:sz w:val="24"/>
          <w:szCs w:val="24"/>
        </w:rPr>
        <w:t xml:space="preserve"> Their ethical behavior has come to be considered an aspect of their performance,</w:t>
      </w:r>
      <w:r w:rsidRPr="00644B88">
        <w:rPr>
          <w:rStyle w:val="FootnoteReference"/>
          <w:rFonts w:asciiTheme="majorBidi" w:hAnsiTheme="majorBidi" w:cstheme="majorBidi"/>
          <w:sz w:val="24"/>
          <w:szCs w:val="24"/>
        </w:rPr>
        <w:footnoteReference w:id="142"/>
      </w:r>
      <w:r w:rsidRPr="00644B88">
        <w:rPr>
          <w:rFonts w:asciiTheme="majorBidi" w:hAnsiTheme="majorBidi" w:cstheme="majorBidi"/>
          <w:sz w:val="24"/>
          <w:szCs w:val="24"/>
        </w:rPr>
        <w:t xml:space="preserve"> and, as a result, has been subject to increasing interest. Some aspects of my research indicate that corporations might be hotbeds for unethicality.</w:t>
      </w:r>
      <w:r w:rsidRPr="00644B88">
        <w:rPr>
          <w:rStyle w:val="FootnoteReference"/>
          <w:rFonts w:asciiTheme="majorBidi" w:hAnsiTheme="majorBidi" w:cstheme="majorBidi"/>
          <w:sz w:val="24"/>
          <w:szCs w:val="24"/>
        </w:rPr>
        <w:footnoteReference w:id="143"/>
      </w:r>
      <w:r w:rsidRPr="00644B88">
        <w:rPr>
          <w:rFonts w:asciiTheme="majorBidi" w:hAnsiTheme="majorBidi" w:cstheme="majorBidi"/>
          <w:sz w:val="24"/>
          <w:szCs w:val="24"/>
        </w:rPr>
        <w:t xml:space="preserve"> Nonetheless, there are many reasons to believe that the bureaucratic and transparent nature </w:t>
      </w:r>
      <w:r w:rsidR="00866F22">
        <w:rPr>
          <w:rFonts w:asciiTheme="majorBidi" w:hAnsiTheme="majorBidi" w:cstheme="majorBidi"/>
          <w:sz w:val="24"/>
          <w:szCs w:val="24"/>
        </w:rPr>
        <w:t xml:space="preserve">of how corporations </w:t>
      </w:r>
      <w:proofErr w:type="gramStart"/>
      <w:r w:rsidR="00866F22">
        <w:rPr>
          <w:rFonts w:asciiTheme="majorBidi" w:hAnsiTheme="majorBidi" w:cstheme="majorBidi"/>
          <w:sz w:val="24"/>
          <w:szCs w:val="24"/>
        </w:rPr>
        <w:t>operates</w:t>
      </w:r>
      <w:proofErr w:type="gramEnd"/>
      <w:r w:rsidRPr="00644B88">
        <w:rPr>
          <w:rFonts w:asciiTheme="majorBidi" w:hAnsiTheme="majorBidi" w:cstheme="majorBidi"/>
          <w:sz w:val="24"/>
          <w:szCs w:val="24"/>
        </w:rPr>
        <w:t>, especially the larger ones, as well as their greater sensitivity to reputational mechanisms</w:t>
      </w:r>
      <w:r w:rsidR="00866F22">
        <w:rPr>
          <w:rFonts w:asciiTheme="majorBidi" w:hAnsiTheme="majorBidi" w:cstheme="majorBidi"/>
          <w:sz w:val="24"/>
          <w:szCs w:val="24"/>
        </w:rPr>
        <w:t xml:space="preserve"> than individuals</w:t>
      </w:r>
      <w:r w:rsidRPr="00644B88">
        <w:rPr>
          <w:rFonts w:asciiTheme="majorBidi" w:hAnsiTheme="majorBidi" w:cstheme="majorBidi"/>
          <w:sz w:val="24"/>
          <w:szCs w:val="24"/>
        </w:rPr>
        <w:t>,</w:t>
      </w:r>
      <w:r w:rsidRPr="00644B88">
        <w:rPr>
          <w:rStyle w:val="FootnoteReference"/>
          <w:rFonts w:asciiTheme="majorBidi" w:hAnsiTheme="majorBidi" w:cstheme="majorBidi"/>
          <w:sz w:val="24"/>
          <w:szCs w:val="24"/>
        </w:rPr>
        <w:footnoteReference w:id="144"/>
      </w:r>
      <w:r w:rsidRPr="00644B88">
        <w:rPr>
          <w:rFonts w:asciiTheme="majorBidi" w:hAnsiTheme="majorBidi" w:cstheme="majorBidi"/>
          <w:sz w:val="24"/>
          <w:szCs w:val="24"/>
        </w:rPr>
        <w:t xml:space="preserve"> might make them </w:t>
      </w:r>
      <w:r w:rsidR="00866F22">
        <w:rPr>
          <w:rFonts w:asciiTheme="majorBidi" w:hAnsiTheme="majorBidi" w:cstheme="majorBidi"/>
          <w:sz w:val="24"/>
          <w:szCs w:val="24"/>
        </w:rPr>
        <w:t>better candidates</w:t>
      </w:r>
      <w:r w:rsidRPr="00644B88">
        <w:rPr>
          <w:rFonts w:asciiTheme="majorBidi" w:hAnsiTheme="majorBidi" w:cstheme="majorBidi"/>
          <w:sz w:val="24"/>
          <w:szCs w:val="24"/>
        </w:rPr>
        <w:t xml:space="preserve"> to adhere</w:t>
      </w:r>
      <w:r w:rsidR="001A13CE">
        <w:rPr>
          <w:rFonts w:asciiTheme="majorBidi" w:hAnsiTheme="majorBidi" w:cstheme="majorBidi"/>
          <w:sz w:val="24"/>
          <w:szCs w:val="24"/>
        </w:rPr>
        <w:t xml:space="preserve"> in a consistent way</w:t>
      </w:r>
      <w:r w:rsidRPr="00644B88">
        <w:rPr>
          <w:rFonts w:asciiTheme="majorBidi" w:hAnsiTheme="majorBidi" w:cstheme="majorBidi"/>
          <w:sz w:val="24"/>
          <w:szCs w:val="24"/>
        </w:rPr>
        <w:t xml:space="preserve"> to self-regulation. Another aspect of the focus on the corporate culture involves examining data about corporate behavior </w:t>
      </w:r>
      <w:proofErr w:type="gramStart"/>
      <w:r w:rsidRPr="00644B88">
        <w:rPr>
          <w:rFonts w:asciiTheme="majorBidi" w:hAnsiTheme="majorBidi" w:cstheme="majorBidi"/>
          <w:sz w:val="24"/>
          <w:szCs w:val="24"/>
        </w:rPr>
        <w:t>with regard to</w:t>
      </w:r>
      <w:proofErr w:type="gramEnd"/>
      <w:r w:rsidRPr="00644B88">
        <w:rPr>
          <w:rFonts w:asciiTheme="majorBidi" w:hAnsiTheme="majorBidi" w:cstheme="majorBidi"/>
          <w:sz w:val="24"/>
          <w:szCs w:val="24"/>
        </w:rPr>
        <w:t xml:space="preserve"> trusting their own </w:t>
      </w:r>
      <w:r w:rsidR="00D92B29">
        <w:rPr>
          <w:rFonts w:asciiTheme="majorBidi" w:hAnsiTheme="majorBidi" w:cstheme="majorBidi"/>
          <w:sz w:val="24"/>
          <w:szCs w:val="24"/>
        </w:rPr>
        <w:t xml:space="preserve">employees and </w:t>
      </w:r>
      <w:r w:rsidRPr="00644B88">
        <w:rPr>
          <w:rFonts w:asciiTheme="majorBidi" w:hAnsiTheme="majorBidi" w:cstheme="majorBidi"/>
          <w:sz w:val="24"/>
          <w:szCs w:val="24"/>
        </w:rPr>
        <w:t>customers.</w:t>
      </w:r>
      <w:r w:rsidRPr="00644B88">
        <w:rPr>
          <w:rStyle w:val="FootnoteReference"/>
          <w:rFonts w:asciiTheme="majorBidi" w:hAnsiTheme="majorBidi" w:cstheme="majorBidi"/>
          <w:sz w:val="24"/>
          <w:szCs w:val="24"/>
        </w:rPr>
        <w:footnoteReference w:id="145"/>
      </w:r>
      <w:r w:rsidRPr="00644B88">
        <w:rPr>
          <w:rFonts w:asciiTheme="majorBidi" w:hAnsiTheme="majorBidi" w:cstheme="majorBidi"/>
          <w:sz w:val="24"/>
          <w:szCs w:val="24"/>
        </w:rPr>
        <w:t xml:space="preserve"> </w:t>
      </w:r>
      <w:r w:rsidR="00D92B29">
        <w:rPr>
          <w:rFonts w:asciiTheme="majorBidi" w:hAnsiTheme="majorBidi" w:cstheme="majorBidi"/>
          <w:sz w:val="24"/>
          <w:szCs w:val="24"/>
        </w:rPr>
        <w:t xml:space="preserve">. In many ways, part of what the book tries to examine, is whether, some of what can be achieved in the organizational context to </w:t>
      </w:r>
      <w:r w:rsidR="0000584A">
        <w:rPr>
          <w:rFonts w:asciiTheme="majorBidi" w:hAnsiTheme="majorBidi" w:cstheme="majorBidi"/>
          <w:sz w:val="24"/>
          <w:szCs w:val="24"/>
        </w:rPr>
        <w:t>be moved to the state context. Hence, t</w:t>
      </w:r>
      <w:r w:rsidRPr="00644B88">
        <w:rPr>
          <w:rFonts w:asciiTheme="majorBidi" w:hAnsiTheme="majorBidi" w:cstheme="majorBidi"/>
          <w:sz w:val="24"/>
          <w:szCs w:val="24"/>
        </w:rPr>
        <w:t xml:space="preserve">his book will analyze various case studies on this issue dealing with the prevalence of dishonesty in the relationship between corporations and their clients. For example, what can be learned from the success of the Lemonade insurance company’s trust-based approach and possibly applied to the ability of states to trust their publics? </w:t>
      </w:r>
      <w:r w:rsidR="0000584A">
        <w:rPr>
          <w:rFonts w:asciiTheme="majorBidi" w:hAnsiTheme="majorBidi" w:cstheme="majorBidi"/>
          <w:sz w:val="24"/>
          <w:szCs w:val="24"/>
        </w:rPr>
        <w:t xml:space="preserve">While many corporations engage in </w:t>
      </w:r>
      <w:r w:rsidR="004D5049">
        <w:rPr>
          <w:rFonts w:asciiTheme="majorBidi" w:hAnsiTheme="majorBidi" w:cstheme="majorBidi"/>
          <w:sz w:val="24"/>
          <w:szCs w:val="24"/>
        </w:rPr>
        <w:t xml:space="preserve">various ways to enhance the feeling of trust by their </w:t>
      </w:r>
      <w:r w:rsidR="002B432C">
        <w:rPr>
          <w:rFonts w:asciiTheme="majorBidi" w:hAnsiTheme="majorBidi" w:cstheme="majorBidi"/>
          <w:sz w:val="24"/>
          <w:szCs w:val="24"/>
        </w:rPr>
        <w:t xml:space="preserve">customers and employees, using various practices </w:t>
      </w:r>
      <w:r w:rsidR="00840775">
        <w:rPr>
          <w:rFonts w:asciiTheme="majorBidi" w:hAnsiTheme="majorBidi" w:cstheme="majorBidi"/>
          <w:sz w:val="24"/>
          <w:szCs w:val="24"/>
        </w:rPr>
        <w:t>which attempt</w:t>
      </w:r>
      <w:r w:rsidR="002B432C">
        <w:rPr>
          <w:rFonts w:asciiTheme="majorBidi" w:hAnsiTheme="majorBidi" w:cstheme="majorBidi"/>
          <w:sz w:val="24"/>
          <w:szCs w:val="24"/>
        </w:rPr>
        <w:t xml:space="preserve"> to elicit trustworthiness</w:t>
      </w:r>
      <w:r w:rsidR="00A621B1">
        <w:rPr>
          <w:rStyle w:val="FootnoteReference"/>
          <w:rFonts w:asciiTheme="majorBidi" w:hAnsiTheme="majorBidi" w:cstheme="majorBidi"/>
          <w:sz w:val="24"/>
          <w:szCs w:val="24"/>
        </w:rPr>
        <w:footnoteReference w:id="146"/>
      </w:r>
      <w:r w:rsidR="002B432C">
        <w:rPr>
          <w:rFonts w:asciiTheme="majorBidi" w:hAnsiTheme="majorBidi" w:cstheme="majorBidi"/>
          <w:sz w:val="24"/>
          <w:szCs w:val="24"/>
        </w:rPr>
        <w:t xml:space="preserve">, it is rarely the case that states feel given their size and limited ability to know how their citizens behave. </w:t>
      </w:r>
    </w:p>
    <w:p w14:paraId="3C6B8821" w14:textId="71271446" w:rsidR="00CD7986" w:rsidRPr="00637780" w:rsidRDefault="00CD7986" w:rsidP="00D5259B">
      <w:pPr>
        <w:pStyle w:val="Heading2"/>
      </w:pPr>
      <w:bookmarkStart w:id="43" w:name="_Toc161578536"/>
      <w:r w:rsidRPr="00637780">
        <w:t xml:space="preserve">The Normative Dilemma </w:t>
      </w:r>
      <w:proofErr w:type="gramStart"/>
      <w:r w:rsidR="006F13BA">
        <w:t>with regard to</w:t>
      </w:r>
      <w:proofErr w:type="gramEnd"/>
      <w:r w:rsidR="006F13BA">
        <w:t xml:space="preserve"> voluntary compliance</w:t>
      </w:r>
      <w:bookmarkEnd w:id="43"/>
    </w:p>
    <w:p w14:paraId="0452303C" w14:textId="1CA750E2" w:rsidR="00CD7986" w:rsidRPr="00644B88" w:rsidRDefault="004D5049" w:rsidP="00CD7986">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 xml:space="preserve">Throughout the book and mainly towards </w:t>
      </w:r>
      <w:r w:rsidR="00FD7F9D">
        <w:rPr>
          <w:rFonts w:asciiTheme="majorBidi" w:hAnsiTheme="majorBidi" w:cstheme="majorBidi"/>
          <w:sz w:val="24"/>
          <w:szCs w:val="24"/>
        </w:rPr>
        <w:t xml:space="preserve">the last chapters, we will develop in the book a </w:t>
      </w:r>
      <w:r w:rsidR="00CD7986" w:rsidRPr="00644B88">
        <w:rPr>
          <w:rFonts w:asciiTheme="majorBidi" w:hAnsiTheme="majorBidi" w:cstheme="majorBidi"/>
          <w:sz w:val="24"/>
          <w:szCs w:val="24"/>
        </w:rPr>
        <w:t xml:space="preserve">new conceptual paradigm which will </w:t>
      </w:r>
      <w:r w:rsidR="00FD7F9D">
        <w:rPr>
          <w:rFonts w:asciiTheme="majorBidi" w:hAnsiTheme="majorBidi" w:cstheme="majorBidi"/>
          <w:sz w:val="24"/>
          <w:szCs w:val="24"/>
        </w:rPr>
        <w:t>examine the desirability of</w:t>
      </w:r>
      <w:r w:rsidR="00CD7986" w:rsidRPr="00644B88">
        <w:rPr>
          <w:rFonts w:asciiTheme="majorBidi" w:hAnsiTheme="majorBidi" w:cstheme="majorBidi"/>
          <w:sz w:val="24"/>
          <w:szCs w:val="24"/>
        </w:rPr>
        <w:t xml:space="preserve"> voluntary compliance</w:t>
      </w:r>
      <w:r w:rsidR="00FD7F9D">
        <w:rPr>
          <w:rFonts w:asciiTheme="majorBidi" w:hAnsiTheme="majorBidi" w:cstheme="majorBidi"/>
          <w:sz w:val="24"/>
          <w:szCs w:val="24"/>
        </w:rPr>
        <w:t xml:space="preserve"> for </w:t>
      </w:r>
      <w:r w:rsidR="00135413">
        <w:rPr>
          <w:rFonts w:asciiTheme="majorBidi" w:hAnsiTheme="majorBidi" w:cstheme="majorBidi"/>
          <w:sz w:val="24"/>
          <w:szCs w:val="24"/>
        </w:rPr>
        <w:t>democratic states</w:t>
      </w:r>
      <w:r w:rsidR="00D43207">
        <w:rPr>
          <w:rFonts w:asciiTheme="majorBidi" w:hAnsiTheme="majorBidi" w:cstheme="majorBidi"/>
          <w:sz w:val="24"/>
          <w:szCs w:val="24"/>
        </w:rPr>
        <w:t xml:space="preserve"> across few regulatory domains</w:t>
      </w:r>
      <w:r w:rsidR="00135413">
        <w:rPr>
          <w:rFonts w:asciiTheme="majorBidi" w:hAnsiTheme="majorBidi" w:cstheme="majorBidi"/>
          <w:sz w:val="24"/>
          <w:szCs w:val="24"/>
        </w:rPr>
        <w:t xml:space="preserve">. We will examine the under what factors, the attempt of state to achieve voluntary compliance might be inadvertent or </w:t>
      </w:r>
      <w:r w:rsidR="00CD7986" w:rsidRPr="00644B88">
        <w:rPr>
          <w:rFonts w:asciiTheme="majorBidi" w:hAnsiTheme="majorBidi" w:cstheme="majorBidi"/>
          <w:sz w:val="24"/>
          <w:szCs w:val="24"/>
        </w:rPr>
        <w:t xml:space="preserve">undermine it, and what needs to be done to better understand the interaction between individual, situational, regulatory, and cultural dimensions in order to maintain it. In addition, the book will suggest methods for considering how to balance the risk to the public of reduced </w:t>
      </w:r>
      <w:r w:rsidR="00B5563F">
        <w:rPr>
          <w:rFonts w:asciiTheme="majorBidi" w:hAnsiTheme="majorBidi" w:cstheme="majorBidi"/>
          <w:sz w:val="24"/>
          <w:szCs w:val="24"/>
        </w:rPr>
        <w:t>monitoring</w:t>
      </w:r>
      <w:r w:rsidR="00CD7986" w:rsidRPr="00644B88">
        <w:rPr>
          <w:rFonts w:asciiTheme="majorBidi" w:hAnsiTheme="majorBidi" w:cstheme="majorBidi"/>
          <w:sz w:val="24"/>
          <w:szCs w:val="24"/>
        </w:rPr>
        <w:t xml:space="preserve"> with the advantages to the public deriving from regulatees who feel trustworthy</w:t>
      </w:r>
      <w:r w:rsidR="00B5563F">
        <w:rPr>
          <w:rFonts w:asciiTheme="majorBidi" w:hAnsiTheme="majorBidi" w:cstheme="majorBidi"/>
          <w:sz w:val="24"/>
          <w:szCs w:val="24"/>
        </w:rPr>
        <w:t xml:space="preserve"> by the state</w:t>
      </w:r>
      <w:r w:rsidR="00CD7986" w:rsidRPr="00644B88">
        <w:rPr>
          <w:rFonts w:asciiTheme="majorBidi" w:hAnsiTheme="majorBidi" w:cstheme="majorBidi"/>
          <w:sz w:val="24"/>
          <w:szCs w:val="24"/>
        </w:rPr>
        <w:t>. The nature of this analysis inevitably changes when discussing more extensive types of regulations where the target population includes broad layers of the public. Some of the questions to be raised include: What are the contextual factors which would help regulators and experts decide what approach to adopt?</w:t>
      </w:r>
      <w:r w:rsidR="006F13BA">
        <w:rPr>
          <w:rFonts w:asciiTheme="majorBidi" w:hAnsiTheme="majorBidi" w:cstheme="majorBidi"/>
          <w:sz w:val="24"/>
          <w:szCs w:val="24"/>
        </w:rPr>
        <w:t xml:space="preserve"> What factors are they allowed to </w:t>
      </w:r>
      <w:proofErr w:type="gramStart"/>
      <w:r w:rsidR="006F13BA">
        <w:rPr>
          <w:rFonts w:asciiTheme="majorBidi" w:hAnsiTheme="majorBidi" w:cstheme="majorBidi"/>
          <w:sz w:val="24"/>
          <w:szCs w:val="24"/>
        </w:rPr>
        <w:t>take into account</w:t>
      </w:r>
      <w:proofErr w:type="gramEnd"/>
      <w:r w:rsidR="006F13BA">
        <w:rPr>
          <w:rFonts w:asciiTheme="majorBidi" w:hAnsiTheme="majorBidi" w:cstheme="majorBidi"/>
          <w:sz w:val="24"/>
          <w:szCs w:val="24"/>
        </w:rPr>
        <w:t xml:space="preserve"> </w:t>
      </w:r>
      <w:r w:rsidR="003E3B28">
        <w:rPr>
          <w:rFonts w:asciiTheme="majorBidi" w:hAnsiTheme="majorBidi" w:cstheme="majorBidi"/>
          <w:sz w:val="24"/>
          <w:szCs w:val="24"/>
        </w:rPr>
        <w:t xml:space="preserve">when we want to know what proportion of the public we can trust? In particular, based on what </w:t>
      </w:r>
      <w:r w:rsidR="003E3B28">
        <w:rPr>
          <w:rFonts w:asciiTheme="majorBidi" w:hAnsiTheme="majorBidi" w:cstheme="majorBidi"/>
          <w:sz w:val="24"/>
          <w:szCs w:val="24"/>
        </w:rPr>
        <w:lastRenderedPageBreak/>
        <w:t xml:space="preserve">individual and group related factors </w:t>
      </w:r>
      <w:r w:rsidR="00202211">
        <w:rPr>
          <w:rFonts w:asciiTheme="majorBidi" w:hAnsiTheme="majorBidi" w:cstheme="majorBidi"/>
          <w:sz w:val="24"/>
          <w:szCs w:val="24"/>
        </w:rPr>
        <w:t>are we</w:t>
      </w:r>
      <w:r w:rsidR="003E3B28">
        <w:rPr>
          <w:rFonts w:asciiTheme="majorBidi" w:hAnsiTheme="majorBidi" w:cstheme="majorBidi"/>
          <w:sz w:val="24"/>
          <w:szCs w:val="24"/>
        </w:rPr>
        <w:t xml:space="preserve"> allowed to consider when trying to assess </w:t>
      </w:r>
      <w:r w:rsidR="00202211">
        <w:rPr>
          <w:rFonts w:asciiTheme="majorBidi" w:hAnsiTheme="majorBidi" w:cstheme="majorBidi"/>
          <w:sz w:val="24"/>
          <w:szCs w:val="24"/>
        </w:rPr>
        <w:t xml:space="preserve">the likelihood that trusting a certain </w:t>
      </w:r>
      <w:proofErr w:type="gramStart"/>
      <w:r w:rsidR="00202211">
        <w:rPr>
          <w:rFonts w:asciiTheme="majorBidi" w:hAnsiTheme="majorBidi" w:cstheme="majorBidi"/>
          <w:sz w:val="24"/>
          <w:szCs w:val="24"/>
        </w:rPr>
        <w:t>individual</w:t>
      </w:r>
      <w:proofErr w:type="gramEnd"/>
      <w:r w:rsidR="00202211">
        <w:rPr>
          <w:rFonts w:asciiTheme="majorBidi" w:hAnsiTheme="majorBidi" w:cstheme="majorBidi"/>
          <w:sz w:val="24"/>
          <w:szCs w:val="24"/>
        </w:rPr>
        <w:t xml:space="preserve"> or a segment of the population is likely to cooperate with more trusting regulatory approaches</w:t>
      </w:r>
      <w:r w:rsidR="00202211">
        <w:rPr>
          <w:rStyle w:val="FootnoteReference"/>
          <w:rFonts w:asciiTheme="majorBidi" w:hAnsiTheme="majorBidi" w:cstheme="majorBidi"/>
          <w:sz w:val="24"/>
          <w:szCs w:val="24"/>
        </w:rPr>
        <w:footnoteReference w:id="147"/>
      </w:r>
      <w:r w:rsidR="00202211">
        <w:rPr>
          <w:rFonts w:asciiTheme="majorBidi" w:hAnsiTheme="majorBidi" w:cstheme="majorBidi"/>
          <w:sz w:val="24"/>
          <w:szCs w:val="24"/>
        </w:rPr>
        <w:t xml:space="preserve">. </w:t>
      </w:r>
      <w:r w:rsidR="00CD7986" w:rsidRPr="00644B88">
        <w:rPr>
          <w:rFonts w:asciiTheme="majorBidi" w:hAnsiTheme="majorBidi" w:cstheme="majorBidi"/>
          <w:sz w:val="24"/>
          <w:szCs w:val="24"/>
        </w:rPr>
        <w:t xml:space="preserve">How do these factors influence the responsive regulation approach? In addition, how do the current empirical data and theories on how voluntary compliance might enhance people’s mental well-being intersect with the therapeutic jurisprudence literature? </w:t>
      </w:r>
    </w:p>
    <w:p w14:paraId="69E16C85" w14:textId="73145F59" w:rsidR="00235660" w:rsidRPr="00637780" w:rsidRDefault="00235660" w:rsidP="001702F0">
      <w:pPr>
        <w:pStyle w:val="Heading2"/>
        <w:rPr>
          <w:rFonts w:asciiTheme="majorBidi" w:hAnsiTheme="majorBidi"/>
          <w:sz w:val="24"/>
          <w:szCs w:val="24"/>
        </w:rPr>
      </w:pPr>
      <w:bookmarkStart w:id="44" w:name="_Toc161578537"/>
      <w:r w:rsidRPr="00637780">
        <w:rPr>
          <w:rFonts w:asciiTheme="majorBidi" w:hAnsiTheme="majorBidi"/>
          <w:sz w:val="24"/>
          <w:szCs w:val="24"/>
        </w:rPr>
        <w:t xml:space="preserve">Is it </w:t>
      </w:r>
      <w:proofErr w:type="gramStart"/>
      <w:r w:rsidRPr="00637780">
        <w:rPr>
          <w:rFonts w:asciiTheme="majorBidi" w:hAnsiTheme="majorBidi"/>
          <w:sz w:val="24"/>
          <w:szCs w:val="24"/>
        </w:rPr>
        <w:t>really clear</w:t>
      </w:r>
      <w:proofErr w:type="gramEnd"/>
      <w:r w:rsidRPr="00637780">
        <w:rPr>
          <w:rFonts w:asciiTheme="majorBidi" w:hAnsiTheme="majorBidi"/>
          <w:sz w:val="24"/>
          <w:szCs w:val="24"/>
        </w:rPr>
        <w:t xml:space="preserve"> what regulatory </w:t>
      </w:r>
      <w:proofErr w:type="gramStart"/>
      <w:r w:rsidRPr="00637780">
        <w:rPr>
          <w:rFonts w:asciiTheme="majorBidi" w:hAnsiTheme="majorBidi"/>
          <w:sz w:val="24"/>
          <w:szCs w:val="24"/>
        </w:rPr>
        <w:t>mechanism</w:t>
      </w:r>
      <w:proofErr w:type="gramEnd"/>
      <w:r w:rsidRPr="00637780">
        <w:rPr>
          <w:rFonts w:asciiTheme="majorBidi" w:hAnsiTheme="majorBidi"/>
          <w:sz w:val="24"/>
          <w:szCs w:val="24"/>
        </w:rPr>
        <w:t xml:space="preserve"> are more likely to lead to voluntary compliance?</w:t>
      </w:r>
      <w:bookmarkEnd w:id="44"/>
    </w:p>
    <w:p w14:paraId="16229E16" w14:textId="2DB4F8D2" w:rsidR="001A13CE" w:rsidRDefault="00235660" w:rsidP="00534781">
      <w:pPr>
        <w:rPr>
          <w:rFonts w:asciiTheme="majorBidi" w:hAnsiTheme="majorBidi" w:cstheme="majorBidi"/>
          <w:sz w:val="24"/>
          <w:szCs w:val="24"/>
        </w:rPr>
      </w:pPr>
      <w:r w:rsidRPr="00644B88">
        <w:rPr>
          <w:rFonts w:asciiTheme="majorBidi" w:hAnsiTheme="majorBidi" w:cstheme="majorBidi"/>
          <w:sz w:val="24"/>
          <w:szCs w:val="24"/>
        </w:rPr>
        <w:br/>
      </w:r>
      <w:r w:rsidR="00B95EC1">
        <w:rPr>
          <w:rFonts w:asciiTheme="majorBidi" w:hAnsiTheme="majorBidi" w:cstheme="majorBidi"/>
          <w:sz w:val="24"/>
          <w:szCs w:val="24"/>
        </w:rPr>
        <w:t>An important question that will be dealt with throughout the chapters that attempt to connect regulation and trust</w:t>
      </w:r>
      <w:r w:rsidR="00273D72">
        <w:rPr>
          <w:rFonts w:asciiTheme="majorBidi" w:hAnsiTheme="majorBidi" w:cstheme="majorBidi"/>
          <w:sz w:val="24"/>
          <w:szCs w:val="24"/>
        </w:rPr>
        <w:t xml:space="preserve"> is to examine and explain what regulatory interventions are more likely to lead to voluntary compliance. As explained in the beginning of the chapter, </w:t>
      </w:r>
      <w:r w:rsidR="00534781">
        <w:rPr>
          <w:rFonts w:asciiTheme="majorBidi" w:hAnsiTheme="majorBidi" w:cstheme="majorBidi"/>
          <w:sz w:val="24"/>
          <w:szCs w:val="24"/>
        </w:rPr>
        <w:t xml:space="preserve">it is not compleltly clear, whether indeed focusing on intrinsic motivation is more likely to lead to voluntary compliance. </w:t>
      </w:r>
      <w:r w:rsidRPr="00644B88">
        <w:rPr>
          <w:rFonts w:asciiTheme="majorBidi" w:hAnsiTheme="majorBidi" w:cstheme="majorBidi"/>
          <w:sz w:val="24"/>
          <w:szCs w:val="24"/>
        </w:rPr>
        <w:t xml:space="preserve">The distinction between the different instruments is not clear enough. in many cases, nudges are such that we view as doing one thing is in fact working through a different </w:t>
      </w:r>
      <w:r w:rsidR="00534781" w:rsidRPr="00644B88">
        <w:rPr>
          <w:rFonts w:asciiTheme="majorBidi" w:hAnsiTheme="majorBidi" w:cstheme="majorBidi"/>
          <w:sz w:val="24"/>
          <w:szCs w:val="24"/>
        </w:rPr>
        <w:t>mechanisms.</w:t>
      </w:r>
      <w:r w:rsidR="00534781">
        <w:rPr>
          <w:rFonts w:asciiTheme="majorBidi" w:hAnsiTheme="majorBidi" w:cstheme="majorBidi"/>
          <w:sz w:val="24"/>
          <w:szCs w:val="24"/>
        </w:rPr>
        <w:t xml:space="preserve"> </w:t>
      </w:r>
      <w:proofErr w:type="gramStart"/>
      <w:r w:rsidRPr="00644B88">
        <w:rPr>
          <w:rFonts w:asciiTheme="majorBidi" w:hAnsiTheme="majorBidi" w:cstheme="majorBidi"/>
          <w:sz w:val="24"/>
          <w:szCs w:val="24"/>
        </w:rPr>
        <w:t>is</w:t>
      </w:r>
      <w:proofErr w:type="gramEnd"/>
      <w:r w:rsidRPr="00644B88">
        <w:rPr>
          <w:rFonts w:asciiTheme="majorBidi" w:hAnsiTheme="majorBidi" w:cstheme="majorBidi"/>
          <w:sz w:val="24"/>
          <w:szCs w:val="24"/>
        </w:rPr>
        <w:t xml:space="preserve"> it always the case that market mechanisms are</w:t>
      </w:r>
      <w:r w:rsidR="00534781">
        <w:rPr>
          <w:rFonts w:asciiTheme="majorBidi" w:hAnsiTheme="majorBidi" w:cstheme="majorBidi"/>
          <w:sz w:val="24"/>
          <w:szCs w:val="24"/>
        </w:rPr>
        <w:t xml:space="preserve"> not likely to lead to voluntary compliance in the long run?</w:t>
      </w:r>
      <w:r w:rsidR="001A13CE">
        <w:rPr>
          <w:rFonts w:asciiTheme="majorBidi" w:hAnsiTheme="majorBidi" w:cstheme="majorBidi"/>
          <w:sz w:val="24"/>
          <w:szCs w:val="24"/>
        </w:rPr>
        <w:t xml:space="preserve"> Think for example on the type of work created by Milkman in the context of habit formation</w:t>
      </w:r>
      <w:r w:rsidR="00D43207">
        <w:rPr>
          <w:rStyle w:val="FootnoteReference"/>
          <w:rFonts w:asciiTheme="majorBidi" w:hAnsiTheme="majorBidi" w:cstheme="majorBidi"/>
          <w:sz w:val="24"/>
          <w:szCs w:val="24"/>
        </w:rPr>
        <w:footnoteReference w:id="148"/>
      </w:r>
      <w:r w:rsidR="001A13CE">
        <w:rPr>
          <w:rFonts w:asciiTheme="majorBidi" w:hAnsiTheme="majorBidi" w:cstheme="majorBidi"/>
          <w:sz w:val="24"/>
          <w:szCs w:val="24"/>
        </w:rPr>
        <w:t>, in which the process through which people adopt behavior in a consistent way</w:t>
      </w:r>
      <w:r w:rsidR="00AF0504">
        <w:rPr>
          <w:rFonts w:asciiTheme="majorBidi" w:hAnsiTheme="majorBidi" w:cstheme="majorBidi"/>
          <w:sz w:val="24"/>
          <w:szCs w:val="24"/>
        </w:rPr>
        <w:t xml:space="preserve"> seems to be relatively mechanic</w:t>
      </w:r>
      <w:r w:rsidR="001A13CE">
        <w:rPr>
          <w:rFonts w:asciiTheme="majorBidi" w:hAnsiTheme="majorBidi" w:cstheme="majorBidi"/>
          <w:sz w:val="24"/>
          <w:szCs w:val="24"/>
        </w:rPr>
        <w:t xml:space="preserve"> without any focus on trust or on reflection of knowledge or other types of moral reasoning. In </w:t>
      </w:r>
      <w:r w:rsidRPr="00644B88">
        <w:rPr>
          <w:rFonts w:asciiTheme="majorBidi" w:hAnsiTheme="majorBidi" w:cstheme="majorBidi"/>
          <w:sz w:val="24"/>
          <w:szCs w:val="24"/>
        </w:rPr>
        <w:t>chapter 3</w:t>
      </w:r>
      <w:r w:rsidR="00AF0504">
        <w:rPr>
          <w:rFonts w:asciiTheme="majorBidi" w:hAnsiTheme="majorBidi" w:cstheme="majorBidi"/>
          <w:sz w:val="24"/>
          <w:szCs w:val="24"/>
        </w:rPr>
        <w:t>,</w:t>
      </w:r>
      <w:r w:rsidRPr="00644B88">
        <w:rPr>
          <w:rFonts w:asciiTheme="majorBidi" w:hAnsiTheme="majorBidi" w:cstheme="majorBidi"/>
          <w:sz w:val="24"/>
          <w:szCs w:val="24"/>
        </w:rPr>
        <w:t xml:space="preserve"> where the idea is that to argue that it is not clear </w:t>
      </w:r>
      <w:r w:rsidR="0001215D">
        <w:rPr>
          <w:rFonts w:asciiTheme="majorBidi" w:hAnsiTheme="majorBidi" w:cstheme="majorBidi"/>
          <w:sz w:val="24"/>
          <w:szCs w:val="24"/>
        </w:rPr>
        <w:t>a</w:t>
      </w:r>
      <w:r w:rsidRPr="00644B88">
        <w:rPr>
          <w:rFonts w:asciiTheme="majorBidi" w:hAnsiTheme="majorBidi" w:cstheme="majorBidi"/>
          <w:sz w:val="24"/>
          <w:szCs w:val="24"/>
        </w:rPr>
        <w:t>t all which legal instrument leads to more coercion, argue that the boundaries b</w:t>
      </w:r>
      <w:r w:rsidR="0001215D">
        <w:rPr>
          <w:rFonts w:asciiTheme="majorBidi" w:hAnsiTheme="majorBidi" w:cstheme="majorBidi"/>
          <w:sz w:val="24"/>
          <w:szCs w:val="24"/>
        </w:rPr>
        <w:t>e</w:t>
      </w:r>
      <w:r w:rsidRPr="00644B88">
        <w:rPr>
          <w:rFonts w:asciiTheme="majorBidi" w:hAnsiTheme="majorBidi" w:cstheme="majorBidi"/>
          <w:sz w:val="24"/>
          <w:szCs w:val="24"/>
        </w:rPr>
        <w:t>tween the different instruments is not clear</w:t>
      </w:r>
      <w:r w:rsidR="0001215D">
        <w:rPr>
          <w:rFonts w:asciiTheme="majorBidi" w:hAnsiTheme="majorBidi" w:cstheme="majorBidi"/>
          <w:sz w:val="24"/>
          <w:szCs w:val="24"/>
        </w:rPr>
        <w:t xml:space="preserve">. </w:t>
      </w:r>
      <w:proofErr w:type="gramStart"/>
      <w:r w:rsidR="0001215D">
        <w:rPr>
          <w:rFonts w:asciiTheme="majorBidi" w:hAnsiTheme="majorBidi" w:cstheme="majorBidi"/>
          <w:sz w:val="24"/>
          <w:szCs w:val="24"/>
        </w:rPr>
        <w:t>Furthermore</w:t>
      </w:r>
      <w:proofErr w:type="gramEnd"/>
      <w:r w:rsidR="0001215D">
        <w:rPr>
          <w:rFonts w:asciiTheme="majorBidi" w:hAnsiTheme="majorBidi" w:cstheme="majorBidi"/>
          <w:sz w:val="24"/>
          <w:szCs w:val="24"/>
        </w:rPr>
        <w:t xml:space="preserve"> as will be discussed in chapter </w:t>
      </w:r>
      <w:r w:rsidR="00BF1C16">
        <w:rPr>
          <w:rFonts w:asciiTheme="majorBidi" w:hAnsiTheme="majorBidi" w:cstheme="majorBidi"/>
          <w:sz w:val="24"/>
          <w:szCs w:val="24"/>
        </w:rPr>
        <w:t>5</w:t>
      </w:r>
      <w:r w:rsidR="0001215D">
        <w:rPr>
          <w:rFonts w:asciiTheme="majorBidi" w:hAnsiTheme="majorBidi" w:cstheme="majorBidi"/>
          <w:sz w:val="24"/>
          <w:szCs w:val="24"/>
        </w:rPr>
        <w:t xml:space="preserve"> which focus on the limitations of voluntary compliance, it is possible to argue that </w:t>
      </w:r>
      <w:r w:rsidR="008F6EBE" w:rsidRPr="00644B88">
        <w:rPr>
          <w:rFonts w:asciiTheme="majorBidi" w:hAnsiTheme="majorBidi" w:cstheme="majorBidi"/>
          <w:sz w:val="24"/>
          <w:szCs w:val="24"/>
        </w:rPr>
        <w:t>voluntary</w:t>
      </w:r>
      <w:r w:rsidRPr="00644B88">
        <w:rPr>
          <w:rFonts w:asciiTheme="majorBidi" w:hAnsiTheme="majorBidi" w:cstheme="majorBidi"/>
          <w:sz w:val="24"/>
          <w:szCs w:val="24"/>
        </w:rPr>
        <w:t xml:space="preserve"> compliance might lead states to </w:t>
      </w:r>
      <w:r w:rsidR="008F6EBE" w:rsidRPr="00644B88">
        <w:rPr>
          <w:rFonts w:asciiTheme="majorBidi" w:hAnsiTheme="majorBidi" w:cstheme="majorBidi"/>
          <w:sz w:val="24"/>
          <w:szCs w:val="24"/>
        </w:rPr>
        <w:t>engage</w:t>
      </w:r>
      <w:r w:rsidRPr="00644B88">
        <w:rPr>
          <w:rFonts w:asciiTheme="majorBidi" w:hAnsiTheme="majorBidi" w:cstheme="majorBidi"/>
          <w:sz w:val="24"/>
          <w:szCs w:val="24"/>
        </w:rPr>
        <w:t xml:space="preserve"> in shady manipulative </w:t>
      </w:r>
      <w:r w:rsidR="00BF1C16">
        <w:rPr>
          <w:rFonts w:asciiTheme="majorBidi" w:hAnsiTheme="majorBidi" w:cstheme="majorBidi"/>
          <w:sz w:val="24"/>
          <w:szCs w:val="24"/>
        </w:rPr>
        <w:t>influencing</w:t>
      </w:r>
      <w:r w:rsidRPr="00644B88">
        <w:rPr>
          <w:rFonts w:asciiTheme="majorBidi" w:hAnsiTheme="majorBidi" w:cstheme="majorBidi"/>
          <w:sz w:val="24"/>
          <w:szCs w:val="24"/>
        </w:rPr>
        <w:t xml:space="preserve"> practices</w:t>
      </w:r>
      <w:r w:rsidR="00BF1C16">
        <w:rPr>
          <w:rFonts w:asciiTheme="majorBidi" w:hAnsiTheme="majorBidi" w:cstheme="majorBidi"/>
          <w:sz w:val="24"/>
          <w:szCs w:val="24"/>
        </w:rPr>
        <w:t xml:space="preserve"> to lead to attitude change</w:t>
      </w:r>
      <w:r w:rsidR="0001215D">
        <w:rPr>
          <w:rFonts w:asciiTheme="majorBidi" w:hAnsiTheme="majorBidi" w:cstheme="majorBidi"/>
          <w:sz w:val="24"/>
          <w:szCs w:val="24"/>
        </w:rPr>
        <w:t xml:space="preserve"> which might end up limiting peoples' voluntary choices. </w:t>
      </w:r>
    </w:p>
    <w:p w14:paraId="5947351D" w14:textId="52C56623" w:rsidR="00D43207" w:rsidRDefault="0001215D" w:rsidP="00D43207">
      <w:pPr>
        <w:rPr>
          <w:rFonts w:asciiTheme="majorBidi" w:hAnsiTheme="majorBidi" w:cstheme="majorBidi"/>
          <w:sz w:val="24"/>
          <w:szCs w:val="24"/>
        </w:rPr>
      </w:pPr>
      <w:r>
        <w:rPr>
          <w:rFonts w:asciiTheme="majorBidi" w:hAnsiTheme="majorBidi" w:cstheme="majorBidi"/>
          <w:sz w:val="24"/>
          <w:szCs w:val="24"/>
        </w:rPr>
        <w:t xml:space="preserve">Furthermore, </w:t>
      </w:r>
      <w:r w:rsidR="007C1ABE">
        <w:rPr>
          <w:rFonts w:asciiTheme="majorBidi" w:hAnsiTheme="majorBidi" w:cstheme="majorBidi"/>
          <w:sz w:val="24"/>
          <w:szCs w:val="24"/>
        </w:rPr>
        <w:t xml:space="preserve">it is possible by imposing guilt on people through the usage of </w:t>
      </w:r>
      <w:r w:rsidR="00BF1C16">
        <w:rPr>
          <w:rFonts w:asciiTheme="majorBidi" w:hAnsiTheme="majorBidi" w:cstheme="majorBidi"/>
          <w:sz w:val="24"/>
          <w:szCs w:val="24"/>
        </w:rPr>
        <w:t xml:space="preserve">moral based reasoning </w:t>
      </w:r>
      <w:r w:rsidR="007C1ABE">
        <w:rPr>
          <w:rFonts w:asciiTheme="majorBidi" w:hAnsiTheme="majorBidi" w:cstheme="majorBidi"/>
          <w:sz w:val="24"/>
          <w:szCs w:val="24"/>
        </w:rPr>
        <w:t>mechanisms, which will ensure voluntary compliance, we might make people worse off</w:t>
      </w:r>
      <w:r w:rsidR="00BF1C16">
        <w:rPr>
          <w:rFonts w:asciiTheme="majorBidi" w:hAnsiTheme="majorBidi" w:cstheme="majorBidi"/>
          <w:sz w:val="24"/>
          <w:szCs w:val="24"/>
        </w:rPr>
        <w:t xml:space="preserve"> in terms of the mental costs imposed on them by </w:t>
      </w:r>
      <w:r w:rsidR="009A29C6">
        <w:rPr>
          <w:rFonts w:asciiTheme="majorBidi" w:hAnsiTheme="majorBidi" w:cstheme="majorBidi"/>
          <w:sz w:val="24"/>
          <w:szCs w:val="24"/>
        </w:rPr>
        <w:t>such situations where not complying might cause them to feel worse about themselves</w:t>
      </w:r>
      <w:r w:rsidR="009A29C6">
        <w:rPr>
          <w:rStyle w:val="FootnoteReference"/>
          <w:rFonts w:asciiTheme="majorBidi" w:hAnsiTheme="majorBidi" w:cstheme="majorBidi"/>
          <w:sz w:val="24"/>
          <w:szCs w:val="24"/>
        </w:rPr>
        <w:footnoteReference w:id="149"/>
      </w:r>
      <w:r w:rsidR="009A29C6">
        <w:rPr>
          <w:rFonts w:asciiTheme="majorBidi" w:hAnsiTheme="majorBidi" w:cstheme="majorBidi"/>
          <w:sz w:val="24"/>
          <w:szCs w:val="24"/>
        </w:rPr>
        <w:t>.</w:t>
      </w:r>
      <w:r w:rsidR="007C1ABE">
        <w:rPr>
          <w:rFonts w:asciiTheme="majorBidi" w:hAnsiTheme="majorBidi" w:cstheme="majorBidi"/>
          <w:sz w:val="24"/>
          <w:szCs w:val="24"/>
        </w:rPr>
        <w:t xml:space="preserve"> </w:t>
      </w:r>
      <w:r w:rsidR="0098251B">
        <w:rPr>
          <w:rFonts w:asciiTheme="majorBidi" w:hAnsiTheme="majorBidi" w:cstheme="majorBidi"/>
          <w:sz w:val="24"/>
          <w:szCs w:val="24"/>
        </w:rPr>
        <w:t>While there are many advantages from state perspective,</w:t>
      </w:r>
      <w:r w:rsidR="009A29C6">
        <w:rPr>
          <w:rFonts w:asciiTheme="majorBidi" w:hAnsiTheme="majorBidi" w:cstheme="majorBidi"/>
          <w:sz w:val="24"/>
          <w:szCs w:val="24"/>
        </w:rPr>
        <w:t xml:space="preserve"> </w:t>
      </w:r>
      <w:r w:rsidR="0098251B">
        <w:rPr>
          <w:rFonts w:asciiTheme="majorBidi" w:hAnsiTheme="majorBidi" w:cstheme="majorBidi"/>
          <w:sz w:val="24"/>
          <w:szCs w:val="24"/>
        </w:rPr>
        <w:t xml:space="preserve">to focus on such </w:t>
      </w:r>
      <w:proofErr w:type="gramStart"/>
      <w:r w:rsidR="0098251B">
        <w:rPr>
          <w:rFonts w:asciiTheme="majorBidi" w:hAnsiTheme="majorBidi" w:cstheme="majorBidi"/>
          <w:sz w:val="24"/>
          <w:szCs w:val="24"/>
        </w:rPr>
        <w:t>guilt based</w:t>
      </w:r>
      <w:proofErr w:type="gramEnd"/>
      <w:r w:rsidR="0098251B">
        <w:rPr>
          <w:rFonts w:asciiTheme="majorBidi" w:hAnsiTheme="majorBidi" w:cstheme="majorBidi"/>
          <w:sz w:val="24"/>
          <w:szCs w:val="24"/>
        </w:rPr>
        <w:t xml:space="preserve"> motivation</w:t>
      </w:r>
      <w:r w:rsidR="009A29C6">
        <w:rPr>
          <w:rFonts w:asciiTheme="majorBidi" w:hAnsiTheme="majorBidi" w:cstheme="majorBidi"/>
          <w:sz w:val="24"/>
          <w:szCs w:val="24"/>
        </w:rPr>
        <w:t xml:space="preserve"> in a very similar way to how religion affects people’s behavior</w:t>
      </w:r>
      <w:r w:rsidR="00AF0504">
        <w:rPr>
          <w:rStyle w:val="FootnoteReference"/>
          <w:rFonts w:asciiTheme="majorBidi" w:hAnsiTheme="majorBidi" w:cstheme="majorBidi"/>
          <w:sz w:val="24"/>
          <w:szCs w:val="24"/>
        </w:rPr>
        <w:footnoteReference w:id="150"/>
      </w:r>
      <w:r w:rsidR="00AF0504">
        <w:rPr>
          <w:rFonts w:asciiTheme="majorBidi" w:hAnsiTheme="majorBidi" w:cstheme="majorBidi"/>
          <w:sz w:val="24"/>
          <w:szCs w:val="24"/>
        </w:rPr>
        <w:t xml:space="preserve">. However, as we know for example from studies in education, </w:t>
      </w:r>
      <w:r w:rsidR="0098251B">
        <w:rPr>
          <w:rFonts w:asciiTheme="majorBidi" w:hAnsiTheme="majorBidi" w:cstheme="majorBidi"/>
          <w:sz w:val="24"/>
          <w:szCs w:val="24"/>
        </w:rPr>
        <w:t xml:space="preserve">from the perspective of the overall welfare of people, it is not fully clear that such approach </w:t>
      </w:r>
      <w:r w:rsidR="00AF0504">
        <w:rPr>
          <w:rFonts w:asciiTheme="majorBidi" w:hAnsiTheme="majorBidi" w:cstheme="majorBidi"/>
          <w:sz w:val="24"/>
          <w:szCs w:val="24"/>
        </w:rPr>
        <w:t xml:space="preserve">should be adopted by liberal state even if by doing that they can reduced monitoring costs and enhance trustworthiness and social capital in society. </w:t>
      </w:r>
      <w:r w:rsidR="0098251B">
        <w:rPr>
          <w:rFonts w:asciiTheme="majorBidi" w:hAnsiTheme="majorBidi" w:cstheme="majorBidi"/>
          <w:sz w:val="24"/>
          <w:szCs w:val="24"/>
        </w:rPr>
        <w:t xml:space="preserve"> </w:t>
      </w:r>
    </w:p>
    <w:p w14:paraId="5784CE8C" w14:textId="23455B7B" w:rsidR="001702F0" w:rsidRPr="00637780" w:rsidRDefault="001702F0" w:rsidP="00D43207">
      <w:pPr>
        <w:pStyle w:val="Heading2"/>
      </w:pPr>
      <w:bookmarkStart w:id="45" w:name="_Toc161578538"/>
      <w:r w:rsidRPr="00637780">
        <w:lastRenderedPageBreak/>
        <w:t xml:space="preserve">What are we interested in </w:t>
      </w:r>
      <w:proofErr w:type="gramStart"/>
      <w:r w:rsidR="003D034A" w:rsidRPr="00637780">
        <w:t>changing</w:t>
      </w:r>
      <w:r w:rsidR="00BF1C16">
        <w:t>?</w:t>
      </w:r>
      <w:r w:rsidR="001A13CE">
        <w:t>,</w:t>
      </w:r>
      <w:proofErr w:type="gramEnd"/>
      <w:r w:rsidR="001A13CE">
        <w:t xml:space="preserve"> compliance behavior or compliance motivation</w:t>
      </w:r>
      <w:r w:rsidR="003D034A" w:rsidRPr="00637780">
        <w:t>?</w:t>
      </w:r>
      <w:bookmarkEnd w:id="45"/>
    </w:p>
    <w:p w14:paraId="7BE53374" w14:textId="4FD1A9DA" w:rsidR="00063D05" w:rsidRDefault="00E0431E" w:rsidP="00063D05">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 xml:space="preserve">Another important topic which will be examined in chapter 3, is related to the question of what </w:t>
      </w:r>
      <w:r w:rsidR="009A29C6">
        <w:rPr>
          <w:rFonts w:asciiTheme="majorBidi" w:hAnsiTheme="majorBidi" w:cstheme="majorBidi"/>
          <w:sz w:val="24"/>
          <w:szCs w:val="24"/>
        </w:rPr>
        <w:t>are we</w:t>
      </w:r>
      <w:r>
        <w:rPr>
          <w:rFonts w:asciiTheme="majorBidi" w:hAnsiTheme="majorBidi" w:cstheme="majorBidi"/>
          <w:sz w:val="24"/>
          <w:szCs w:val="24"/>
        </w:rPr>
        <w:t xml:space="preserve"> </w:t>
      </w:r>
      <w:proofErr w:type="gramStart"/>
      <w:r>
        <w:rPr>
          <w:rFonts w:asciiTheme="majorBidi" w:hAnsiTheme="majorBidi" w:cstheme="majorBidi"/>
          <w:sz w:val="24"/>
          <w:szCs w:val="24"/>
        </w:rPr>
        <w:t>actually trying</w:t>
      </w:r>
      <w:proofErr w:type="gramEnd"/>
      <w:r>
        <w:rPr>
          <w:rFonts w:asciiTheme="majorBidi" w:hAnsiTheme="majorBidi" w:cstheme="majorBidi"/>
          <w:sz w:val="24"/>
          <w:szCs w:val="24"/>
        </w:rPr>
        <w:t xml:space="preserve"> to change? Are we trying to change </w:t>
      </w:r>
      <w:r w:rsidR="00063D05">
        <w:rPr>
          <w:rFonts w:asciiTheme="majorBidi" w:hAnsiTheme="majorBidi" w:cstheme="majorBidi"/>
          <w:sz w:val="24"/>
          <w:szCs w:val="24"/>
        </w:rPr>
        <w:t>people motivation which basically means also their preferences, attitudes and habits? As suggested above, intrinsic motivation and voluntary compliance, while might be seen as related are in fact different concepts.</w:t>
      </w:r>
      <w:r w:rsidR="00BD2FDC">
        <w:rPr>
          <w:rFonts w:asciiTheme="majorBidi" w:hAnsiTheme="majorBidi" w:cstheme="majorBidi"/>
          <w:sz w:val="24"/>
          <w:szCs w:val="24"/>
        </w:rPr>
        <w:t xml:space="preserve"> Hence, it is not necessarily the case that we have to change peoples' intrinsic motivation in order to achieve voluntary </w:t>
      </w:r>
      <w:r w:rsidR="00FA5329">
        <w:rPr>
          <w:rFonts w:asciiTheme="majorBidi" w:hAnsiTheme="majorBidi" w:cstheme="majorBidi"/>
          <w:sz w:val="24"/>
          <w:szCs w:val="24"/>
        </w:rPr>
        <w:t>compliance</w:t>
      </w:r>
      <w:r w:rsidR="00BD2FDC">
        <w:rPr>
          <w:rFonts w:asciiTheme="majorBidi" w:hAnsiTheme="majorBidi" w:cstheme="majorBidi"/>
          <w:sz w:val="24"/>
          <w:szCs w:val="24"/>
        </w:rPr>
        <w:t>. The different views suggested above abou</w:t>
      </w:r>
      <w:r w:rsidR="00FA5329">
        <w:rPr>
          <w:rFonts w:asciiTheme="majorBidi" w:hAnsiTheme="majorBidi" w:cstheme="majorBidi"/>
          <w:sz w:val="24"/>
          <w:szCs w:val="24"/>
        </w:rPr>
        <w:t>t</w:t>
      </w:r>
      <w:r w:rsidR="00BD2FDC">
        <w:rPr>
          <w:rFonts w:asciiTheme="majorBidi" w:hAnsiTheme="majorBidi" w:cstheme="majorBidi"/>
          <w:sz w:val="24"/>
          <w:szCs w:val="24"/>
        </w:rPr>
        <w:t xml:space="preserve"> what is voluntary </w:t>
      </w:r>
      <w:r w:rsidR="00FA5329">
        <w:rPr>
          <w:rFonts w:asciiTheme="majorBidi" w:hAnsiTheme="majorBidi" w:cstheme="majorBidi"/>
          <w:sz w:val="24"/>
          <w:szCs w:val="24"/>
        </w:rPr>
        <w:t>compliance</w:t>
      </w:r>
      <w:r w:rsidR="00BD2FDC">
        <w:rPr>
          <w:rFonts w:asciiTheme="majorBidi" w:hAnsiTheme="majorBidi" w:cstheme="majorBidi"/>
          <w:sz w:val="24"/>
          <w:szCs w:val="24"/>
        </w:rPr>
        <w:t>, do tell us</w:t>
      </w:r>
      <w:r w:rsidR="003F1CCD">
        <w:rPr>
          <w:rFonts w:asciiTheme="majorBidi" w:hAnsiTheme="majorBidi" w:cstheme="majorBidi"/>
          <w:sz w:val="24"/>
          <w:szCs w:val="24"/>
        </w:rPr>
        <w:t xml:space="preserve"> that we don't have to view this relationships as mutually exclusive. Furthermore even to the approaches that when speaking about intrinsically motivated voluntary compliance, we are not necessarily, talking about changing people intrinsic motivation, it can definitely be the case that we can just prime or stimulate people pre-</w:t>
      </w:r>
      <w:r w:rsidR="00FA5329">
        <w:rPr>
          <w:rFonts w:asciiTheme="majorBidi" w:hAnsiTheme="majorBidi" w:cstheme="majorBidi"/>
          <w:sz w:val="24"/>
          <w:szCs w:val="24"/>
        </w:rPr>
        <w:t>existing</w:t>
      </w:r>
      <w:r w:rsidR="003F1CCD">
        <w:rPr>
          <w:rFonts w:asciiTheme="majorBidi" w:hAnsiTheme="majorBidi" w:cstheme="majorBidi"/>
          <w:sz w:val="24"/>
          <w:szCs w:val="24"/>
        </w:rPr>
        <w:t xml:space="preserve"> intrinsic motivation but telling them for example that the doing the moral thing, in a given context is complying with the law</w:t>
      </w:r>
      <w:r w:rsidR="000C5DED">
        <w:rPr>
          <w:rStyle w:val="FootnoteReference"/>
          <w:rFonts w:asciiTheme="majorBidi" w:hAnsiTheme="majorBidi" w:cstheme="majorBidi"/>
          <w:sz w:val="24"/>
          <w:szCs w:val="24"/>
        </w:rPr>
        <w:footnoteReference w:id="151"/>
      </w:r>
      <w:r w:rsidR="003F1CCD">
        <w:rPr>
          <w:rFonts w:asciiTheme="majorBidi" w:hAnsiTheme="majorBidi" w:cstheme="majorBidi"/>
          <w:sz w:val="24"/>
          <w:szCs w:val="24"/>
        </w:rPr>
        <w:t xml:space="preserve">. </w:t>
      </w:r>
      <w:r w:rsidR="000C5DED">
        <w:rPr>
          <w:rFonts w:asciiTheme="majorBidi" w:hAnsiTheme="majorBidi" w:cstheme="majorBidi"/>
          <w:sz w:val="24"/>
          <w:szCs w:val="24"/>
        </w:rPr>
        <w:t>Such approach as common in many of the field studies done in tax context</w:t>
      </w:r>
      <w:r w:rsidR="000C5DED">
        <w:rPr>
          <w:rStyle w:val="FootnoteReference"/>
          <w:rFonts w:asciiTheme="majorBidi" w:hAnsiTheme="majorBidi" w:cstheme="majorBidi"/>
          <w:sz w:val="24"/>
          <w:szCs w:val="24"/>
        </w:rPr>
        <w:footnoteReference w:id="152"/>
      </w:r>
      <w:r w:rsidR="000C5DED">
        <w:rPr>
          <w:rFonts w:asciiTheme="majorBidi" w:hAnsiTheme="majorBidi" w:cstheme="majorBidi"/>
          <w:sz w:val="24"/>
          <w:szCs w:val="24"/>
        </w:rPr>
        <w:t>, don't attempt to change people morality, but rather build on the existence of an existing moral sentiment</w:t>
      </w:r>
      <w:r w:rsidR="003E3B28">
        <w:rPr>
          <w:rFonts w:asciiTheme="majorBidi" w:hAnsiTheme="majorBidi" w:cstheme="majorBidi"/>
          <w:sz w:val="24"/>
          <w:szCs w:val="24"/>
        </w:rPr>
        <w:t xml:space="preserve"> to improve compliance by people. Nonetheless even with such distinction in place as will be discussed in chapter 5 there are many </w:t>
      </w:r>
      <w:proofErr w:type="gramStart"/>
      <w:r w:rsidR="003E3B28">
        <w:rPr>
          <w:rFonts w:asciiTheme="majorBidi" w:hAnsiTheme="majorBidi" w:cstheme="majorBidi"/>
          <w:sz w:val="24"/>
          <w:szCs w:val="24"/>
        </w:rPr>
        <w:t>problem</w:t>
      </w:r>
      <w:proofErr w:type="gramEnd"/>
      <w:r w:rsidR="003E3B28">
        <w:rPr>
          <w:rFonts w:asciiTheme="majorBidi" w:hAnsiTheme="majorBidi" w:cstheme="majorBidi"/>
          <w:sz w:val="24"/>
          <w:szCs w:val="24"/>
        </w:rPr>
        <w:t xml:space="preserve"> with such an approach. </w:t>
      </w:r>
      <w:r w:rsidR="000C5DED">
        <w:rPr>
          <w:rFonts w:asciiTheme="majorBidi" w:hAnsiTheme="majorBidi" w:cstheme="majorBidi"/>
          <w:sz w:val="24"/>
          <w:szCs w:val="24"/>
        </w:rPr>
        <w:t xml:space="preserve">  </w:t>
      </w:r>
      <w:r w:rsidR="00063D05">
        <w:rPr>
          <w:rFonts w:asciiTheme="majorBidi" w:hAnsiTheme="majorBidi" w:cstheme="majorBidi"/>
          <w:sz w:val="24"/>
          <w:szCs w:val="24"/>
        </w:rPr>
        <w:t xml:space="preserve"> </w:t>
      </w:r>
    </w:p>
    <w:p w14:paraId="14239BE5" w14:textId="56978EEE" w:rsidR="003D034A" w:rsidRDefault="00862FAE" w:rsidP="003D034A">
      <w:pPr>
        <w:pStyle w:val="Heading2"/>
        <w:rPr>
          <w:rFonts w:asciiTheme="majorBidi" w:hAnsiTheme="majorBidi"/>
          <w:sz w:val="24"/>
          <w:szCs w:val="24"/>
        </w:rPr>
      </w:pPr>
      <w:bookmarkStart w:id="46" w:name="_Toc161578539"/>
      <w:r>
        <w:rPr>
          <w:rFonts w:asciiTheme="majorBidi" w:hAnsiTheme="majorBidi"/>
          <w:sz w:val="24"/>
          <w:szCs w:val="24"/>
        </w:rPr>
        <w:t>I</w:t>
      </w:r>
      <w:r w:rsidR="003D034A" w:rsidRPr="00637780">
        <w:rPr>
          <w:rFonts w:asciiTheme="majorBidi" w:hAnsiTheme="majorBidi"/>
          <w:sz w:val="24"/>
          <w:szCs w:val="24"/>
        </w:rPr>
        <w:t>s culture malleable?</w:t>
      </w:r>
      <w:bookmarkEnd w:id="46"/>
    </w:p>
    <w:p w14:paraId="362B4593" w14:textId="441DEDCB" w:rsidR="00254509" w:rsidRDefault="00862FAE" w:rsidP="00862FAE">
      <w:r>
        <w:t>A similar question is in place with regards to culture</w:t>
      </w:r>
      <w:r w:rsidR="007879F6">
        <w:t xml:space="preserve">. If we want to examine the ability of </w:t>
      </w:r>
      <w:r w:rsidR="00FA5329">
        <w:t>governments</w:t>
      </w:r>
      <w:r w:rsidR="007879F6">
        <w:t xml:space="preserve"> to trust the public, do we need to change culture for that or is enough just to understand the culture, in order for us to know </w:t>
      </w:r>
      <w:r w:rsidR="000B117B">
        <w:t xml:space="preserve">whether voluntary compliance could work. A third option might be that, we might want to make small </w:t>
      </w:r>
      <w:r w:rsidR="00FA5329">
        <w:t>modification</w:t>
      </w:r>
      <w:r w:rsidR="000B117B">
        <w:t xml:space="preserve"> in a culture to allow for certain voluntary practices to work. For example, changing something with regard to voluntary tax compliance doesn’t </w:t>
      </w:r>
      <w:r w:rsidR="00FA5329">
        <w:t>necessarily</w:t>
      </w:r>
      <w:r w:rsidR="000B117B">
        <w:t xml:space="preserve"> require making a broader change with regard to all factors that we know about. </w:t>
      </w:r>
      <w:r w:rsidR="00AF1317">
        <w:t xml:space="preserve">In chapter 6 we dedicated the chapter to a discussion on the </w:t>
      </w:r>
      <w:r w:rsidR="00FA5329">
        <w:t>interaction</w:t>
      </w:r>
      <w:r w:rsidR="00254509">
        <w:t xml:space="preserve"> between culture and </w:t>
      </w:r>
      <w:r w:rsidR="00FA5329">
        <w:t>voluntary</w:t>
      </w:r>
      <w:r w:rsidR="00254509">
        <w:t xml:space="preserve"> </w:t>
      </w:r>
      <w:r w:rsidR="00FA5329">
        <w:t>compliance</w:t>
      </w:r>
      <w:r w:rsidR="00254509">
        <w:t xml:space="preserve"> and the </w:t>
      </w:r>
      <w:r w:rsidR="000540C7">
        <w:t>debate</w:t>
      </w:r>
      <w:r w:rsidR="00254509">
        <w:t xml:space="preserve"> </w:t>
      </w:r>
      <w:r w:rsidR="000540C7">
        <w:t>between</w:t>
      </w:r>
      <w:r w:rsidR="00254509">
        <w:t xml:space="preserve"> </w:t>
      </w:r>
      <w:r w:rsidR="00FA5329">
        <w:t>scholars</w:t>
      </w:r>
      <w:r w:rsidR="00F55937">
        <w:rPr>
          <w:rStyle w:val="FootnoteReference"/>
        </w:rPr>
        <w:footnoteReference w:id="153"/>
      </w:r>
      <w:r w:rsidR="00254509">
        <w:t xml:space="preserve"> on the ability of policy makers to gradually lead to a cultural change either directly by focusing on policies related to solidarity (as was done in the Nordic counties) immigration (related to the research by Putnam on diversity and social capital) </w:t>
      </w:r>
    </w:p>
    <w:p w14:paraId="3947B6E2" w14:textId="1C18C9BE" w:rsidR="008F6EBE" w:rsidRPr="00637780" w:rsidRDefault="005D7DEC" w:rsidP="00F2679B">
      <w:pPr>
        <w:pStyle w:val="Heading2"/>
      </w:pPr>
      <w:r w:rsidRPr="00644B88">
        <w:rPr>
          <w:rFonts w:asciiTheme="majorBidi" w:hAnsiTheme="majorBidi"/>
          <w:sz w:val="24"/>
          <w:szCs w:val="24"/>
        </w:rPr>
        <w:br/>
      </w:r>
      <w:bookmarkStart w:id="47" w:name="_Toc161578540"/>
      <w:r w:rsidR="00F2679B">
        <w:t>T</w:t>
      </w:r>
      <w:r w:rsidR="008F6EBE" w:rsidRPr="00637780">
        <w:t>echnology and voluntary compliance</w:t>
      </w:r>
      <w:bookmarkEnd w:id="47"/>
      <w:r w:rsidR="008F6EBE" w:rsidRPr="00637780">
        <w:t xml:space="preserve"> </w:t>
      </w:r>
    </w:p>
    <w:p w14:paraId="6EE145CC" w14:textId="77777777" w:rsidR="00507C11" w:rsidRDefault="000C6856" w:rsidP="00252FB1">
      <w:p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 xml:space="preserve">In chapter 6 of the </w:t>
      </w:r>
      <w:proofErr w:type="gramStart"/>
      <w:r>
        <w:rPr>
          <w:rFonts w:asciiTheme="majorBidi" w:hAnsiTheme="majorBidi" w:cstheme="majorBidi"/>
          <w:sz w:val="24"/>
          <w:szCs w:val="24"/>
        </w:rPr>
        <w:t>book</w:t>
      </w:r>
      <w:proofErr w:type="gramEnd"/>
      <w:r>
        <w:rPr>
          <w:rFonts w:asciiTheme="majorBidi" w:hAnsiTheme="majorBidi" w:cstheme="majorBidi"/>
          <w:sz w:val="24"/>
          <w:szCs w:val="24"/>
        </w:rPr>
        <w:t xml:space="preserve"> we will also examine what is the contribution of technology to the emergence of voluntary compliance given </w:t>
      </w:r>
      <w:proofErr w:type="gramStart"/>
      <w:r>
        <w:rPr>
          <w:rFonts w:asciiTheme="majorBidi" w:hAnsiTheme="majorBidi" w:cstheme="majorBidi"/>
          <w:sz w:val="24"/>
          <w:szCs w:val="24"/>
        </w:rPr>
        <w:t>it is</w:t>
      </w:r>
      <w:proofErr w:type="gramEnd"/>
      <w:r>
        <w:rPr>
          <w:rFonts w:asciiTheme="majorBidi" w:hAnsiTheme="majorBidi" w:cstheme="majorBidi"/>
          <w:sz w:val="24"/>
          <w:szCs w:val="24"/>
        </w:rPr>
        <w:t xml:space="preserve"> ability to improve monitoring </w:t>
      </w:r>
      <w:r>
        <w:rPr>
          <w:rFonts w:asciiTheme="majorBidi" w:hAnsiTheme="majorBidi" w:cstheme="majorBidi"/>
          <w:sz w:val="24"/>
          <w:szCs w:val="24"/>
        </w:rPr>
        <w:lastRenderedPageBreak/>
        <w:t xml:space="preserve">and hide its presence making it less noticeable.  </w:t>
      </w:r>
      <w:r w:rsidR="00BC0A0A">
        <w:rPr>
          <w:rFonts w:asciiTheme="majorBidi" w:hAnsiTheme="majorBidi" w:cstheme="majorBidi"/>
          <w:sz w:val="24"/>
          <w:szCs w:val="24"/>
        </w:rPr>
        <w:t>W</w:t>
      </w:r>
      <w:r w:rsidR="005D7DEC" w:rsidRPr="00644B88">
        <w:rPr>
          <w:rFonts w:asciiTheme="majorBidi" w:hAnsiTheme="majorBidi" w:cstheme="majorBidi"/>
          <w:sz w:val="24"/>
          <w:szCs w:val="24"/>
        </w:rPr>
        <w:t xml:space="preserve">hat technology is trying to achieve is to make it easier for states to trust people </w:t>
      </w:r>
      <w:r>
        <w:rPr>
          <w:rFonts w:asciiTheme="majorBidi" w:hAnsiTheme="majorBidi" w:cstheme="majorBidi"/>
          <w:sz w:val="24"/>
          <w:szCs w:val="24"/>
        </w:rPr>
        <w:t>or the other way around</w:t>
      </w:r>
      <w:r w:rsidR="005D7DEC" w:rsidRPr="00644B88">
        <w:rPr>
          <w:rFonts w:asciiTheme="majorBidi" w:hAnsiTheme="majorBidi" w:cstheme="majorBidi"/>
          <w:sz w:val="24"/>
          <w:szCs w:val="24"/>
        </w:rPr>
        <w:t xml:space="preserve"> because they trust them but </w:t>
      </w:r>
      <w:r w:rsidR="004B2257" w:rsidRPr="00644B88">
        <w:rPr>
          <w:rFonts w:asciiTheme="majorBidi" w:hAnsiTheme="majorBidi" w:cstheme="majorBidi"/>
          <w:sz w:val="24"/>
          <w:szCs w:val="24"/>
        </w:rPr>
        <w:t>because</w:t>
      </w:r>
      <w:r w:rsidR="005D7DEC" w:rsidRPr="00644B88">
        <w:rPr>
          <w:rFonts w:asciiTheme="majorBidi" w:hAnsiTheme="majorBidi" w:cstheme="majorBidi"/>
          <w:sz w:val="24"/>
          <w:szCs w:val="24"/>
        </w:rPr>
        <w:t xml:space="preserve"> there is an algorithm that </w:t>
      </w:r>
      <w:proofErr w:type="gramStart"/>
      <w:r w:rsidR="005D7DEC" w:rsidRPr="00644B88">
        <w:rPr>
          <w:rFonts w:asciiTheme="majorBidi" w:hAnsiTheme="majorBidi" w:cstheme="majorBidi"/>
          <w:sz w:val="24"/>
          <w:szCs w:val="24"/>
        </w:rPr>
        <w:t>suggests so</w:t>
      </w:r>
      <w:proofErr w:type="gramEnd"/>
      <w:r w:rsidR="005D7DEC" w:rsidRPr="00644B88">
        <w:rPr>
          <w:rFonts w:asciiTheme="majorBidi" w:hAnsiTheme="majorBidi" w:cstheme="majorBidi"/>
          <w:sz w:val="24"/>
          <w:szCs w:val="24"/>
        </w:rPr>
        <w:t xml:space="preserve"> they can be more laid back</w:t>
      </w:r>
      <w:r w:rsidR="00AA25BB">
        <w:rPr>
          <w:rFonts w:asciiTheme="majorBidi" w:hAnsiTheme="majorBidi" w:cstheme="majorBidi"/>
          <w:sz w:val="24"/>
          <w:szCs w:val="24"/>
        </w:rPr>
        <w:t xml:space="preserve"> in the risk they take in trusting people. </w:t>
      </w:r>
      <w:proofErr w:type="gramStart"/>
      <w:r w:rsidR="00AA25BB">
        <w:rPr>
          <w:rFonts w:asciiTheme="majorBidi" w:hAnsiTheme="majorBidi" w:cstheme="majorBidi"/>
          <w:sz w:val="24"/>
          <w:szCs w:val="24"/>
        </w:rPr>
        <w:t>Possibly</w:t>
      </w:r>
      <w:r>
        <w:rPr>
          <w:rFonts w:asciiTheme="majorBidi" w:hAnsiTheme="majorBidi" w:cstheme="majorBidi"/>
          <w:sz w:val="24"/>
          <w:szCs w:val="24"/>
        </w:rPr>
        <w:t xml:space="preserve">, </w:t>
      </w:r>
      <w:r w:rsidR="00AA25BB">
        <w:rPr>
          <w:rFonts w:asciiTheme="majorBidi" w:hAnsiTheme="majorBidi" w:cstheme="majorBidi"/>
          <w:sz w:val="24"/>
          <w:szCs w:val="24"/>
        </w:rPr>
        <w:t xml:space="preserve"> </w:t>
      </w:r>
      <w:r w:rsidR="004B2257">
        <w:rPr>
          <w:rFonts w:asciiTheme="majorBidi" w:hAnsiTheme="majorBidi" w:cstheme="majorBidi"/>
          <w:sz w:val="24"/>
          <w:szCs w:val="24"/>
        </w:rPr>
        <w:t>technology</w:t>
      </w:r>
      <w:proofErr w:type="gramEnd"/>
      <w:r w:rsidR="00AA25BB">
        <w:rPr>
          <w:rFonts w:asciiTheme="majorBidi" w:hAnsiTheme="majorBidi" w:cstheme="majorBidi"/>
          <w:sz w:val="24"/>
          <w:szCs w:val="24"/>
        </w:rPr>
        <w:t xml:space="preserve"> can allow for </w:t>
      </w:r>
      <w:r w:rsidR="004B2257">
        <w:rPr>
          <w:rFonts w:asciiTheme="majorBidi" w:hAnsiTheme="majorBidi" w:cstheme="majorBidi"/>
          <w:sz w:val="24"/>
          <w:szCs w:val="24"/>
        </w:rPr>
        <w:t>surveillance</w:t>
      </w:r>
      <w:r w:rsidR="00AA25BB">
        <w:rPr>
          <w:rFonts w:asciiTheme="majorBidi" w:hAnsiTheme="majorBidi" w:cstheme="majorBidi"/>
          <w:sz w:val="24"/>
          <w:szCs w:val="24"/>
        </w:rPr>
        <w:t xml:space="preserve"> which might be less threatening behaviorally. Which require</w:t>
      </w:r>
      <w:r>
        <w:rPr>
          <w:rFonts w:asciiTheme="majorBidi" w:hAnsiTheme="majorBidi" w:cstheme="majorBidi"/>
          <w:sz w:val="24"/>
          <w:szCs w:val="24"/>
        </w:rPr>
        <w:t>s</w:t>
      </w:r>
      <w:r w:rsidR="00AA25BB">
        <w:rPr>
          <w:rFonts w:asciiTheme="majorBidi" w:hAnsiTheme="majorBidi" w:cstheme="majorBidi"/>
          <w:sz w:val="24"/>
          <w:szCs w:val="24"/>
        </w:rPr>
        <w:t xml:space="preserve"> the need to learn when we can</w:t>
      </w:r>
      <w:r w:rsidR="005D7DEC" w:rsidRPr="00644B88">
        <w:rPr>
          <w:rFonts w:asciiTheme="majorBidi" w:hAnsiTheme="majorBidi" w:cstheme="majorBidi"/>
          <w:sz w:val="24"/>
          <w:szCs w:val="24"/>
        </w:rPr>
        <w:t xml:space="preserve"> reduce the negative effect of </w:t>
      </w:r>
      <w:r w:rsidR="004B2257" w:rsidRPr="00644B88">
        <w:rPr>
          <w:rFonts w:asciiTheme="majorBidi" w:hAnsiTheme="majorBidi" w:cstheme="majorBidi"/>
          <w:sz w:val="24"/>
          <w:szCs w:val="24"/>
        </w:rPr>
        <w:t>technological</w:t>
      </w:r>
      <w:r w:rsidR="005D7DEC" w:rsidRPr="00644B88">
        <w:rPr>
          <w:rFonts w:asciiTheme="majorBidi" w:hAnsiTheme="majorBidi" w:cstheme="majorBidi"/>
          <w:sz w:val="24"/>
          <w:szCs w:val="24"/>
        </w:rPr>
        <w:t xml:space="preserve"> </w:t>
      </w:r>
      <w:r w:rsidR="004B2257" w:rsidRPr="00644B88">
        <w:rPr>
          <w:rFonts w:asciiTheme="majorBidi" w:hAnsiTheme="majorBidi" w:cstheme="majorBidi"/>
          <w:sz w:val="24"/>
          <w:szCs w:val="24"/>
        </w:rPr>
        <w:t>surveillance</w:t>
      </w:r>
      <w:r w:rsidR="00AA25BB">
        <w:rPr>
          <w:rFonts w:asciiTheme="majorBidi" w:hAnsiTheme="majorBidi" w:cstheme="majorBidi"/>
          <w:sz w:val="24"/>
          <w:szCs w:val="24"/>
        </w:rPr>
        <w:t xml:space="preserve">. </w:t>
      </w:r>
      <w:r w:rsidR="005D7DEC" w:rsidRPr="00644B88">
        <w:rPr>
          <w:rFonts w:asciiTheme="majorBidi" w:hAnsiTheme="majorBidi" w:cstheme="majorBidi"/>
          <w:sz w:val="24"/>
          <w:szCs w:val="24"/>
        </w:rPr>
        <w:t xml:space="preserve">can we raise the bar so that smaller </w:t>
      </w:r>
      <w:r w:rsidR="00AA25BB" w:rsidRPr="00644B88">
        <w:rPr>
          <w:rFonts w:asciiTheme="majorBidi" w:hAnsiTheme="majorBidi" w:cstheme="majorBidi"/>
          <w:sz w:val="24"/>
          <w:szCs w:val="24"/>
        </w:rPr>
        <w:t>misdemeanors</w:t>
      </w:r>
      <w:r w:rsidR="005D7DEC" w:rsidRPr="00644B88">
        <w:rPr>
          <w:rFonts w:asciiTheme="majorBidi" w:hAnsiTheme="majorBidi" w:cstheme="majorBidi"/>
          <w:sz w:val="24"/>
          <w:szCs w:val="24"/>
        </w:rPr>
        <w:t xml:space="preserve"> will be </w:t>
      </w:r>
      <w:r w:rsidR="00AA25BB" w:rsidRPr="00644B88">
        <w:rPr>
          <w:rFonts w:asciiTheme="majorBidi" w:hAnsiTheme="majorBidi" w:cstheme="majorBidi"/>
          <w:sz w:val="24"/>
          <w:szCs w:val="24"/>
        </w:rPr>
        <w:t>tolerated</w:t>
      </w:r>
      <w:r w:rsidR="005D7DEC" w:rsidRPr="00644B88">
        <w:rPr>
          <w:rFonts w:asciiTheme="majorBidi" w:hAnsiTheme="majorBidi" w:cstheme="majorBidi"/>
          <w:sz w:val="24"/>
          <w:szCs w:val="24"/>
        </w:rPr>
        <w:t>?</w:t>
      </w:r>
      <w:r w:rsidR="00AA25BB">
        <w:rPr>
          <w:rFonts w:asciiTheme="majorBidi" w:hAnsiTheme="majorBidi" w:cstheme="majorBidi"/>
          <w:sz w:val="24"/>
          <w:szCs w:val="24"/>
        </w:rPr>
        <w:t xml:space="preserve"> </w:t>
      </w:r>
      <w:r w:rsidR="005D7DEC" w:rsidRPr="00644B88">
        <w:rPr>
          <w:rFonts w:asciiTheme="majorBidi" w:hAnsiTheme="majorBidi" w:cstheme="majorBidi"/>
          <w:sz w:val="24"/>
          <w:szCs w:val="24"/>
        </w:rPr>
        <w:t xml:space="preserve">The </w:t>
      </w:r>
      <w:r w:rsidR="00AA25BB" w:rsidRPr="00644B88">
        <w:rPr>
          <w:rFonts w:asciiTheme="majorBidi" w:hAnsiTheme="majorBidi" w:cstheme="majorBidi"/>
          <w:sz w:val="24"/>
          <w:szCs w:val="24"/>
        </w:rPr>
        <w:t>anti-cash</w:t>
      </w:r>
      <w:r w:rsidR="005D7DEC" w:rsidRPr="00644B88">
        <w:rPr>
          <w:rFonts w:asciiTheme="majorBidi" w:hAnsiTheme="majorBidi" w:cstheme="majorBidi"/>
          <w:sz w:val="24"/>
          <w:szCs w:val="24"/>
        </w:rPr>
        <w:t xml:space="preserve"> </w:t>
      </w:r>
      <w:r w:rsidR="00AA25BB" w:rsidRPr="00644B88">
        <w:rPr>
          <w:rFonts w:asciiTheme="majorBidi" w:hAnsiTheme="majorBidi" w:cstheme="majorBidi"/>
          <w:sz w:val="24"/>
          <w:szCs w:val="24"/>
        </w:rPr>
        <w:t>revolution</w:t>
      </w:r>
      <w:r w:rsidR="00AA25BB">
        <w:rPr>
          <w:rFonts w:asciiTheme="majorBidi" w:hAnsiTheme="majorBidi" w:cstheme="majorBidi"/>
          <w:sz w:val="24"/>
          <w:szCs w:val="24"/>
        </w:rPr>
        <w:t xml:space="preserve"> is an example for a world which is more advanced  technologically which</w:t>
      </w:r>
      <w:r w:rsidR="005D7DEC" w:rsidRPr="00644B88">
        <w:rPr>
          <w:rFonts w:asciiTheme="majorBidi" w:hAnsiTheme="majorBidi" w:cstheme="majorBidi"/>
          <w:sz w:val="24"/>
          <w:szCs w:val="24"/>
        </w:rPr>
        <w:t xml:space="preserve"> might change the need for trust in taxation. did it work so far. do we prefer nudges to technological revolution</w:t>
      </w:r>
      <w:r w:rsidR="00AA25BB">
        <w:rPr>
          <w:rFonts w:asciiTheme="majorBidi" w:hAnsiTheme="majorBidi" w:cstheme="majorBidi"/>
          <w:sz w:val="24"/>
          <w:szCs w:val="24"/>
        </w:rPr>
        <w:t xml:space="preserve">. However what we have learned from covid, was that there was a huge public resistance </w:t>
      </w:r>
      <w:r w:rsidR="003C4FA6">
        <w:rPr>
          <w:rFonts w:asciiTheme="majorBidi" w:hAnsiTheme="majorBidi" w:cstheme="majorBidi"/>
          <w:sz w:val="24"/>
          <w:szCs w:val="24"/>
        </w:rPr>
        <w:t xml:space="preserve">to the usage of tracing apps and people didn't view them as "working in the background". </w:t>
      </w:r>
      <w:r>
        <w:rPr>
          <w:rFonts w:asciiTheme="majorBidi" w:hAnsiTheme="majorBidi" w:cstheme="majorBidi"/>
          <w:sz w:val="24"/>
          <w:szCs w:val="24"/>
        </w:rPr>
        <w:t xml:space="preserve">Part of what will be discussed </w:t>
      </w:r>
      <w:r w:rsidR="00507C11">
        <w:rPr>
          <w:rFonts w:asciiTheme="majorBidi" w:hAnsiTheme="majorBidi" w:cstheme="majorBidi"/>
          <w:sz w:val="24"/>
          <w:szCs w:val="24"/>
        </w:rPr>
        <w:t xml:space="preserve">in that chapter </w:t>
      </w:r>
      <w:proofErr w:type="gramStart"/>
      <w:r w:rsidR="00507C11">
        <w:rPr>
          <w:rFonts w:asciiTheme="majorBidi" w:hAnsiTheme="majorBidi" w:cstheme="majorBidi"/>
          <w:sz w:val="24"/>
          <w:szCs w:val="24"/>
        </w:rPr>
        <w:t>is to</w:t>
      </w:r>
      <w:proofErr w:type="gramEnd"/>
      <w:r w:rsidR="00507C11">
        <w:rPr>
          <w:rFonts w:asciiTheme="majorBidi" w:hAnsiTheme="majorBidi" w:cstheme="majorBidi"/>
          <w:sz w:val="24"/>
          <w:szCs w:val="24"/>
        </w:rPr>
        <w:t xml:space="preserve"> what types of apps and technological monitoring, people are more likely to resists. </w:t>
      </w:r>
    </w:p>
    <w:p w14:paraId="6AC2ECE2" w14:textId="54187FB5" w:rsidR="00825CC6" w:rsidRPr="00644B88" w:rsidRDefault="005D7DEC" w:rsidP="00990D71">
      <w:pPr>
        <w:spacing w:before="100" w:beforeAutospacing="1" w:after="100" w:afterAutospacing="1"/>
        <w:rPr>
          <w:rFonts w:asciiTheme="majorBidi" w:hAnsiTheme="majorBidi" w:cstheme="majorBidi"/>
          <w:sz w:val="24"/>
          <w:szCs w:val="24"/>
        </w:rPr>
      </w:pPr>
      <w:r w:rsidRPr="00644B88">
        <w:rPr>
          <w:rFonts w:asciiTheme="majorBidi" w:hAnsiTheme="majorBidi" w:cstheme="majorBidi"/>
          <w:sz w:val="24"/>
          <w:szCs w:val="24"/>
        </w:rPr>
        <w:br/>
      </w:r>
      <w:r w:rsidR="00167752" w:rsidRPr="00644B88">
        <w:rPr>
          <w:rFonts w:asciiTheme="majorBidi" w:hAnsiTheme="majorBidi" w:cstheme="majorBidi"/>
          <w:sz w:val="24"/>
          <w:szCs w:val="24"/>
        </w:rPr>
        <w:br/>
      </w:r>
      <w:r w:rsidR="00167752" w:rsidRPr="00644B88">
        <w:rPr>
          <w:rFonts w:asciiTheme="majorBidi" w:hAnsiTheme="majorBidi" w:cstheme="majorBidi"/>
          <w:sz w:val="24"/>
          <w:szCs w:val="24"/>
        </w:rPr>
        <w:br/>
      </w:r>
    </w:p>
    <w:p w14:paraId="6297D5E1" w14:textId="16CDA631" w:rsidR="00A5298B" w:rsidRPr="00637780" w:rsidRDefault="005D7DEC" w:rsidP="00996D3C">
      <w:pPr>
        <w:pStyle w:val="Heading2"/>
        <w:rPr>
          <w:rFonts w:asciiTheme="majorBidi" w:hAnsiTheme="majorBidi"/>
          <w:sz w:val="24"/>
          <w:szCs w:val="24"/>
        </w:rPr>
      </w:pPr>
      <w:r w:rsidRPr="00644B88">
        <w:rPr>
          <w:rFonts w:asciiTheme="majorBidi" w:hAnsiTheme="majorBidi"/>
          <w:color w:val="auto"/>
          <w:sz w:val="24"/>
          <w:szCs w:val="24"/>
        </w:rPr>
        <w:br/>
      </w:r>
      <w:r w:rsidR="0028681B" w:rsidRPr="0028681B">
        <w:rPr>
          <w:rFonts w:asciiTheme="majorBidi" w:hAnsiTheme="majorBidi"/>
          <w:sz w:val="24"/>
          <w:szCs w:val="24"/>
          <w:highlight w:val="yellow"/>
        </w:rPr>
        <w:t xml:space="preserve">Don’t edit byond this </w:t>
      </w:r>
      <w:proofErr w:type="gramStart"/>
      <w:r w:rsidR="0028681B" w:rsidRPr="0028681B">
        <w:rPr>
          <w:rFonts w:asciiTheme="majorBidi" w:hAnsiTheme="majorBidi"/>
          <w:sz w:val="24"/>
          <w:szCs w:val="24"/>
          <w:highlight w:val="yellow"/>
        </w:rPr>
        <w:t>point</w:t>
      </w:r>
      <w:proofErr w:type="gramEnd"/>
    </w:p>
    <w:p w14:paraId="68FC547F" w14:textId="15DDC3E2" w:rsidR="000F333C" w:rsidRPr="00644B88" w:rsidRDefault="005D7DEC" w:rsidP="0028681B">
      <w:pPr>
        <w:spacing w:before="100" w:beforeAutospacing="1" w:after="100" w:afterAutospacing="1"/>
        <w:rPr>
          <w:rFonts w:asciiTheme="majorBidi" w:hAnsiTheme="majorBidi" w:cstheme="majorBidi"/>
          <w:sz w:val="24"/>
          <w:szCs w:val="24"/>
        </w:rPr>
      </w:pPr>
      <w:r w:rsidRPr="00644B88">
        <w:rPr>
          <w:rFonts w:asciiTheme="majorBidi" w:hAnsiTheme="majorBidi" w:cstheme="majorBidi"/>
          <w:sz w:val="24"/>
          <w:szCs w:val="24"/>
        </w:rPr>
        <w:br/>
      </w:r>
      <w:r w:rsidRPr="00644B88">
        <w:rPr>
          <w:rFonts w:asciiTheme="majorBidi" w:hAnsiTheme="majorBidi" w:cstheme="majorBidi"/>
          <w:sz w:val="24"/>
          <w:szCs w:val="24"/>
        </w:rPr>
        <w:br/>
      </w:r>
    </w:p>
    <w:p w14:paraId="18A792F5" w14:textId="5207E5E8" w:rsidR="000F333C" w:rsidRPr="00637780" w:rsidRDefault="005D7DEC" w:rsidP="000F333C">
      <w:pPr>
        <w:pStyle w:val="Heading2"/>
        <w:rPr>
          <w:rFonts w:asciiTheme="majorBidi" w:hAnsiTheme="majorBidi"/>
          <w:sz w:val="24"/>
          <w:szCs w:val="24"/>
        </w:rPr>
      </w:pPr>
      <w:r w:rsidRPr="00637780">
        <w:rPr>
          <w:rFonts w:asciiTheme="majorBidi" w:hAnsiTheme="majorBidi"/>
          <w:color w:val="auto"/>
          <w:sz w:val="24"/>
          <w:szCs w:val="24"/>
        </w:rPr>
        <w:br/>
      </w:r>
      <w:r w:rsidRPr="00637780">
        <w:rPr>
          <w:rFonts w:asciiTheme="majorBidi" w:hAnsiTheme="majorBidi"/>
          <w:color w:val="auto"/>
          <w:sz w:val="24"/>
          <w:szCs w:val="24"/>
        </w:rPr>
        <w:br/>
      </w:r>
      <w:bookmarkStart w:id="48" w:name="_Toc161578542"/>
      <w:r w:rsidR="000F333C" w:rsidRPr="00637780">
        <w:rPr>
          <w:rFonts w:asciiTheme="majorBidi" w:hAnsiTheme="majorBidi"/>
          <w:sz w:val="24"/>
          <w:szCs w:val="24"/>
        </w:rPr>
        <w:t>Trustworthiness</w:t>
      </w:r>
      <w:bookmarkEnd w:id="48"/>
      <w:r w:rsidR="000F333C" w:rsidRPr="00637780">
        <w:rPr>
          <w:rFonts w:asciiTheme="majorBidi" w:hAnsiTheme="majorBidi"/>
          <w:sz w:val="24"/>
          <w:szCs w:val="24"/>
        </w:rPr>
        <w:t xml:space="preserve"> </w:t>
      </w:r>
      <w:r w:rsidRPr="00637780">
        <w:rPr>
          <w:rFonts w:asciiTheme="majorBidi" w:hAnsiTheme="majorBidi"/>
          <w:color w:val="auto"/>
          <w:sz w:val="24"/>
          <w:szCs w:val="24"/>
        </w:rPr>
        <w:t xml:space="preserve"> </w:t>
      </w:r>
      <w:r w:rsidRPr="00637780">
        <w:rPr>
          <w:rFonts w:asciiTheme="majorBidi" w:hAnsiTheme="majorBidi"/>
          <w:color w:val="auto"/>
          <w:sz w:val="24"/>
          <w:szCs w:val="24"/>
        </w:rPr>
        <w:br/>
      </w:r>
      <w:r w:rsidRPr="00637780">
        <w:rPr>
          <w:rFonts w:asciiTheme="majorBidi" w:hAnsiTheme="majorBidi"/>
          <w:color w:val="auto"/>
          <w:sz w:val="24"/>
          <w:szCs w:val="24"/>
        </w:rPr>
        <w:br/>
      </w:r>
    </w:p>
    <w:p w14:paraId="5C2C80D3" w14:textId="32570CA6" w:rsidR="00873800" w:rsidRPr="00644B88" w:rsidRDefault="005D7DEC" w:rsidP="00252FB1">
      <w:pPr>
        <w:spacing w:before="100" w:beforeAutospacing="1" w:after="100" w:afterAutospacing="1"/>
        <w:rPr>
          <w:rFonts w:asciiTheme="majorBidi" w:hAnsiTheme="majorBidi" w:cstheme="majorBidi"/>
          <w:sz w:val="24"/>
          <w:szCs w:val="24"/>
        </w:rPr>
      </w:pPr>
      <w:r w:rsidRPr="00644B88">
        <w:rPr>
          <w:rFonts w:asciiTheme="majorBidi" w:hAnsiTheme="majorBidi" w:cstheme="majorBidi"/>
          <w:sz w:val="24"/>
          <w:szCs w:val="24"/>
        </w:rPr>
        <w:t>First, a crucial step is to assess whether expectations about the counterpart are favourable. This assessment</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of trustworthiness of the counterpart focuses on particular dimensions, of which several have been</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proposed. Mayer et al’s (1995) ABI-model is possibly the most often cited, referring to Ability (expectations</w:t>
      </w:r>
      <w:r w:rsidRPr="00644B88">
        <w:rPr>
          <w:rFonts w:asciiTheme="majorBidi" w:hAnsiTheme="majorBidi" w:cstheme="majorBidi"/>
          <w:sz w:val="24"/>
          <w:szCs w:val="24"/>
        </w:rPr>
        <w:br/>
        <w:t>that the other party has the competence to successfully complete its tasks), Benevolence (the expectation</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that the other party cares about the trustor’s interests and needs) and Integrity (the expectation that the</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other party will act in a just and fair way). However, in another prominent classification, benevolence and</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integrity are taken together, referring to intentions, as empirically there is often not a clear distinction</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between these two dimensions, especially in organizational or system trust (Dekker, 2004; Sako, 1998; Searle</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et al., 2011). Besides benevolence and integrity, competence as a manifestation of ability takes a central</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place in most conceptualizations of trustworthiness (see Dietz and Den Hartog, 2006 who additionally</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it is interesting to think about the trustworthiness of the public ability, integrity, benovolence</w:t>
      </w:r>
      <w:r w:rsidR="00520AA9" w:rsidRPr="00644B88">
        <w:rPr>
          <w:rFonts w:asciiTheme="majorBidi" w:hAnsiTheme="majorBidi" w:cstheme="majorBidi"/>
          <w:sz w:val="24"/>
          <w:szCs w:val="24"/>
        </w:rPr>
        <w:t xml:space="preserve"> </w:t>
      </w:r>
      <w:r w:rsidRPr="00644B88">
        <w:rPr>
          <w:rFonts w:asciiTheme="majorBidi" w:hAnsiTheme="majorBidi" w:cstheme="majorBidi"/>
          <w:sz w:val="24"/>
          <w:szCs w:val="24"/>
        </w:rPr>
        <w:t>mention predictability as element of trustworthiness).</w:t>
      </w:r>
      <w:r w:rsidRPr="00644B88">
        <w:rPr>
          <w:rFonts w:asciiTheme="majorBidi" w:hAnsiTheme="majorBidi" w:cstheme="majorBidi"/>
          <w:sz w:val="24"/>
          <w:szCs w:val="24"/>
        </w:rPr>
        <w:br/>
      </w:r>
      <w:r w:rsidRPr="00644B88">
        <w:rPr>
          <w:rFonts w:asciiTheme="majorBidi" w:hAnsiTheme="majorBidi" w:cstheme="majorBidi"/>
          <w:sz w:val="24"/>
          <w:szCs w:val="24"/>
        </w:rPr>
        <w:lastRenderedPageBreak/>
        <w:br/>
      </w:r>
    </w:p>
    <w:p w14:paraId="07A25F95" w14:textId="77777777" w:rsidR="007D10A9" w:rsidRDefault="005D7DEC" w:rsidP="007D10A9">
      <w:pPr>
        <w:pStyle w:val="Heading2"/>
        <w:rPr>
          <w:rFonts w:asciiTheme="majorBidi" w:eastAsiaTheme="minorHAnsi" w:hAnsiTheme="majorBidi"/>
          <w:sz w:val="24"/>
          <w:szCs w:val="24"/>
        </w:rPr>
      </w:pPr>
      <w:r w:rsidRPr="00637780">
        <w:rPr>
          <w:rFonts w:asciiTheme="majorBidi" w:hAnsiTheme="majorBidi"/>
          <w:color w:val="auto"/>
          <w:sz w:val="24"/>
          <w:szCs w:val="24"/>
        </w:rPr>
        <w:br/>
      </w:r>
      <w:bookmarkStart w:id="49" w:name="_Toc161578543"/>
      <w:r w:rsidR="007D10A9" w:rsidRPr="00637780">
        <w:rPr>
          <w:rFonts w:asciiTheme="majorBidi" w:eastAsiaTheme="minorHAnsi" w:hAnsiTheme="majorBidi"/>
          <w:sz w:val="24"/>
          <w:szCs w:val="24"/>
        </w:rPr>
        <w:t>What is intrinsic motivation?</w:t>
      </w:r>
      <w:bookmarkEnd w:id="49"/>
      <w:r w:rsidR="007D10A9" w:rsidRPr="00637780">
        <w:rPr>
          <w:rFonts w:asciiTheme="majorBidi" w:eastAsiaTheme="minorHAnsi" w:hAnsiTheme="majorBidi"/>
          <w:sz w:val="24"/>
          <w:szCs w:val="24"/>
        </w:rPr>
        <w:t xml:space="preserve"> </w:t>
      </w:r>
    </w:p>
    <w:p w14:paraId="0634C35D" w14:textId="3AE3270F" w:rsidR="00970CB1" w:rsidRDefault="00970CB1" w:rsidP="00970CB1">
      <w:r>
        <w:t xml:space="preserve">Chapter </w:t>
      </w:r>
      <w:r w:rsidR="00395069">
        <w:t xml:space="preserve">2 </w:t>
      </w:r>
      <w:proofErr w:type="gramStart"/>
      <w:r w:rsidR="001C23AE">
        <w:t>d</w:t>
      </w:r>
      <w:r>
        <w:t>iscuss</w:t>
      </w:r>
      <w:proofErr w:type="gramEnd"/>
      <w:r>
        <w:t xml:space="preserve"> the related concept of intrinsic motivation which seems in many </w:t>
      </w:r>
      <w:proofErr w:type="gramStart"/>
      <w:r>
        <w:t>way</w:t>
      </w:r>
      <w:proofErr w:type="gramEnd"/>
      <w:r>
        <w:t xml:space="preserve"> the classical understanding of voluntary compliance. </w:t>
      </w:r>
    </w:p>
    <w:p w14:paraId="7B397AAD" w14:textId="7642CE88" w:rsidR="007D10A9" w:rsidRPr="00644B88" w:rsidRDefault="00970CB1" w:rsidP="00970CB1">
      <w:pPr>
        <w:rPr>
          <w:rFonts w:asciiTheme="majorBidi" w:hAnsiTheme="majorBidi" w:cstheme="majorBidi"/>
          <w:sz w:val="24"/>
          <w:szCs w:val="24"/>
        </w:rPr>
      </w:pPr>
      <w:r>
        <w:t xml:space="preserve">We discuss in that chapter few different forms of voluntary compliance. </w:t>
      </w:r>
      <w:r>
        <w:rPr>
          <w:rFonts w:asciiTheme="majorBidi" w:hAnsiTheme="majorBidi" w:cstheme="majorBidi"/>
          <w:sz w:val="24"/>
          <w:szCs w:val="24"/>
        </w:rPr>
        <w:t xml:space="preserve">Such as morality, fairness legitimacy trust and reason. Each of these concept could carry more than one meaning for example, </w:t>
      </w:r>
      <w:r w:rsidR="007D10A9" w:rsidRPr="00644B88">
        <w:rPr>
          <w:rFonts w:asciiTheme="majorBidi" w:hAnsiTheme="majorBidi" w:cstheme="majorBidi"/>
          <w:sz w:val="24"/>
          <w:szCs w:val="24"/>
        </w:rPr>
        <w:t>trust in science is basically intrinsic motivation based compliance</w:t>
      </w:r>
      <w:r>
        <w:rPr>
          <w:rFonts w:asciiTheme="majorBidi" w:hAnsiTheme="majorBidi" w:cstheme="majorBidi"/>
          <w:sz w:val="24"/>
          <w:szCs w:val="24"/>
        </w:rPr>
        <w:t xml:space="preserve"> which is related to the envirometn or to covid, where we are concinced to believe that </w:t>
      </w:r>
      <w:r w:rsidR="009F4D8B">
        <w:rPr>
          <w:rFonts w:asciiTheme="majorBidi" w:hAnsiTheme="majorBidi" w:cstheme="majorBidi"/>
          <w:sz w:val="24"/>
          <w:szCs w:val="24"/>
        </w:rPr>
        <w:t>recycling</w:t>
      </w:r>
      <w:r>
        <w:rPr>
          <w:rFonts w:asciiTheme="majorBidi" w:hAnsiTheme="majorBidi" w:cstheme="majorBidi"/>
          <w:sz w:val="24"/>
          <w:szCs w:val="24"/>
        </w:rPr>
        <w:t xml:space="preserve"> or using electrical cars are a good way to stop climate change. </w:t>
      </w:r>
      <w:r w:rsidR="007D10A9" w:rsidRPr="00644B88">
        <w:rPr>
          <w:rFonts w:asciiTheme="majorBidi" w:hAnsiTheme="majorBidi" w:cstheme="majorBidi"/>
          <w:sz w:val="24"/>
          <w:szCs w:val="24"/>
        </w:rPr>
        <w:br/>
        <w:t>state should aspire voluntary compliance, although this is unlikely to succeed. it is obliged to do so as part of the democratic situation and as a way to signal to the good people that it trusts them.</w:t>
      </w:r>
    </w:p>
    <w:p w14:paraId="7ED45743" w14:textId="7BFA2A7E" w:rsidR="007D10A9" w:rsidRPr="00637780" w:rsidRDefault="00873800" w:rsidP="007D10A9">
      <w:pPr>
        <w:pStyle w:val="Heading2"/>
        <w:rPr>
          <w:rFonts w:asciiTheme="majorBidi" w:hAnsiTheme="majorBidi"/>
          <w:sz w:val="24"/>
          <w:szCs w:val="24"/>
        </w:rPr>
      </w:pPr>
      <w:bookmarkStart w:id="50" w:name="_Toc161578544"/>
      <w:r w:rsidRPr="00637780">
        <w:rPr>
          <w:rFonts w:asciiTheme="majorBidi" w:hAnsiTheme="majorBidi"/>
          <w:sz w:val="24"/>
          <w:szCs w:val="24"/>
        </w:rPr>
        <w:t>C</w:t>
      </w:r>
      <w:r w:rsidR="007D10A9" w:rsidRPr="00637780">
        <w:rPr>
          <w:rFonts w:asciiTheme="majorBidi" w:hAnsiTheme="majorBidi"/>
          <w:sz w:val="24"/>
          <w:szCs w:val="24"/>
        </w:rPr>
        <w:t>rowding out of what type intrinsic motivation?</w:t>
      </w:r>
      <w:bookmarkEnd w:id="50"/>
      <w:r w:rsidR="005D7DEC" w:rsidRPr="00637780">
        <w:rPr>
          <w:rFonts w:asciiTheme="majorBidi" w:hAnsiTheme="majorBidi"/>
          <w:color w:val="auto"/>
          <w:sz w:val="24"/>
          <w:szCs w:val="24"/>
        </w:rPr>
        <w:t xml:space="preserve"> </w:t>
      </w:r>
    </w:p>
    <w:p w14:paraId="1D73397C" w14:textId="1EE30171" w:rsidR="007D10A9" w:rsidRPr="00644B88" w:rsidRDefault="005D7DEC" w:rsidP="00252FB1">
      <w:pPr>
        <w:spacing w:before="100" w:beforeAutospacing="1" w:after="100" w:afterAutospacing="1"/>
        <w:rPr>
          <w:rFonts w:asciiTheme="majorBidi" w:hAnsiTheme="majorBidi" w:cstheme="majorBidi"/>
          <w:sz w:val="24"/>
          <w:szCs w:val="24"/>
        </w:rPr>
      </w:pPr>
      <w:r w:rsidRPr="00644B88">
        <w:rPr>
          <w:rFonts w:asciiTheme="majorBidi" w:hAnsiTheme="majorBidi" w:cstheme="majorBidi"/>
          <w:sz w:val="24"/>
          <w:szCs w:val="24"/>
        </w:rPr>
        <w:t>Another problem</w:t>
      </w:r>
      <w:r w:rsidR="009F4D8B">
        <w:rPr>
          <w:rFonts w:asciiTheme="majorBidi" w:hAnsiTheme="majorBidi" w:cstheme="majorBidi"/>
          <w:sz w:val="24"/>
          <w:szCs w:val="24"/>
        </w:rPr>
        <w:t xml:space="preserve">, which is discussed in chapter </w:t>
      </w:r>
      <w:r w:rsidR="00395069">
        <w:rPr>
          <w:rFonts w:asciiTheme="majorBidi" w:hAnsiTheme="majorBidi" w:cstheme="majorBidi"/>
          <w:sz w:val="24"/>
          <w:szCs w:val="24"/>
        </w:rPr>
        <w:t>3</w:t>
      </w:r>
      <w:r w:rsidR="009F4D8B">
        <w:rPr>
          <w:rFonts w:asciiTheme="majorBidi" w:hAnsiTheme="majorBidi" w:cstheme="majorBidi"/>
          <w:sz w:val="24"/>
          <w:szCs w:val="24"/>
        </w:rPr>
        <w:t xml:space="preserve"> is related to </w:t>
      </w:r>
      <w:proofErr w:type="gramStart"/>
      <w:r w:rsidR="009F4D8B">
        <w:rPr>
          <w:rFonts w:asciiTheme="majorBidi" w:hAnsiTheme="majorBidi" w:cstheme="majorBidi"/>
          <w:sz w:val="24"/>
          <w:szCs w:val="24"/>
        </w:rPr>
        <w:t xml:space="preserve">the </w:t>
      </w:r>
      <w:r w:rsidRPr="00644B88">
        <w:rPr>
          <w:rFonts w:asciiTheme="majorBidi" w:hAnsiTheme="majorBidi" w:cstheme="majorBidi"/>
          <w:sz w:val="24"/>
          <w:szCs w:val="24"/>
        </w:rPr>
        <w:t xml:space="preserve"> with</w:t>
      </w:r>
      <w:proofErr w:type="gramEnd"/>
      <w:r w:rsidRPr="00644B88">
        <w:rPr>
          <w:rFonts w:asciiTheme="majorBidi" w:hAnsiTheme="majorBidi" w:cstheme="majorBidi"/>
          <w:sz w:val="24"/>
          <w:szCs w:val="24"/>
        </w:rPr>
        <w:t xml:space="preserve"> the arguments on crowding out effect intrinsic motivation</w:t>
      </w:r>
      <w:r w:rsidR="009F4D8B">
        <w:rPr>
          <w:rFonts w:asciiTheme="majorBidi" w:hAnsiTheme="majorBidi" w:cstheme="majorBidi"/>
          <w:sz w:val="24"/>
          <w:szCs w:val="24"/>
        </w:rPr>
        <w:t>, due to regulatory intervention. This approach</w:t>
      </w:r>
      <w:r w:rsidRPr="00644B88">
        <w:rPr>
          <w:rFonts w:asciiTheme="majorBidi" w:hAnsiTheme="majorBidi" w:cstheme="majorBidi"/>
          <w:sz w:val="24"/>
          <w:szCs w:val="24"/>
        </w:rPr>
        <w:t xml:space="preserve"> is far from being clear and there are various accounts that attempt to explain what is intrinsic motivation, clearly for example that intrinsic motivation such as pro social motivation is more likely to suffer from external interventions, however if one things that a certain institution is legitimate and she likely to comply with it, is it really the case that because of some legal reliance on external measures, it will be crowded out and he will no longer believe that the legal institution is legitimate? Hence there is a need to focus extensively on understanding what intrinsic motivations we are talking about. </w:t>
      </w:r>
    </w:p>
    <w:p w14:paraId="49E70951" w14:textId="77777777" w:rsidR="00873800" w:rsidRPr="00644B88" w:rsidRDefault="00873800" w:rsidP="00CD7986">
      <w:pPr>
        <w:spacing w:before="100" w:beforeAutospacing="1" w:after="100" w:afterAutospacing="1"/>
        <w:jc w:val="both"/>
        <w:rPr>
          <w:rFonts w:asciiTheme="majorBidi" w:hAnsiTheme="majorBidi" w:cstheme="majorBidi"/>
          <w:sz w:val="24"/>
          <w:szCs w:val="24"/>
        </w:rPr>
      </w:pPr>
    </w:p>
    <w:p w14:paraId="5EC66567" w14:textId="17E9A3C2" w:rsidR="00CD7986" w:rsidRPr="00644B88" w:rsidRDefault="00CD7986" w:rsidP="00CD7986">
      <w:pPr>
        <w:spacing w:before="100" w:beforeAutospacing="1" w:after="100" w:afterAutospacing="1"/>
        <w:jc w:val="both"/>
        <w:rPr>
          <w:rFonts w:asciiTheme="majorBidi" w:hAnsiTheme="majorBidi" w:cstheme="majorBidi"/>
          <w:sz w:val="24"/>
          <w:szCs w:val="24"/>
        </w:rPr>
      </w:pPr>
    </w:p>
    <w:p w14:paraId="793C166D" w14:textId="5B862219" w:rsidR="00E97352" w:rsidRPr="00644B88" w:rsidRDefault="00E97352"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 xml:space="preserve">The information we have about people is huge but not </w:t>
      </w:r>
      <w:proofErr w:type="gramStart"/>
      <w:r w:rsidRPr="00644B88">
        <w:rPr>
          <w:rFonts w:asciiTheme="majorBidi" w:hAnsiTheme="majorBidi" w:cstheme="majorBidi"/>
          <w:sz w:val="24"/>
          <w:szCs w:val="24"/>
        </w:rPr>
        <w:t>satisfying</w:t>
      </w:r>
      <w:proofErr w:type="gramEnd"/>
      <w:r w:rsidRPr="00644B88">
        <w:rPr>
          <w:rFonts w:asciiTheme="majorBidi" w:hAnsiTheme="majorBidi" w:cstheme="majorBidi"/>
          <w:sz w:val="24"/>
          <w:szCs w:val="24"/>
        </w:rPr>
        <w:t xml:space="preserve"> </w:t>
      </w:r>
    </w:p>
    <w:p w14:paraId="43D6FAB7" w14:textId="27847A91" w:rsidR="00E97352" w:rsidRPr="00644B88" w:rsidRDefault="00E97352" w:rsidP="00CD7986">
      <w:pPr>
        <w:spacing w:before="100" w:beforeAutospacing="1" w:after="100" w:afterAutospacing="1"/>
        <w:jc w:val="both"/>
        <w:rPr>
          <w:rFonts w:asciiTheme="majorBidi" w:hAnsiTheme="majorBidi" w:cstheme="majorBidi"/>
          <w:sz w:val="24"/>
          <w:szCs w:val="24"/>
        </w:rPr>
      </w:pPr>
      <w:r w:rsidRPr="00644B88">
        <w:rPr>
          <w:rFonts w:asciiTheme="majorBidi" w:hAnsiTheme="majorBidi" w:cstheme="majorBidi"/>
          <w:sz w:val="24"/>
          <w:szCs w:val="24"/>
        </w:rPr>
        <w:t>So most people are honest but not if they have excuses</w:t>
      </w:r>
      <w:r w:rsidR="00BB6ED6" w:rsidRPr="00644B88">
        <w:rPr>
          <w:rFonts w:asciiTheme="majorBidi" w:hAnsiTheme="majorBidi" w:cstheme="majorBidi"/>
          <w:sz w:val="24"/>
          <w:szCs w:val="24"/>
        </w:rPr>
        <w:t xml:space="preserve"> than many cheat </w:t>
      </w:r>
    </w:p>
    <w:p w14:paraId="205ED848" w14:textId="77777777" w:rsidR="00BB6ED6" w:rsidRPr="00644B88" w:rsidRDefault="00BB6ED6" w:rsidP="00CD7986">
      <w:pPr>
        <w:spacing w:before="100" w:beforeAutospacing="1" w:after="100" w:afterAutospacing="1"/>
        <w:jc w:val="both"/>
        <w:rPr>
          <w:rFonts w:asciiTheme="majorBidi" w:hAnsiTheme="majorBidi" w:cstheme="majorBidi"/>
          <w:sz w:val="24"/>
          <w:szCs w:val="24"/>
        </w:rPr>
      </w:pPr>
    </w:p>
    <w:p w14:paraId="64E2A3A3" w14:textId="0BDAB2CB" w:rsidR="00CD7986" w:rsidRPr="00E0431E" w:rsidRDefault="00E0431E" w:rsidP="00CD7986">
      <w:pPr>
        <w:spacing w:before="100" w:beforeAutospacing="1" w:after="100" w:afterAutospacing="1"/>
        <w:jc w:val="both"/>
        <w:rPr>
          <w:rFonts w:asciiTheme="majorBidi" w:hAnsiTheme="majorBidi" w:cstheme="majorBidi"/>
          <w:sz w:val="24"/>
          <w:szCs w:val="24"/>
          <w:rtl/>
        </w:rPr>
      </w:pPr>
      <w:r w:rsidRPr="00644B88">
        <w:rPr>
          <w:rFonts w:asciiTheme="majorBidi" w:hAnsiTheme="majorBidi" w:cstheme="majorBidi"/>
          <w:sz w:val="24"/>
          <w:szCs w:val="24"/>
        </w:rPr>
        <w:t>when we talk about cooperation, we have this assumption that we don't want the bare minimum but is the case across all</w:t>
      </w:r>
      <w:r w:rsidRPr="00644B88">
        <w:rPr>
          <w:rFonts w:asciiTheme="majorBidi" w:hAnsiTheme="majorBidi" w:cstheme="majorBidi"/>
          <w:sz w:val="24"/>
          <w:szCs w:val="24"/>
        </w:rPr>
        <w:br/>
        <w:t>so in taxes maybe its fine for people to pay the bare minimum but in the enviorometn maybe it is not the same? maybe we need to create a different threshhold for every doctrine</w:t>
      </w:r>
      <w:r>
        <w:rPr>
          <w:rFonts w:asciiTheme="majorBidi" w:hAnsiTheme="majorBidi" w:cstheme="majorBidi"/>
          <w:sz w:val="24"/>
          <w:szCs w:val="24"/>
        </w:rPr>
        <w:t xml:space="preserve"> </w:t>
      </w:r>
      <w:r w:rsidRPr="00644B88">
        <w:rPr>
          <w:rFonts w:asciiTheme="majorBidi" w:hAnsiTheme="majorBidi" w:cstheme="majorBidi"/>
          <w:sz w:val="24"/>
          <w:szCs w:val="24"/>
        </w:rPr>
        <w:t xml:space="preserve">there are many aspects of motivation we have intrinsic and we have extrinsic but intrinsic could mean a lot of things so for example trust in a sense is related to the source and not to the content that is I am complying not because I believe in the content but because I believe in the source and that regard legitimacy could also be seen as not </w:t>
      </w:r>
      <w:r w:rsidRPr="00644B88">
        <w:rPr>
          <w:rFonts w:asciiTheme="majorBidi" w:hAnsiTheme="majorBidi" w:cstheme="majorBidi"/>
          <w:sz w:val="24"/>
          <w:szCs w:val="24"/>
        </w:rPr>
        <w:lastRenderedPageBreak/>
        <w:t>related to the actual content reciprocity is also source related not content related when we talk about extrinsic we also need to differentiate between probabilistic and actual so in probabilistic doing it might lead to a benefit or cost relative to a situation where I actually have to do it so I don't know to get into a parking you need to swipe your card this is not giving you an option whether to cooperate or you have to do it in many text situation we don't give you that option so it's actual versus probabilistic or</w:t>
      </w:r>
    </w:p>
    <w:p w14:paraId="7D72E660" w14:textId="77777777" w:rsidR="00E50828" w:rsidRPr="00637780" w:rsidRDefault="00E50828" w:rsidP="00E50828">
      <w:pPr>
        <w:pStyle w:val="Heading2"/>
        <w:rPr>
          <w:rFonts w:asciiTheme="majorBidi" w:hAnsiTheme="majorBidi"/>
          <w:sz w:val="24"/>
          <w:szCs w:val="24"/>
        </w:rPr>
      </w:pPr>
      <w:bookmarkStart w:id="51" w:name="_Toc161578546"/>
      <w:r w:rsidRPr="00637780">
        <w:rPr>
          <w:rFonts w:asciiTheme="majorBidi" w:hAnsiTheme="majorBidi"/>
          <w:sz w:val="24"/>
          <w:szCs w:val="24"/>
        </w:rPr>
        <w:t>A threshold approach?</w:t>
      </w:r>
      <w:bookmarkEnd w:id="51"/>
    </w:p>
    <w:p w14:paraId="65AC9761" w14:textId="3BFCE7DD" w:rsidR="00CD7986" w:rsidRPr="00E50828" w:rsidRDefault="00E50828" w:rsidP="00E50828">
      <w:pPr>
        <w:spacing w:before="100" w:beforeAutospacing="1" w:after="100" w:afterAutospacing="1"/>
        <w:jc w:val="both"/>
        <w:rPr>
          <w:rFonts w:asciiTheme="majorBidi" w:hAnsiTheme="majorBidi" w:cstheme="majorBidi"/>
          <w:sz w:val="24"/>
          <w:szCs w:val="24"/>
          <w:rtl/>
        </w:rPr>
      </w:pPr>
      <w:r w:rsidRPr="00644B88">
        <w:rPr>
          <w:rFonts w:asciiTheme="majorBidi" w:hAnsiTheme="majorBidi" w:cstheme="majorBidi"/>
          <w:sz w:val="24"/>
          <w:szCs w:val="24"/>
        </w:rPr>
        <w:br/>
        <w:t>is it enoguh to give poeple choices without risking the botom line for the state- in a similar way to how poeple with eating disorders are being treated, they can choose what to eat but need to get to s certain level</w:t>
      </w:r>
      <w:r w:rsidRPr="00644B88">
        <w:rPr>
          <w:rFonts w:asciiTheme="majorBidi" w:hAnsiTheme="majorBidi" w:cstheme="majorBidi"/>
          <w:sz w:val="24"/>
          <w:szCs w:val="24"/>
        </w:rPr>
        <w:br/>
        <w:t xml:space="preserve">do we want to say sometihng similar with regard to income - that people will need to pass some threshhold and when poeple pass it they will not be criminally sanctioned? why do we do it only in speed enforcement. maybe it is best if we anounce it? </w:t>
      </w:r>
      <w:r w:rsidRPr="00644B88">
        <w:rPr>
          <w:rFonts w:asciiTheme="majorBidi" w:hAnsiTheme="majorBidi" w:cstheme="majorBidi"/>
          <w:sz w:val="24"/>
          <w:szCs w:val="24"/>
        </w:rPr>
        <w:br/>
        <w:t>. An equally widely replicated finding, however, is that the fair process effect does not emerge when people have a moral stake in outcomes (see Skitka et al., 2008 for a review). For example, people see vigilantism to be equally fair as due process of law in leading to the death of a defendant in a murder case if they have strong moral clarity about the defendant’s guilt (Skitka &amp; Houston, 2001).</w:t>
      </w:r>
    </w:p>
    <w:p w14:paraId="2938450C" w14:textId="77777777" w:rsidR="00CD7986" w:rsidRPr="00E445C8" w:rsidRDefault="00CD7986" w:rsidP="00CD7986">
      <w:pPr>
        <w:spacing w:before="100" w:beforeAutospacing="1" w:after="100" w:afterAutospacing="1"/>
        <w:jc w:val="both"/>
        <w:rPr>
          <w:rFonts w:asciiTheme="majorBidi" w:hAnsiTheme="majorBidi" w:cstheme="majorBidi"/>
          <w:sz w:val="24"/>
          <w:szCs w:val="24"/>
        </w:rPr>
      </w:pPr>
    </w:p>
    <w:p w14:paraId="1AA526D0"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4CCEB761"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315DD875"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7845E0A2"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2BC7A8C7" w14:textId="77777777" w:rsidR="00CD7986" w:rsidRDefault="00CD7986" w:rsidP="00CD7986">
      <w:pPr>
        <w:spacing w:before="100" w:beforeAutospacing="1" w:after="100" w:afterAutospacing="1"/>
        <w:jc w:val="both"/>
        <w:rPr>
          <w:rFonts w:asciiTheme="majorBidi" w:hAnsiTheme="majorBidi" w:cstheme="majorBidi"/>
          <w:sz w:val="24"/>
          <w:szCs w:val="24"/>
        </w:rPr>
      </w:pPr>
    </w:p>
    <w:p w14:paraId="25A2B2EF"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6DB75017"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2C887752"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0A564D19"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2BD8766D"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2A43EBDF"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0ABC8D4D"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7E857ACA"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61C4A3F2"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4FD271D3" w14:textId="77777777" w:rsidR="00CD7986" w:rsidRDefault="00CD7986" w:rsidP="00CD7986">
      <w:pPr>
        <w:spacing w:before="100" w:beforeAutospacing="1" w:after="100" w:afterAutospacing="1"/>
        <w:jc w:val="both"/>
        <w:rPr>
          <w:rFonts w:asciiTheme="majorBidi" w:hAnsiTheme="majorBidi" w:cstheme="majorBidi"/>
          <w:b/>
          <w:bCs/>
          <w:color w:val="0070C0"/>
          <w:sz w:val="24"/>
          <w:szCs w:val="24"/>
          <w:rtl/>
        </w:rPr>
      </w:pPr>
    </w:p>
    <w:p w14:paraId="57658F9B" w14:textId="3FEDD3C7" w:rsidR="00CD7986" w:rsidRDefault="004E7114" w:rsidP="00CD7986">
      <w:pPr>
        <w:spacing w:before="100" w:beforeAutospacing="1" w:after="100" w:afterAutospacing="1"/>
        <w:jc w:val="both"/>
        <w:rPr>
          <w:rFonts w:asciiTheme="majorBidi" w:hAnsiTheme="majorBidi" w:cstheme="majorBidi"/>
          <w:b/>
          <w:bCs/>
          <w:color w:val="0070C0"/>
          <w:sz w:val="24"/>
          <w:szCs w:val="24"/>
          <w:rtl/>
        </w:rPr>
      </w:pPr>
      <w:r>
        <w:rPr>
          <w:noProof/>
        </w:rPr>
        <w:drawing>
          <wp:inline distT="0" distB="0" distL="0" distR="0" wp14:anchorId="21E25D1A" wp14:editId="576FB00C">
            <wp:extent cx="5274310" cy="2966720"/>
            <wp:effectExtent l="0" t="0" r="2540" b="508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274310" cy="2966720"/>
                    </a:xfrm>
                    <a:prstGeom prst="rect">
                      <a:avLst/>
                    </a:prstGeom>
                  </pic:spPr>
                </pic:pic>
              </a:graphicData>
            </a:graphic>
          </wp:inline>
        </w:drawing>
      </w:r>
    </w:p>
    <w:p w14:paraId="6E4312FC" w14:textId="0E945FE9" w:rsidR="00CD7986" w:rsidRDefault="004E7114" w:rsidP="00CD7986">
      <w:pPr>
        <w:spacing w:before="100" w:beforeAutospacing="1" w:after="100" w:afterAutospacing="1"/>
        <w:jc w:val="both"/>
        <w:rPr>
          <w:rFonts w:asciiTheme="majorBidi" w:hAnsiTheme="majorBidi" w:cstheme="majorBidi"/>
          <w:b/>
          <w:bCs/>
          <w:color w:val="0070C0"/>
          <w:sz w:val="24"/>
          <w:szCs w:val="24"/>
          <w:rtl/>
        </w:rPr>
      </w:pPr>
      <w:r>
        <w:rPr>
          <w:noProof/>
        </w:rPr>
        <w:drawing>
          <wp:inline distT="0" distB="0" distL="0" distR="0" wp14:anchorId="6D301A39" wp14:editId="23BB08A1">
            <wp:extent cx="5274310" cy="2966720"/>
            <wp:effectExtent l="0" t="0" r="2540"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74310" cy="2966720"/>
                    </a:xfrm>
                    <a:prstGeom prst="rect">
                      <a:avLst/>
                    </a:prstGeom>
                  </pic:spPr>
                </pic:pic>
              </a:graphicData>
            </a:graphic>
          </wp:inline>
        </w:drawing>
      </w:r>
    </w:p>
    <w:sectPr w:rsidR="00CD7986">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2E60B" w14:textId="77777777" w:rsidR="00AE38B0" w:rsidRDefault="00AE38B0" w:rsidP="00CD7986">
      <w:pPr>
        <w:spacing w:after="0" w:line="240" w:lineRule="auto"/>
      </w:pPr>
      <w:r>
        <w:separator/>
      </w:r>
    </w:p>
  </w:endnote>
  <w:endnote w:type="continuationSeparator" w:id="0">
    <w:p w14:paraId="322B00F1" w14:textId="77777777" w:rsidR="00AE38B0" w:rsidRDefault="00AE38B0" w:rsidP="00CD7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FC" w14:textId="77777777" w:rsidR="00A30D53" w:rsidRDefault="00A30D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839786"/>
      <w:docPartObj>
        <w:docPartGallery w:val="Page Numbers (Bottom of Page)"/>
        <w:docPartUnique/>
      </w:docPartObj>
    </w:sdtPr>
    <w:sdtEndPr>
      <w:rPr>
        <w:noProof/>
      </w:rPr>
    </w:sdtEndPr>
    <w:sdtContent>
      <w:p w14:paraId="2A0ECA55" w14:textId="77777777" w:rsidR="00A30D53" w:rsidRDefault="00A30D53">
        <w:pPr>
          <w:pStyle w:val="Footer"/>
        </w:pPr>
        <w:r>
          <w:fldChar w:fldCharType="begin"/>
        </w:r>
        <w:r>
          <w:instrText xml:space="preserve"> PAGE   \* MERGEFORMAT </w:instrText>
        </w:r>
        <w:r>
          <w:fldChar w:fldCharType="separate"/>
        </w:r>
        <w:r>
          <w:rPr>
            <w:noProof/>
          </w:rPr>
          <w:t>5</w:t>
        </w:r>
        <w:r>
          <w:rPr>
            <w:noProof/>
          </w:rPr>
          <w:fldChar w:fldCharType="end"/>
        </w:r>
      </w:p>
    </w:sdtContent>
  </w:sdt>
  <w:p w14:paraId="1474D834" w14:textId="77777777" w:rsidR="00A30D53" w:rsidRDefault="00A30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46EC" w14:textId="77777777" w:rsidR="00A30D53" w:rsidRDefault="00A30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DE6C2" w14:textId="77777777" w:rsidR="00AE38B0" w:rsidRDefault="00AE38B0" w:rsidP="00CD7986">
      <w:pPr>
        <w:spacing w:after="0" w:line="240" w:lineRule="auto"/>
      </w:pPr>
      <w:r>
        <w:separator/>
      </w:r>
    </w:p>
  </w:footnote>
  <w:footnote w:type="continuationSeparator" w:id="0">
    <w:p w14:paraId="695418BF" w14:textId="77777777" w:rsidR="00AE38B0" w:rsidRDefault="00AE38B0" w:rsidP="00CD7986">
      <w:pPr>
        <w:spacing w:after="0" w:line="240" w:lineRule="auto"/>
      </w:pPr>
      <w:r>
        <w:continuationSeparator/>
      </w:r>
    </w:p>
  </w:footnote>
  <w:footnote w:id="1">
    <w:p w14:paraId="54ACACF6" w14:textId="04EA0F1A" w:rsidR="005A0D08" w:rsidRDefault="005A0D08">
      <w:pPr>
        <w:pStyle w:val="FootnoteText"/>
      </w:pPr>
      <w:r>
        <w:rPr>
          <w:rStyle w:val="FootnoteReference"/>
        </w:rPr>
        <w:footnoteRef/>
      </w:r>
      <w:r>
        <w:t xml:space="preserve"> </w:t>
      </w:r>
      <w:r>
        <w:rPr>
          <w:rFonts w:ascii="Arial" w:hAnsi="Arial" w:cs="Arial"/>
          <w:color w:val="222222"/>
          <w:shd w:val="clear" w:color="auto" w:fill="FFFFFF"/>
        </w:rPr>
        <w:t>Kirchler, Erich, and Ingrid Wahl. "Tax compliance inventory TAX-I: Designing an inventory for surveys of tax compliance." </w:t>
      </w:r>
      <w:r>
        <w:rPr>
          <w:rFonts w:ascii="Arial" w:hAnsi="Arial" w:cs="Arial"/>
          <w:i/>
          <w:iCs/>
          <w:color w:val="222222"/>
          <w:shd w:val="clear" w:color="auto" w:fill="FFFFFF"/>
        </w:rPr>
        <w:t>Journal of Economic Psychology</w:t>
      </w:r>
      <w:r>
        <w:rPr>
          <w:rFonts w:ascii="Arial" w:hAnsi="Arial" w:cs="Arial"/>
          <w:color w:val="222222"/>
          <w:shd w:val="clear" w:color="auto" w:fill="FFFFFF"/>
        </w:rPr>
        <w:t> 31.3 (2010): 331-346.</w:t>
      </w:r>
    </w:p>
  </w:footnote>
  <w:footnote w:id="2">
    <w:p w14:paraId="0A88C2B0" w14:textId="1F089431" w:rsidR="005A0D08" w:rsidRDefault="005A0D08">
      <w:pPr>
        <w:pStyle w:val="FootnoteText"/>
        <w:rPr>
          <w:rtl/>
        </w:rPr>
      </w:pPr>
      <w:r>
        <w:rPr>
          <w:rStyle w:val="FootnoteReference"/>
        </w:rPr>
        <w:footnoteRef/>
      </w:r>
      <w:r>
        <w:t xml:space="preserve"> </w:t>
      </w:r>
      <w:r>
        <w:rPr>
          <w:rFonts w:ascii="Arial" w:hAnsi="Arial" w:cs="Arial"/>
          <w:color w:val="222222"/>
          <w:shd w:val="clear" w:color="auto" w:fill="FFFFFF"/>
        </w:rPr>
        <w:t>Tyler, Tom R., and Steven L. Blader. "Identity and cooperative behavior in groups." </w:t>
      </w:r>
      <w:r>
        <w:rPr>
          <w:rFonts w:ascii="Arial" w:hAnsi="Arial" w:cs="Arial"/>
          <w:i/>
          <w:iCs/>
          <w:color w:val="222222"/>
          <w:shd w:val="clear" w:color="auto" w:fill="FFFFFF"/>
        </w:rPr>
        <w:t>Group processes &amp; intergroup relations</w:t>
      </w:r>
      <w:r>
        <w:rPr>
          <w:rFonts w:ascii="Arial" w:hAnsi="Arial" w:cs="Arial"/>
          <w:color w:val="222222"/>
          <w:shd w:val="clear" w:color="auto" w:fill="FFFFFF"/>
        </w:rPr>
        <w:t> 4.3 (2001): 207-226.</w:t>
      </w:r>
    </w:p>
  </w:footnote>
  <w:footnote w:id="3">
    <w:p w14:paraId="0BF528C7" w14:textId="427115CE" w:rsidR="00A842DE" w:rsidRDefault="00A842DE">
      <w:pPr>
        <w:pStyle w:val="FootnoteText"/>
      </w:pPr>
      <w:r>
        <w:rPr>
          <w:rStyle w:val="FootnoteReference"/>
        </w:rPr>
        <w:footnoteRef/>
      </w:r>
      <w:r>
        <w:t xml:space="preserve"> For a discussion of the potential problems with this approach see </w:t>
      </w:r>
      <w:r w:rsidR="0092669E">
        <w:t>chapter __</w:t>
      </w:r>
    </w:p>
  </w:footnote>
  <w:footnote w:id="4">
    <w:p w14:paraId="2EBB4A8A" w14:textId="77777777" w:rsidR="003322E6" w:rsidRPr="00637780" w:rsidRDefault="003322E6"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Gächter, Simon, Benedikt Herrmann, and Christian Thöni. "Trust, voluntary cooperation, and socio-economic background: survey and experimental evidence." </w:t>
      </w:r>
      <w:r w:rsidRPr="00637780">
        <w:rPr>
          <w:rFonts w:asciiTheme="majorBidi" w:hAnsiTheme="majorBidi" w:cstheme="majorBidi"/>
          <w:i/>
          <w:iCs/>
          <w:shd w:val="clear" w:color="auto" w:fill="FFFFFF"/>
        </w:rPr>
        <w:t>Journal of Economic Behavior &amp; Organization</w:t>
      </w:r>
      <w:r w:rsidRPr="00637780">
        <w:rPr>
          <w:rFonts w:asciiTheme="majorBidi" w:hAnsiTheme="majorBidi" w:cstheme="majorBidi"/>
          <w:shd w:val="clear" w:color="auto" w:fill="FFFFFF"/>
        </w:rPr>
        <w:t> 55, no. 4 (2004): 505-531.</w:t>
      </w:r>
    </w:p>
  </w:footnote>
  <w:footnote w:id="5">
    <w:p w14:paraId="62276493" w14:textId="6FC62DC3" w:rsidR="003322E6" w:rsidRPr="00637780" w:rsidRDefault="003322E6" w:rsidP="00644B88">
      <w:pPr>
        <w:spacing w:before="2" w:after="2"/>
        <w:jc w:val="both"/>
        <w:rPr>
          <w:rFonts w:asciiTheme="majorBidi" w:hAnsiTheme="majorBidi" w:cstheme="majorBidi"/>
          <w:sz w:val="20"/>
          <w:szCs w:val="20"/>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w:t>
      </w:r>
      <w:r w:rsidRPr="00637780">
        <w:rPr>
          <w:rFonts w:asciiTheme="majorBidi" w:hAnsiTheme="majorBidi" w:cstheme="majorBidi"/>
          <w:sz w:val="20"/>
          <w:szCs w:val="20"/>
          <w:shd w:val="clear" w:color="auto" w:fill="FFFFFF"/>
        </w:rPr>
        <w:t>Vaughan, Diane. "Autonomy, interdependence, and social control: NASA and the space shuttle Challenger." </w:t>
      </w:r>
      <w:r w:rsidRPr="00637780">
        <w:rPr>
          <w:rFonts w:asciiTheme="majorBidi" w:hAnsiTheme="majorBidi" w:cstheme="majorBidi"/>
          <w:i/>
          <w:iCs/>
          <w:sz w:val="20"/>
          <w:szCs w:val="20"/>
          <w:shd w:val="clear" w:color="auto" w:fill="FFFFFF"/>
        </w:rPr>
        <w:t>Administrative Science Quarterly</w:t>
      </w:r>
      <w:r w:rsidRPr="00637780">
        <w:rPr>
          <w:rFonts w:asciiTheme="majorBidi" w:hAnsiTheme="majorBidi" w:cstheme="majorBidi"/>
          <w:sz w:val="20"/>
          <w:szCs w:val="20"/>
          <w:shd w:val="clear" w:color="auto" w:fill="FFFFFF"/>
        </w:rPr>
        <w:t xml:space="preserve"> (1990): 225-257. </w:t>
      </w:r>
      <w:r w:rsidRPr="00637780">
        <w:rPr>
          <w:rFonts w:asciiTheme="majorBidi" w:hAnsiTheme="majorBidi" w:cstheme="majorBidi"/>
          <w:sz w:val="20"/>
          <w:szCs w:val="20"/>
        </w:rPr>
        <w:t>Findings show that noncompliance with EU ETS regulations correlates with low levels of trust. See:</w:t>
      </w:r>
      <w:r w:rsidR="008B0E4F" w:rsidRPr="00637780">
        <w:rPr>
          <w:rFonts w:asciiTheme="majorBidi" w:hAnsiTheme="majorBidi" w:cstheme="majorBidi"/>
          <w:sz w:val="20"/>
          <w:szCs w:val="20"/>
          <w:rtl/>
        </w:rPr>
        <w:t xml:space="preserve"> </w:t>
      </w:r>
      <w:r w:rsidRPr="00637780">
        <w:rPr>
          <w:rFonts w:asciiTheme="majorBidi" w:hAnsiTheme="majorBidi" w:cstheme="majorBidi"/>
          <w:sz w:val="20"/>
          <w:szCs w:val="20"/>
          <w:shd w:val="clear" w:color="auto" w:fill="FFFFFF"/>
        </w:rPr>
        <w:t>Jo, Ara. 2019. </w:t>
      </w:r>
      <w:r w:rsidRPr="00637780">
        <w:rPr>
          <w:rFonts w:asciiTheme="majorBidi" w:hAnsiTheme="majorBidi" w:cstheme="majorBidi"/>
          <w:i/>
          <w:iCs/>
          <w:sz w:val="20"/>
          <w:szCs w:val="20"/>
          <w:shd w:val="clear" w:color="auto" w:fill="FFFFFF"/>
        </w:rPr>
        <w:t>Trust and compliance evidence from the EU emissions trading scheme</w:t>
      </w:r>
      <w:r w:rsidRPr="00637780">
        <w:rPr>
          <w:rFonts w:asciiTheme="majorBidi" w:hAnsiTheme="majorBidi" w:cstheme="majorBidi"/>
          <w:sz w:val="20"/>
          <w:szCs w:val="20"/>
          <w:shd w:val="clear" w:color="auto" w:fill="FFFFFF"/>
        </w:rPr>
        <w:t>. http://www.lse.ac.uk/GranthamInstitute/wp-content/uploads/2018/06/working-paper-298-Jo-May2019.pdf.</w:t>
      </w:r>
    </w:p>
  </w:footnote>
  <w:footnote w:id="6">
    <w:p w14:paraId="7AE75BC4" w14:textId="5D773369" w:rsidR="001B1E9A" w:rsidRDefault="001B1E9A">
      <w:pPr>
        <w:pStyle w:val="FootnoteText"/>
      </w:pPr>
      <w:r>
        <w:rPr>
          <w:rStyle w:val="FootnoteReference"/>
        </w:rPr>
        <w:footnoteRef/>
      </w:r>
      <w:r>
        <w:t xml:space="preserve"> Chapter __ which focus on technological enforcement </w:t>
      </w:r>
      <w:r>
        <w:t xml:space="preserve">is </w:t>
      </w:r>
    </w:p>
  </w:footnote>
  <w:footnote w:id="7">
    <w:p w14:paraId="1410652A" w14:textId="77777777" w:rsidR="005E6151" w:rsidRPr="00637780" w:rsidRDefault="005E6151" w:rsidP="00637780">
      <w:pPr>
        <w:pStyle w:val="FootnoteText"/>
        <w:ind w:left="284" w:hanging="284"/>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Measuring the effect on cooperative behaviors, outside the immediate regulatory context.</w:t>
      </w:r>
      <w:r w:rsidRPr="00637780">
        <w:rPr>
          <w:rFonts w:asciiTheme="majorBidi" w:hAnsiTheme="majorBidi" w:cstheme="majorBidi"/>
          <w:rtl/>
        </w:rPr>
        <w:t xml:space="preserve"> </w:t>
      </w:r>
    </w:p>
  </w:footnote>
  <w:footnote w:id="8">
    <w:p w14:paraId="0655212A" w14:textId="77777777" w:rsidR="00A76071" w:rsidRPr="00644B88" w:rsidRDefault="00A76071" w:rsidP="00A76071">
      <w:pPr>
        <w:pStyle w:val="Heading2"/>
        <w:spacing w:line="240" w:lineRule="auto"/>
        <w:jc w:val="both"/>
        <w:rPr>
          <w:rFonts w:asciiTheme="majorBidi" w:hAnsiTheme="majorBidi"/>
          <w:color w:val="auto"/>
          <w:sz w:val="20"/>
          <w:szCs w:val="20"/>
          <w:shd w:val="clear" w:color="auto" w:fill="FFFFFF"/>
        </w:rPr>
      </w:pPr>
      <w:r w:rsidRPr="00644B88">
        <w:rPr>
          <w:rFonts w:asciiTheme="majorBidi" w:hAnsiTheme="majorBidi"/>
          <w:color w:val="auto"/>
          <w:sz w:val="20"/>
          <w:szCs w:val="20"/>
          <w:shd w:val="clear" w:color="auto" w:fill="FFFFFF"/>
          <w:vertAlign w:val="superscript"/>
        </w:rPr>
        <w:footnoteRef/>
      </w:r>
      <w:r>
        <w:rPr>
          <w:rFonts w:asciiTheme="majorBidi" w:hAnsiTheme="majorBidi"/>
          <w:color w:val="222222"/>
          <w:sz w:val="20"/>
          <w:szCs w:val="20"/>
          <w:shd w:val="clear" w:color="auto" w:fill="FFFFFF"/>
          <w:lang w:val="nl-NL"/>
        </w:rPr>
        <w:t xml:space="preserve"> </w:t>
      </w:r>
      <w:r w:rsidRPr="00644B88">
        <w:rPr>
          <w:rFonts w:asciiTheme="majorBidi" w:hAnsiTheme="majorBidi"/>
          <w:color w:val="222222"/>
          <w:sz w:val="20"/>
          <w:szCs w:val="20"/>
          <w:shd w:val="clear" w:color="auto" w:fill="FFFFFF"/>
          <w:lang w:val="nl-NL"/>
        </w:rPr>
        <w:t xml:space="preserve">Cook, T. E., &amp; Gronke, P. (2005). </w:t>
      </w:r>
      <w:r w:rsidRPr="00644B88">
        <w:rPr>
          <w:rFonts w:asciiTheme="majorBidi" w:hAnsiTheme="majorBidi"/>
          <w:color w:val="222222"/>
          <w:sz w:val="20"/>
          <w:szCs w:val="20"/>
          <w:shd w:val="clear" w:color="auto" w:fill="FFFFFF"/>
        </w:rPr>
        <w:t>The skeptical American: Revisiting the meanings of trust in government and confidence in institutions. </w:t>
      </w:r>
      <w:r w:rsidRPr="00644B88">
        <w:rPr>
          <w:rFonts w:asciiTheme="majorBidi" w:hAnsiTheme="majorBidi"/>
          <w:i/>
          <w:iCs/>
          <w:color w:val="222222"/>
          <w:sz w:val="20"/>
          <w:szCs w:val="20"/>
          <w:shd w:val="clear" w:color="auto" w:fill="FFFFFF"/>
        </w:rPr>
        <w:t>The Journal of Politics</w:t>
      </w:r>
      <w:r w:rsidRPr="00644B88">
        <w:rPr>
          <w:rFonts w:asciiTheme="majorBidi" w:hAnsiTheme="majorBidi"/>
          <w:color w:val="222222"/>
          <w:sz w:val="20"/>
          <w:szCs w:val="20"/>
          <w:shd w:val="clear" w:color="auto" w:fill="FFFFFF"/>
        </w:rPr>
        <w:t>, </w:t>
      </w:r>
      <w:r w:rsidRPr="00644B88">
        <w:rPr>
          <w:rFonts w:asciiTheme="majorBidi" w:hAnsiTheme="majorBidi"/>
          <w:i/>
          <w:iCs/>
          <w:color w:val="222222"/>
          <w:sz w:val="20"/>
          <w:szCs w:val="20"/>
          <w:shd w:val="clear" w:color="auto" w:fill="FFFFFF"/>
        </w:rPr>
        <w:t>67</w:t>
      </w:r>
      <w:r w:rsidRPr="00644B88">
        <w:rPr>
          <w:rFonts w:asciiTheme="majorBidi" w:hAnsiTheme="majorBidi"/>
          <w:color w:val="222222"/>
          <w:sz w:val="20"/>
          <w:szCs w:val="20"/>
          <w:shd w:val="clear" w:color="auto" w:fill="FFFFFF"/>
        </w:rPr>
        <w:t>(3), 784-803</w:t>
      </w:r>
      <w:r w:rsidRPr="00644B88">
        <w:rPr>
          <w:rFonts w:asciiTheme="majorBidi" w:hAnsiTheme="majorBidi"/>
          <w:color w:val="auto"/>
          <w:sz w:val="20"/>
          <w:szCs w:val="20"/>
          <w:shd w:val="clear" w:color="auto" w:fill="FFFFFF"/>
        </w:rPr>
        <w:t>.</w:t>
      </w:r>
    </w:p>
  </w:footnote>
  <w:footnote w:id="9">
    <w:p w14:paraId="0AE5F4B2" w14:textId="77777777" w:rsidR="00A76071" w:rsidRPr="00644B88" w:rsidRDefault="00A76071" w:rsidP="00A76071">
      <w:pPr>
        <w:pStyle w:val="Heading2"/>
        <w:spacing w:line="240" w:lineRule="auto"/>
        <w:jc w:val="both"/>
        <w:rPr>
          <w:rFonts w:asciiTheme="majorBidi" w:hAnsiTheme="majorBidi"/>
          <w:b/>
          <w:bCs/>
          <w:sz w:val="20"/>
          <w:szCs w:val="20"/>
        </w:rPr>
      </w:pPr>
      <w:r w:rsidRPr="00644B88">
        <w:rPr>
          <w:rFonts w:asciiTheme="majorBidi" w:hAnsiTheme="majorBidi"/>
          <w:color w:val="auto"/>
          <w:sz w:val="20"/>
          <w:szCs w:val="20"/>
          <w:shd w:val="clear" w:color="auto" w:fill="FFFFFF"/>
          <w:vertAlign w:val="superscript"/>
        </w:rPr>
        <w:footnoteRef/>
      </w:r>
      <w:r w:rsidRPr="00644B88">
        <w:rPr>
          <w:rFonts w:asciiTheme="majorBidi" w:hAnsiTheme="majorBidi"/>
          <w:color w:val="auto"/>
          <w:sz w:val="20"/>
          <w:szCs w:val="20"/>
          <w:shd w:val="clear" w:color="auto" w:fill="FFFFFF"/>
        </w:rPr>
        <w:t xml:space="preserve"> Clark, C., Davila, A., Regis, M., &amp; Kraus, S. (2020). Predictors of COVID-19 voluntary compliance behaviors: An international investigation. </w:t>
      </w:r>
      <w:r w:rsidRPr="00644B88">
        <w:rPr>
          <w:rFonts w:asciiTheme="majorBidi" w:hAnsiTheme="majorBidi"/>
          <w:i/>
          <w:iCs/>
          <w:color w:val="auto"/>
          <w:sz w:val="20"/>
          <w:szCs w:val="20"/>
          <w:shd w:val="clear" w:color="auto" w:fill="FFFFFF"/>
        </w:rPr>
        <w:t>Global transitions</w:t>
      </w:r>
      <w:r w:rsidRPr="00644B88">
        <w:rPr>
          <w:rFonts w:asciiTheme="majorBidi" w:hAnsiTheme="majorBidi"/>
          <w:color w:val="auto"/>
          <w:sz w:val="20"/>
          <w:szCs w:val="20"/>
          <w:shd w:val="clear" w:color="auto" w:fill="FFFFFF"/>
        </w:rPr>
        <w:t xml:space="preserve">, 2, 76-82; </w:t>
      </w:r>
      <w:bookmarkStart w:id="4" w:name="_Hlk77867387"/>
      <w:r w:rsidRPr="00644B88">
        <w:rPr>
          <w:rFonts w:asciiTheme="majorBidi" w:hAnsiTheme="majorBidi"/>
          <w:color w:val="auto"/>
          <w:sz w:val="20"/>
          <w:szCs w:val="20"/>
          <w:shd w:val="clear" w:color="auto" w:fill="FFFFFF"/>
        </w:rPr>
        <w:t>Alm, J., Kirchler, E., &amp; Muehlbacher, S. (2012). Combining psychology and economics in the analysis of compliance: From enforcement to cooperation. </w:t>
      </w:r>
      <w:r w:rsidRPr="00644B88">
        <w:rPr>
          <w:rFonts w:asciiTheme="majorBidi" w:hAnsiTheme="majorBidi"/>
          <w:i/>
          <w:iCs/>
          <w:color w:val="auto"/>
          <w:sz w:val="20"/>
          <w:szCs w:val="20"/>
          <w:shd w:val="clear" w:color="auto" w:fill="FFFFFF"/>
        </w:rPr>
        <w:t>Economic analysis and Policy</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42</w:t>
      </w:r>
      <w:r w:rsidRPr="00644B88">
        <w:rPr>
          <w:rFonts w:asciiTheme="majorBidi" w:hAnsiTheme="majorBidi"/>
          <w:color w:val="auto"/>
          <w:sz w:val="20"/>
          <w:szCs w:val="20"/>
          <w:shd w:val="clear" w:color="auto" w:fill="FFFFFF"/>
        </w:rPr>
        <w:t>(2), 133-151.</w:t>
      </w:r>
    </w:p>
    <w:bookmarkEnd w:id="4"/>
  </w:footnote>
  <w:footnote w:id="10">
    <w:p w14:paraId="32E8F920" w14:textId="7034FD8E" w:rsidR="00A76071" w:rsidRPr="00644B88" w:rsidRDefault="00A76071" w:rsidP="00A76071">
      <w:pPr>
        <w:pStyle w:val="Heading1"/>
        <w:spacing w:before="0" w:line="240" w:lineRule="auto"/>
        <w:jc w:val="both"/>
        <w:rPr>
          <w:rFonts w:asciiTheme="majorBidi" w:hAnsiTheme="majorBidi"/>
          <w:sz w:val="20"/>
          <w:szCs w:val="20"/>
          <w:shd w:val="clear" w:color="auto" w:fill="FFFFFF"/>
        </w:rPr>
      </w:pPr>
      <w:r w:rsidRPr="00644B88">
        <w:rPr>
          <w:rFonts w:asciiTheme="majorBidi" w:hAnsiTheme="majorBidi"/>
          <w:sz w:val="20"/>
          <w:szCs w:val="20"/>
          <w:shd w:val="clear" w:color="auto" w:fill="FFFFFF"/>
          <w:vertAlign w:val="superscript"/>
        </w:rPr>
        <w:footnoteRef/>
      </w:r>
      <w:r w:rsidRPr="00644B88">
        <w:rPr>
          <w:rFonts w:asciiTheme="majorBidi" w:hAnsiTheme="majorBidi"/>
          <w:color w:val="auto"/>
          <w:sz w:val="20"/>
          <w:szCs w:val="20"/>
          <w:shd w:val="clear" w:color="auto" w:fill="FFFFFF"/>
          <w:vertAlign w:val="superscript"/>
        </w:rPr>
        <w:t xml:space="preserve"> </w:t>
      </w:r>
      <w:bookmarkStart w:id="5" w:name="_Hlk77867419"/>
      <w:r w:rsidR="003C59B2" w:rsidRPr="003C59B2">
        <w:rPr>
          <w:rFonts w:asciiTheme="majorBidi" w:hAnsiTheme="majorBidi"/>
          <w:color w:val="auto"/>
          <w:sz w:val="20"/>
          <w:szCs w:val="20"/>
          <w:shd w:val="clear" w:color="auto" w:fill="FFFFFF"/>
        </w:rPr>
        <w:t>Tyler, T. R. (2006). Why people obey the law. Princeton University Press</w:t>
      </w:r>
      <w:r w:rsidR="003C59B2">
        <w:rPr>
          <w:rFonts w:asciiTheme="majorBidi" w:hAnsiTheme="majorBidi"/>
          <w:color w:val="auto"/>
          <w:sz w:val="20"/>
          <w:szCs w:val="20"/>
          <w:shd w:val="clear" w:color="auto" w:fill="FFFFFF"/>
        </w:rPr>
        <w:t>;</w:t>
      </w:r>
      <w:r w:rsidR="003C59B2" w:rsidRPr="00644B88">
        <w:rPr>
          <w:rFonts w:asciiTheme="majorBidi" w:hAnsiTheme="majorBidi"/>
          <w:color w:val="auto"/>
          <w:sz w:val="20"/>
          <w:szCs w:val="20"/>
          <w:shd w:val="clear" w:color="auto" w:fill="FFFFFF"/>
        </w:rPr>
        <w:t xml:space="preserve"> </w:t>
      </w:r>
      <w:r w:rsidRPr="00644B88">
        <w:rPr>
          <w:rFonts w:asciiTheme="majorBidi" w:hAnsiTheme="majorBidi"/>
          <w:color w:val="auto"/>
          <w:sz w:val="20"/>
          <w:szCs w:val="20"/>
          <w:shd w:val="clear" w:color="auto" w:fill="FFFFFF"/>
        </w:rPr>
        <w:t>Kirchler, E., Hoelzl, E., &amp; Wahl, I. (2008). Enforced versus voluntary tax compliance: The “slippery slope” framework. </w:t>
      </w:r>
      <w:r w:rsidRPr="00644B88">
        <w:rPr>
          <w:rFonts w:asciiTheme="majorBidi" w:hAnsiTheme="majorBidi"/>
          <w:i/>
          <w:iCs/>
          <w:color w:val="auto"/>
          <w:sz w:val="20"/>
          <w:szCs w:val="20"/>
          <w:shd w:val="clear" w:color="auto" w:fill="FFFFFF"/>
        </w:rPr>
        <w:t>Journal of Economic psychology</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29</w:t>
      </w:r>
      <w:r w:rsidRPr="00644B88">
        <w:rPr>
          <w:rFonts w:asciiTheme="majorBidi" w:hAnsiTheme="majorBidi"/>
          <w:color w:val="auto"/>
          <w:sz w:val="20"/>
          <w:szCs w:val="20"/>
          <w:shd w:val="clear" w:color="auto" w:fill="FFFFFF"/>
        </w:rPr>
        <w:t>(2), 210-225;</w:t>
      </w:r>
      <w:r w:rsidRPr="00644B88">
        <w:rPr>
          <w:rFonts w:asciiTheme="majorBidi" w:hAnsiTheme="majorBidi"/>
          <w:color w:val="auto"/>
          <w:sz w:val="20"/>
          <w:szCs w:val="20"/>
        </w:rPr>
        <w:t xml:space="preserve"> M</w:t>
      </w:r>
      <w:r w:rsidRPr="00644B88">
        <w:rPr>
          <w:rFonts w:asciiTheme="majorBidi" w:hAnsiTheme="majorBidi"/>
          <w:color w:val="auto"/>
          <w:sz w:val="20"/>
          <w:szCs w:val="20"/>
          <w:shd w:val="clear" w:color="auto" w:fill="FFFFFF"/>
        </w:rPr>
        <w:t>cKendall, M., DeMarr, B., &amp; Jones-Rikkers, C. (2002). Ethical compliance programs and corporate illegality: Testing the assumptions of the corporate sentencing guidelines. </w:t>
      </w:r>
      <w:r w:rsidRPr="00644B88">
        <w:rPr>
          <w:rFonts w:asciiTheme="majorBidi" w:hAnsiTheme="majorBidi"/>
          <w:i/>
          <w:iCs/>
          <w:color w:val="auto"/>
          <w:sz w:val="20"/>
          <w:szCs w:val="20"/>
          <w:shd w:val="clear" w:color="auto" w:fill="FFFFFF"/>
        </w:rPr>
        <w:t>Journal of Business Ethics</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37</w:t>
      </w:r>
      <w:r w:rsidRPr="00644B88">
        <w:rPr>
          <w:rFonts w:asciiTheme="majorBidi" w:hAnsiTheme="majorBidi"/>
          <w:color w:val="auto"/>
          <w:sz w:val="20"/>
          <w:szCs w:val="20"/>
          <w:shd w:val="clear" w:color="auto" w:fill="FFFFFF"/>
        </w:rPr>
        <w:t>(4), 367-383.</w:t>
      </w:r>
    </w:p>
    <w:bookmarkEnd w:id="5"/>
  </w:footnote>
  <w:footnote w:id="11">
    <w:p w14:paraId="2EAA1DC3" w14:textId="77777777" w:rsidR="00A76071" w:rsidRPr="00644B88" w:rsidRDefault="00A76071" w:rsidP="00A76071">
      <w:pPr>
        <w:pStyle w:val="Heading2"/>
        <w:spacing w:line="240" w:lineRule="auto"/>
        <w:jc w:val="both"/>
        <w:rPr>
          <w:rFonts w:asciiTheme="majorBidi" w:hAnsiTheme="majorBidi"/>
          <w:color w:val="505050"/>
          <w:sz w:val="20"/>
          <w:szCs w:val="20"/>
        </w:rPr>
      </w:pPr>
      <w:r w:rsidRPr="00644B88">
        <w:rPr>
          <w:rStyle w:val="FootnoteReference"/>
          <w:rFonts w:asciiTheme="majorBidi" w:hAnsiTheme="majorBidi"/>
          <w:color w:val="auto"/>
          <w:sz w:val="20"/>
          <w:szCs w:val="20"/>
        </w:rPr>
        <w:footnoteRef/>
      </w:r>
      <w:r w:rsidRPr="00644B88">
        <w:rPr>
          <w:rFonts w:asciiTheme="majorBidi" w:hAnsiTheme="majorBidi"/>
          <w:color w:val="auto"/>
          <w:sz w:val="20"/>
          <w:szCs w:val="20"/>
        </w:rPr>
        <w:t xml:space="preserve"> </w:t>
      </w:r>
      <w:r w:rsidRPr="00644B88">
        <w:rPr>
          <w:rFonts w:asciiTheme="majorBidi" w:eastAsia="Times New Roman" w:hAnsiTheme="majorBidi"/>
          <w:color w:val="auto"/>
          <w:sz w:val="20"/>
          <w:szCs w:val="20"/>
        </w:rPr>
        <w:t>B</w:t>
      </w:r>
      <w:r w:rsidRPr="00644B88">
        <w:rPr>
          <w:rFonts w:asciiTheme="majorBidi" w:hAnsiTheme="majorBidi"/>
          <w:color w:val="auto"/>
          <w:sz w:val="20"/>
          <w:szCs w:val="20"/>
          <w:shd w:val="clear" w:color="auto" w:fill="FFFFFF"/>
        </w:rPr>
        <w:t>odea, C., &amp; LeBas, A. (2016). The origins of voluntary compliance: attitudes toward taxation in urban Nigeria. </w:t>
      </w:r>
      <w:r w:rsidRPr="00644B88">
        <w:rPr>
          <w:rFonts w:asciiTheme="majorBidi" w:hAnsiTheme="majorBidi"/>
          <w:i/>
          <w:iCs/>
          <w:color w:val="auto"/>
          <w:sz w:val="20"/>
          <w:szCs w:val="20"/>
          <w:shd w:val="clear" w:color="auto" w:fill="FFFFFF"/>
        </w:rPr>
        <w:t>British Journal of Political Science</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46</w:t>
      </w:r>
      <w:r w:rsidRPr="00644B88">
        <w:rPr>
          <w:rFonts w:asciiTheme="majorBidi" w:hAnsiTheme="majorBidi"/>
          <w:color w:val="auto"/>
          <w:sz w:val="20"/>
          <w:szCs w:val="20"/>
          <w:shd w:val="clear" w:color="auto" w:fill="FFFFFF"/>
        </w:rPr>
        <w:t>(1), 215-238; Sjöstedt, M., &amp; Linell, A. (2021). Cooperation and coercion: The quest for quasi-voluntary compliance in the governance of African commons. </w:t>
      </w:r>
      <w:r w:rsidRPr="00644B88">
        <w:rPr>
          <w:rFonts w:asciiTheme="majorBidi" w:hAnsiTheme="majorBidi"/>
          <w:i/>
          <w:iCs/>
          <w:color w:val="auto"/>
          <w:sz w:val="20"/>
          <w:szCs w:val="20"/>
          <w:shd w:val="clear" w:color="auto" w:fill="FFFFFF"/>
        </w:rPr>
        <w:t>World Development</w:t>
      </w:r>
      <w:r w:rsidRPr="00644B88">
        <w:rPr>
          <w:rFonts w:asciiTheme="majorBidi" w:hAnsiTheme="majorBidi"/>
          <w:color w:val="auto"/>
          <w:sz w:val="20"/>
          <w:szCs w:val="20"/>
          <w:shd w:val="clear" w:color="auto" w:fill="FFFFFF"/>
        </w:rPr>
        <w:t>, </w:t>
      </w:r>
      <w:r w:rsidRPr="00644B88">
        <w:rPr>
          <w:rFonts w:asciiTheme="majorBidi" w:hAnsiTheme="majorBidi"/>
          <w:i/>
          <w:iCs/>
          <w:color w:val="auto"/>
          <w:sz w:val="20"/>
          <w:szCs w:val="20"/>
          <w:shd w:val="clear" w:color="auto" w:fill="FFFFFF"/>
        </w:rPr>
        <w:t>139</w:t>
      </w:r>
      <w:r w:rsidRPr="00644B88">
        <w:rPr>
          <w:rFonts w:asciiTheme="majorBidi" w:hAnsiTheme="majorBidi"/>
          <w:color w:val="auto"/>
          <w:sz w:val="20"/>
          <w:szCs w:val="20"/>
          <w:shd w:val="clear" w:color="auto" w:fill="FFFFFF"/>
        </w:rPr>
        <w:t>, 105333.</w:t>
      </w:r>
    </w:p>
  </w:footnote>
  <w:footnote w:id="12">
    <w:p w14:paraId="4F449336" w14:textId="77777777" w:rsidR="00A76071" w:rsidRPr="00644B88" w:rsidRDefault="00A76071" w:rsidP="00A76071">
      <w:pPr>
        <w:pStyle w:val="FootnoteText"/>
        <w:jc w:val="both"/>
        <w:rPr>
          <w:rFonts w:asciiTheme="majorBidi" w:hAnsiTheme="majorBidi" w:cstheme="majorBidi"/>
          <w:color w:val="222222"/>
          <w:shd w:val="clear" w:color="auto" w:fill="FFFFFF"/>
        </w:rPr>
      </w:pPr>
      <w:r w:rsidRPr="00644B88">
        <w:rPr>
          <w:rStyle w:val="FootnoteReference"/>
          <w:rFonts w:asciiTheme="majorBidi" w:hAnsiTheme="majorBidi" w:cstheme="majorBidi"/>
        </w:rPr>
        <w:footnoteRef/>
      </w:r>
      <w:bookmarkStart w:id="6" w:name="_Hlk77867495"/>
      <w:r w:rsidRPr="00644B88">
        <w:rPr>
          <w:rFonts w:asciiTheme="majorBidi" w:hAnsiTheme="majorBidi" w:cstheme="majorBidi"/>
        </w:rPr>
        <w:t>J</w:t>
      </w:r>
      <w:r w:rsidRPr="00644B88">
        <w:rPr>
          <w:rFonts w:asciiTheme="majorBidi" w:hAnsiTheme="majorBidi" w:cstheme="majorBidi"/>
          <w:color w:val="222222"/>
          <w:shd w:val="clear" w:color="auto" w:fill="FFFFFF"/>
        </w:rPr>
        <w:t>ackson, J., Bradford, B., Hough, M., Myhill, A., Quinton, P., &amp; Tyler, T. R. (2012). Why do people comply with the law? Legitimacy and the influence of legal institutions. </w:t>
      </w:r>
      <w:r w:rsidRPr="00644B88">
        <w:rPr>
          <w:rFonts w:asciiTheme="majorBidi" w:hAnsiTheme="majorBidi" w:cstheme="majorBidi"/>
          <w:i/>
          <w:iCs/>
          <w:color w:val="222222"/>
          <w:shd w:val="clear" w:color="auto" w:fill="FFFFFF"/>
        </w:rPr>
        <w:t>British journal of criminology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52</w:t>
      </w:r>
      <w:r w:rsidRPr="00644B88">
        <w:rPr>
          <w:rFonts w:asciiTheme="majorBidi" w:hAnsiTheme="majorBidi" w:cstheme="majorBidi"/>
          <w:color w:val="222222"/>
          <w:shd w:val="clear" w:color="auto" w:fill="FFFFFF"/>
        </w:rPr>
        <w:t>(6), 1051-</w:t>
      </w:r>
      <w:r w:rsidRPr="00644B88">
        <w:rPr>
          <w:rFonts w:asciiTheme="majorBidi" w:hAnsiTheme="majorBidi" w:cstheme="majorBidi"/>
          <w:color w:val="222222"/>
          <w:shd w:val="clear" w:color="auto" w:fill="FFFFFF"/>
        </w:rPr>
        <w:t>1071</w:t>
      </w:r>
      <w:r w:rsidRPr="00644B88" w:rsidDel="0095594B">
        <w:rPr>
          <w:rFonts w:asciiTheme="majorBidi" w:hAnsiTheme="majorBidi" w:cstheme="majorBidi"/>
          <w:color w:val="2A2A2A"/>
          <w:shd w:val="clear" w:color="auto" w:fill="FFFFFF"/>
        </w:rPr>
        <w:t xml:space="preserve"> </w:t>
      </w:r>
      <w:r w:rsidRPr="00644B88">
        <w:rPr>
          <w:rFonts w:asciiTheme="majorBidi" w:hAnsiTheme="majorBidi" w:cstheme="majorBidi"/>
        </w:rPr>
        <w:t>;</w:t>
      </w:r>
      <w:r w:rsidRPr="00644B88">
        <w:rPr>
          <w:rFonts w:asciiTheme="majorBidi" w:hAnsiTheme="majorBidi" w:cstheme="majorBidi"/>
          <w:color w:val="222222"/>
          <w:shd w:val="clear" w:color="auto" w:fill="FFFFFF"/>
        </w:rPr>
        <w:t xml:space="preserve"> Jackson, J., &amp; Gau, J. M. (2016). Carving up concepts? Differentiating between trust and legitimacy in public attitudes towards legal authority. In </w:t>
      </w:r>
      <w:r w:rsidRPr="00644B88">
        <w:rPr>
          <w:rFonts w:asciiTheme="majorBidi" w:hAnsiTheme="majorBidi" w:cstheme="majorBidi"/>
          <w:i/>
          <w:iCs/>
          <w:color w:val="222222"/>
          <w:shd w:val="clear" w:color="auto" w:fill="FFFFFF"/>
        </w:rPr>
        <w:t>Interdisciplinary perspectives on trust</w:t>
      </w:r>
      <w:r w:rsidRPr="00644B88">
        <w:rPr>
          <w:rFonts w:asciiTheme="majorBidi" w:hAnsiTheme="majorBidi" w:cstheme="majorBidi"/>
          <w:color w:val="222222"/>
          <w:shd w:val="clear" w:color="auto" w:fill="FFFFFF"/>
        </w:rPr>
        <w:t> (pp. 49-69). Springer, Cham</w:t>
      </w:r>
    </w:p>
    <w:bookmarkEnd w:id="6"/>
  </w:footnote>
  <w:footnote w:id="13">
    <w:p w14:paraId="14D06280" w14:textId="77777777" w:rsidR="00A76071" w:rsidRPr="00644B88" w:rsidRDefault="00A76071" w:rsidP="00A76071">
      <w:pPr>
        <w:pStyle w:val="FootnoteText"/>
        <w:jc w:val="both"/>
        <w:rPr>
          <w:rFonts w:asciiTheme="majorBidi" w:eastAsia="Times New Roman" w:hAnsiTheme="majorBidi" w:cstheme="majorBidi"/>
          <w:color w:val="333333"/>
        </w:rPr>
      </w:pPr>
      <w:r w:rsidRPr="00644B88">
        <w:rPr>
          <w:rFonts w:asciiTheme="majorBidi" w:hAnsiTheme="majorBidi" w:cstheme="majorBidi"/>
          <w:color w:val="222222"/>
          <w:shd w:val="clear" w:color="auto" w:fill="FFFFFF"/>
          <w:vertAlign w:val="superscript"/>
        </w:rPr>
        <w:footnoteRef/>
      </w:r>
      <w:bookmarkStart w:id="7" w:name="_Hlk77867623"/>
      <w:r>
        <w:rPr>
          <w:rFonts w:asciiTheme="majorBidi" w:hAnsiTheme="majorBidi" w:cstheme="majorBidi"/>
          <w:color w:val="222222"/>
          <w:shd w:val="clear" w:color="auto" w:fill="FFFFFF"/>
        </w:rPr>
        <w:t xml:space="preserve"> </w:t>
      </w:r>
      <w:r w:rsidRPr="00644B88">
        <w:rPr>
          <w:rFonts w:asciiTheme="majorBidi" w:hAnsiTheme="majorBidi" w:cstheme="majorBidi"/>
          <w:color w:val="222222"/>
          <w:shd w:val="clear" w:color="auto" w:fill="FFFFFF"/>
        </w:rPr>
        <w:t>Tyler, T. R., &amp; Jackson, J. (2014). Popular legitimacy and the exercise of legal authority: Motivating compliance, cooperation, and engagement. </w:t>
      </w:r>
      <w:r w:rsidRPr="00644B88">
        <w:rPr>
          <w:rFonts w:asciiTheme="majorBidi" w:hAnsiTheme="majorBidi" w:cstheme="majorBidi"/>
          <w:i/>
          <w:iCs/>
          <w:color w:val="222222"/>
          <w:shd w:val="clear" w:color="auto" w:fill="FFFFFF"/>
        </w:rPr>
        <w:t>Psychology, public policy, and law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20</w:t>
      </w:r>
      <w:r w:rsidRPr="00644B88">
        <w:rPr>
          <w:rFonts w:asciiTheme="majorBidi" w:hAnsiTheme="majorBidi" w:cstheme="majorBidi"/>
          <w:color w:val="222222"/>
          <w:shd w:val="clear" w:color="auto" w:fill="FFFFFF"/>
        </w:rPr>
        <w:t xml:space="preserve">(1), </w:t>
      </w:r>
      <w:r w:rsidRPr="00644B88">
        <w:rPr>
          <w:rFonts w:asciiTheme="majorBidi" w:hAnsiTheme="majorBidi" w:cstheme="majorBidi"/>
          <w:color w:val="222222"/>
          <w:shd w:val="clear" w:color="auto" w:fill="FFFFFF"/>
        </w:rPr>
        <w:t>78</w:t>
      </w:r>
      <w:r w:rsidRPr="00644B88" w:rsidDel="00A91C48">
        <w:rPr>
          <w:rFonts w:asciiTheme="majorBidi" w:hAnsiTheme="majorBidi" w:cstheme="majorBidi"/>
          <w:color w:val="222222"/>
          <w:shd w:val="clear" w:color="auto" w:fill="FFFFFF"/>
        </w:rPr>
        <w:t xml:space="preserve"> </w:t>
      </w:r>
      <w:r w:rsidRPr="00644B88">
        <w:rPr>
          <w:rFonts w:asciiTheme="majorBidi" w:eastAsia="Times New Roman" w:hAnsiTheme="majorBidi" w:cstheme="majorBidi"/>
          <w:color w:val="333333"/>
        </w:rPr>
        <w:t>;</w:t>
      </w:r>
      <w:r w:rsidRPr="00644B88">
        <w:rPr>
          <w:rFonts w:asciiTheme="majorBidi" w:hAnsiTheme="majorBidi" w:cstheme="majorBidi"/>
          <w:color w:val="222222"/>
          <w:shd w:val="clear" w:color="auto" w:fill="FFFFFF"/>
        </w:rPr>
        <w:t xml:space="preserve"> Scholz, J. T. (1984). Voluntary compliance and regulatory enforcement. </w:t>
      </w:r>
      <w:r w:rsidRPr="00644B88">
        <w:rPr>
          <w:rFonts w:asciiTheme="majorBidi" w:hAnsiTheme="majorBidi" w:cstheme="majorBidi"/>
          <w:i/>
          <w:iCs/>
          <w:color w:val="222222"/>
          <w:shd w:val="clear" w:color="auto" w:fill="FFFFFF"/>
        </w:rPr>
        <w:t>Law &amp; Policy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6</w:t>
      </w:r>
      <w:r w:rsidRPr="00644B88">
        <w:rPr>
          <w:rFonts w:asciiTheme="majorBidi" w:hAnsiTheme="majorBidi" w:cstheme="majorBidi"/>
          <w:color w:val="222222"/>
          <w:shd w:val="clear" w:color="auto" w:fill="FFFFFF"/>
        </w:rPr>
        <w:t>(4), 385-404; Murphy, K. (2017). Procedural justice and its role in promoting voluntary compliance. </w:t>
      </w:r>
      <w:r w:rsidRPr="00644B88">
        <w:rPr>
          <w:rFonts w:asciiTheme="majorBidi" w:hAnsiTheme="majorBidi" w:cstheme="majorBidi"/>
          <w:i/>
          <w:iCs/>
          <w:color w:val="222222"/>
          <w:shd w:val="clear" w:color="auto" w:fill="FFFFFF"/>
        </w:rPr>
        <w:t>Regulatory Theory, P. Drahos, Editor</w:t>
      </w:r>
      <w:r w:rsidRPr="00644B88">
        <w:rPr>
          <w:rFonts w:asciiTheme="majorBidi" w:hAnsiTheme="majorBidi" w:cstheme="majorBidi"/>
          <w:color w:val="222222"/>
          <w:shd w:val="clear" w:color="auto" w:fill="FFFFFF"/>
        </w:rPr>
        <w:t>, 43-58.</w:t>
      </w:r>
    </w:p>
    <w:bookmarkEnd w:id="7"/>
  </w:footnote>
  <w:footnote w:id="14">
    <w:p w14:paraId="195F80D9" w14:textId="0092A9C4"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color w:val="222222"/>
          <w:shd w:val="clear" w:color="auto" w:fill="FFFFFF"/>
        </w:rPr>
        <w:t xml:space="preserve"> </w:t>
      </w:r>
    </w:p>
  </w:footnote>
  <w:footnote w:id="15">
    <w:p w14:paraId="7FDECF15"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bookmarkStart w:id="8" w:name="_Hlk77867763"/>
      <w:r w:rsidRPr="00644B88">
        <w:rPr>
          <w:rFonts w:asciiTheme="majorBidi" w:hAnsiTheme="majorBidi" w:cstheme="majorBidi"/>
        </w:rPr>
        <w:t>K</w:t>
      </w:r>
      <w:r w:rsidRPr="00644B88">
        <w:rPr>
          <w:rFonts w:asciiTheme="majorBidi" w:hAnsiTheme="majorBidi" w:cstheme="majorBidi"/>
          <w:color w:val="222222"/>
          <w:shd w:val="clear" w:color="auto" w:fill="FFFFFF"/>
        </w:rPr>
        <w:t>öbis, N. C., Verschuere, B., Bereby-Meyer, Y., Rand, D., &amp; Shalvi, S. (2019). Intuitive honesty versus dishonesty: Meta-analytic evidence. </w:t>
      </w:r>
      <w:r w:rsidRPr="00644B88">
        <w:rPr>
          <w:rFonts w:asciiTheme="majorBidi" w:hAnsiTheme="majorBidi" w:cstheme="majorBidi"/>
          <w:i/>
          <w:iCs/>
          <w:color w:val="222222"/>
          <w:shd w:val="clear" w:color="auto" w:fill="FFFFFF"/>
        </w:rPr>
        <w:t>Perspectives on Psychological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14</w:t>
      </w:r>
      <w:r w:rsidRPr="00644B88">
        <w:rPr>
          <w:rFonts w:asciiTheme="majorBidi" w:hAnsiTheme="majorBidi" w:cstheme="majorBidi"/>
          <w:color w:val="222222"/>
          <w:shd w:val="clear" w:color="auto" w:fill="FFFFFF"/>
        </w:rPr>
        <w:t>(5), 778-796.</w:t>
      </w:r>
    </w:p>
    <w:bookmarkEnd w:id="8"/>
  </w:footnote>
  <w:footnote w:id="16">
    <w:p w14:paraId="21BB590F"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F</w:t>
      </w:r>
      <w:r w:rsidRPr="00644B88">
        <w:rPr>
          <w:rFonts w:asciiTheme="majorBidi" w:hAnsiTheme="majorBidi" w:cstheme="majorBidi"/>
          <w:color w:val="222222"/>
          <w:shd w:val="clear" w:color="auto" w:fill="FFFFFF"/>
        </w:rPr>
        <w:t>eldman, Y. (2018). </w:t>
      </w:r>
      <w:r w:rsidRPr="00644B88">
        <w:rPr>
          <w:rFonts w:asciiTheme="majorBidi" w:hAnsiTheme="majorBidi" w:cstheme="majorBidi"/>
          <w:i/>
          <w:iCs/>
          <w:color w:val="222222"/>
          <w:shd w:val="clear" w:color="auto" w:fill="FFFFFF"/>
        </w:rPr>
        <w:t>The law of good people: Challenging states' ability to regulate human behavior</w:t>
      </w:r>
      <w:r w:rsidRPr="00644B88">
        <w:rPr>
          <w:rFonts w:asciiTheme="majorBidi" w:hAnsiTheme="majorBidi" w:cstheme="majorBidi"/>
          <w:color w:val="222222"/>
          <w:shd w:val="clear" w:color="auto" w:fill="FFFFFF"/>
        </w:rPr>
        <w:t>. Cambridge University Press</w:t>
      </w:r>
    </w:p>
  </w:footnote>
  <w:footnote w:id="17">
    <w:p w14:paraId="2B5454D0"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F</w:t>
      </w:r>
      <w:r w:rsidRPr="00644B88">
        <w:rPr>
          <w:rFonts w:asciiTheme="majorBidi" w:hAnsiTheme="majorBidi" w:cstheme="majorBidi"/>
          <w:color w:val="222222"/>
          <w:shd w:val="clear" w:color="auto" w:fill="FFFFFF"/>
        </w:rPr>
        <w:t xml:space="preserve">eldman, Y., &amp; Kaplan, Y. (2021). Can States Create Ethical People? Theoretical Inquires in Law 2021 </w:t>
      </w:r>
    </w:p>
  </w:footnote>
  <w:footnote w:id="18">
    <w:p w14:paraId="5D468A86"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O</w:t>
      </w:r>
      <w:r w:rsidRPr="00644B88">
        <w:rPr>
          <w:rFonts w:asciiTheme="majorBidi" w:hAnsiTheme="majorBidi" w:cstheme="majorBidi"/>
          <w:color w:val="222222"/>
          <w:shd w:val="clear" w:color="auto" w:fill="FFFFFF"/>
        </w:rPr>
        <w:t>liver, A. (Ed.). (2013). </w:t>
      </w:r>
      <w:r w:rsidRPr="00644B88">
        <w:rPr>
          <w:rFonts w:asciiTheme="majorBidi" w:hAnsiTheme="majorBidi" w:cstheme="majorBidi"/>
          <w:i/>
          <w:iCs/>
          <w:color w:val="222222"/>
          <w:shd w:val="clear" w:color="auto" w:fill="FFFFFF"/>
        </w:rPr>
        <w:t>Behavioural public policy</w:t>
      </w:r>
      <w:r w:rsidRPr="00644B88">
        <w:rPr>
          <w:rFonts w:asciiTheme="majorBidi" w:hAnsiTheme="majorBidi" w:cstheme="majorBidi"/>
          <w:color w:val="222222"/>
          <w:shd w:val="clear" w:color="auto" w:fill="FFFFFF"/>
        </w:rPr>
        <w:t>. Cambridge University Press.</w:t>
      </w:r>
    </w:p>
  </w:footnote>
  <w:footnote w:id="19">
    <w:p w14:paraId="763D2426" w14:textId="77777777" w:rsidR="00A76071" w:rsidRPr="00644B88" w:rsidRDefault="00A76071" w:rsidP="00A76071">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V</w:t>
      </w:r>
      <w:r w:rsidRPr="00644B88">
        <w:rPr>
          <w:rFonts w:asciiTheme="majorBidi" w:hAnsiTheme="majorBidi" w:cstheme="majorBidi"/>
          <w:color w:val="222222"/>
          <w:shd w:val="clear" w:color="auto" w:fill="FFFFFF"/>
        </w:rPr>
        <w:t>aughan, D. (1990). Autonomy, interdependence, and social control: NASA and the space shuttle Challenger. </w:t>
      </w:r>
      <w:r w:rsidRPr="00644B88">
        <w:rPr>
          <w:rFonts w:asciiTheme="majorBidi" w:hAnsiTheme="majorBidi" w:cstheme="majorBidi"/>
          <w:i/>
          <w:iCs/>
          <w:color w:val="222222"/>
          <w:shd w:val="clear" w:color="auto" w:fill="FFFFFF"/>
        </w:rPr>
        <w:t>Administrative Science Quarterly</w:t>
      </w:r>
      <w:r w:rsidRPr="00644B88">
        <w:rPr>
          <w:rFonts w:asciiTheme="majorBidi" w:hAnsiTheme="majorBidi" w:cstheme="majorBidi"/>
          <w:color w:val="222222"/>
          <w:shd w:val="clear" w:color="auto" w:fill="FFFFFF"/>
        </w:rPr>
        <w:t>, 225-257.</w:t>
      </w:r>
    </w:p>
  </w:footnote>
  <w:footnote w:id="20">
    <w:p w14:paraId="65925A9E" w14:textId="667976B8" w:rsidR="00CB0674" w:rsidRDefault="00CB0674">
      <w:pPr>
        <w:pStyle w:val="FootnoteText"/>
      </w:pPr>
      <w:r>
        <w:rPr>
          <w:rStyle w:val="FootnoteReference"/>
        </w:rPr>
        <w:footnoteRef/>
      </w:r>
      <w:r w:rsidRPr="00CB0674">
        <w:rPr>
          <w:lang w:val="it-IT"/>
        </w:rPr>
        <w:t xml:space="preserve"> </w:t>
      </w:r>
      <w:r w:rsidRPr="00CB0674">
        <w:rPr>
          <w:rFonts w:ascii="Arial" w:hAnsi="Arial" w:cs="Arial"/>
          <w:color w:val="222222"/>
          <w:shd w:val="clear" w:color="auto" w:fill="FFFFFF"/>
          <w:lang w:val="it-IT"/>
        </w:rPr>
        <w:t xml:space="preserve">Attari, Shahzeen Z., et al. </w:t>
      </w:r>
      <w:r>
        <w:rPr>
          <w:rFonts w:ascii="Arial" w:hAnsi="Arial" w:cs="Arial"/>
          <w:color w:val="222222"/>
          <w:shd w:val="clear" w:color="auto" w:fill="FFFFFF"/>
        </w:rPr>
        <w:t xml:space="preserve">"Preferences for change: Do individuals prefer voluntary actions, soft regulations, or hard regulations to decrease fossil fuel </w:t>
      </w:r>
      <w:r>
        <w:rPr>
          <w:rFonts w:ascii="Arial" w:hAnsi="Arial" w:cs="Arial"/>
          <w:color w:val="222222"/>
          <w:shd w:val="clear" w:color="auto" w:fill="FFFFFF"/>
        </w:rPr>
        <w:t>consumption?." </w:t>
      </w:r>
      <w:r>
        <w:rPr>
          <w:rFonts w:ascii="Arial" w:hAnsi="Arial" w:cs="Arial"/>
          <w:i/>
          <w:iCs/>
          <w:color w:val="222222"/>
          <w:shd w:val="clear" w:color="auto" w:fill="FFFFFF"/>
        </w:rPr>
        <w:t>Ecological Economics</w:t>
      </w:r>
      <w:r>
        <w:rPr>
          <w:rFonts w:ascii="Arial" w:hAnsi="Arial" w:cs="Arial"/>
          <w:color w:val="222222"/>
          <w:shd w:val="clear" w:color="auto" w:fill="FFFFFF"/>
        </w:rPr>
        <w:t> 68.6 (2009): 1701-1710.</w:t>
      </w:r>
    </w:p>
  </w:footnote>
  <w:footnote w:id="21">
    <w:p w14:paraId="2FE5D858" w14:textId="77777777" w:rsidR="00F707F9" w:rsidRPr="00644B88" w:rsidRDefault="00F707F9" w:rsidP="00637780">
      <w:pPr>
        <w:pStyle w:val="FootnoteText"/>
        <w:spacing w:before="2" w:after="2"/>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A</w:t>
      </w:r>
      <w:r w:rsidRPr="00644B88">
        <w:rPr>
          <w:rFonts w:asciiTheme="majorBidi" w:hAnsiTheme="majorBidi" w:cstheme="majorBidi"/>
          <w:color w:val="222222"/>
          <w:shd w:val="clear" w:color="auto" w:fill="FFFFFF"/>
        </w:rPr>
        <w:t>yres, I., &amp; Braithwaite, J. (1992). </w:t>
      </w:r>
      <w:r w:rsidRPr="00644B88">
        <w:rPr>
          <w:rFonts w:asciiTheme="majorBidi" w:hAnsiTheme="majorBidi" w:cstheme="majorBidi"/>
          <w:i/>
          <w:iCs/>
          <w:color w:val="222222"/>
          <w:shd w:val="clear" w:color="auto" w:fill="FFFFFF"/>
        </w:rPr>
        <w:t>Responsive regulation: Transcending the deregulation debate</w:t>
      </w:r>
      <w:r w:rsidRPr="00644B88">
        <w:rPr>
          <w:rFonts w:asciiTheme="majorBidi" w:hAnsiTheme="majorBidi" w:cstheme="majorBidi"/>
          <w:color w:val="222222"/>
          <w:shd w:val="clear" w:color="auto" w:fill="FFFFFF"/>
        </w:rPr>
        <w:t>. Oxford University Press, USA.</w:t>
      </w:r>
    </w:p>
  </w:footnote>
  <w:footnote w:id="22">
    <w:p w14:paraId="1FA9821C" w14:textId="77777777" w:rsidR="00F707F9" w:rsidRPr="00644B88" w:rsidRDefault="00F707F9" w:rsidP="00637780">
      <w:pPr>
        <w:pStyle w:val="FootnoteText"/>
        <w:spacing w:before="2" w:after="2"/>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B</w:t>
      </w:r>
      <w:r w:rsidRPr="00644B88">
        <w:rPr>
          <w:rFonts w:asciiTheme="majorBidi" w:hAnsiTheme="majorBidi" w:cstheme="majorBidi"/>
          <w:color w:val="222222"/>
          <w:shd w:val="clear" w:color="auto" w:fill="FFFFFF"/>
        </w:rPr>
        <w:t xml:space="preserve">artle, I., &amp; Vass, P. (2007). Self‐regulation within the regulatory State: towards a new regulatory </w:t>
      </w:r>
      <w:r w:rsidRPr="00644B88">
        <w:rPr>
          <w:rFonts w:asciiTheme="majorBidi" w:hAnsiTheme="majorBidi" w:cstheme="majorBidi"/>
          <w:color w:val="222222"/>
          <w:shd w:val="clear" w:color="auto" w:fill="FFFFFF"/>
        </w:rPr>
        <w:t>paradigm?. </w:t>
      </w:r>
      <w:r w:rsidRPr="00644B88">
        <w:rPr>
          <w:rFonts w:asciiTheme="majorBidi" w:hAnsiTheme="majorBidi" w:cstheme="majorBidi"/>
          <w:i/>
          <w:iCs/>
          <w:color w:val="222222"/>
          <w:shd w:val="clear" w:color="auto" w:fill="FFFFFF"/>
        </w:rPr>
        <w:t>Public Administration</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85</w:t>
      </w:r>
      <w:r w:rsidRPr="00644B88">
        <w:rPr>
          <w:rFonts w:asciiTheme="majorBidi" w:hAnsiTheme="majorBidi" w:cstheme="majorBidi"/>
          <w:color w:val="222222"/>
          <w:shd w:val="clear" w:color="auto" w:fill="FFFFFF"/>
        </w:rPr>
        <w:t>(4), 885-905.</w:t>
      </w:r>
    </w:p>
  </w:footnote>
  <w:footnote w:id="23">
    <w:p w14:paraId="44F1335B" w14:textId="35D3AACF"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bookmarkStart w:id="12" w:name="_Hlk77868463"/>
      <w:r w:rsidRPr="00644B88">
        <w:rPr>
          <w:rFonts w:asciiTheme="majorBidi" w:hAnsiTheme="majorBidi" w:cstheme="majorBidi"/>
          <w:color w:val="222222"/>
          <w:shd w:val="clear" w:color="auto" w:fill="FFFFFF"/>
        </w:rPr>
        <w:t>Feldman, Y. (2011). Five models of regulatory compliance motivation: empirical findings and normative implications. </w:t>
      </w:r>
      <w:r w:rsidRPr="00644B88">
        <w:rPr>
          <w:rFonts w:asciiTheme="majorBidi" w:hAnsiTheme="majorBidi" w:cstheme="majorBidi"/>
          <w:i/>
          <w:iCs/>
          <w:color w:val="222222"/>
          <w:shd w:val="clear" w:color="auto" w:fill="FFFFFF"/>
        </w:rPr>
        <w:t>Handbook on the Politics of Regulation</w:t>
      </w:r>
      <w:r w:rsidRPr="00644B88">
        <w:rPr>
          <w:rFonts w:asciiTheme="majorBidi" w:hAnsiTheme="majorBidi" w:cstheme="majorBidi"/>
          <w:color w:val="222222"/>
          <w:shd w:val="clear" w:color="auto" w:fill="FFFFFF"/>
        </w:rPr>
        <w:t>, 335-347.</w:t>
      </w:r>
      <w:bookmarkEnd w:id="12"/>
    </w:p>
  </w:footnote>
  <w:footnote w:id="24">
    <w:p w14:paraId="744BF2F6"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T</w:t>
      </w:r>
      <w:r w:rsidRPr="00644B88">
        <w:rPr>
          <w:rFonts w:asciiTheme="majorBidi" w:hAnsiTheme="majorBidi" w:cstheme="majorBidi"/>
          <w:color w:val="222222"/>
          <w:shd w:val="clear" w:color="auto" w:fill="FFFFFF"/>
        </w:rPr>
        <w:t>yler, T. R. (1997). The psychology of legitimacy: A relational perspective on voluntary deference to authorities. </w:t>
      </w:r>
      <w:r w:rsidRPr="00644B88">
        <w:rPr>
          <w:rFonts w:asciiTheme="majorBidi" w:hAnsiTheme="majorBidi" w:cstheme="majorBidi"/>
          <w:i/>
          <w:iCs/>
          <w:color w:val="222222"/>
          <w:shd w:val="clear" w:color="auto" w:fill="FFFFFF"/>
        </w:rPr>
        <w:t>Personality and social psychology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w:t>
      </w:r>
      <w:r w:rsidRPr="00644B88">
        <w:rPr>
          <w:rFonts w:asciiTheme="majorBidi" w:hAnsiTheme="majorBidi" w:cstheme="majorBidi"/>
          <w:color w:val="222222"/>
          <w:shd w:val="clear" w:color="auto" w:fill="FFFFFF"/>
        </w:rPr>
        <w:t>(4), 323-345; Tyler, T. R. (2006). Psychological perspectives on legitimacy and legitimation. </w:t>
      </w:r>
      <w:r w:rsidRPr="00644B88">
        <w:rPr>
          <w:rFonts w:asciiTheme="majorBidi" w:hAnsiTheme="majorBidi" w:cstheme="majorBidi"/>
          <w:i/>
          <w:iCs/>
          <w:color w:val="222222"/>
          <w:shd w:val="clear" w:color="auto" w:fill="FFFFFF"/>
        </w:rPr>
        <w:t>Annu. Rev. Psychol.</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57</w:t>
      </w:r>
      <w:r w:rsidRPr="00644B88">
        <w:rPr>
          <w:rFonts w:asciiTheme="majorBidi" w:hAnsiTheme="majorBidi" w:cstheme="majorBidi"/>
          <w:color w:val="222222"/>
          <w:shd w:val="clear" w:color="auto" w:fill="FFFFFF"/>
        </w:rPr>
        <w:t>, 375-400.</w:t>
      </w:r>
    </w:p>
  </w:footnote>
  <w:footnote w:id="25">
    <w:p w14:paraId="20B4BD75"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B</w:t>
      </w:r>
      <w:r w:rsidRPr="00644B88">
        <w:rPr>
          <w:rFonts w:asciiTheme="majorBidi" w:hAnsiTheme="majorBidi" w:cstheme="majorBidi"/>
          <w:color w:val="222222"/>
          <w:shd w:val="clear" w:color="auto" w:fill="FFFFFF"/>
        </w:rPr>
        <w:t>otchkovar, E. V., Tittle, C. R., &amp; Antonaccio, O. (2009). General strain theory: Additional evidence using cross‐cultural data. </w:t>
      </w:r>
      <w:r w:rsidRPr="00644B88">
        <w:rPr>
          <w:rFonts w:asciiTheme="majorBidi" w:hAnsiTheme="majorBidi" w:cstheme="majorBidi"/>
          <w:i/>
          <w:iCs/>
          <w:color w:val="222222"/>
          <w:shd w:val="clear" w:color="auto" w:fill="FFFFFF"/>
        </w:rPr>
        <w:t>Criminology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47</w:t>
      </w:r>
      <w:r w:rsidRPr="00644B88">
        <w:rPr>
          <w:rFonts w:asciiTheme="majorBidi" w:hAnsiTheme="majorBidi" w:cstheme="majorBidi"/>
          <w:color w:val="222222"/>
          <w:shd w:val="clear" w:color="auto" w:fill="FFFFFF"/>
        </w:rPr>
        <w:t>(1), 131-176; Donovan, J. L., &amp; Blake, D. R. (1992). Patient non-compliance: deviance or reasoned decision-</w:t>
      </w:r>
      <w:r w:rsidRPr="00644B88">
        <w:rPr>
          <w:rFonts w:asciiTheme="majorBidi" w:hAnsiTheme="majorBidi" w:cstheme="majorBidi"/>
          <w:color w:val="222222"/>
          <w:shd w:val="clear" w:color="auto" w:fill="FFFFFF"/>
        </w:rPr>
        <w:t>making?. </w:t>
      </w:r>
      <w:r w:rsidRPr="00644B88">
        <w:rPr>
          <w:rFonts w:asciiTheme="majorBidi" w:hAnsiTheme="majorBidi" w:cstheme="majorBidi"/>
          <w:i/>
          <w:iCs/>
          <w:color w:val="222222"/>
          <w:shd w:val="clear" w:color="auto" w:fill="FFFFFF"/>
        </w:rPr>
        <w:t>Social science &amp; medicine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34</w:t>
      </w:r>
      <w:r w:rsidRPr="00644B88">
        <w:rPr>
          <w:rFonts w:asciiTheme="majorBidi" w:hAnsiTheme="majorBidi" w:cstheme="majorBidi"/>
          <w:color w:val="222222"/>
          <w:shd w:val="clear" w:color="auto" w:fill="FFFFFF"/>
        </w:rPr>
        <w:t xml:space="preserve">(5), 507-513; </w:t>
      </w:r>
      <w:r w:rsidRPr="00644B88">
        <w:rPr>
          <w:rFonts w:asciiTheme="majorBidi" w:hAnsiTheme="majorBidi" w:cstheme="majorBidi"/>
          <w:color w:val="333333"/>
          <w:shd w:val="clear" w:color="auto" w:fill="FFFFFF"/>
        </w:rPr>
        <w:t>Paternoster, R., &amp; Simpson, S. (1993). </w:t>
      </w:r>
      <w:r w:rsidRPr="00644B88">
        <w:rPr>
          <w:rStyle w:val="Emphasis"/>
          <w:rFonts w:asciiTheme="majorBidi" w:hAnsiTheme="majorBidi" w:cstheme="majorBidi"/>
          <w:color w:val="333333"/>
          <w:shd w:val="clear" w:color="auto" w:fill="FFFFFF"/>
        </w:rPr>
        <w:t>A rational choice theory of corporate crime.</w:t>
      </w:r>
      <w:r w:rsidRPr="00644B88">
        <w:rPr>
          <w:rFonts w:asciiTheme="majorBidi" w:hAnsiTheme="majorBidi" w:cstheme="majorBidi"/>
          <w:color w:val="333333"/>
          <w:shd w:val="clear" w:color="auto" w:fill="FFFFFF"/>
        </w:rPr>
        <w:t> In R. V. Clarke &amp; M. Felson (Eds.), </w:t>
      </w:r>
      <w:r w:rsidRPr="00644B88">
        <w:rPr>
          <w:rStyle w:val="Emphasis"/>
          <w:rFonts w:asciiTheme="majorBidi" w:hAnsiTheme="majorBidi" w:cstheme="majorBidi"/>
          <w:color w:val="333333"/>
          <w:shd w:val="clear" w:color="auto" w:fill="FFFFFF"/>
        </w:rPr>
        <w:t>Advances in criminological theory, Vol. 5. Routine activity and rational choice</w:t>
      </w:r>
      <w:r w:rsidRPr="00644B88">
        <w:rPr>
          <w:rFonts w:asciiTheme="majorBidi" w:hAnsiTheme="majorBidi" w:cstheme="majorBidi"/>
          <w:color w:val="333333"/>
          <w:shd w:val="clear" w:color="auto" w:fill="FFFFFF"/>
        </w:rPr>
        <w:t> (p. 37–58). Transaction Publishers.</w:t>
      </w:r>
    </w:p>
  </w:footnote>
  <w:footnote w:id="26">
    <w:p w14:paraId="50D4EF2B"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color w:val="222222"/>
          <w:shd w:val="clear" w:color="auto" w:fill="FFFFFF"/>
        </w:rPr>
        <w:t>Apel, R. (2013). Sanctions, perceptions, and crime: Implications for criminal deterrence. </w:t>
      </w:r>
      <w:r w:rsidRPr="00644B88">
        <w:rPr>
          <w:rFonts w:asciiTheme="majorBidi" w:hAnsiTheme="majorBidi" w:cstheme="majorBidi"/>
          <w:i/>
          <w:iCs/>
          <w:color w:val="222222"/>
          <w:shd w:val="clear" w:color="auto" w:fill="FFFFFF"/>
        </w:rPr>
        <w:t>Journal of quantitative criminology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29</w:t>
      </w:r>
      <w:r w:rsidRPr="00644B88">
        <w:rPr>
          <w:rFonts w:asciiTheme="majorBidi" w:hAnsiTheme="majorBidi" w:cstheme="majorBidi"/>
          <w:color w:val="222222"/>
          <w:shd w:val="clear" w:color="auto" w:fill="FFFFFF"/>
        </w:rPr>
        <w:t>(1), 67-101; Nagin, D. S. (2013). Deterrence in the twenty-first century. </w:t>
      </w:r>
      <w:r w:rsidRPr="00644B88">
        <w:rPr>
          <w:rFonts w:asciiTheme="majorBidi" w:hAnsiTheme="majorBidi" w:cstheme="majorBidi"/>
          <w:i/>
          <w:iCs/>
          <w:color w:val="222222"/>
          <w:shd w:val="clear" w:color="auto" w:fill="FFFFFF"/>
        </w:rPr>
        <w:t>Crime and justice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42</w:t>
      </w:r>
      <w:r w:rsidRPr="00644B88">
        <w:rPr>
          <w:rFonts w:asciiTheme="majorBidi" w:hAnsiTheme="majorBidi" w:cstheme="majorBidi"/>
          <w:color w:val="222222"/>
          <w:shd w:val="clear" w:color="auto" w:fill="FFFFFF"/>
        </w:rPr>
        <w:t>(1), 199-263</w:t>
      </w:r>
    </w:p>
  </w:footnote>
  <w:footnote w:id="27">
    <w:p w14:paraId="13E83145"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Fine, A., van Rooij, B., Feldman, Y., Shalvi, S., Sheper, E., Leib, M., &amp; Cauffman, E. (2016b). Rule Orientation and Behavior: Development and Validation of a Scale Measuring Individual Acceptance of Rule Violation. Psychology, Public Policy, and Law, 22(3), 314-329. DOI: </w:t>
      </w:r>
      <w:hyperlink r:id="rId1" w:history="1">
        <w:r w:rsidRPr="00644B88">
          <w:rPr>
            <w:rStyle w:val="Hyperlink"/>
            <w:rFonts w:asciiTheme="majorBidi" w:hAnsiTheme="majorBidi" w:cstheme="majorBidi"/>
          </w:rPr>
          <w:t>http://dx.doi.org/10.1037/law0000096</w:t>
        </w:r>
      </w:hyperlink>
      <w:r w:rsidRPr="00644B88">
        <w:rPr>
          <w:rFonts w:asciiTheme="majorBidi" w:hAnsiTheme="majorBidi" w:cstheme="majorBidi"/>
        </w:rPr>
        <w:t xml:space="preserve">; </w:t>
      </w:r>
      <w:r w:rsidRPr="00644B88">
        <w:rPr>
          <w:rFonts w:asciiTheme="majorBidi" w:hAnsiTheme="majorBidi" w:cstheme="majorBidi"/>
          <w:color w:val="333333"/>
          <w:shd w:val="clear" w:color="auto" w:fill="FCFCFC"/>
        </w:rPr>
        <w:t>Pósch, K., Jackson, J., Bradford, B. </w:t>
      </w:r>
      <w:r w:rsidRPr="00644B88">
        <w:rPr>
          <w:rFonts w:asciiTheme="majorBidi" w:hAnsiTheme="majorBidi" w:cstheme="majorBidi"/>
          <w:i/>
          <w:iCs/>
          <w:color w:val="333333"/>
          <w:shd w:val="clear" w:color="auto" w:fill="FCFCFC"/>
        </w:rPr>
        <w:t>et al.</w:t>
      </w:r>
      <w:r w:rsidRPr="00644B88">
        <w:rPr>
          <w:rFonts w:asciiTheme="majorBidi" w:hAnsiTheme="majorBidi" w:cstheme="majorBidi"/>
          <w:color w:val="333333"/>
          <w:shd w:val="clear" w:color="auto" w:fill="FCFCFC"/>
        </w:rPr>
        <w:t> “Truly free consent”? Clarifying the nature of police legitimacy using causal mediation analysis. </w:t>
      </w:r>
      <w:r w:rsidRPr="00644B88">
        <w:rPr>
          <w:rFonts w:asciiTheme="majorBidi" w:hAnsiTheme="majorBidi" w:cstheme="majorBidi"/>
          <w:i/>
          <w:iCs/>
          <w:color w:val="333333"/>
          <w:shd w:val="clear" w:color="auto" w:fill="FCFCFC"/>
          <w:lang w:val="nl-NL"/>
        </w:rPr>
        <w:t>J Exp Criminol</w:t>
      </w:r>
      <w:r w:rsidRPr="00644B88">
        <w:rPr>
          <w:rFonts w:asciiTheme="majorBidi" w:hAnsiTheme="majorBidi" w:cstheme="majorBidi"/>
          <w:color w:val="333333"/>
          <w:shd w:val="clear" w:color="auto" w:fill="FCFCFC"/>
          <w:lang w:val="nl-NL"/>
        </w:rPr>
        <w:t xml:space="preserve"> (2020). </w:t>
      </w:r>
      <w:hyperlink r:id="rId2" w:history="1">
        <w:r w:rsidRPr="00644B88">
          <w:rPr>
            <w:rStyle w:val="Hyperlink"/>
            <w:rFonts w:asciiTheme="majorBidi" w:hAnsiTheme="majorBidi" w:cstheme="majorBidi"/>
            <w:lang w:val="nl-NL"/>
          </w:rPr>
          <w:t>https://doi.org/10.1007/s11292-020-09426-x</w:t>
        </w:r>
      </w:hyperlink>
      <w:r w:rsidRPr="00644B88">
        <w:rPr>
          <w:rFonts w:asciiTheme="majorBidi" w:hAnsiTheme="majorBidi" w:cstheme="majorBidi"/>
          <w:color w:val="333333"/>
          <w:shd w:val="clear" w:color="auto" w:fill="FCFCFC"/>
          <w:lang w:val="nl-NL"/>
        </w:rPr>
        <w:t>; T</w:t>
      </w:r>
      <w:r w:rsidRPr="00644B88">
        <w:rPr>
          <w:rFonts w:asciiTheme="majorBidi" w:hAnsiTheme="majorBidi" w:cstheme="majorBidi"/>
          <w:color w:val="222222"/>
          <w:shd w:val="clear" w:color="auto" w:fill="FFFFFF"/>
          <w:lang w:val="nl-NL"/>
        </w:rPr>
        <w:t xml:space="preserve">yler, T. (2017). </w:t>
      </w:r>
      <w:r w:rsidRPr="00644B88">
        <w:rPr>
          <w:rFonts w:asciiTheme="majorBidi" w:hAnsiTheme="majorBidi" w:cstheme="majorBidi"/>
          <w:color w:val="222222"/>
          <w:shd w:val="clear" w:color="auto" w:fill="FFFFFF"/>
        </w:rPr>
        <w:t xml:space="preserve">Procedural justice and policing: A rush to </w:t>
      </w:r>
      <w:r w:rsidRPr="00644B88">
        <w:rPr>
          <w:rFonts w:asciiTheme="majorBidi" w:hAnsiTheme="majorBidi" w:cstheme="majorBidi"/>
          <w:color w:val="222222"/>
          <w:shd w:val="clear" w:color="auto" w:fill="FFFFFF"/>
        </w:rPr>
        <w:t>judgment?. </w:t>
      </w:r>
      <w:r w:rsidRPr="00644B88">
        <w:rPr>
          <w:rFonts w:asciiTheme="majorBidi" w:hAnsiTheme="majorBidi" w:cstheme="majorBidi"/>
          <w:i/>
          <w:iCs/>
          <w:color w:val="222222"/>
          <w:shd w:val="clear" w:color="auto" w:fill="FFFFFF"/>
        </w:rPr>
        <w:t>Annual Review of Law and Social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13</w:t>
      </w:r>
      <w:r w:rsidRPr="00644B88">
        <w:rPr>
          <w:rFonts w:asciiTheme="majorBidi" w:hAnsiTheme="majorBidi" w:cstheme="majorBidi"/>
          <w:color w:val="222222"/>
          <w:shd w:val="clear" w:color="auto" w:fill="FFFFFF"/>
        </w:rPr>
        <w:t>, 29-53.</w:t>
      </w:r>
    </w:p>
  </w:footnote>
  <w:footnote w:id="28">
    <w:p w14:paraId="4DB6E614"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P</w:t>
      </w:r>
      <w:r w:rsidRPr="00644B88">
        <w:rPr>
          <w:rFonts w:asciiTheme="majorBidi" w:hAnsiTheme="majorBidi" w:cstheme="majorBidi"/>
          <w:color w:val="222222"/>
          <w:shd w:val="clear" w:color="auto" w:fill="FFFFFF"/>
        </w:rPr>
        <w:t>rior, M. (2013). Media and political polarization. </w:t>
      </w:r>
      <w:r w:rsidRPr="00644B88">
        <w:rPr>
          <w:rFonts w:asciiTheme="majorBidi" w:hAnsiTheme="majorBidi" w:cstheme="majorBidi"/>
          <w:i/>
          <w:iCs/>
          <w:color w:val="222222"/>
          <w:shd w:val="clear" w:color="auto" w:fill="FFFFFF"/>
        </w:rPr>
        <w:t>Annual Review of Political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16</w:t>
      </w:r>
      <w:r w:rsidRPr="00644B88">
        <w:rPr>
          <w:rFonts w:asciiTheme="majorBidi" w:hAnsiTheme="majorBidi" w:cstheme="majorBidi"/>
          <w:color w:val="222222"/>
          <w:shd w:val="clear" w:color="auto" w:fill="FFFFFF"/>
        </w:rPr>
        <w:t>, 101-127; Spohr, D. (2017). Fake news and ideological polarization: Filter bubbles and selective exposure on social media. </w:t>
      </w:r>
      <w:r w:rsidRPr="00644B88">
        <w:rPr>
          <w:rFonts w:asciiTheme="majorBidi" w:hAnsiTheme="majorBidi" w:cstheme="majorBidi"/>
          <w:i/>
          <w:iCs/>
          <w:color w:val="222222"/>
          <w:shd w:val="clear" w:color="auto" w:fill="FFFFFF"/>
        </w:rPr>
        <w:t>Business Information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34</w:t>
      </w:r>
      <w:r w:rsidRPr="00644B88">
        <w:rPr>
          <w:rFonts w:asciiTheme="majorBidi" w:hAnsiTheme="majorBidi" w:cstheme="majorBidi"/>
          <w:color w:val="222222"/>
          <w:shd w:val="clear" w:color="auto" w:fill="FFFFFF"/>
        </w:rPr>
        <w:t>(3), 150-160.</w:t>
      </w:r>
    </w:p>
  </w:footnote>
  <w:footnote w:id="29">
    <w:p w14:paraId="258F705C" w14:textId="77777777" w:rsidR="00F707F9" w:rsidRPr="00637780" w:rsidRDefault="00F707F9" w:rsidP="00644B88">
      <w:pPr>
        <w:pStyle w:val="FootnoteText"/>
        <w:jc w:val="both"/>
        <w:rPr>
          <w:rFonts w:asciiTheme="majorBidi" w:hAnsiTheme="majorBidi" w:cstheme="majorBidi"/>
        </w:rPr>
      </w:pPr>
      <w:r w:rsidRPr="00637780">
        <w:rPr>
          <w:rFonts w:asciiTheme="majorBidi" w:hAnsiTheme="majorBidi" w:cstheme="majorBidi"/>
          <w:shd w:val="clear" w:color="auto" w:fill="FFFFFF"/>
          <w:vertAlign w:val="superscript"/>
        </w:rPr>
        <w:footnoteRef/>
      </w:r>
      <w:r w:rsidRPr="00637780">
        <w:rPr>
          <w:rFonts w:asciiTheme="majorBidi" w:hAnsiTheme="majorBidi" w:cstheme="majorBidi"/>
          <w:shd w:val="clear" w:color="auto" w:fill="FFFFFF"/>
        </w:rPr>
        <w:t xml:space="preserve"> E.g. Feldman, Yuval, and Orly Lobel. "The incentives matrix: The comparative effectiveness of rewards, liabilities, duties, and protections for reporting illegality." </w:t>
      </w:r>
      <w:r w:rsidRPr="00637780">
        <w:rPr>
          <w:rFonts w:asciiTheme="majorBidi" w:hAnsiTheme="majorBidi" w:cstheme="majorBidi"/>
          <w:i/>
          <w:iCs/>
          <w:shd w:val="clear" w:color="auto" w:fill="FFFFFF"/>
        </w:rPr>
        <w:t>Tex. L. Rev.</w:t>
      </w:r>
      <w:r w:rsidRPr="00637780">
        <w:rPr>
          <w:rFonts w:asciiTheme="majorBidi" w:hAnsiTheme="majorBidi" w:cstheme="majorBidi"/>
          <w:shd w:val="clear" w:color="auto" w:fill="FFFFFF"/>
        </w:rPr>
        <w:t> 88 (2009): 1151.</w:t>
      </w:r>
    </w:p>
  </w:footnote>
  <w:footnote w:id="30">
    <w:p w14:paraId="2B82679C" w14:textId="7A72E772" w:rsidR="001838A2" w:rsidRDefault="001838A2">
      <w:pPr>
        <w:pStyle w:val="FootnoteText"/>
      </w:pPr>
      <w:r>
        <w:rPr>
          <w:rStyle w:val="FootnoteReference"/>
        </w:rPr>
        <w:footnoteRef/>
      </w:r>
      <w:r>
        <w:t xml:space="preserve"> See chapter </w:t>
      </w:r>
      <w:r w:rsidR="005A11FC">
        <w:t>4</w:t>
      </w:r>
      <w:r>
        <w:t xml:space="preserve"> that focuses on regulatory approaches which attempt to explain nudges. </w:t>
      </w:r>
    </w:p>
  </w:footnote>
  <w:footnote w:id="31">
    <w:p w14:paraId="0AD63930"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Thaler, Richard H., and Cass R. Sunstein. </w:t>
      </w:r>
      <w:r w:rsidRPr="00637780">
        <w:rPr>
          <w:rFonts w:asciiTheme="majorBidi" w:hAnsiTheme="majorBidi" w:cstheme="majorBidi"/>
          <w:i/>
          <w:iCs/>
          <w:shd w:val="clear" w:color="auto" w:fill="FFFFFF"/>
        </w:rPr>
        <w:t>Nudge: Improving decisions about health, wealth, and happiness</w:t>
      </w:r>
      <w:r w:rsidRPr="00637780">
        <w:rPr>
          <w:rFonts w:asciiTheme="majorBidi" w:hAnsiTheme="majorBidi" w:cstheme="majorBidi"/>
          <w:shd w:val="clear" w:color="auto" w:fill="FFFFFF"/>
        </w:rPr>
        <w:t>. Penguin, 2009.</w:t>
      </w:r>
    </w:p>
  </w:footnote>
  <w:footnote w:id="32">
    <w:p w14:paraId="575CB004" w14:textId="77777777" w:rsidR="00F707F9" w:rsidRPr="00637780" w:rsidRDefault="00F707F9" w:rsidP="00644B88">
      <w:pPr>
        <w:pStyle w:val="FootnoteText"/>
        <w:jc w:val="both"/>
        <w:rPr>
          <w:rFonts w:asciiTheme="majorBidi" w:hAnsiTheme="majorBidi" w:cstheme="majorBidi"/>
          <w:rtl/>
        </w:rPr>
      </w:pPr>
      <w:r w:rsidRPr="00637780">
        <w:rPr>
          <w:rStyle w:val="FootnoteReference"/>
          <w:rFonts w:asciiTheme="majorBidi" w:hAnsiTheme="majorBidi" w:cstheme="majorBidi"/>
        </w:rPr>
        <w:footnoteRef/>
      </w:r>
      <w:r w:rsidRPr="00637780">
        <w:rPr>
          <w:rFonts w:asciiTheme="majorBidi" w:hAnsiTheme="majorBidi" w:cstheme="majorBidi"/>
        </w:rPr>
        <w:t xml:space="preserve"> E.g. </w:t>
      </w:r>
      <w:r w:rsidRPr="00637780">
        <w:rPr>
          <w:rFonts w:asciiTheme="majorBidi" w:hAnsiTheme="majorBidi" w:cstheme="majorBidi"/>
          <w:shd w:val="clear" w:color="auto" w:fill="FFFFFF"/>
        </w:rPr>
        <w:t>Feldman, Yuval, and Orly Lobel. "Behavioral trade-offs: Beyond the land of nudges spans the world of law and psychology." </w:t>
      </w:r>
      <w:r w:rsidRPr="00637780">
        <w:rPr>
          <w:rFonts w:asciiTheme="majorBidi" w:hAnsiTheme="majorBidi" w:cstheme="majorBidi"/>
          <w:i/>
          <w:iCs/>
          <w:shd w:val="clear" w:color="auto" w:fill="FFFFFF"/>
        </w:rPr>
        <w:t>San Diego Legal Studies Paper</w:t>
      </w:r>
      <w:r w:rsidRPr="00637780">
        <w:rPr>
          <w:rFonts w:asciiTheme="majorBidi" w:hAnsiTheme="majorBidi" w:cstheme="majorBidi"/>
          <w:shd w:val="clear" w:color="auto" w:fill="FFFFFF"/>
        </w:rPr>
        <w:t> 14-158 (2014)</w:t>
      </w:r>
      <w:r w:rsidRPr="00637780">
        <w:rPr>
          <w:rFonts w:asciiTheme="majorBidi" w:hAnsiTheme="majorBidi" w:cstheme="majorBidi"/>
          <w:shd w:val="clear" w:color="auto" w:fill="FFFFFF"/>
        </w:rPr>
        <w:t>.</w:t>
      </w:r>
      <w:r w:rsidRPr="00637780">
        <w:rPr>
          <w:rFonts w:asciiTheme="majorBidi" w:hAnsiTheme="majorBidi" w:cstheme="majorBidi"/>
        </w:rPr>
        <w:t xml:space="preserve">;  </w:t>
      </w:r>
    </w:p>
  </w:footnote>
  <w:footnote w:id="33">
    <w:p w14:paraId="066E106E"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bookmarkStart w:id="14" w:name="_Hlk77867948"/>
      <w:r w:rsidRPr="00644B88">
        <w:rPr>
          <w:rFonts w:asciiTheme="majorBidi" w:hAnsiTheme="majorBidi" w:cstheme="majorBidi"/>
        </w:rPr>
        <w:t>W</w:t>
      </w:r>
      <w:r w:rsidRPr="00644B88">
        <w:rPr>
          <w:rFonts w:asciiTheme="majorBidi" w:hAnsiTheme="majorBidi" w:cstheme="majorBidi"/>
          <w:color w:val="222222"/>
          <w:shd w:val="clear" w:color="auto" w:fill="FFFFFF"/>
        </w:rPr>
        <w:t>inter, S. C., &amp; May, P. J. (2001). Motivation for compliance with environmental regulations. </w:t>
      </w:r>
      <w:r w:rsidRPr="00644B88">
        <w:rPr>
          <w:rFonts w:asciiTheme="majorBidi" w:hAnsiTheme="majorBidi" w:cstheme="majorBidi"/>
          <w:i/>
          <w:iCs/>
          <w:color w:val="222222"/>
          <w:shd w:val="clear" w:color="auto" w:fill="FFFFFF"/>
        </w:rPr>
        <w:t>Journal of Policy Analysis and Management: The Journal of the Association for Public Policy Analysis and Management</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20</w:t>
      </w:r>
      <w:r w:rsidRPr="00644B88">
        <w:rPr>
          <w:rFonts w:asciiTheme="majorBidi" w:hAnsiTheme="majorBidi" w:cstheme="majorBidi"/>
          <w:color w:val="222222"/>
          <w:shd w:val="clear" w:color="auto" w:fill="FFFFFF"/>
        </w:rPr>
        <w:t>(4), 675-698.</w:t>
      </w:r>
    </w:p>
    <w:bookmarkEnd w:id="14"/>
  </w:footnote>
  <w:footnote w:id="34">
    <w:p w14:paraId="4779110B"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C</w:t>
      </w:r>
      <w:r w:rsidRPr="00644B88">
        <w:rPr>
          <w:rFonts w:asciiTheme="majorBidi" w:hAnsiTheme="majorBidi" w:cstheme="majorBidi"/>
          <w:color w:val="222222"/>
          <w:shd w:val="clear" w:color="auto" w:fill="FFFFFF"/>
        </w:rPr>
        <w:t>ooter, R. (2000). Do good laws make good citizens? An economic analysis of internalized norms. </w:t>
      </w:r>
      <w:r w:rsidRPr="00644B88">
        <w:rPr>
          <w:rFonts w:asciiTheme="majorBidi" w:hAnsiTheme="majorBidi" w:cstheme="majorBidi"/>
          <w:i/>
          <w:iCs/>
          <w:color w:val="222222"/>
          <w:shd w:val="clear" w:color="auto" w:fill="FFFFFF"/>
        </w:rPr>
        <w:t>Virginia Law Review</w:t>
      </w:r>
      <w:r w:rsidRPr="00644B88">
        <w:rPr>
          <w:rFonts w:asciiTheme="majorBidi" w:hAnsiTheme="majorBidi" w:cstheme="majorBidi"/>
          <w:color w:val="222222"/>
          <w:shd w:val="clear" w:color="auto" w:fill="FFFFFF"/>
        </w:rPr>
        <w:t>, 1577-1601.</w:t>
      </w:r>
    </w:p>
  </w:footnote>
  <w:footnote w:id="35">
    <w:p w14:paraId="0A8FBEF9"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tl/>
        </w:rPr>
        <w:t xml:space="preserve"> </w:t>
      </w:r>
      <w:r w:rsidRPr="00644B88">
        <w:rPr>
          <w:rFonts w:asciiTheme="majorBidi" w:hAnsiTheme="majorBidi" w:cstheme="majorBidi"/>
        </w:rPr>
        <w:t>G</w:t>
      </w:r>
      <w:r w:rsidRPr="00644B88">
        <w:rPr>
          <w:rFonts w:asciiTheme="majorBidi" w:hAnsiTheme="majorBidi" w:cstheme="majorBidi"/>
          <w:color w:val="222222"/>
          <w:shd w:val="clear" w:color="auto" w:fill="FFFFFF"/>
        </w:rPr>
        <w:t>unningham, N., Kagan, R. A., &amp; Thornton, D. (2004). Social license and environmental protection: why businesses go beyond compliance. </w:t>
      </w:r>
      <w:r w:rsidRPr="00644B88">
        <w:rPr>
          <w:rFonts w:asciiTheme="majorBidi" w:hAnsiTheme="majorBidi" w:cstheme="majorBidi"/>
          <w:i/>
          <w:iCs/>
          <w:color w:val="222222"/>
          <w:shd w:val="clear" w:color="auto" w:fill="FFFFFF"/>
        </w:rPr>
        <w:t>Law &amp; Social Inquiry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29</w:t>
      </w:r>
      <w:r w:rsidRPr="00644B88">
        <w:rPr>
          <w:rFonts w:asciiTheme="majorBidi" w:hAnsiTheme="majorBidi" w:cstheme="majorBidi"/>
          <w:color w:val="222222"/>
          <w:shd w:val="clear" w:color="auto" w:fill="FFFFFF"/>
        </w:rPr>
        <w:t>(2), 307-341.</w:t>
      </w:r>
    </w:p>
  </w:footnote>
  <w:footnote w:id="36">
    <w:p w14:paraId="479E001E"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T</w:t>
      </w:r>
      <w:r w:rsidRPr="00644B88">
        <w:rPr>
          <w:rFonts w:asciiTheme="majorBidi" w:hAnsiTheme="majorBidi" w:cstheme="majorBidi"/>
          <w:color w:val="222222"/>
          <w:shd w:val="clear" w:color="auto" w:fill="FFFFFF"/>
        </w:rPr>
        <w:t>homas, C. W. (1998). Maintaining and restoring public trust in government agencies and their employees. </w:t>
      </w:r>
      <w:r w:rsidRPr="00644B88">
        <w:rPr>
          <w:rFonts w:asciiTheme="majorBidi" w:hAnsiTheme="majorBidi" w:cstheme="majorBidi"/>
          <w:i/>
          <w:iCs/>
          <w:color w:val="222222"/>
          <w:shd w:val="clear" w:color="auto" w:fill="FFFFFF"/>
        </w:rPr>
        <w:t>Administration &amp; society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30</w:t>
      </w:r>
      <w:r w:rsidRPr="00644B88">
        <w:rPr>
          <w:rFonts w:asciiTheme="majorBidi" w:hAnsiTheme="majorBidi" w:cstheme="majorBidi"/>
          <w:color w:val="222222"/>
          <w:shd w:val="clear" w:color="auto" w:fill="FFFFFF"/>
        </w:rPr>
        <w:t>(2), 166-193.</w:t>
      </w:r>
    </w:p>
  </w:footnote>
  <w:footnote w:id="37">
    <w:p w14:paraId="13775871"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F</w:t>
      </w:r>
      <w:r w:rsidRPr="00644B88">
        <w:rPr>
          <w:rFonts w:asciiTheme="majorBidi" w:hAnsiTheme="majorBidi" w:cstheme="majorBidi"/>
          <w:color w:val="222222"/>
          <w:shd w:val="clear" w:color="auto" w:fill="FFFFFF"/>
        </w:rPr>
        <w:t>rey, B. S. (1993). Does monitoring increase work effort? The rivalry with trust and loyalty. </w:t>
      </w:r>
      <w:r w:rsidRPr="00644B88">
        <w:rPr>
          <w:rFonts w:asciiTheme="majorBidi" w:hAnsiTheme="majorBidi" w:cstheme="majorBidi"/>
          <w:i/>
          <w:iCs/>
          <w:color w:val="222222"/>
          <w:shd w:val="clear" w:color="auto" w:fill="FFFFFF"/>
        </w:rPr>
        <w:t>Economic Inquiry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31</w:t>
      </w:r>
      <w:r w:rsidRPr="00644B88">
        <w:rPr>
          <w:rFonts w:asciiTheme="majorBidi" w:hAnsiTheme="majorBidi" w:cstheme="majorBidi"/>
          <w:color w:val="222222"/>
          <w:shd w:val="clear" w:color="auto" w:fill="FFFFFF"/>
        </w:rPr>
        <w:t>(4), 663-670.</w:t>
      </w:r>
    </w:p>
  </w:footnote>
  <w:footnote w:id="38">
    <w:p w14:paraId="64889CD9"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F</w:t>
      </w:r>
      <w:r w:rsidRPr="00644B88">
        <w:rPr>
          <w:rFonts w:asciiTheme="majorBidi" w:hAnsiTheme="majorBidi" w:cstheme="majorBidi"/>
          <w:color w:val="222222"/>
          <w:shd w:val="clear" w:color="auto" w:fill="FFFFFF"/>
        </w:rPr>
        <w:t>eldman, Y., &amp; Smith, H. E. (2014). Behavioral equity. </w:t>
      </w:r>
      <w:r w:rsidRPr="00644B88">
        <w:rPr>
          <w:rFonts w:asciiTheme="majorBidi" w:hAnsiTheme="majorBidi" w:cstheme="majorBidi"/>
          <w:i/>
          <w:iCs/>
          <w:color w:val="222222"/>
          <w:shd w:val="clear" w:color="auto" w:fill="FFFFFF"/>
        </w:rPr>
        <w:t>Journal of Institutional and Theoretical Economics: JITE</w:t>
      </w:r>
      <w:r w:rsidRPr="00644B88">
        <w:rPr>
          <w:rFonts w:asciiTheme="majorBidi" w:hAnsiTheme="majorBidi" w:cstheme="majorBidi"/>
          <w:color w:val="222222"/>
          <w:shd w:val="clear" w:color="auto" w:fill="FFFFFF"/>
        </w:rPr>
        <w:t>, 137-159</w:t>
      </w:r>
      <w:r w:rsidRPr="00644B88">
        <w:rPr>
          <w:rFonts w:asciiTheme="majorBidi" w:hAnsiTheme="majorBidi" w:cstheme="majorBidi"/>
          <w:i/>
          <w:iCs/>
          <w:shd w:val="clear" w:color="auto" w:fill="FFFFFF"/>
        </w:rPr>
        <w:t>.</w:t>
      </w:r>
      <w:r w:rsidRPr="00644B88" w:rsidDel="00173135">
        <w:rPr>
          <w:rFonts w:asciiTheme="majorBidi" w:hAnsiTheme="majorBidi" w:cstheme="majorBidi"/>
        </w:rPr>
        <w:t xml:space="preserve"> </w:t>
      </w:r>
    </w:p>
  </w:footnote>
  <w:footnote w:id="39">
    <w:p w14:paraId="67F61AB4" w14:textId="77777777" w:rsidR="00F707F9" w:rsidRPr="00B5410C"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bookmarkStart w:id="15" w:name="_Hlk77868015"/>
      <w:r w:rsidRPr="00644B88">
        <w:rPr>
          <w:rFonts w:asciiTheme="majorBidi" w:hAnsiTheme="majorBidi" w:cstheme="majorBidi"/>
        </w:rPr>
        <w:t>P</w:t>
      </w:r>
      <w:r w:rsidRPr="00644B88">
        <w:rPr>
          <w:rFonts w:asciiTheme="majorBidi" w:hAnsiTheme="majorBidi" w:cstheme="majorBidi"/>
          <w:color w:val="222222"/>
          <w:shd w:val="clear" w:color="auto" w:fill="FFFFFF"/>
        </w:rPr>
        <w:t xml:space="preserve">atall, E. A., Cooper, H., &amp; Robinson, J. C. (2008). The effects of choice on intrinsic motivation and </w:t>
      </w:r>
      <w:r w:rsidRPr="00B5410C">
        <w:rPr>
          <w:rFonts w:asciiTheme="majorBidi" w:hAnsiTheme="majorBidi" w:cstheme="majorBidi"/>
          <w:color w:val="222222"/>
          <w:shd w:val="clear" w:color="auto" w:fill="FFFFFF"/>
        </w:rPr>
        <w:t>related outcomes: a meta-analysis of research findings. </w:t>
      </w:r>
      <w:r w:rsidRPr="00B5410C">
        <w:rPr>
          <w:rFonts w:asciiTheme="majorBidi" w:hAnsiTheme="majorBidi" w:cstheme="majorBidi"/>
          <w:i/>
          <w:iCs/>
          <w:color w:val="222222"/>
          <w:shd w:val="clear" w:color="auto" w:fill="FFFFFF"/>
        </w:rPr>
        <w:t>Psychological bulletin</w:t>
      </w:r>
      <w:r w:rsidRPr="00B5410C">
        <w:rPr>
          <w:rFonts w:asciiTheme="majorBidi" w:hAnsiTheme="majorBidi" w:cstheme="majorBidi"/>
          <w:color w:val="222222"/>
          <w:shd w:val="clear" w:color="auto" w:fill="FFFFFF"/>
        </w:rPr>
        <w:t>, </w:t>
      </w:r>
      <w:r w:rsidRPr="00B5410C">
        <w:rPr>
          <w:rFonts w:asciiTheme="majorBidi" w:hAnsiTheme="majorBidi" w:cstheme="majorBidi"/>
          <w:i/>
          <w:iCs/>
          <w:color w:val="222222"/>
          <w:shd w:val="clear" w:color="auto" w:fill="FFFFFF"/>
        </w:rPr>
        <w:t>134</w:t>
      </w:r>
      <w:r w:rsidRPr="00B5410C">
        <w:rPr>
          <w:rFonts w:asciiTheme="majorBidi" w:hAnsiTheme="majorBidi" w:cstheme="majorBidi"/>
          <w:color w:val="222222"/>
          <w:shd w:val="clear" w:color="auto" w:fill="FFFFFF"/>
        </w:rPr>
        <w:t>(2), 270.</w:t>
      </w:r>
    </w:p>
    <w:bookmarkEnd w:id="15"/>
  </w:footnote>
  <w:footnote w:id="40">
    <w:p w14:paraId="676B5E7A" w14:textId="77777777" w:rsidR="00F707F9" w:rsidRPr="00B5410C" w:rsidRDefault="00F707F9" w:rsidP="00637780">
      <w:pPr>
        <w:pStyle w:val="FootnoteText"/>
        <w:jc w:val="both"/>
        <w:rPr>
          <w:rFonts w:asciiTheme="majorBidi" w:hAnsiTheme="majorBidi" w:cstheme="majorBidi"/>
        </w:rPr>
      </w:pPr>
      <w:r w:rsidRPr="00B5410C">
        <w:rPr>
          <w:rStyle w:val="FootnoteReference"/>
          <w:rFonts w:asciiTheme="majorBidi" w:hAnsiTheme="majorBidi" w:cstheme="majorBidi"/>
        </w:rPr>
        <w:footnoteRef/>
      </w:r>
      <w:r w:rsidRPr="00B5410C">
        <w:rPr>
          <w:rFonts w:asciiTheme="majorBidi" w:hAnsiTheme="majorBidi" w:cstheme="majorBidi"/>
        </w:rPr>
        <w:t xml:space="preserve"> W</w:t>
      </w:r>
      <w:r w:rsidRPr="00B5410C">
        <w:rPr>
          <w:rFonts w:asciiTheme="majorBidi" w:hAnsiTheme="majorBidi" w:cstheme="majorBidi"/>
          <w:color w:val="222222"/>
          <w:shd w:val="clear" w:color="auto" w:fill="FFFFFF"/>
        </w:rPr>
        <w:t>inick, B. J. (1997). The jurisprudence of therapeutic jurisprudence. </w:t>
      </w:r>
      <w:r w:rsidRPr="00B5410C">
        <w:rPr>
          <w:rFonts w:asciiTheme="majorBidi" w:hAnsiTheme="majorBidi" w:cstheme="majorBidi"/>
          <w:i/>
          <w:iCs/>
          <w:color w:val="222222"/>
          <w:shd w:val="clear" w:color="auto" w:fill="FFFFFF"/>
        </w:rPr>
        <w:t>Psychology, Public Policy, and Law</w:t>
      </w:r>
      <w:r w:rsidRPr="00B5410C">
        <w:rPr>
          <w:rFonts w:asciiTheme="majorBidi" w:hAnsiTheme="majorBidi" w:cstheme="majorBidi"/>
          <w:color w:val="222222"/>
          <w:shd w:val="clear" w:color="auto" w:fill="FFFFFF"/>
        </w:rPr>
        <w:t>, </w:t>
      </w:r>
      <w:r w:rsidRPr="00B5410C">
        <w:rPr>
          <w:rFonts w:asciiTheme="majorBidi" w:hAnsiTheme="majorBidi" w:cstheme="majorBidi"/>
          <w:i/>
          <w:iCs/>
          <w:color w:val="222222"/>
          <w:shd w:val="clear" w:color="auto" w:fill="FFFFFF"/>
        </w:rPr>
        <w:t>3</w:t>
      </w:r>
      <w:r w:rsidRPr="00B5410C">
        <w:rPr>
          <w:rFonts w:asciiTheme="majorBidi" w:hAnsiTheme="majorBidi" w:cstheme="majorBidi"/>
          <w:color w:val="222222"/>
          <w:shd w:val="clear" w:color="auto" w:fill="FFFFFF"/>
        </w:rPr>
        <w:t>(1), 184;</w:t>
      </w:r>
      <w:r w:rsidRPr="00B5410C" w:rsidDel="008E2BC7">
        <w:rPr>
          <w:rFonts w:asciiTheme="majorBidi" w:hAnsiTheme="majorBidi" w:cstheme="majorBidi"/>
          <w:shd w:val="clear" w:color="auto" w:fill="FFFFFF"/>
        </w:rPr>
        <w:t xml:space="preserve"> </w:t>
      </w:r>
      <w:r w:rsidRPr="00B5410C">
        <w:rPr>
          <w:rFonts w:asciiTheme="majorBidi" w:hAnsiTheme="majorBidi" w:cstheme="majorBidi"/>
          <w:shd w:val="clear" w:color="auto" w:fill="FFFFFF"/>
        </w:rPr>
        <w:t>W</w:t>
      </w:r>
      <w:r w:rsidRPr="00B5410C">
        <w:rPr>
          <w:rFonts w:asciiTheme="majorBidi" w:hAnsiTheme="majorBidi" w:cstheme="majorBidi"/>
          <w:color w:val="222222"/>
          <w:shd w:val="clear" w:color="auto" w:fill="FFFFFF"/>
        </w:rPr>
        <w:t>exler, D. (2000). Therapeutic jurisprudence: An overview. </w:t>
      </w:r>
      <w:r w:rsidRPr="00B5410C">
        <w:rPr>
          <w:rFonts w:asciiTheme="majorBidi" w:hAnsiTheme="majorBidi" w:cstheme="majorBidi"/>
          <w:i/>
          <w:iCs/>
          <w:color w:val="222222"/>
          <w:shd w:val="clear" w:color="auto" w:fill="FFFFFF"/>
        </w:rPr>
        <w:t>TM Cooley L. Rev.</w:t>
      </w:r>
      <w:r w:rsidRPr="00B5410C">
        <w:rPr>
          <w:rFonts w:asciiTheme="majorBidi" w:hAnsiTheme="majorBidi" w:cstheme="majorBidi"/>
          <w:color w:val="222222"/>
          <w:shd w:val="clear" w:color="auto" w:fill="FFFFFF"/>
        </w:rPr>
        <w:t>, </w:t>
      </w:r>
      <w:r w:rsidRPr="00B5410C">
        <w:rPr>
          <w:rFonts w:asciiTheme="majorBidi" w:hAnsiTheme="majorBidi" w:cstheme="majorBidi"/>
          <w:i/>
          <w:iCs/>
          <w:color w:val="222222"/>
          <w:shd w:val="clear" w:color="auto" w:fill="FFFFFF"/>
        </w:rPr>
        <w:t>17</w:t>
      </w:r>
      <w:r w:rsidRPr="00B5410C">
        <w:rPr>
          <w:rFonts w:asciiTheme="majorBidi" w:hAnsiTheme="majorBidi" w:cstheme="majorBidi"/>
          <w:color w:val="222222"/>
          <w:shd w:val="clear" w:color="auto" w:fill="FFFFFF"/>
        </w:rPr>
        <w:t>, 125.</w:t>
      </w:r>
    </w:p>
  </w:footnote>
  <w:footnote w:id="41">
    <w:p w14:paraId="1D146E86" w14:textId="77777777" w:rsidR="00F707F9" w:rsidRPr="00B5410C" w:rsidRDefault="00F707F9" w:rsidP="00637780">
      <w:pPr>
        <w:pStyle w:val="FootnoteText"/>
        <w:jc w:val="both"/>
        <w:rPr>
          <w:rFonts w:asciiTheme="majorBidi" w:hAnsiTheme="majorBidi" w:cstheme="majorBidi"/>
        </w:rPr>
      </w:pPr>
      <w:r w:rsidRPr="00B5410C">
        <w:rPr>
          <w:rStyle w:val="FootnoteReference"/>
          <w:rFonts w:asciiTheme="majorBidi" w:hAnsiTheme="majorBidi" w:cstheme="majorBidi"/>
        </w:rPr>
        <w:footnoteRef/>
      </w:r>
      <w:r w:rsidRPr="00B5410C">
        <w:rPr>
          <w:rFonts w:asciiTheme="majorBidi" w:hAnsiTheme="majorBidi" w:cstheme="majorBidi"/>
        </w:rPr>
        <w:t xml:space="preserve"> </w:t>
      </w:r>
      <w:r w:rsidRPr="00B5410C">
        <w:rPr>
          <w:rFonts w:asciiTheme="majorBidi" w:hAnsiTheme="majorBidi" w:cstheme="majorBidi"/>
          <w:shd w:val="clear" w:color="auto" w:fill="FFFFFF"/>
        </w:rPr>
        <w:t>P</w:t>
      </w:r>
      <w:r w:rsidRPr="00B5410C">
        <w:rPr>
          <w:rFonts w:asciiTheme="majorBidi" w:hAnsiTheme="majorBidi" w:cstheme="majorBidi"/>
          <w:color w:val="222222"/>
          <w:shd w:val="clear" w:color="auto" w:fill="FFFFFF"/>
        </w:rPr>
        <w:t>osner, E. A., &amp; Sunstein, C. R. (Eds.). (2010). </w:t>
      </w:r>
      <w:r w:rsidRPr="00B5410C">
        <w:rPr>
          <w:rFonts w:asciiTheme="majorBidi" w:hAnsiTheme="majorBidi" w:cstheme="majorBidi"/>
          <w:i/>
          <w:iCs/>
          <w:color w:val="222222"/>
          <w:shd w:val="clear" w:color="auto" w:fill="FFFFFF"/>
        </w:rPr>
        <w:t>Law and happiness</w:t>
      </w:r>
      <w:r w:rsidRPr="00B5410C">
        <w:rPr>
          <w:rFonts w:asciiTheme="majorBidi" w:hAnsiTheme="majorBidi" w:cstheme="majorBidi"/>
          <w:color w:val="222222"/>
          <w:shd w:val="clear" w:color="auto" w:fill="FFFFFF"/>
        </w:rPr>
        <w:t>. University of Chicago Press;</w:t>
      </w:r>
      <w:r w:rsidRPr="00B5410C">
        <w:rPr>
          <w:rFonts w:asciiTheme="majorBidi" w:hAnsiTheme="majorBidi" w:cstheme="majorBidi"/>
          <w:shd w:val="clear" w:color="auto" w:fill="FFFFFF"/>
        </w:rPr>
        <w:t xml:space="preserve"> B</w:t>
      </w:r>
      <w:r w:rsidRPr="00B5410C">
        <w:rPr>
          <w:rFonts w:asciiTheme="majorBidi" w:hAnsiTheme="majorBidi" w:cstheme="majorBidi"/>
          <w:color w:val="222222"/>
          <w:shd w:val="clear" w:color="auto" w:fill="FFFFFF"/>
        </w:rPr>
        <w:t>ronsteen, J., Buccafusco, C., &amp; Masur, J. S. (2014). </w:t>
      </w:r>
      <w:r w:rsidRPr="00B5410C">
        <w:rPr>
          <w:rFonts w:asciiTheme="majorBidi" w:hAnsiTheme="majorBidi" w:cstheme="majorBidi"/>
          <w:i/>
          <w:iCs/>
          <w:color w:val="222222"/>
          <w:shd w:val="clear" w:color="auto" w:fill="FFFFFF"/>
        </w:rPr>
        <w:t>Happiness and the Law</w:t>
      </w:r>
      <w:r w:rsidRPr="00B5410C">
        <w:rPr>
          <w:rFonts w:asciiTheme="majorBidi" w:hAnsiTheme="majorBidi" w:cstheme="majorBidi"/>
          <w:color w:val="222222"/>
          <w:shd w:val="clear" w:color="auto" w:fill="FFFFFF"/>
        </w:rPr>
        <w:t>. University of Chicago Press.</w:t>
      </w:r>
    </w:p>
  </w:footnote>
  <w:footnote w:id="42">
    <w:p w14:paraId="33E0DC5A" w14:textId="77777777" w:rsidR="00F707F9" w:rsidRPr="00B5410C" w:rsidRDefault="00F707F9" w:rsidP="00B5410C">
      <w:pPr>
        <w:spacing w:before="2" w:after="2" w:line="240" w:lineRule="auto"/>
        <w:contextualSpacing/>
        <w:jc w:val="both"/>
        <w:rPr>
          <w:rFonts w:asciiTheme="majorBidi" w:hAnsiTheme="majorBidi" w:cstheme="majorBidi"/>
          <w:sz w:val="20"/>
          <w:szCs w:val="20"/>
        </w:rPr>
      </w:pPr>
      <w:r w:rsidRPr="00B5410C">
        <w:rPr>
          <w:rFonts w:asciiTheme="majorBidi" w:hAnsiTheme="majorBidi" w:cstheme="majorBidi"/>
          <w:sz w:val="20"/>
          <w:szCs w:val="20"/>
          <w:vertAlign w:val="superscript"/>
        </w:rPr>
        <w:footnoteRef/>
      </w:r>
      <w:r w:rsidRPr="00B5410C">
        <w:rPr>
          <w:rFonts w:asciiTheme="majorBidi" w:hAnsiTheme="majorBidi" w:cstheme="majorBidi"/>
          <w:sz w:val="20"/>
          <w:szCs w:val="20"/>
        </w:rPr>
        <w:t xml:space="preserve"> Dana, J., Weber, R. A., &amp; Kuang, J. X. (2007). Exploiting moral wiggle room: experiments demonstrating an illusory preference for fairness. </w:t>
      </w:r>
      <w:r w:rsidRPr="00B5410C">
        <w:rPr>
          <w:rFonts w:asciiTheme="majorBidi" w:hAnsiTheme="majorBidi" w:cstheme="majorBidi"/>
          <w:i/>
          <w:iCs/>
          <w:sz w:val="20"/>
          <w:szCs w:val="20"/>
        </w:rPr>
        <w:t>Economic Theory</w:t>
      </w:r>
      <w:r w:rsidRPr="00B5410C">
        <w:rPr>
          <w:rFonts w:asciiTheme="majorBidi" w:hAnsiTheme="majorBidi" w:cstheme="majorBidi"/>
          <w:sz w:val="20"/>
          <w:szCs w:val="20"/>
        </w:rPr>
        <w:t>, 33(1), 67-80.</w:t>
      </w:r>
    </w:p>
  </w:footnote>
  <w:footnote w:id="43">
    <w:p w14:paraId="51A70875" w14:textId="77777777" w:rsidR="009877E1" w:rsidRDefault="009877E1"/>
    <w:p w14:paraId="54724215" w14:textId="77777777" w:rsidR="00F707F9" w:rsidRPr="00B5410C" w:rsidRDefault="00F707F9" w:rsidP="00644B88">
      <w:pPr>
        <w:pStyle w:val="FootnoteText"/>
        <w:contextualSpacing/>
        <w:jc w:val="both"/>
        <w:rPr>
          <w:rFonts w:asciiTheme="majorBidi" w:hAnsiTheme="majorBidi" w:cstheme="majorBidi"/>
          <w:shd w:val="clear" w:color="auto" w:fill="FFFFFF"/>
        </w:rPr>
      </w:pPr>
    </w:p>
  </w:footnote>
  <w:footnote w:id="44">
    <w:p w14:paraId="3E5E1438" w14:textId="77777777" w:rsidR="00F707F9" w:rsidRPr="00B5410C" w:rsidRDefault="00F707F9" w:rsidP="00B5410C">
      <w:pPr>
        <w:spacing w:before="2" w:after="2" w:line="240" w:lineRule="auto"/>
        <w:contextualSpacing/>
        <w:jc w:val="both"/>
        <w:rPr>
          <w:rFonts w:asciiTheme="majorBidi" w:hAnsiTheme="majorBidi" w:cstheme="majorBidi"/>
          <w:sz w:val="20"/>
          <w:szCs w:val="20"/>
          <w:lang w:val="nl-NL"/>
        </w:rPr>
      </w:pPr>
      <w:r w:rsidRPr="00B5410C">
        <w:rPr>
          <w:rFonts w:asciiTheme="majorBidi" w:hAnsiTheme="majorBidi" w:cstheme="majorBidi"/>
          <w:sz w:val="20"/>
          <w:szCs w:val="20"/>
          <w:vertAlign w:val="superscript"/>
        </w:rPr>
        <w:footnoteRef/>
      </w:r>
      <w:r w:rsidRPr="00B5410C">
        <w:rPr>
          <w:rFonts w:asciiTheme="majorBidi" w:hAnsiTheme="majorBidi" w:cstheme="majorBidi"/>
          <w:sz w:val="20"/>
          <w:szCs w:val="20"/>
          <w:vertAlign w:val="superscript"/>
        </w:rPr>
        <w:t xml:space="preserve"> </w:t>
      </w:r>
      <w:bookmarkStart w:id="16" w:name="_Hlk77868098"/>
      <w:r w:rsidRPr="00B5410C">
        <w:rPr>
          <w:rFonts w:asciiTheme="majorBidi" w:hAnsiTheme="majorBidi" w:cstheme="majorBidi"/>
          <w:sz w:val="20"/>
          <w:szCs w:val="20"/>
        </w:rPr>
        <w:t xml:space="preserve">Torgler, B., (2003). Tax Morale, Rule-Governed Behaviour, and Trust. </w:t>
      </w:r>
      <w:r w:rsidRPr="00B5410C">
        <w:rPr>
          <w:rFonts w:asciiTheme="majorBidi" w:hAnsiTheme="majorBidi" w:cstheme="majorBidi"/>
          <w:i/>
          <w:iCs/>
          <w:sz w:val="20"/>
          <w:szCs w:val="20"/>
          <w:lang w:val="nl-NL"/>
        </w:rPr>
        <w:t>Constitutional Political Economy</w:t>
      </w:r>
      <w:r w:rsidRPr="00B5410C">
        <w:rPr>
          <w:rFonts w:asciiTheme="majorBidi" w:hAnsiTheme="majorBidi" w:cstheme="majorBidi"/>
          <w:sz w:val="20"/>
          <w:szCs w:val="20"/>
          <w:lang w:val="nl-NL"/>
        </w:rPr>
        <w:t>, June, 14(2): 119–140</w:t>
      </w:r>
      <w:bookmarkEnd w:id="16"/>
      <w:r w:rsidRPr="00B5410C">
        <w:rPr>
          <w:rFonts w:asciiTheme="majorBidi" w:hAnsiTheme="majorBidi" w:cstheme="majorBidi"/>
          <w:sz w:val="20"/>
          <w:szCs w:val="20"/>
          <w:lang w:val="nl-NL"/>
        </w:rPr>
        <w:t>.</w:t>
      </w:r>
    </w:p>
  </w:footnote>
  <w:footnote w:id="45">
    <w:p w14:paraId="3A3A7419" w14:textId="77777777" w:rsidR="00F707F9" w:rsidRPr="00B5410C" w:rsidRDefault="00F707F9" w:rsidP="00B5410C">
      <w:pPr>
        <w:pStyle w:val="FootnoteText"/>
        <w:contextualSpacing/>
        <w:jc w:val="both"/>
        <w:rPr>
          <w:rFonts w:asciiTheme="majorBidi" w:hAnsiTheme="majorBidi" w:cstheme="majorBidi"/>
        </w:rPr>
      </w:pPr>
      <w:r w:rsidRPr="00B5410C">
        <w:rPr>
          <w:rStyle w:val="FootnoteReference"/>
          <w:rFonts w:asciiTheme="majorBidi" w:hAnsiTheme="majorBidi" w:cstheme="majorBidi"/>
        </w:rPr>
        <w:footnoteRef/>
      </w:r>
      <w:r w:rsidRPr="00B5410C">
        <w:rPr>
          <w:rFonts w:asciiTheme="majorBidi" w:hAnsiTheme="majorBidi" w:cstheme="majorBidi"/>
          <w:lang w:val="nl-NL"/>
        </w:rPr>
        <w:t xml:space="preserve"> V</w:t>
      </w:r>
      <w:r w:rsidRPr="00B5410C">
        <w:rPr>
          <w:rFonts w:asciiTheme="majorBidi" w:hAnsiTheme="majorBidi" w:cstheme="majorBidi"/>
          <w:color w:val="222222"/>
          <w:shd w:val="clear" w:color="auto" w:fill="FFFFFF"/>
          <w:lang w:val="nl-NL"/>
        </w:rPr>
        <w:t xml:space="preserve">an Rooij, B., de Bruijn, A. L., Reinders Folmer, C., Kooistra, E. B., Kuiper, M. E., Brownlee, M., ... </w:t>
      </w:r>
      <w:r w:rsidRPr="00B5410C">
        <w:rPr>
          <w:rFonts w:asciiTheme="majorBidi" w:hAnsiTheme="majorBidi" w:cstheme="majorBidi"/>
          <w:color w:val="222222"/>
          <w:shd w:val="clear" w:color="auto" w:fill="FFFFFF"/>
        </w:rPr>
        <w:t>&amp; Fine, A. (2020). Compliance with COVID-19 mitigation measures in the United States. </w:t>
      </w:r>
      <w:r w:rsidRPr="00B5410C">
        <w:rPr>
          <w:rFonts w:asciiTheme="majorBidi" w:hAnsiTheme="majorBidi" w:cstheme="majorBidi"/>
          <w:i/>
          <w:iCs/>
          <w:color w:val="222222"/>
          <w:shd w:val="clear" w:color="auto" w:fill="FFFFFF"/>
        </w:rPr>
        <w:t>Amsterdam law school research paper</w:t>
      </w:r>
      <w:r w:rsidRPr="00B5410C">
        <w:rPr>
          <w:rFonts w:asciiTheme="majorBidi" w:hAnsiTheme="majorBidi" w:cstheme="majorBidi"/>
          <w:color w:val="222222"/>
          <w:shd w:val="clear" w:color="auto" w:fill="FFFFFF"/>
        </w:rPr>
        <w:t>, (2020-21)</w:t>
      </w:r>
      <w:r w:rsidRPr="00B5410C">
        <w:rPr>
          <w:rFonts w:asciiTheme="majorBidi" w:hAnsiTheme="majorBidi" w:cstheme="majorBidi"/>
          <w:shd w:val="clear" w:color="auto" w:fill="FFFFFF"/>
        </w:rPr>
        <w:t>.</w:t>
      </w:r>
    </w:p>
  </w:footnote>
  <w:footnote w:id="46">
    <w:p w14:paraId="503CB355" w14:textId="4A44AD75" w:rsidR="00F707F9" w:rsidRPr="00637780" w:rsidRDefault="00F707F9" w:rsidP="00637780">
      <w:pPr>
        <w:spacing w:before="2" w:after="2" w:line="240" w:lineRule="auto"/>
        <w:contextualSpacing/>
        <w:jc w:val="both"/>
        <w:rPr>
          <w:rFonts w:asciiTheme="majorBidi" w:hAnsiTheme="majorBidi" w:cstheme="majorBidi"/>
          <w:rtl/>
        </w:rPr>
      </w:pPr>
      <w:r w:rsidRPr="003B26D0">
        <w:rPr>
          <w:rStyle w:val="FootnoteReference"/>
          <w:rFonts w:asciiTheme="majorBidi" w:hAnsiTheme="majorBidi" w:cstheme="majorBidi"/>
          <w:sz w:val="20"/>
          <w:szCs w:val="20"/>
        </w:rPr>
        <w:footnoteRef/>
      </w:r>
      <w:r w:rsidRPr="003B26D0">
        <w:rPr>
          <w:rFonts w:asciiTheme="majorBidi" w:hAnsiTheme="majorBidi" w:cstheme="majorBidi"/>
          <w:sz w:val="20"/>
          <w:szCs w:val="20"/>
        </w:rPr>
        <w:t xml:space="preserve"> </w:t>
      </w:r>
      <w:bookmarkStart w:id="17" w:name="_Hlk77868212"/>
      <w:r w:rsidRPr="003B26D0">
        <w:rPr>
          <w:rFonts w:asciiTheme="majorBidi" w:hAnsiTheme="majorBidi" w:cstheme="majorBidi"/>
          <w:sz w:val="20"/>
          <w:szCs w:val="20"/>
          <w:shd w:val="clear" w:color="auto" w:fill="FFFFFF"/>
        </w:rPr>
        <w:t>G</w:t>
      </w:r>
      <w:r w:rsidRPr="003B26D0">
        <w:rPr>
          <w:rFonts w:asciiTheme="majorBidi" w:hAnsiTheme="majorBidi" w:cstheme="majorBidi"/>
          <w:color w:val="222222"/>
          <w:sz w:val="20"/>
          <w:szCs w:val="20"/>
          <w:shd w:val="clear" w:color="auto" w:fill="FFFFFF"/>
        </w:rPr>
        <w:t>ächter, S., &amp; Schulz, J. F. (2016). Intrinsic honesty and the prevalence of rule violations across societies. </w:t>
      </w:r>
      <w:r w:rsidRPr="003B26D0">
        <w:rPr>
          <w:rFonts w:asciiTheme="majorBidi" w:hAnsiTheme="majorBidi" w:cstheme="majorBidi"/>
          <w:i/>
          <w:iCs/>
          <w:color w:val="222222"/>
          <w:sz w:val="20"/>
          <w:szCs w:val="20"/>
          <w:shd w:val="clear" w:color="auto" w:fill="FFFFFF"/>
        </w:rPr>
        <w:t>Nature</w:t>
      </w:r>
      <w:r w:rsidRPr="003B26D0">
        <w:rPr>
          <w:rFonts w:asciiTheme="majorBidi" w:hAnsiTheme="majorBidi" w:cstheme="majorBidi"/>
          <w:color w:val="222222"/>
          <w:sz w:val="20"/>
          <w:szCs w:val="20"/>
          <w:shd w:val="clear" w:color="auto" w:fill="FFFFFF"/>
        </w:rPr>
        <w:t>, </w:t>
      </w:r>
      <w:r w:rsidRPr="003B26D0">
        <w:rPr>
          <w:rFonts w:asciiTheme="majorBidi" w:hAnsiTheme="majorBidi" w:cstheme="majorBidi"/>
          <w:i/>
          <w:iCs/>
          <w:color w:val="222222"/>
          <w:sz w:val="20"/>
          <w:szCs w:val="20"/>
          <w:shd w:val="clear" w:color="auto" w:fill="FFFFFF"/>
        </w:rPr>
        <w:t>531</w:t>
      </w:r>
      <w:r w:rsidRPr="003B26D0">
        <w:rPr>
          <w:rFonts w:asciiTheme="majorBidi" w:hAnsiTheme="majorBidi" w:cstheme="majorBidi"/>
          <w:color w:val="222222"/>
          <w:sz w:val="20"/>
          <w:szCs w:val="20"/>
          <w:shd w:val="clear" w:color="auto" w:fill="FFFFFF"/>
        </w:rPr>
        <w:t>(7595), 496-499;</w:t>
      </w:r>
      <w:r w:rsidRPr="003B26D0">
        <w:rPr>
          <w:rFonts w:asciiTheme="majorBidi" w:hAnsiTheme="majorBidi" w:cstheme="majorBidi"/>
          <w:sz w:val="20"/>
          <w:szCs w:val="20"/>
          <w:shd w:val="clear" w:color="auto" w:fill="FFFFFF"/>
        </w:rPr>
        <w:t xml:space="preserve"> D</w:t>
      </w:r>
      <w:r w:rsidRPr="003B26D0">
        <w:rPr>
          <w:rFonts w:asciiTheme="majorBidi" w:hAnsiTheme="majorBidi" w:cstheme="majorBidi"/>
          <w:color w:val="222222"/>
          <w:sz w:val="20"/>
          <w:szCs w:val="20"/>
          <w:shd w:val="clear" w:color="auto" w:fill="FFFFFF"/>
        </w:rPr>
        <w:t>ai, Z., Galeotti, F., &amp; Villeval, M. C. (2018). Cheating in the lab predicts fraud in the field: An experiment in public transportation. </w:t>
      </w:r>
      <w:r w:rsidRPr="003B26D0">
        <w:rPr>
          <w:rFonts w:asciiTheme="majorBidi" w:hAnsiTheme="majorBidi" w:cstheme="majorBidi"/>
          <w:i/>
          <w:iCs/>
          <w:color w:val="222222"/>
          <w:sz w:val="20"/>
          <w:szCs w:val="20"/>
          <w:shd w:val="clear" w:color="auto" w:fill="FFFFFF"/>
        </w:rPr>
        <w:t>Management Science</w:t>
      </w:r>
      <w:r w:rsidRPr="003B26D0">
        <w:rPr>
          <w:rFonts w:asciiTheme="majorBidi" w:hAnsiTheme="majorBidi" w:cstheme="majorBidi"/>
          <w:color w:val="222222"/>
          <w:sz w:val="20"/>
          <w:szCs w:val="20"/>
          <w:shd w:val="clear" w:color="auto" w:fill="FFFFFF"/>
        </w:rPr>
        <w:t>, </w:t>
      </w:r>
      <w:r w:rsidRPr="003B26D0">
        <w:rPr>
          <w:rFonts w:asciiTheme="majorBidi" w:hAnsiTheme="majorBidi" w:cstheme="majorBidi"/>
          <w:i/>
          <w:iCs/>
          <w:color w:val="222222"/>
          <w:sz w:val="20"/>
          <w:szCs w:val="20"/>
          <w:shd w:val="clear" w:color="auto" w:fill="FFFFFF"/>
        </w:rPr>
        <w:t>64</w:t>
      </w:r>
      <w:r w:rsidRPr="003B26D0">
        <w:rPr>
          <w:rFonts w:asciiTheme="majorBidi" w:hAnsiTheme="majorBidi" w:cstheme="majorBidi"/>
          <w:color w:val="222222"/>
          <w:sz w:val="20"/>
          <w:szCs w:val="20"/>
          <w:shd w:val="clear" w:color="auto" w:fill="FFFFFF"/>
        </w:rPr>
        <w:t>(3), 1081-</w:t>
      </w:r>
      <w:r w:rsidRPr="003B26D0">
        <w:rPr>
          <w:rFonts w:asciiTheme="majorBidi" w:hAnsiTheme="majorBidi" w:cstheme="majorBidi"/>
          <w:color w:val="222222"/>
          <w:sz w:val="20"/>
          <w:szCs w:val="20"/>
          <w:shd w:val="clear" w:color="auto" w:fill="FFFFFF"/>
        </w:rPr>
        <w:t>1100</w:t>
      </w:r>
      <w:r w:rsidRPr="003B26D0" w:rsidDel="000E1285">
        <w:rPr>
          <w:rFonts w:asciiTheme="majorBidi" w:hAnsiTheme="majorBidi" w:cstheme="majorBidi"/>
          <w:sz w:val="20"/>
          <w:szCs w:val="20"/>
          <w:shd w:val="clear" w:color="auto" w:fill="FFFFFF"/>
        </w:rPr>
        <w:t xml:space="preserve"> </w:t>
      </w:r>
      <w:bookmarkEnd w:id="17"/>
      <w:r w:rsidRPr="003B26D0">
        <w:rPr>
          <w:rFonts w:asciiTheme="majorBidi" w:hAnsiTheme="majorBidi" w:cstheme="majorBidi"/>
          <w:sz w:val="20"/>
          <w:szCs w:val="20"/>
          <w:shd w:val="clear" w:color="auto" w:fill="FFFFFF"/>
        </w:rPr>
        <w:t>;</w:t>
      </w:r>
      <w:r w:rsidRPr="003B26D0">
        <w:rPr>
          <w:rFonts w:asciiTheme="majorBidi" w:hAnsiTheme="majorBidi" w:cstheme="majorBidi"/>
          <w:sz w:val="20"/>
          <w:szCs w:val="20"/>
        </w:rPr>
        <w:t xml:space="preserve"> L</w:t>
      </w:r>
      <w:r w:rsidRPr="003B26D0">
        <w:rPr>
          <w:rFonts w:asciiTheme="majorBidi" w:hAnsiTheme="majorBidi" w:cstheme="majorBidi"/>
          <w:color w:val="222222"/>
          <w:sz w:val="20"/>
          <w:szCs w:val="20"/>
          <w:shd w:val="clear" w:color="auto" w:fill="FFFFFF"/>
        </w:rPr>
        <w:t>uttmer, E. F., &amp; Singhal, M. (2014). Tax morale. </w:t>
      </w:r>
      <w:r w:rsidRPr="003B26D0">
        <w:rPr>
          <w:rFonts w:asciiTheme="majorBidi" w:hAnsiTheme="majorBidi" w:cstheme="majorBidi"/>
          <w:i/>
          <w:iCs/>
          <w:color w:val="222222"/>
          <w:sz w:val="20"/>
          <w:szCs w:val="20"/>
          <w:shd w:val="clear" w:color="auto" w:fill="FFFFFF"/>
        </w:rPr>
        <w:t>Journal of economic perspectives</w:t>
      </w:r>
      <w:r w:rsidRPr="003B26D0">
        <w:rPr>
          <w:rFonts w:asciiTheme="majorBidi" w:hAnsiTheme="majorBidi" w:cstheme="majorBidi"/>
          <w:color w:val="222222"/>
          <w:sz w:val="20"/>
          <w:szCs w:val="20"/>
          <w:shd w:val="clear" w:color="auto" w:fill="FFFFFF"/>
        </w:rPr>
        <w:t>, </w:t>
      </w:r>
      <w:r w:rsidRPr="003B26D0">
        <w:rPr>
          <w:rFonts w:asciiTheme="majorBidi" w:hAnsiTheme="majorBidi" w:cstheme="majorBidi"/>
          <w:i/>
          <w:iCs/>
          <w:color w:val="222222"/>
          <w:sz w:val="20"/>
          <w:szCs w:val="20"/>
          <w:shd w:val="clear" w:color="auto" w:fill="FFFFFF"/>
        </w:rPr>
        <w:t>28</w:t>
      </w:r>
      <w:r w:rsidRPr="003B26D0">
        <w:rPr>
          <w:rFonts w:asciiTheme="majorBidi" w:hAnsiTheme="majorBidi" w:cstheme="majorBidi"/>
          <w:color w:val="222222"/>
          <w:sz w:val="20"/>
          <w:szCs w:val="20"/>
          <w:shd w:val="clear" w:color="auto" w:fill="FFFFFF"/>
        </w:rPr>
        <w:t>(4), 149-68</w:t>
      </w:r>
      <w:r w:rsidRPr="003B26D0" w:rsidDel="003E3BBC">
        <w:rPr>
          <w:rFonts w:asciiTheme="majorBidi" w:hAnsiTheme="majorBidi" w:cstheme="majorBidi"/>
          <w:sz w:val="20"/>
          <w:szCs w:val="20"/>
        </w:rPr>
        <w:t xml:space="preserve"> </w:t>
      </w:r>
      <w:r w:rsidRPr="003B26D0">
        <w:rPr>
          <w:rFonts w:asciiTheme="majorBidi" w:hAnsiTheme="majorBidi" w:cstheme="majorBidi"/>
          <w:sz w:val="20"/>
          <w:szCs w:val="20"/>
        </w:rPr>
        <w:t xml:space="preserve"> ;T</w:t>
      </w:r>
      <w:r w:rsidRPr="003B26D0">
        <w:rPr>
          <w:rFonts w:asciiTheme="majorBidi" w:hAnsiTheme="majorBidi" w:cstheme="majorBidi"/>
          <w:color w:val="222222"/>
          <w:sz w:val="20"/>
          <w:szCs w:val="20"/>
          <w:shd w:val="clear" w:color="auto" w:fill="FFFFFF"/>
        </w:rPr>
        <w:t>yler, T. R., &amp; Blader, S. L. (2005). Can businesses effectively regulate employee conduct? The antecedents of rule following in work settings. </w:t>
      </w:r>
      <w:r w:rsidRPr="003B26D0">
        <w:rPr>
          <w:rFonts w:asciiTheme="majorBidi" w:hAnsiTheme="majorBidi" w:cstheme="majorBidi"/>
          <w:i/>
          <w:iCs/>
          <w:color w:val="222222"/>
          <w:sz w:val="20"/>
          <w:szCs w:val="20"/>
          <w:shd w:val="clear" w:color="auto" w:fill="FFFFFF"/>
        </w:rPr>
        <w:t>Academy of Management Journal</w:t>
      </w:r>
      <w:r w:rsidRPr="003B26D0">
        <w:rPr>
          <w:rFonts w:asciiTheme="majorBidi" w:hAnsiTheme="majorBidi" w:cstheme="majorBidi"/>
          <w:color w:val="222222"/>
          <w:sz w:val="20"/>
          <w:szCs w:val="20"/>
          <w:shd w:val="clear" w:color="auto" w:fill="FFFFFF"/>
        </w:rPr>
        <w:t>, </w:t>
      </w:r>
      <w:r w:rsidRPr="003B26D0">
        <w:rPr>
          <w:rFonts w:asciiTheme="majorBidi" w:hAnsiTheme="majorBidi" w:cstheme="majorBidi"/>
          <w:i/>
          <w:iCs/>
          <w:color w:val="222222"/>
          <w:sz w:val="20"/>
          <w:szCs w:val="20"/>
          <w:shd w:val="clear" w:color="auto" w:fill="FFFFFF"/>
        </w:rPr>
        <w:t>48</w:t>
      </w:r>
      <w:r w:rsidRPr="003B26D0">
        <w:rPr>
          <w:rFonts w:asciiTheme="majorBidi" w:hAnsiTheme="majorBidi" w:cstheme="majorBidi"/>
          <w:color w:val="222222"/>
          <w:sz w:val="20"/>
          <w:szCs w:val="20"/>
          <w:shd w:val="clear" w:color="auto" w:fill="FFFFFF"/>
        </w:rPr>
        <w:t>(6), 1143-1158.</w:t>
      </w:r>
      <w:r w:rsidRPr="003B26D0" w:rsidDel="003E3BBC">
        <w:rPr>
          <w:rFonts w:asciiTheme="majorBidi" w:eastAsia="Times New Roman" w:hAnsiTheme="majorBidi" w:cstheme="majorBidi"/>
          <w:sz w:val="20"/>
          <w:szCs w:val="20"/>
        </w:rPr>
        <w:t xml:space="preserve"> </w:t>
      </w:r>
    </w:p>
  </w:footnote>
  <w:footnote w:id="47">
    <w:p w14:paraId="43B89879" w14:textId="77777777" w:rsidR="00F707F9" w:rsidRPr="00644B88" w:rsidRDefault="00F707F9" w:rsidP="00E3468E">
      <w:pPr>
        <w:pStyle w:val="FootnoteText"/>
        <w:contextualSpacing/>
        <w:jc w:val="both"/>
        <w:rPr>
          <w:rFonts w:asciiTheme="majorBidi" w:hAnsiTheme="majorBidi" w:cstheme="majorBidi"/>
          <w:shd w:val="clear" w:color="auto" w:fill="FFFFFF"/>
        </w:rPr>
      </w:pPr>
      <w:r w:rsidRPr="00B5410C">
        <w:rPr>
          <w:rFonts w:asciiTheme="majorBidi" w:hAnsiTheme="majorBidi" w:cstheme="majorBidi"/>
          <w:vertAlign w:val="superscript"/>
        </w:rPr>
        <w:footnoteRef/>
      </w:r>
      <w:r w:rsidRPr="00B5410C">
        <w:rPr>
          <w:rFonts w:asciiTheme="majorBidi" w:hAnsiTheme="majorBidi" w:cstheme="majorBidi"/>
          <w:shd w:val="clear" w:color="auto" w:fill="FFFFFF"/>
        </w:rPr>
        <w:t xml:space="preserve"> C</w:t>
      </w:r>
      <w:r w:rsidRPr="00B5410C">
        <w:rPr>
          <w:rFonts w:asciiTheme="majorBidi" w:hAnsiTheme="majorBidi" w:cstheme="majorBidi"/>
          <w:color w:val="222222"/>
          <w:shd w:val="clear" w:color="auto" w:fill="FFFFFF"/>
        </w:rPr>
        <w:t>ooter, R. (2000). Do good laws make good citizens? An economic analysis of internalized norms. </w:t>
      </w:r>
      <w:r w:rsidRPr="00B5410C">
        <w:rPr>
          <w:rFonts w:asciiTheme="majorBidi" w:hAnsiTheme="majorBidi" w:cstheme="majorBidi"/>
          <w:i/>
          <w:iCs/>
          <w:color w:val="222222"/>
          <w:shd w:val="clear" w:color="auto" w:fill="FFFFFF"/>
        </w:rPr>
        <w:t>Virginia Law Review</w:t>
      </w:r>
      <w:r w:rsidRPr="00B5410C">
        <w:rPr>
          <w:rFonts w:asciiTheme="majorBidi" w:hAnsiTheme="majorBidi" w:cstheme="majorBidi"/>
          <w:color w:val="222222"/>
          <w:shd w:val="clear" w:color="auto" w:fill="FFFFFF"/>
        </w:rPr>
        <w:t>, 1577-</w:t>
      </w:r>
      <w:r w:rsidRPr="00B5410C">
        <w:rPr>
          <w:rFonts w:asciiTheme="majorBidi" w:hAnsiTheme="majorBidi" w:cstheme="majorBidi"/>
          <w:color w:val="222222"/>
          <w:shd w:val="clear" w:color="auto" w:fill="FFFFFF"/>
        </w:rPr>
        <w:t>1601;</w:t>
      </w:r>
      <w:r w:rsidRPr="00B5410C">
        <w:rPr>
          <w:rFonts w:asciiTheme="majorBidi" w:hAnsiTheme="majorBidi" w:cstheme="majorBidi"/>
          <w:shd w:val="clear" w:color="auto" w:fill="FFFFFF"/>
        </w:rPr>
        <w:t>.</w:t>
      </w:r>
      <w:r w:rsidRPr="00B5410C">
        <w:rPr>
          <w:rFonts w:asciiTheme="majorBidi" w:hAnsiTheme="majorBidi" w:cstheme="majorBidi"/>
          <w:color w:val="505050"/>
          <w:shd w:val="clear" w:color="auto" w:fill="FFFFFF"/>
        </w:rPr>
        <w:t xml:space="preserve"> P</w:t>
      </w:r>
      <w:r w:rsidRPr="00B5410C">
        <w:rPr>
          <w:rFonts w:asciiTheme="majorBidi" w:hAnsiTheme="majorBidi" w:cstheme="majorBidi"/>
          <w:color w:val="222222"/>
          <w:shd w:val="clear" w:color="auto" w:fill="FFFFFF"/>
        </w:rPr>
        <w:t>orat,</w:t>
      </w:r>
      <w:r w:rsidRPr="00644B88">
        <w:rPr>
          <w:rFonts w:asciiTheme="majorBidi" w:hAnsiTheme="majorBidi" w:cstheme="majorBidi"/>
          <w:color w:val="222222"/>
          <w:shd w:val="clear" w:color="auto" w:fill="FFFFFF"/>
        </w:rPr>
        <w:t xml:space="preserve"> A. (2019). Changing People's Preferences by the State and the Law. </w:t>
      </w:r>
      <w:r w:rsidRPr="00644B88">
        <w:rPr>
          <w:rFonts w:asciiTheme="majorBidi" w:hAnsiTheme="majorBidi" w:cstheme="majorBidi"/>
          <w:i/>
          <w:iCs/>
          <w:color w:val="222222"/>
          <w:shd w:val="clear" w:color="auto" w:fill="FFFFFF"/>
        </w:rPr>
        <w:t>Theoretical Inquiries in Law.</w:t>
      </w:r>
      <w:r w:rsidRPr="00644B88" w:rsidDel="003E3BBC">
        <w:rPr>
          <w:rFonts w:asciiTheme="majorBidi" w:hAnsiTheme="majorBidi" w:cstheme="majorBidi"/>
          <w:shd w:val="clear" w:color="auto" w:fill="FFFFFF"/>
        </w:rPr>
        <w:t xml:space="preserve"> </w:t>
      </w:r>
      <w:r w:rsidRPr="00644B88">
        <w:rPr>
          <w:rFonts w:asciiTheme="majorBidi" w:hAnsiTheme="majorBidi" w:cstheme="majorBidi"/>
          <w:shd w:val="clear" w:color="auto" w:fill="FFFFFF"/>
        </w:rPr>
        <w:t>F</w:t>
      </w:r>
      <w:r w:rsidRPr="00644B88">
        <w:rPr>
          <w:rFonts w:asciiTheme="majorBidi" w:hAnsiTheme="majorBidi" w:cstheme="majorBidi"/>
          <w:color w:val="222222"/>
          <w:shd w:val="clear" w:color="auto" w:fill="FFFFFF"/>
        </w:rPr>
        <w:t>eldman, Y., &amp; Kaplan, Y. (2021). Ethical Blind Spots &amp; Regulatory Traps: On Distorted Regulatory Incentives, Behavioral Ethics &amp; Legal Design. </w:t>
      </w:r>
      <w:r w:rsidRPr="00644B88">
        <w:rPr>
          <w:rFonts w:asciiTheme="majorBidi" w:hAnsiTheme="majorBidi" w:cstheme="majorBidi"/>
          <w:i/>
          <w:iCs/>
          <w:color w:val="222222"/>
          <w:shd w:val="clear" w:color="auto" w:fill="FFFFFF"/>
        </w:rPr>
        <w:t>Law and Economics of Regulation</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11</w:t>
      </w:r>
      <w:r w:rsidRPr="00644B88">
        <w:rPr>
          <w:rFonts w:asciiTheme="majorBidi" w:hAnsiTheme="majorBidi" w:cstheme="majorBidi"/>
          <w:color w:val="222222"/>
          <w:shd w:val="clear" w:color="auto" w:fill="FFFFFF"/>
        </w:rPr>
        <w:t>, 37.</w:t>
      </w:r>
    </w:p>
  </w:footnote>
  <w:footnote w:id="48">
    <w:p w14:paraId="1BBE3692"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lang w:val="de-DE"/>
        </w:rPr>
        <w:t xml:space="preserve"> F</w:t>
      </w:r>
      <w:r w:rsidRPr="00644B88">
        <w:rPr>
          <w:rFonts w:asciiTheme="majorBidi" w:hAnsiTheme="majorBidi" w:cstheme="majorBidi"/>
          <w:color w:val="222222"/>
          <w:shd w:val="clear" w:color="auto" w:fill="FFFFFF"/>
        </w:rPr>
        <w:t>rey, B. S., &amp; Oberholzer-Gee, F. (1997). The cost of price incentives: An empirical analysis of motivation crowding-out. </w:t>
      </w:r>
      <w:r w:rsidRPr="00644B88">
        <w:rPr>
          <w:rFonts w:asciiTheme="majorBidi" w:hAnsiTheme="majorBidi" w:cstheme="majorBidi"/>
          <w:i/>
          <w:iCs/>
          <w:color w:val="222222"/>
          <w:shd w:val="clear" w:color="auto" w:fill="FFFFFF"/>
        </w:rPr>
        <w:t>The American economic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87</w:t>
      </w:r>
      <w:r w:rsidRPr="00644B88">
        <w:rPr>
          <w:rFonts w:asciiTheme="majorBidi" w:hAnsiTheme="majorBidi" w:cstheme="majorBidi"/>
          <w:color w:val="222222"/>
          <w:shd w:val="clear" w:color="auto" w:fill="FFFFFF"/>
        </w:rPr>
        <w:t>(4), 746-755</w:t>
      </w:r>
      <w:r w:rsidRPr="00644B88">
        <w:rPr>
          <w:rFonts w:asciiTheme="majorBidi" w:hAnsiTheme="majorBidi" w:cstheme="majorBidi"/>
          <w:color w:val="222222"/>
          <w:shd w:val="clear" w:color="auto" w:fill="FFFFFF"/>
        </w:rPr>
        <w:t xml:space="preserve">; </w:t>
      </w:r>
      <w:r w:rsidRPr="00644B88">
        <w:rPr>
          <w:rFonts w:asciiTheme="majorBidi" w:hAnsiTheme="majorBidi" w:cstheme="majorBidi"/>
          <w:shd w:val="clear" w:color="auto" w:fill="FFFFFF"/>
        </w:rPr>
        <w:t>;</w:t>
      </w:r>
      <w:r w:rsidRPr="00644B88">
        <w:rPr>
          <w:rFonts w:asciiTheme="majorBidi" w:hAnsiTheme="majorBidi" w:cstheme="majorBidi"/>
        </w:rPr>
        <w:t xml:space="preserve"> F</w:t>
      </w:r>
      <w:r w:rsidRPr="00644B88">
        <w:rPr>
          <w:rFonts w:asciiTheme="majorBidi" w:hAnsiTheme="majorBidi" w:cstheme="majorBidi"/>
          <w:color w:val="222222"/>
          <w:shd w:val="clear" w:color="auto" w:fill="FFFFFF"/>
        </w:rPr>
        <w:t>eldman, Y. (2011). The complexity of disentangling intrinsic and extrinsic compliance motivations: Theoretical and empirical insights from the behavioral analysis of law. </w:t>
      </w:r>
      <w:r w:rsidRPr="00644B88">
        <w:rPr>
          <w:rFonts w:asciiTheme="majorBidi" w:hAnsiTheme="majorBidi" w:cstheme="majorBidi"/>
          <w:i/>
          <w:iCs/>
          <w:color w:val="222222"/>
          <w:shd w:val="clear" w:color="auto" w:fill="FFFFFF"/>
        </w:rPr>
        <w:t>Wash. UJL &amp; Pol'y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35</w:t>
      </w:r>
      <w:r w:rsidRPr="00644B88">
        <w:rPr>
          <w:rFonts w:asciiTheme="majorBidi" w:hAnsiTheme="majorBidi" w:cstheme="majorBidi"/>
          <w:color w:val="222222"/>
          <w:shd w:val="clear" w:color="auto" w:fill="FFFFFF"/>
        </w:rPr>
        <w:t>, 11.</w:t>
      </w:r>
    </w:p>
  </w:footnote>
  <w:footnote w:id="49">
    <w:p w14:paraId="19D97188"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Winter, Søren C., and Peter J. May. "Motivation for compliance with environmental regulations." </w:t>
      </w:r>
      <w:r w:rsidRPr="00637780">
        <w:rPr>
          <w:rFonts w:asciiTheme="majorBidi" w:hAnsiTheme="majorBidi" w:cstheme="majorBidi"/>
          <w:i/>
          <w:iCs/>
          <w:shd w:val="clear" w:color="auto" w:fill="FFFFFF"/>
        </w:rPr>
        <w:t>Journal of Policy Analysis and Management: The Journal of the Association for Public Policy Analysis and Management</w:t>
      </w:r>
      <w:r w:rsidRPr="00637780">
        <w:rPr>
          <w:rFonts w:asciiTheme="majorBidi" w:hAnsiTheme="majorBidi" w:cstheme="majorBidi"/>
          <w:shd w:val="clear" w:color="auto" w:fill="FFFFFF"/>
        </w:rPr>
        <w:t> 20, no. 4 (2001): 675-698.</w:t>
      </w:r>
    </w:p>
  </w:footnote>
  <w:footnote w:id="50">
    <w:p w14:paraId="45E52D59"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Winter, Søren C., and Peter J. May. "Motivation for compliance with environmental regulations." </w:t>
      </w:r>
      <w:r w:rsidRPr="00637780">
        <w:rPr>
          <w:rFonts w:asciiTheme="majorBidi" w:hAnsiTheme="majorBidi" w:cstheme="majorBidi"/>
          <w:i/>
          <w:iCs/>
          <w:shd w:val="clear" w:color="auto" w:fill="FFFFFF"/>
        </w:rPr>
        <w:t>Journal of Policy Analysis and Management: The Journal of the Association for Public Policy Analysis and Management</w:t>
      </w:r>
      <w:r w:rsidRPr="00637780">
        <w:rPr>
          <w:rFonts w:asciiTheme="majorBidi" w:hAnsiTheme="majorBidi" w:cstheme="majorBidi"/>
          <w:shd w:val="clear" w:color="auto" w:fill="FFFFFF"/>
        </w:rPr>
        <w:t> 20, no. 4 (2001): 675-698.</w:t>
      </w:r>
    </w:p>
  </w:footnote>
  <w:footnote w:id="51">
    <w:p w14:paraId="040978FE"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Cooter, Robert. "Do good laws make good citizens? An economic analysis of internalized norms." </w:t>
      </w:r>
      <w:r w:rsidRPr="00637780">
        <w:rPr>
          <w:rFonts w:asciiTheme="majorBidi" w:hAnsiTheme="majorBidi" w:cstheme="majorBidi"/>
          <w:i/>
          <w:iCs/>
          <w:shd w:val="clear" w:color="auto" w:fill="FFFFFF"/>
        </w:rPr>
        <w:t>Virginia Law Review</w:t>
      </w:r>
      <w:r w:rsidRPr="00637780">
        <w:rPr>
          <w:rFonts w:asciiTheme="majorBidi" w:hAnsiTheme="majorBidi" w:cstheme="majorBidi"/>
          <w:shd w:val="clear" w:color="auto" w:fill="FFFFFF"/>
        </w:rPr>
        <w:t> (2000): 1577-1601.</w:t>
      </w:r>
    </w:p>
  </w:footnote>
  <w:footnote w:id="52">
    <w:p w14:paraId="7A734A96"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tl/>
        </w:rPr>
        <w:t xml:space="preserve"> </w:t>
      </w:r>
      <w:r w:rsidRPr="00637780">
        <w:rPr>
          <w:rFonts w:asciiTheme="majorBidi" w:hAnsiTheme="majorBidi" w:cstheme="majorBidi"/>
          <w:shd w:val="clear" w:color="auto" w:fill="FFFFFF"/>
        </w:rPr>
        <w:t>Gunningham, Neil, Robert A. Kagan, and Dorothy Thornton. "Social license and environmental protection: why businesses go beyond compliance." </w:t>
      </w:r>
      <w:r w:rsidRPr="00637780">
        <w:rPr>
          <w:rFonts w:asciiTheme="majorBidi" w:hAnsiTheme="majorBidi" w:cstheme="majorBidi"/>
          <w:i/>
          <w:iCs/>
          <w:shd w:val="clear" w:color="auto" w:fill="FFFFFF"/>
        </w:rPr>
        <w:t>Law &amp; Social Inquiry</w:t>
      </w:r>
      <w:r w:rsidRPr="00637780">
        <w:rPr>
          <w:rFonts w:asciiTheme="majorBidi" w:hAnsiTheme="majorBidi" w:cstheme="majorBidi"/>
          <w:shd w:val="clear" w:color="auto" w:fill="FFFFFF"/>
        </w:rPr>
        <w:t> 29, no. 2 (2004): 307-341.</w:t>
      </w:r>
    </w:p>
  </w:footnote>
  <w:footnote w:id="53">
    <w:p w14:paraId="3401640A"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Thomas, Craig W. "Maintaining and restoring public trust in government agencies and their employees." </w:t>
      </w:r>
      <w:r w:rsidRPr="00637780">
        <w:rPr>
          <w:rFonts w:asciiTheme="majorBidi" w:hAnsiTheme="majorBidi" w:cstheme="majorBidi"/>
          <w:i/>
          <w:iCs/>
          <w:shd w:val="clear" w:color="auto" w:fill="FFFFFF"/>
        </w:rPr>
        <w:t>Administration &amp; society</w:t>
      </w:r>
      <w:r w:rsidRPr="00637780">
        <w:rPr>
          <w:rFonts w:asciiTheme="majorBidi" w:hAnsiTheme="majorBidi" w:cstheme="majorBidi"/>
          <w:shd w:val="clear" w:color="auto" w:fill="FFFFFF"/>
        </w:rPr>
        <w:t> 30, no. 2 (1998): 166-193.</w:t>
      </w:r>
    </w:p>
  </w:footnote>
  <w:footnote w:id="54">
    <w:p w14:paraId="34679DBD"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Frey, Bruno S. "Does monitoring increase work effort? The rivalry with trust and loyalty." </w:t>
      </w:r>
      <w:r w:rsidRPr="00637780">
        <w:rPr>
          <w:rFonts w:asciiTheme="majorBidi" w:hAnsiTheme="majorBidi" w:cstheme="majorBidi"/>
          <w:i/>
          <w:iCs/>
          <w:shd w:val="clear" w:color="auto" w:fill="FFFFFF"/>
        </w:rPr>
        <w:t>Economic Inquiry</w:t>
      </w:r>
      <w:r w:rsidRPr="00637780">
        <w:rPr>
          <w:rFonts w:asciiTheme="majorBidi" w:hAnsiTheme="majorBidi" w:cstheme="majorBidi"/>
          <w:shd w:val="clear" w:color="auto" w:fill="FFFFFF"/>
        </w:rPr>
        <w:t> 31, no. 4 (1993): 663-670.</w:t>
      </w:r>
    </w:p>
  </w:footnote>
  <w:footnote w:id="55">
    <w:p w14:paraId="061B27CB"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and Henry E. Smith. 2014. "Behavioral Equity". </w:t>
      </w:r>
      <w:r w:rsidRPr="00637780">
        <w:rPr>
          <w:rFonts w:asciiTheme="majorBidi" w:hAnsiTheme="majorBidi" w:cstheme="majorBidi"/>
          <w:i/>
          <w:iCs/>
          <w:shd w:val="clear" w:color="auto" w:fill="FFFFFF"/>
        </w:rPr>
        <w:t>Journal of Institutional and Theoretical Economics (JITE) / Zeitschrift Für Die Gesamte Staatswissenschaft. 170 (1): 137-159.</w:t>
      </w:r>
      <w:r w:rsidRPr="00637780" w:rsidDel="00173135">
        <w:rPr>
          <w:rFonts w:asciiTheme="majorBidi" w:hAnsiTheme="majorBidi" w:cstheme="majorBidi"/>
        </w:rPr>
        <w:t xml:space="preserve"> </w:t>
      </w:r>
    </w:p>
  </w:footnote>
  <w:footnote w:id="56">
    <w:p w14:paraId="5AD238D6"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E.g.</w:t>
      </w:r>
      <w:r w:rsidRPr="00637780">
        <w:rPr>
          <w:rFonts w:asciiTheme="majorBidi" w:hAnsiTheme="majorBidi" w:cstheme="majorBidi"/>
          <w:shd w:val="clear" w:color="auto" w:fill="FFFFFF"/>
        </w:rPr>
        <w:t xml:space="preserve"> Van Rooij, Benjamin, Anne Leonore de Bruijn, Chris Reinders Folmer, Emmeke Kooistra, Malouke Esra Kuiper, Megan Brownlee, Elke Olthuis, and Adam Fine. "Compliance with covid-19 mitigation measures in the </w:t>
      </w:r>
      <w:r w:rsidRPr="00637780">
        <w:rPr>
          <w:rFonts w:asciiTheme="majorBidi" w:hAnsiTheme="majorBidi" w:cstheme="majorBidi"/>
          <w:shd w:val="clear" w:color="auto" w:fill="FFFFFF"/>
        </w:rPr>
        <w:t>united states." </w:t>
      </w:r>
      <w:r w:rsidRPr="00637780">
        <w:rPr>
          <w:rFonts w:asciiTheme="majorBidi" w:hAnsiTheme="majorBidi" w:cstheme="majorBidi"/>
          <w:i/>
          <w:iCs/>
          <w:shd w:val="clear" w:color="auto" w:fill="FFFFFF"/>
        </w:rPr>
        <w:t>Available at SSRN 3582626</w:t>
      </w:r>
      <w:r w:rsidRPr="00637780">
        <w:rPr>
          <w:rFonts w:asciiTheme="majorBidi" w:hAnsiTheme="majorBidi" w:cstheme="majorBidi"/>
          <w:shd w:val="clear" w:color="auto" w:fill="FFFFFF"/>
        </w:rPr>
        <w:t> (2020).</w:t>
      </w:r>
    </w:p>
  </w:footnote>
  <w:footnote w:id="57">
    <w:p w14:paraId="7373F1FE" w14:textId="4C5F6E88" w:rsidR="00F707F9" w:rsidRPr="00644B88" w:rsidRDefault="00F707F9" w:rsidP="00637780">
      <w:pPr>
        <w:spacing w:before="2" w:after="2"/>
        <w:jc w:val="both"/>
        <w:rPr>
          <w:rFonts w:asciiTheme="majorBidi" w:hAnsiTheme="majorBidi" w:cstheme="majorBidi"/>
          <w:rtl/>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w:t>
      </w:r>
      <w:r w:rsidRPr="00637780">
        <w:rPr>
          <w:rFonts w:asciiTheme="majorBidi" w:hAnsiTheme="majorBidi" w:cstheme="majorBidi"/>
          <w:sz w:val="20"/>
          <w:szCs w:val="20"/>
          <w:shd w:val="clear" w:color="auto" w:fill="FFFFFF"/>
        </w:rPr>
        <w:t>Gächter, Simon, and Jonathan F. Schulz. 2016. "Intrinsic honesty and the prevalence of rule violations across societies". </w:t>
      </w:r>
      <w:r w:rsidRPr="00637780">
        <w:rPr>
          <w:rFonts w:asciiTheme="majorBidi" w:hAnsiTheme="majorBidi" w:cstheme="majorBidi"/>
          <w:i/>
          <w:iCs/>
          <w:sz w:val="20"/>
          <w:szCs w:val="20"/>
          <w:shd w:val="clear" w:color="auto" w:fill="FFFFFF"/>
        </w:rPr>
        <w:t>Nature. </w:t>
      </w:r>
      <w:r w:rsidRPr="00637780">
        <w:rPr>
          <w:rFonts w:asciiTheme="majorBidi" w:hAnsiTheme="majorBidi" w:cstheme="majorBidi"/>
          <w:sz w:val="20"/>
          <w:szCs w:val="20"/>
          <w:shd w:val="clear" w:color="auto" w:fill="FFFFFF"/>
        </w:rPr>
        <w:t>531 (7595): 496-</w:t>
      </w:r>
      <w:r w:rsidRPr="00637780">
        <w:rPr>
          <w:rFonts w:asciiTheme="majorBidi" w:hAnsiTheme="majorBidi" w:cstheme="majorBidi"/>
          <w:sz w:val="20"/>
          <w:szCs w:val="20"/>
          <w:shd w:val="clear" w:color="auto" w:fill="FFFFFF"/>
        </w:rPr>
        <w:t>499</w:t>
      </w:r>
      <w:r w:rsidR="00BE3D02" w:rsidRPr="00637780">
        <w:rPr>
          <w:rFonts w:asciiTheme="majorBidi" w:hAnsiTheme="majorBidi" w:cstheme="majorBidi"/>
          <w:sz w:val="20"/>
          <w:szCs w:val="20"/>
          <w:shd w:val="clear" w:color="auto" w:fill="FFFFFF"/>
        </w:rPr>
        <w:t>;</w:t>
      </w:r>
      <w:r w:rsidRPr="00637780">
        <w:rPr>
          <w:rFonts w:asciiTheme="majorBidi" w:hAnsiTheme="majorBidi" w:cstheme="majorBidi"/>
          <w:sz w:val="20"/>
          <w:szCs w:val="20"/>
          <w:shd w:val="clear" w:color="auto" w:fill="FFFFFF"/>
        </w:rPr>
        <w:t>Dai, Zhixin, Fabio Galeotti, and Marie Claire Villeval. "Cheating in the lab predicts fraud in the field: An experiment in public transportation." </w:t>
      </w:r>
      <w:r w:rsidRPr="00637780">
        <w:rPr>
          <w:rFonts w:asciiTheme="majorBidi" w:hAnsiTheme="majorBidi" w:cstheme="majorBidi"/>
          <w:i/>
          <w:iCs/>
          <w:sz w:val="20"/>
          <w:szCs w:val="20"/>
          <w:shd w:val="clear" w:color="auto" w:fill="FFFFFF"/>
        </w:rPr>
        <w:t>Management Science</w:t>
      </w:r>
      <w:r w:rsidRPr="00637780">
        <w:rPr>
          <w:rFonts w:asciiTheme="majorBidi" w:hAnsiTheme="majorBidi" w:cstheme="majorBidi"/>
          <w:sz w:val="20"/>
          <w:szCs w:val="20"/>
          <w:shd w:val="clear" w:color="auto" w:fill="FFFFFF"/>
        </w:rPr>
        <w:t> 64, no. 3 (2018): 1081-1100. See also;</w:t>
      </w:r>
      <w:r w:rsidRPr="00637780">
        <w:rPr>
          <w:rFonts w:asciiTheme="majorBidi" w:hAnsiTheme="majorBidi" w:cstheme="majorBidi"/>
          <w:sz w:val="20"/>
          <w:szCs w:val="20"/>
        </w:rPr>
        <w:t xml:space="preserve"> Luttmer, Erzo F. P., and Monica Singhal. 2014. “Tax Morale.” Journal of Economic Perspectives 28 (4): 149–68. </w:t>
      </w:r>
      <w:r w:rsidR="00BE3D02" w:rsidRPr="00637780">
        <w:rPr>
          <w:rFonts w:asciiTheme="majorBidi" w:hAnsiTheme="majorBidi" w:cstheme="majorBidi"/>
          <w:sz w:val="20"/>
          <w:szCs w:val="20"/>
        </w:rPr>
        <w:t>I</w:t>
      </w:r>
      <w:r w:rsidRPr="00637780">
        <w:rPr>
          <w:rFonts w:asciiTheme="majorBidi" w:hAnsiTheme="majorBidi" w:cstheme="majorBidi"/>
          <w:sz w:val="20"/>
          <w:szCs w:val="20"/>
        </w:rPr>
        <w:t xml:space="preserve">ntrinsic motivation can explain employees’ propensity to follow organizational rules.. See </w:t>
      </w:r>
      <w:r w:rsidRPr="00637780">
        <w:rPr>
          <w:rFonts w:asciiTheme="majorBidi" w:eastAsia="Times New Roman" w:hAnsiTheme="majorBidi" w:cstheme="majorBidi"/>
          <w:sz w:val="20"/>
          <w:szCs w:val="20"/>
        </w:rPr>
        <w:t>Tyler, Tom R., and Steven L. Blader. 2005. "Can Businesses Effectively Regulate Employee Conduct? The Antecedents of Rule following in Work Settings". </w:t>
      </w:r>
      <w:r w:rsidRPr="00637780">
        <w:rPr>
          <w:rFonts w:asciiTheme="majorBidi" w:eastAsia="Times New Roman" w:hAnsiTheme="majorBidi" w:cstheme="majorBidi"/>
          <w:i/>
          <w:iCs/>
          <w:sz w:val="20"/>
          <w:szCs w:val="20"/>
        </w:rPr>
        <w:t>The Academy of Management Journal. </w:t>
      </w:r>
      <w:r w:rsidRPr="00637780">
        <w:rPr>
          <w:rFonts w:asciiTheme="majorBidi" w:eastAsia="Times New Roman" w:hAnsiTheme="majorBidi" w:cstheme="majorBidi"/>
          <w:sz w:val="20"/>
          <w:szCs w:val="20"/>
        </w:rPr>
        <w:t>48 (6): 1143-1158</w:t>
      </w:r>
      <w:r w:rsidRPr="00644B88">
        <w:rPr>
          <w:rFonts w:asciiTheme="majorBidi" w:hAnsiTheme="majorBidi" w:cstheme="majorBidi"/>
          <w:sz w:val="20"/>
          <w:szCs w:val="20"/>
        </w:rPr>
        <w:t xml:space="preserve">; </w:t>
      </w:r>
      <w:r w:rsidRPr="00644B88">
        <w:rPr>
          <w:rFonts w:asciiTheme="majorBidi" w:hAnsiTheme="majorBidi" w:cstheme="majorBidi"/>
          <w:sz w:val="20"/>
          <w:szCs w:val="20"/>
          <w:shd w:val="clear" w:color="auto" w:fill="FFFFFF"/>
        </w:rPr>
        <w:t>Jeon S., Son I., and Han J. 2020. "Exploring the role of intrinsic motivation in ISSP compliance: enterprise digital rights management system case". </w:t>
      </w:r>
      <w:r w:rsidRPr="00644B88">
        <w:rPr>
          <w:rFonts w:asciiTheme="majorBidi" w:hAnsiTheme="majorBidi" w:cstheme="majorBidi"/>
          <w:i/>
          <w:iCs/>
          <w:sz w:val="20"/>
          <w:szCs w:val="20"/>
          <w:shd w:val="clear" w:color="auto" w:fill="FFFFFF"/>
        </w:rPr>
        <w:t>Information Technology and People.</w:t>
      </w:r>
    </w:p>
  </w:footnote>
  <w:footnote w:id="58">
    <w:p w14:paraId="421787AC" w14:textId="61E69D24" w:rsidR="00F707F9" w:rsidRPr="00637780" w:rsidRDefault="00F707F9" w:rsidP="00644B88">
      <w:pPr>
        <w:pStyle w:val="FootnoteText"/>
        <w:jc w:val="both"/>
        <w:rPr>
          <w:rFonts w:asciiTheme="majorBidi" w:hAnsiTheme="majorBidi" w:cstheme="majorBidi"/>
          <w:shd w:val="clear" w:color="auto" w:fill="FFFFFF"/>
        </w:rPr>
      </w:pPr>
      <w:r w:rsidRPr="00637780">
        <w:rPr>
          <w:rFonts w:asciiTheme="majorBidi" w:hAnsiTheme="majorBidi" w:cstheme="majorBidi"/>
          <w:vertAlign w:val="superscript"/>
        </w:rPr>
        <w:footnoteRef/>
      </w:r>
      <w:r w:rsidR="00BE3D02" w:rsidRPr="00637780">
        <w:rPr>
          <w:rFonts w:asciiTheme="majorBidi" w:hAnsiTheme="majorBidi" w:cstheme="majorBidi"/>
          <w:shd w:val="clear" w:color="auto" w:fill="FFFFFF"/>
        </w:rPr>
        <w:t xml:space="preserve"> </w:t>
      </w:r>
      <w:r w:rsidRPr="00637780">
        <w:rPr>
          <w:rFonts w:asciiTheme="majorBidi" w:hAnsiTheme="majorBidi" w:cstheme="majorBidi"/>
          <w:shd w:val="clear" w:color="auto" w:fill="FFFFFF"/>
        </w:rPr>
        <w:t>Cooter, Robert. "Do good laws make good citizens? An economic analysis of internalized norms." </w:t>
      </w:r>
      <w:r w:rsidRPr="00637780">
        <w:rPr>
          <w:rFonts w:asciiTheme="majorBidi" w:hAnsiTheme="majorBidi" w:cstheme="majorBidi"/>
          <w:i/>
          <w:iCs/>
          <w:shd w:val="clear" w:color="auto" w:fill="FFFFFF"/>
        </w:rPr>
        <w:t>Virginia Law Review</w:t>
      </w:r>
      <w:r w:rsidRPr="00637780">
        <w:rPr>
          <w:rFonts w:asciiTheme="majorBidi" w:hAnsiTheme="majorBidi" w:cstheme="majorBidi"/>
          <w:shd w:val="clear" w:color="auto" w:fill="FFFFFF"/>
        </w:rPr>
        <w:t> (2000): 1577-1601.</w:t>
      </w:r>
      <w:r w:rsidRPr="00637780">
        <w:rPr>
          <w:rFonts w:asciiTheme="majorBidi" w:hAnsiTheme="majorBidi" w:cstheme="majorBidi"/>
          <w:color w:val="505050"/>
          <w:shd w:val="clear" w:color="auto" w:fill="FFFFFF"/>
        </w:rPr>
        <w:t xml:space="preserve"> </w:t>
      </w:r>
      <w:r w:rsidRPr="00637780">
        <w:rPr>
          <w:rFonts w:asciiTheme="majorBidi" w:hAnsiTheme="majorBidi" w:cstheme="majorBidi"/>
          <w:shd w:val="clear" w:color="auto" w:fill="FFFFFF"/>
        </w:rPr>
        <w:t xml:space="preserve">Porat, Ariel, Changing People's Preferences by the </w:t>
      </w:r>
      <w:r w:rsidRPr="00637780">
        <w:rPr>
          <w:rFonts w:asciiTheme="majorBidi" w:hAnsiTheme="majorBidi" w:cstheme="majorBidi"/>
          <w:shd w:val="clear" w:color="auto" w:fill="FFFFFF"/>
        </w:rPr>
        <w:t>State and the Law (August 29, 2019). Theoretical Inquiries in Law, 2019, University of Chicago Coase-Sandor Institute for Law &amp; Economics Research Paper No. 886, U of Chicago, Public Law Working Paper No. 722, Available at SSRN:</w:t>
      </w:r>
      <w:r w:rsidRPr="00637780">
        <w:rPr>
          <w:rFonts w:asciiTheme="majorBidi" w:hAnsiTheme="majorBidi" w:cstheme="majorBidi" w:hint="eastAsia"/>
          <w:shd w:val="clear" w:color="auto" w:fill="FFFFFF"/>
        </w:rPr>
        <w:t> </w:t>
      </w:r>
      <w:hyperlink r:id="rId3" w:tgtFrame="_blank" w:history="1">
        <w:r w:rsidRPr="00637780">
          <w:rPr>
            <w:rFonts w:asciiTheme="majorBidi" w:hAnsiTheme="majorBidi" w:cstheme="majorBidi"/>
          </w:rPr>
          <w:t>https://ssrn.com/abstract=3444963</w:t>
        </w:r>
      </w:hyperlink>
      <w:r w:rsidRPr="00637780">
        <w:rPr>
          <w:rFonts w:asciiTheme="majorBidi" w:hAnsiTheme="majorBidi" w:cstheme="majorBidi"/>
          <w:shd w:val="clear" w:color="auto" w:fill="FFFFFF"/>
        </w:rPr>
        <w:t xml:space="preserve">, </w:t>
      </w:r>
      <w:r w:rsidRPr="00637780">
        <w:rPr>
          <w:rFonts w:asciiTheme="majorBidi" w:hAnsiTheme="majorBidi" w:cstheme="majorBidi"/>
          <w:shd w:val="clear" w:color="auto" w:fill="FFFFFF"/>
          <w:rtl/>
        </w:rPr>
        <w:t xml:space="preserve"> </w:t>
      </w:r>
      <w:r w:rsidRPr="00637780">
        <w:rPr>
          <w:rFonts w:asciiTheme="majorBidi" w:hAnsiTheme="majorBidi" w:cstheme="majorBidi"/>
          <w:shd w:val="clear" w:color="auto" w:fill="FFFFFF"/>
        </w:rPr>
        <w:t>Feldman, Yuval, and Yotam Kaplan. 2020. "Ethical Blind Spots &amp; Regulatory Traps: On Distorted Regulatory Incentives, Behavioral Ethics &amp;amp; Legal Design".</w:t>
      </w:r>
      <w:r w:rsidRPr="00637780">
        <w:rPr>
          <w:rFonts w:asciiTheme="majorBidi" w:hAnsiTheme="majorBidi" w:cstheme="majorBidi"/>
          <w:i/>
          <w:iCs/>
          <w:shd w:val="clear" w:color="auto" w:fill="FFFFFF"/>
        </w:rPr>
        <w:t> SSRN Electronic Journal</w:t>
      </w:r>
      <w:r w:rsidRPr="00637780">
        <w:rPr>
          <w:rFonts w:asciiTheme="majorBidi" w:hAnsiTheme="majorBidi" w:cstheme="majorBidi"/>
          <w:shd w:val="clear" w:color="auto" w:fill="FFFFFF"/>
        </w:rPr>
        <w:t>.</w:t>
      </w:r>
    </w:p>
  </w:footnote>
  <w:footnote w:id="59">
    <w:p w14:paraId="1BBCA8A1"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lang w:val="de-DE"/>
        </w:rPr>
        <w:t xml:space="preserve"> </w:t>
      </w:r>
      <w:r w:rsidRPr="00637780">
        <w:rPr>
          <w:rFonts w:asciiTheme="majorBidi" w:hAnsiTheme="majorBidi" w:cstheme="majorBidi"/>
          <w:shd w:val="clear" w:color="auto" w:fill="FFFFFF"/>
          <w:lang w:val="de-DE"/>
        </w:rPr>
        <w:t xml:space="preserve">Frey, Bruno S., and Felix Oberholzer-Gee. </w:t>
      </w:r>
      <w:r w:rsidRPr="00637780">
        <w:rPr>
          <w:rFonts w:asciiTheme="majorBidi" w:hAnsiTheme="majorBidi" w:cstheme="majorBidi"/>
          <w:shd w:val="clear" w:color="auto" w:fill="FFFFFF"/>
        </w:rPr>
        <w:t>"The cost of price incentives: An empirical analysis of motivation crowding-out." </w:t>
      </w:r>
      <w:r w:rsidRPr="00637780">
        <w:rPr>
          <w:rFonts w:asciiTheme="majorBidi" w:hAnsiTheme="majorBidi" w:cstheme="majorBidi"/>
          <w:i/>
          <w:iCs/>
          <w:shd w:val="clear" w:color="auto" w:fill="FFFFFF"/>
        </w:rPr>
        <w:t>The American economic review</w:t>
      </w:r>
      <w:r w:rsidRPr="00637780">
        <w:rPr>
          <w:rFonts w:asciiTheme="majorBidi" w:hAnsiTheme="majorBidi" w:cstheme="majorBidi"/>
          <w:shd w:val="clear" w:color="auto" w:fill="FFFFFF"/>
        </w:rPr>
        <w:t> 87, no. 4 (1997): 746-755;</w:t>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"The complexity of disentangling intrinsic and extrinsic compliance motivations: Theoretical and empirical insights from the behavioral analysis of law." </w:t>
      </w:r>
      <w:r w:rsidRPr="00637780">
        <w:rPr>
          <w:rFonts w:asciiTheme="majorBidi" w:hAnsiTheme="majorBidi" w:cstheme="majorBidi"/>
          <w:i/>
          <w:iCs/>
          <w:shd w:val="clear" w:color="auto" w:fill="FFFFFF"/>
        </w:rPr>
        <w:t>Wash. UJL &amp; Pol'y</w:t>
      </w:r>
      <w:r w:rsidRPr="00637780">
        <w:rPr>
          <w:rFonts w:asciiTheme="majorBidi" w:hAnsiTheme="majorBidi" w:cstheme="majorBidi"/>
          <w:shd w:val="clear" w:color="auto" w:fill="FFFFFF"/>
        </w:rPr>
        <w:t> 35 (2011): 11.</w:t>
      </w:r>
    </w:p>
  </w:footnote>
  <w:footnote w:id="60">
    <w:p w14:paraId="3317BDE1" w14:textId="77777777" w:rsidR="00F707F9" w:rsidRPr="00644B88" w:rsidRDefault="00F707F9" w:rsidP="00637780">
      <w:pPr>
        <w:pStyle w:val="FootnoteText"/>
        <w:jc w:val="both"/>
        <w:rPr>
          <w:rFonts w:asciiTheme="majorBidi" w:hAnsiTheme="majorBidi" w:cstheme="majorBidi"/>
        </w:rPr>
      </w:pPr>
      <w:r w:rsidRPr="00644B88">
        <w:rPr>
          <w:rFonts w:asciiTheme="majorBidi" w:hAnsiTheme="majorBidi" w:cstheme="majorBidi"/>
          <w:shd w:val="clear" w:color="auto" w:fill="FFFFFF"/>
          <w:vertAlign w:val="superscript"/>
        </w:rPr>
        <w:footnoteRef/>
      </w:r>
      <w:r w:rsidRPr="00644B88">
        <w:rPr>
          <w:rFonts w:asciiTheme="majorBidi" w:hAnsiTheme="majorBidi" w:cstheme="majorBidi"/>
          <w:shd w:val="clear" w:color="auto" w:fill="FFFFFF"/>
        </w:rPr>
        <w:t xml:space="preserve"> T</w:t>
      </w:r>
      <w:r w:rsidRPr="00644B88">
        <w:rPr>
          <w:rFonts w:asciiTheme="majorBidi" w:hAnsiTheme="majorBidi" w:cstheme="majorBidi"/>
          <w:color w:val="222222"/>
          <w:shd w:val="clear" w:color="auto" w:fill="FFFFFF"/>
        </w:rPr>
        <w:t>reviño, L. K., Weaver, G. R., &amp; Reynolds, S. J. (2006). Behavioral ethics in organizations: A review. </w:t>
      </w:r>
      <w:r w:rsidRPr="00644B88">
        <w:rPr>
          <w:rFonts w:asciiTheme="majorBidi" w:hAnsiTheme="majorBidi" w:cstheme="majorBidi"/>
          <w:i/>
          <w:iCs/>
          <w:color w:val="222222"/>
          <w:shd w:val="clear" w:color="auto" w:fill="FFFFFF"/>
        </w:rPr>
        <w:t>Journal of management</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32</w:t>
      </w:r>
      <w:r w:rsidRPr="00644B88">
        <w:rPr>
          <w:rFonts w:asciiTheme="majorBidi" w:hAnsiTheme="majorBidi" w:cstheme="majorBidi"/>
          <w:color w:val="222222"/>
          <w:shd w:val="clear" w:color="auto" w:fill="FFFFFF"/>
        </w:rPr>
        <w:t>(6), 951-990</w:t>
      </w:r>
    </w:p>
  </w:footnote>
  <w:footnote w:id="61">
    <w:p w14:paraId="30DC2693" w14:textId="77777777" w:rsidR="00F707F9" w:rsidRPr="00644B88" w:rsidRDefault="00F707F9" w:rsidP="00637780">
      <w:pPr>
        <w:pStyle w:val="FootnoteText"/>
        <w:jc w:val="both"/>
        <w:rPr>
          <w:rFonts w:asciiTheme="majorBidi" w:hAnsiTheme="majorBidi" w:cstheme="majorBidi"/>
          <w:color w:val="222222"/>
          <w:shd w:val="clear" w:color="auto" w:fill="FFFFFF"/>
        </w:rPr>
      </w:pPr>
      <w:r w:rsidRPr="00644B88">
        <w:rPr>
          <w:rFonts w:asciiTheme="majorBidi" w:hAnsiTheme="majorBidi" w:cstheme="majorBidi"/>
          <w:color w:val="222222"/>
          <w:shd w:val="clear" w:color="auto" w:fill="FFFFFF"/>
          <w:vertAlign w:val="superscript"/>
        </w:rPr>
        <w:footnoteRef/>
      </w:r>
      <w:r w:rsidRPr="00644B88">
        <w:rPr>
          <w:rFonts w:asciiTheme="majorBidi" w:hAnsiTheme="majorBidi" w:cstheme="majorBidi"/>
          <w:color w:val="222222"/>
          <w:shd w:val="clear" w:color="auto" w:fill="FFFFFF"/>
        </w:rPr>
        <w:t xml:space="preserve"> Feldman, Y. (2018). </w:t>
      </w:r>
      <w:r w:rsidRPr="00644B88">
        <w:rPr>
          <w:rFonts w:asciiTheme="majorBidi" w:hAnsiTheme="majorBidi" w:cstheme="majorBidi"/>
          <w:i/>
          <w:iCs/>
          <w:color w:val="222222"/>
          <w:shd w:val="clear" w:color="auto" w:fill="FFFFFF"/>
        </w:rPr>
        <w:t>The law of good people: Challenging states' ability to regulate human behavior</w:t>
      </w:r>
      <w:r w:rsidRPr="00644B88">
        <w:rPr>
          <w:rFonts w:asciiTheme="majorBidi" w:hAnsiTheme="majorBidi" w:cstheme="majorBidi"/>
          <w:color w:val="222222"/>
          <w:shd w:val="clear" w:color="auto" w:fill="FFFFFF"/>
        </w:rPr>
        <w:t>. Cambridge University Press</w:t>
      </w:r>
    </w:p>
  </w:footnote>
  <w:footnote w:id="62">
    <w:p w14:paraId="08C093F9"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F</w:t>
      </w:r>
      <w:r w:rsidRPr="00644B88">
        <w:rPr>
          <w:rFonts w:asciiTheme="majorBidi" w:hAnsiTheme="majorBidi" w:cstheme="majorBidi"/>
          <w:color w:val="222222"/>
          <w:shd w:val="clear" w:color="auto" w:fill="FFFFFF"/>
        </w:rPr>
        <w:t>eldman, Y., van Rooij, B., &amp; Rorie, M. (2019). Rule-breaking without Crime: Insights from Behavioral Ethics for the Study of Everyday Deviancy. </w:t>
      </w:r>
      <w:r w:rsidRPr="00644B88">
        <w:rPr>
          <w:rFonts w:asciiTheme="majorBidi" w:hAnsiTheme="majorBidi" w:cstheme="majorBidi"/>
          <w:i/>
          <w:iCs/>
          <w:color w:val="222222"/>
          <w:shd w:val="clear" w:color="auto" w:fill="FFFFFF"/>
        </w:rPr>
        <w:t xml:space="preserve">Feldman, Y., Rorie, M., &amp; Van Rooij, </w:t>
      </w:r>
      <w:r w:rsidRPr="00644B88">
        <w:rPr>
          <w:rFonts w:asciiTheme="majorBidi" w:hAnsiTheme="majorBidi" w:cstheme="majorBidi"/>
          <w:i/>
          <w:iCs/>
          <w:color w:val="222222"/>
          <w:shd w:val="clear" w:color="auto" w:fill="FFFFFF"/>
        </w:rPr>
        <w:t>B.(2019). Rule-breaking without Crime: Insights from Behavioral Ethics for the Study of Everyday Deviancy. The Criminologist</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44</w:t>
      </w:r>
      <w:r w:rsidRPr="00644B88">
        <w:rPr>
          <w:rFonts w:asciiTheme="majorBidi" w:hAnsiTheme="majorBidi" w:cstheme="majorBidi"/>
          <w:color w:val="222222"/>
          <w:shd w:val="clear" w:color="auto" w:fill="FFFFFF"/>
        </w:rPr>
        <w:t>(2), 8-11.</w:t>
      </w:r>
    </w:p>
  </w:footnote>
  <w:footnote w:id="63">
    <w:p w14:paraId="5EF95E45" w14:textId="77777777" w:rsidR="00F707F9" w:rsidRPr="00644B88" w:rsidRDefault="00F707F9" w:rsidP="00637780">
      <w:pPr>
        <w:pStyle w:val="FootnoteText"/>
        <w:jc w:val="both"/>
        <w:rPr>
          <w:rFonts w:asciiTheme="majorBidi" w:hAnsiTheme="majorBidi" w:cstheme="majorBidi"/>
          <w:rtl/>
        </w:rPr>
      </w:pPr>
      <w:r w:rsidRPr="00644B88">
        <w:rPr>
          <w:rStyle w:val="FootnoteReference"/>
          <w:rFonts w:asciiTheme="majorBidi" w:hAnsiTheme="majorBidi" w:cstheme="majorBidi"/>
        </w:rPr>
        <w:footnoteRef/>
      </w:r>
      <w:r w:rsidRPr="00644B88">
        <w:rPr>
          <w:rFonts w:asciiTheme="majorBidi" w:hAnsiTheme="majorBidi" w:cstheme="majorBidi"/>
        </w:rPr>
        <w:t xml:space="preserve"> B</w:t>
      </w:r>
      <w:r w:rsidRPr="00644B88">
        <w:rPr>
          <w:rFonts w:asciiTheme="majorBidi" w:hAnsiTheme="majorBidi" w:cstheme="majorBidi"/>
          <w:color w:val="222222"/>
          <w:shd w:val="clear" w:color="auto" w:fill="FFFFFF"/>
        </w:rPr>
        <w:t>azerman, M. H., &amp; Gino, F. (2012). Behavioral ethics: Toward a deeper understanding of moral judgment and dishonesty. </w:t>
      </w:r>
      <w:r w:rsidRPr="00644B88">
        <w:rPr>
          <w:rFonts w:asciiTheme="majorBidi" w:hAnsiTheme="majorBidi" w:cstheme="majorBidi"/>
          <w:i/>
          <w:iCs/>
          <w:color w:val="222222"/>
          <w:shd w:val="clear" w:color="auto" w:fill="FFFFFF"/>
        </w:rPr>
        <w:t>Annual Review of Law and Social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w:t>
      </w:r>
      <w:r w:rsidRPr="00644B88">
        <w:rPr>
          <w:rFonts w:asciiTheme="majorBidi" w:hAnsiTheme="majorBidi" w:cstheme="majorBidi"/>
          <w:color w:val="222222"/>
          <w:shd w:val="clear" w:color="auto" w:fill="FFFFFF"/>
        </w:rPr>
        <w:t>, 85-104; Feldman, Y. (2018). </w:t>
      </w:r>
      <w:r w:rsidRPr="00644B88">
        <w:rPr>
          <w:rFonts w:asciiTheme="majorBidi" w:hAnsiTheme="majorBidi" w:cstheme="majorBidi"/>
          <w:i/>
          <w:iCs/>
          <w:color w:val="222222"/>
          <w:shd w:val="clear" w:color="auto" w:fill="FFFFFF"/>
        </w:rPr>
        <w:t>The law of good people: Challenging states' ability to regulate human behavior</w:t>
      </w:r>
      <w:r w:rsidRPr="00644B88">
        <w:rPr>
          <w:rFonts w:asciiTheme="majorBidi" w:hAnsiTheme="majorBidi" w:cstheme="majorBidi"/>
          <w:color w:val="222222"/>
          <w:shd w:val="clear" w:color="auto" w:fill="FFFFFF"/>
        </w:rPr>
        <w:t>. Cambridge University Press.</w:t>
      </w:r>
    </w:p>
  </w:footnote>
  <w:footnote w:id="64">
    <w:p w14:paraId="1FA25A5B"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P</w:t>
      </w:r>
      <w:r w:rsidRPr="00644B88">
        <w:rPr>
          <w:rFonts w:asciiTheme="majorBidi" w:hAnsiTheme="majorBidi" w:cstheme="majorBidi"/>
          <w:color w:val="222222"/>
          <w:shd w:val="clear" w:color="auto" w:fill="FFFFFF"/>
        </w:rPr>
        <w:t>ascual-Ezama, D., Prelec, D., Muñoz, A., &amp; Gil-Gomez de Liano, B. (2020). Cheaters, liars, or both? A new classification of dishonesty profiles. </w:t>
      </w:r>
      <w:r w:rsidRPr="00644B88">
        <w:rPr>
          <w:rFonts w:asciiTheme="majorBidi" w:hAnsiTheme="majorBidi" w:cstheme="majorBidi"/>
          <w:i/>
          <w:iCs/>
          <w:color w:val="222222"/>
          <w:shd w:val="clear" w:color="auto" w:fill="FFFFFF"/>
        </w:rPr>
        <w:t>Psychological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31</w:t>
      </w:r>
      <w:r w:rsidRPr="00644B88">
        <w:rPr>
          <w:rFonts w:asciiTheme="majorBidi" w:hAnsiTheme="majorBidi" w:cstheme="majorBidi"/>
          <w:color w:val="222222"/>
          <w:shd w:val="clear" w:color="auto" w:fill="FFFFFF"/>
        </w:rPr>
        <w:t>(9), 1097-1106.</w:t>
      </w:r>
    </w:p>
  </w:footnote>
  <w:footnote w:id="65">
    <w:p w14:paraId="32710E01"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D</w:t>
      </w:r>
      <w:r w:rsidRPr="00644B88">
        <w:rPr>
          <w:rFonts w:asciiTheme="majorBidi" w:hAnsiTheme="majorBidi" w:cstheme="majorBidi"/>
          <w:color w:val="222222"/>
          <w:shd w:val="clear" w:color="auto" w:fill="FFFFFF"/>
        </w:rPr>
        <w:t>ai, Z., Galeotti, F., &amp; Villeval, M. C. (2018). Cheating in the lab predicts fraud in the field: An experiment in public transportation. </w:t>
      </w:r>
      <w:r w:rsidRPr="00644B88">
        <w:rPr>
          <w:rFonts w:asciiTheme="majorBidi" w:hAnsiTheme="majorBidi" w:cstheme="majorBidi"/>
          <w:i/>
          <w:iCs/>
          <w:color w:val="222222"/>
          <w:shd w:val="clear" w:color="auto" w:fill="FFFFFF"/>
        </w:rPr>
        <w:t>Management Science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64</w:t>
      </w:r>
      <w:r w:rsidRPr="00644B88">
        <w:rPr>
          <w:rFonts w:asciiTheme="majorBidi" w:hAnsiTheme="majorBidi" w:cstheme="majorBidi"/>
          <w:color w:val="222222"/>
          <w:shd w:val="clear" w:color="auto" w:fill="FFFFFF"/>
        </w:rPr>
        <w:t>(3), 1081-1100</w:t>
      </w:r>
    </w:p>
  </w:footnote>
  <w:footnote w:id="66">
    <w:p w14:paraId="36331800"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P</w:t>
      </w:r>
      <w:r w:rsidRPr="00644B88">
        <w:rPr>
          <w:rFonts w:asciiTheme="majorBidi" w:hAnsiTheme="majorBidi" w:cstheme="majorBidi"/>
          <w:color w:val="222222"/>
          <w:shd w:val="clear" w:color="auto" w:fill="FFFFFF"/>
        </w:rPr>
        <w:t xml:space="preserve">otters, J., &amp; Stoop, J. (2016). Do cheaters in the lab also cheat in the </w:t>
      </w:r>
      <w:r w:rsidRPr="00644B88">
        <w:rPr>
          <w:rFonts w:asciiTheme="majorBidi" w:hAnsiTheme="majorBidi" w:cstheme="majorBidi"/>
          <w:color w:val="222222"/>
          <w:shd w:val="clear" w:color="auto" w:fill="FFFFFF"/>
        </w:rPr>
        <w:t>field?. </w:t>
      </w:r>
      <w:r w:rsidRPr="00644B88">
        <w:rPr>
          <w:rFonts w:asciiTheme="majorBidi" w:hAnsiTheme="majorBidi" w:cstheme="majorBidi"/>
          <w:i/>
          <w:iCs/>
          <w:color w:val="222222"/>
          <w:shd w:val="clear" w:color="auto" w:fill="FFFFFF"/>
        </w:rPr>
        <w:t>European Economic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87</w:t>
      </w:r>
      <w:r w:rsidRPr="00644B88">
        <w:rPr>
          <w:rFonts w:asciiTheme="majorBidi" w:hAnsiTheme="majorBidi" w:cstheme="majorBidi"/>
          <w:color w:val="222222"/>
          <w:shd w:val="clear" w:color="auto" w:fill="FFFFFF"/>
        </w:rPr>
        <w:t>, 26-33.</w:t>
      </w:r>
    </w:p>
  </w:footnote>
  <w:footnote w:id="67">
    <w:p w14:paraId="612C9775"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H</w:t>
      </w:r>
      <w:r w:rsidRPr="00644B88">
        <w:rPr>
          <w:rFonts w:asciiTheme="majorBidi" w:hAnsiTheme="majorBidi" w:cstheme="majorBidi"/>
          <w:color w:val="222222"/>
          <w:shd w:val="clear" w:color="auto" w:fill="FFFFFF"/>
        </w:rPr>
        <w:t>anna, R., &amp; Wang, S. Y. (2017). Dishonesty and selection into public service: Evidence from India. </w:t>
      </w:r>
      <w:r w:rsidRPr="00644B88">
        <w:rPr>
          <w:rFonts w:asciiTheme="majorBidi" w:hAnsiTheme="majorBidi" w:cstheme="majorBidi"/>
          <w:i/>
          <w:iCs/>
          <w:color w:val="222222"/>
          <w:shd w:val="clear" w:color="auto" w:fill="FFFFFF"/>
        </w:rPr>
        <w:t>American Economic Journal: Economic Policy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9</w:t>
      </w:r>
      <w:r w:rsidRPr="00644B88">
        <w:rPr>
          <w:rFonts w:asciiTheme="majorBidi" w:hAnsiTheme="majorBidi" w:cstheme="majorBidi"/>
          <w:color w:val="222222"/>
          <w:shd w:val="clear" w:color="auto" w:fill="FFFFFF"/>
        </w:rPr>
        <w:t>(3), 262-90.</w:t>
      </w:r>
    </w:p>
  </w:footnote>
  <w:footnote w:id="68">
    <w:p w14:paraId="06BB4D15"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color w:val="222222"/>
          <w:shd w:val="clear" w:color="auto" w:fill="FFFFFF"/>
        </w:rPr>
        <w:t>Gibson, R., Tanner, C., &amp; Wagner, A. F. (2013). Preferences for truthfulness: Heterogeneity among and within individuals. </w:t>
      </w:r>
      <w:r w:rsidRPr="00644B88">
        <w:rPr>
          <w:rFonts w:asciiTheme="majorBidi" w:hAnsiTheme="majorBidi" w:cstheme="majorBidi"/>
          <w:i/>
          <w:iCs/>
          <w:color w:val="222222"/>
          <w:shd w:val="clear" w:color="auto" w:fill="FFFFFF"/>
        </w:rPr>
        <w:t>American Economic Review</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103</w:t>
      </w:r>
      <w:r w:rsidRPr="00644B88">
        <w:rPr>
          <w:rFonts w:asciiTheme="majorBidi" w:hAnsiTheme="majorBidi" w:cstheme="majorBidi"/>
          <w:color w:val="222222"/>
          <w:shd w:val="clear" w:color="auto" w:fill="FFFFFF"/>
        </w:rPr>
        <w:t>(1), 532-48.</w:t>
      </w:r>
    </w:p>
  </w:footnote>
  <w:footnote w:id="69">
    <w:p w14:paraId="5A88CF7B"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color w:val="222222"/>
          <w:shd w:val="clear" w:color="auto" w:fill="FFFFFF"/>
        </w:rPr>
        <w:t>Feldman, Y. (2018). </w:t>
      </w:r>
      <w:r w:rsidRPr="00644B88">
        <w:rPr>
          <w:rFonts w:asciiTheme="majorBidi" w:hAnsiTheme="majorBidi" w:cstheme="majorBidi"/>
          <w:i/>
          <w:iCs/>
          <w:color w:val="222222"/>
          <w:shd w:val="clear" w:color="auto" w:fill="FFFFFF"/>
        </w:rPr>
        <w:t>The law of good people: Challenging states' ability to regulate human behavior</w:t>
      </w:r>
      <w:r w:rsidRPr="00644B88">
        <w:rPr>
          <w:rFonts w:asciiTheme="majorBidi" w:hAnsiTheme="majorBidi" w:cstheme="majorBidi"/>
          <w:color w:val="222222"/>
          <w:shd w:val="clear" w:color="auto" w:fill="FFFFFF"/>
        </w:rPr>
        <w:t>. Cambridge University Press.</w:t>
      </w:r>
    </w:p>
  </w:footnote>
  <w:footnote w:id="70">
    <w:p w14:paraId="696324EB"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and Yotam Kaplan. "Big Data &amp; Bounded Ethicality." </w:t>
      </w:r>
      <w:r w:rsidRPr="00637780">
        <w:rPr>
          <w:rFonts w:asciiTheme="majorBidi" w:hAnsiTheme="majorBidi" w:cstheme="majorBidi"/>
          <w:i/>
          <w:iCs/>
          <w:shd w:val="clear" w:color="auto" w:fill="FFFFFF"/>
        </w:rPr>
        <w:t>Cornel j. of law &amp; public policy (2020</w:t>
      </w:r>
      <w:r w:rsidRPr="00637780">
        <w:rPr>
          <w:rFonts w:asciiTheme="majorBidi" w:hAnsiTheme="majorBidi" w:cstheme="majorBidi"/>
          <w:shd w:val="clear" w:color="auto" w:fill="FFFFFF"/>
        </w:rPr>
        <w:t>).</w:t>
      </w:r>
    </w:p>
  </w:footnote>
  <w:footnote w:id="71">
    <w:p w14:paraId="1B8C492E"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 xml:space="preserve">Peer, Eyal, and Yuval Feldman. "Honesty Pledges for the </w:t>
      </w:r>
      <w:r w:rsidRPr="00637780">
        <w:rPr>
          <w:rFonts w:asciiTheme="majorBidi" w:hAnsiTheme="majorBidi" w:cstheme="majorBidi"/>
          <w:shd w:val="clear" w:color="auto" w:fill="FFFFFF"/>
        </w:rPr>
        <w:t>Behaviorally-based Regulation of Dishonesty." </w:t>
      </w:r>
      <w:r w:rsidRPr="00637780">
        <w:rPr>
          <w:rFonts w:asciiTheme="majorBidi" w:hAnsiTheme="majorBidi" w:cstheme="majorBidi"/>
          <w:i/>
          <w:iCs/>
          <w:shd w:val="clear" w:color="auto" w:fill="FFFFFF"/>
        </w:rPr>
        <w:t>Available at SSRN</w:t>
      </w:r>
      <w:r w:rsidRPr="00637780">
        <w:rPr>
          <w:rFonts w:asciiTheme="majorBidi" w:hAnsiTheme="majorBidi" w:cstheme="majorBidi"/>
          <w:shd w:val="clear" w:color="auto" w:fill="FFFFFF"/>
        </w:rPr>
        <w:t> (2020).</w:t>
      </w:r>
    </w:p>
  </w:footnote>
  <w:footnote w:id="72">
    <w:p w14:paraId="6FE01C36" w14:textId="77777777" w:rsidR="00F707F9" w:rsidRPr="00637780" w:rsidRDefault="00F707F9" w:rsidP="00644B88">
      <w:pPr>
        <w:pStyle w:val="FootnoteText"/>
        <w:jc w:val="both"/>
        <w:rPr>
          <w:rFonts w:asciiTheme="majorBidi" w:hAnsiTheme="majorBidi" w:cstheme="majorBidi"/>
          <w:rtl/>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and Eliran Halali. "Regulating “good” people in subtle conflicts of interest situations." </w:t>
      </w:r>
      <w:r w:rsidRPr="00637780">
        <w:rPr>
          <w:rFonts w:asciiTheme="majorBidi" w:hAnsiTheme="majorBidi" w:cstheme="majorBidi"/>
          <w:i/>
          <w:iCs/>
          <w:shd w:val="clear" w:color="auto" w:fill="FFFFFF"/>
        </w:rPr>
        <w:t>Journal of Business Ethics</w:t>
      </w:r>
      <w:r w:rsidRPr="00637780">
        <w:rPr>
          <w:rFonts w:asciiTheme="majorBidi" w:hAnsiTheme="majorBidi" w:cstheme="majorBidi"/>
          <w:shd w:val="clear" w:color="auto" w:fill="FFFFFF"/>
        </w:rPr>
        <w:t> 154, no. 1 (2019): 65-83.</w:t>
      </w:r>
    </w:p>
  </w:footnote>
  <w:footnote w:id="73">
    <w:p w14:paraId="3843A6BF" w14:textId="1DEC9698" w:rsidR="004D1356" w:rsidRDefault="004D1356" w:rsidP="00104695">
      <w:pPr>
        <w:pStyle w:val="FootnoteText"/>
        <w:jc w:val="both"/>
      </w:pPr>
      <w:r>
        <w:rPr>
          <w:rStyle w:val="FootnoteReference"/>
        </w:rPr>
        <w:footnoteRef/>
      </w:r>
      <w:r>
        <w:t xml:space="preserve"> </w:t>
      </w:r>
      <w:r w:rsidR="00962316">
        <w:rPr>
          <w:rFonts w:ascii="Arial" w:hAnsi="Arial" w:cs="Arial"/>
          <w:color w:val="222222"/>
          <w:shd w:val="clear" w:color="auto" w:fill="FFFFFF"/>
        </w:rPr>
        <w:t>Barak</w:t>
      </w:r>
      <w:r w:rsidR="00962316">
        <w:rPr>
          <w:rFonts w:ascii="Cambria Math" w:hAnsi="Cambria Math" w:cs="Cambria Math"/>
          <w:color w:val="222222"/>
          <w:shd w:val="clear" w:color="auto" w:fill="FFFFFF"/>
        </w:rPr>
        <w:t>‐</w:t>
      </w:r>
      <w:r w:rsidR="00962316">
        <w:rPr>
          <w:rFonts w:ascii="Arial" w:hAnsi="Arial" w:cs="Arial"/>
          <w:color w:val="222222"/>
          <w:shd w:val="clear" w:color="auto" w:fill="FFFFFF"/>
        </w:rPr>
        <w:t>Corren, Netta. "Regulating for integration by behavioral design: An evidence</w:t>
      </w:r>
      <w:r w:rsidR="00962316">
        <w:rPr>
          <w:rFonts w:ascii="Cambria Math" w:hAnsi="Cambria Math" w:cs="Cambria Math"/>
          <w:color w:val="222222"/>
          <w:shd w:val="clear" w:color="auto" w:fill="FFFFFF"/>
        </w:rPr>
        <w:t>‐</w:t>
      </w:r>
      <w:r w:rsidR="00962316">
        <w:rPr>
          <w:rFonts w:ascii="Arial" w:hAnsi="Arial" w:cs="Arial"/>
          <w:color w:val="222222"/>
          <w:shd w:val="clear" w:color="auto" w:fill="FFFFFF"/>
        </w:rPr>
        <w:t>based approach for culturally responsive regulation." </w:t>
      </w:r>
      <w:r w:rsidR="00962316">
        <w:rPr>
          <w:rFonts w:ascii="Arial" w:hAnsi="Arial" w:cs="Arial"/>
          <w:i/>
          <w:iCs/>
          <w:color w:val="222222"/>
          <w:shd w:val="clear" w:color="auto" w:fill="FFFFFF"/>
        </w:rPr>
        <w:t>Regulation &amp; Governance</w:t>
      </w:r>
      <w:r w:rsidR="00962316">
        <w:rPr>
          <w:rFonts w:ascii="Arial" w:hAnsi="Arial" w:cs="Arial"/>
          <w:color w:val="222222"/>
          <w:shd w:val="clear" w:color="auto" w:fill="FFFFFF"/>
        </w:rPr>
        <w:t> 16.4 (2022): 1079-1100.</w:t>
      </w:r>
    </w:p>
  </w:footnote>
  <w:footnote w:id="74">
    <w:p w14:paraId="3060FB6D" w14:textId="7C0CAABE" w:rsidR="00D46BE7" w:rsidRDefault="00D46BE7">
      <w:pPr>
        <w:pStyle w:val="FootnoteText"/>
      </w:pPr>
      <w:r>
        <w:rPr>
          <w:rStyle w:val="FootnoteReference"/>
        </w:rPr>
        <w:footnoteRef/>
      </w:r>
      <w:r>
        <w:t xml:space="preserve"> </w:t>
      </w:r>
      <w:r>
        <w:rPr>
          <w:rFonts w:ascii="Arial" w:hAnsi="Arial" w:cs="Arial"/>
          <w:color w:val="222222"/>
          <w:shd w:val="clear" w:color="auto" w:fill="FFFFFF"/>
        </w:rPr>
        <w:t>Gerlach, Philipp, Kinneret Teodorescu, and Ralph Hertwig. "The truth about lies: A meta-analysis on dishonest behavior." </w:t>
      </w:r>
      <w:r>
        <w:rPr>
          <w:rFonts w:ascii="Arial" w:hAnsi="Arial" w:cs="Arial"/>
          <w:i/>
          <w:iCs/>
          <w:color w:val="222222"/>
          <w:shd w:val="clear" w:color="auto" w:fill="FFFFFF"/>
        </w:rPr>
        <w:t>Psychological bulletin</w:t>
      </w:r>
      <w:r>
        <w:rPr>
          <w:rFonts w:ascii="Arial" w:hAnsi="Arial" w:cs="Arial"/>
          <w:color w:val="222222"/>
          <w:shd w:val="clear" w:color="auto" w:fill="FFFFFF"/>
        </w:rPr>
        <w:t> 145.1 (2019): 1.</w:t>
      </w:r>
    </w:p>
  </w:footnote>
  <w:footnote w:id="75">
    <w:p w14:paraId="39787645" w14:textId="093CFD92" w:rsidR="00996D3C" w:rsidRPr="00644B88" w:rsidRDefault="00D46BE7" w:rsidP="00996D3C">
      <w:pPr>
        <w:spacing w:before="100" w:beforeAutospacing="1" w:after="100" w:afterAutospacing="1"/>
        <w:rPr>
          <w:rFonts w:asciiTheme="majorBidi" w:hAnsiTheme="majorBidi" w:cstheme="majorBidi"/>
          <w:sz w:val="24"/>
          <w:szCs w:val="24"/>
        </w:rPr>
      </w:pPr>
      <w:r>
        <w:rPr>
          <w:rStyle w:val="FootnoteReference"/>
        </w:rPr>
        <w:footnoteRef/>
      </w:r>
      <w:r>
        <w:t xml:space="preserve"> </w:t>
      </w:r>
      <w:r>
        <w:rPr>
          <w:rFonts w:ascii="Arial" w:hAnsi="Arial" w:cs="Arial"/>
          <w:color w:val="222222"/>
          <w:sz w:val="20"/>
          <w:szCs w:val="20"/>
          <w:shd w:val="clear" w:color="auto" w:fill="FFFFFF"/>
        </w:rPr>
        <w:t>Abeler, Johannes, Daniele Nosenzo, and Collin Raymond. "Preferences for truth</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telling." </w:t>
      </w:r>
      <w:r>
        <w:rPr>
          <w:rFonts w:ascii="Arial" w:hAnsi="Arial" w:cs="Arial"/>
          <w:i/>
          <w:iCs/>
          <w:color w:val="222222"/>
          <w:sz w:val="20"/>
          <w:szCs w:val="20"/>
          <w:shd w:val="clear" w:color="auto" w:fill="FFFFFF"/>
        </w:rPr>
        <w:t>Econometrica</w:t>
      </w:r>
      <w:r>
        <w:rPr>
          <w:rFonts w:ascii="Arial" w:hAnsi="Arial" w:cs="Arial"/>
          <w:color w:val="222222"/>
          <w:sz w:val="20"/>
          <w:szCs w:val="20"/>
          <w:shd w:val="clear" w:color="auto" w:fill="FFFFFF"/>
        </w:rPr>
        <w:t> 87.4 (2019): 1115-1153.</w:t>
      </w:r>
      <w:r w:rsidR="00996D3C">
        <w:rPr>
          <w:rFonts w:ascii="Arial" w:hAnsi="Arial" w:cs="Arial"/>
          <w:color w:val="222222"/>
          <w:shd w:val="clear" w:color="auto" w:fill="FFFFFF"/>
        </w:rPr>
        <w:t xml:space="preserve"> </w:t>
      </w:r>
      <w:r w:rsidR="00996D3C">
        <w:rPr>
          <w:rFonts w:ascii="Arial" w:hAnsi="Arial" w:cs="Arial"/>
          <w:color w:val="222222"/>
          <w:shd w:val="clear" w:color="auto" w:fill="FFFFFF"/>
        </w:rPr>
        <w:t xml:space="preserve">“ </w:t>
      </w:r>
      <w:r w:rsidR="00996D3C" w:rsidRPr="00644B88">
        <w:rPr>
          <w:rFonts w:asciiTheme="majorBidi" w:hAnsiTheme="majorBidi" w:cstheme="majorBidi"/>
          <w:sz w:val="24"/>
          <w:szCs w:val="24"/>
        </w:rPr>
        <w:t>(</w:t>
      </w:r>
      <w:r w:rsidR="00996D3C">
        <w:rPr>
          <w:rFonts w:asciiTheme="majorBidi" w:hAnsiTheme="majorBidi" w:cstheme="majorBidi"/>
          <w:sz w:val="24"/>
          <w:szCs w:val="24"/>
        </w:rPr>
        <w:t>in page 1120:</w:t>
      </w:r>
      <w:r w:rsidR="00996D3C" w:rsidRPr="00644B88">
        <w:rPr>
          <w:rFonts w:asciiTheme="majorBidi" w:hAnsiTheme="majorBidi" w:cstheme="majorBidi"/>
          <w:sz w:val="24"/>
          <w:szCs w:val="24"/>
        </w:rPr>
        <w:t xml:space="preserve"> ) "Section 5 concludes and discusses policy implications. Three key insights follow from our study. First, our meta analysis shows that the data are not in line with the assumption of payoff-maximizing reporting but rather with some preference for truth-telling. Second, our results suggest that a preference for being seen as honest and a preference for being honest are the main motivations for truth-telling. Finally, policy interventions that rely on voluntary truth-telling by some participants could be very successful, in particular if it is made hard to lie while keeping a good reputation."</w:t>
      </w:r>
      <w:r w:rsidR="00996D3C" w:rsidRPr="00644B88">
        <w:rPr>
          <w:rFonts w:asciiTheme="majorBidi" w:hAnsiTheme="majorBidi" w:cstheme="majorBidi"/>
          <w:sz w:val="24"/>
          <w:szCs w:val="24"/>
        </w:rPr>
        <w:br/>
      </w:r>
    </w:p>
    <w:p w14:paraId="41FE1BFC" w14:textId="5D5E0936" w:rsidR="00D46BE7" w:rsidRDefault="00D46BE7">
      <w:pPr>
        <w:pStyle w:val="FootnoteText"/>
      </w:pPr>
    </w:p>
  </w:footnote>
  <w:footnote w:id="76">
    <w:p w14:paraId="03A72DCB"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Glaeser, Edward L., David I. Laibson, Jose A. Scheinkman, and Christine L. Soutter. "Measuring trust." </w:t>
      </w:r>
      <w:r w:rsidRPr="00637780">
        <w:rPr>
          <w:rFonts w:asciiTheme="majorBidi" w:hAnsiTheme="majorBidi" w:cstheme="majorBidi"/>
          <w:i/>
          <w:iCs/>
          <w:shd w:val="clear" w:color="auto" w:fill="FFFFFF"/>
        </w:rPr>
        <w:t>The quarterly journal of economics</w:t>
      </w:r>
      <w:r w:rsidRPr="00637780">
        <w:rPr>
          <w:rFonts w:asciiTheme="majorBidi" w:hAnsiTheme="majorBidi" w:cstheme="majorBidi"/>
          <w:shd w:val="clear" w:color="auto" w:fill="FFFFFF"/>
        </w:rPr>
        <w:t> 115, no. 3 (2000): 811-846.</w:t>
      </w:r>
    </w:p>
  </w:footnote>
  <w:footnote w:id="77">
    <w:p w14:paraId="3F94870F" w14:textId="77777777" w:rsidR="00F707F9" w:rsidRPr="00637780" w:rsidRDefault="00F707F9" w:rsidP="00644B88">
      <w:pPr>
        <w:pStyle w:val="FootnoteText"/>
        <w:jc w:val="both"/>
        <w:rPr>
          <w:rFonts w:asciiTheme="majorBidi" w:hAnsiTheme="majorBidi" w:cstheme="majorBidi"/>
          <w:shd w:val="clear" w:color="auto" w:fill="FFFFFF"/>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Hardin, Russell. Trust and trustworthiness. Russell Sage Foundation, 2002.</w:t>
      </w:r>
    </w:p>
  </w:footnote>
  <w:footnote w:id="78">
    <w:p w14:paraId="400E1AC6"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Hibbing, John R., and Elizabeth Theiss-Morse. </w:t>
      </w:r>
      <w:r w:rsidRPr="00637780">
        <w:rPr>
          <w:rFonts w:asciiTheme="majorBidi" w:hAnsiTheme="majorBidi" w:cstheme="majorBidi"/>
          <w:i/>
          <w:iCs/>
          <w:shd w:val="clear" w:color="auto" w:fill="FFFFFF"/>
        </w:rPr>
        <w:t>Congress as public enemy: Public attitudes toward American political institutions</w:t>
      </w:r>
      <w:r w:rsidRPr="00637780">
        <w:rPr>
          <w:rFonts w:asciiTheme="majorBidi" w:hAnsiTheme="majorBidi" w:cstheme="majorBidi"/>
          <w:shd w:val="clear" w:color="auto" w:fill="FFFFFF"/>
        </w:rPr>
        <w:t>. Cambridge University Press, 1995.</w:t>
      </w:r>
    </w:p>
  </w:footnote>
  <w:footnote w:id="79">
    <w:p w14:paraId="7825ECFA" w14:textId="77777777" w:rsidR="00F707F9" w:rsidRPr="00637780" w:rsidRDefault="00F707F9" w:rsidP="00644B88">
      <w:pPr>
        <w:pStyle w:val="FootnoteText"/>
        <w:jc w:val="both"/>
        <w:rPr>
          <w:rFonts w:asciiTheme="majorBidi" w:hAnsiTheme="majorBidi" w:cstheme="majorBidi"/>
          <w:shd w:val="clear" w:color="auto" w:fill="FFFFFF"/>
          <w:rtl/>
        </w:rPr>
      </w:pPr>
      <w:r w:rsidRPr="00637780">
        <w:rPr>
          <w:rFonts w:asciiTheme="majorBidi" w:hAnsiTheme="majorBidi" w:cstheme="majorBidi"/>
          <w:shd w:val="clear" w:color="auto" w:fill="FFFFFF"/>
          <w:vertAlign w:val="superscript"/>
        </w:rPr>
        <w:footnoteRef/>
      </w:r>
      <w:r w:rsidRPr="00637780">
        <w:rPr>
          <w:rFonts w:asciiTheme="majorBidi" w:hAnsiTheme="majorBidi" w:cstheme="majorBidi"/>
          <w:shd w:val="clear" w:color="auto" w:fill="FFFFFF"/>
        </w:rPr>
        <w:t xml:space="preserve"> Bernstein, Lisa. 2009. "Opting Out of the Legal System: Extralegal Contractual Relations in the Diamond Industry". </w:t>
      </w:r>
      <w:r w:rsidRPr="00637780">
        <w:rPr>
          <w:rFonts w:asciiTheme="majorBidi" w:hAnsiTheme="majorBidi" w:cstheme="majorBidi"/>
          <w:i/>
          <w:iCs/>
          <w:shd w:val="clear" w:color="auto" w:fill="FFFFFF"/>
        </w:rPr>
        <w:t>Economics of Commercial Arbitration and Dispute Resolution. </w:t>
      </w:r>
      <w:r w:rsidRPr="00637780">
        <w:rPr>
          <w:rFonts w:asciiTheme="majorBidi" w:hAnsiTheme="majorBidi" w:cstheme="majorBidi"/>
          <w:shd w:val="clear" w:color="auto" w:fill="FFFFFF"/>
        </w:rPr>
        <w:t>251-293.</w:t>
      </w:r>
    </w:p>
  </w:footnote>
  <w:footnote w:id="80">
    <w:p w14:paraId="620124DC" w14:textId="77777777" w:rsidR="00F707F9" w:rsidRPr="00637780" w:rsidRDefault="00F707F9" w:rsidP="00644B88">
      <w:pPr>
        <w:pStyle w:val="FootnoteText"/>
        <w:jc w:val="both"/>
        <w:rPr>
          <w:rFonts w:asciiTheme="majorBidi" w:hAnsiTheme="majorBidi" w:cstheme="majorBidi"/>
          <w:shd w:val="clear" w:color="auto" w:fill="FFFFFF"/>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Bernstein, Lisa. 2001. </w:t>
      </w:r>
      <w:r w:rsidRPr="00637780">
        <w:rPr>
          <w:rFonts w:asciiTheme="majorBidi" w:hAnsiTheme="majorBidi" w:cstheme="majorBidi"/>
          <w:i/>
          <w:iCs/>
          <w:shd w:val="clear" w:color="auto" w:fill="FFFFFF"/>
        </w:rPr>
        <w:t>Private commercial law in the cotton industry: creating cooperation through rules, norms, and institutions</w:t>
      </w:r>
      <w:r w:rsidRPr="00637780">
        <w:rPr>
          <w:rFonts w:asciiTheme="majorBidi" w:hAnsiTheme="majorBidi" w:cstheme="majorBidi"/>
          <w:shd w:val="clear" w:color="auto" w:fill="FFFFFF"/>
        </w:rPr>
        <w:t>. [Chicago, Ill.]: Law School, University of Chicago.</w:t>
      </w:r>
    </w:p>
  </w:footnote>
  <w:footnote w:id="81">
    <w:p w14:paraId="60EFF771"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Ellickson, Robert C. 2009. </w:t>
      </w:r>
      <w:r w:rsidRPr="00637780">
        <w:rPr>
          <w:rFonts w:asciiTheme="majorBidi" w:hAnsiTheme="majorBidi" w:cstheme="majorBidi"/>
          <w:i/>
          <w:iCs/>
          <w:shd w:val="clear" w:color="auto" w:fill="FFFFFF"/>
        </w:rPr>
        <w:t>Order Without Law: How Neighbors Settle Disputes</w:t>
      </w:r>
      <w:r w:rsidRPr="00637780">
        <w:rPr>
          <w:rFonts w:asciiTheme="majorBidi" w:hAnsiTheme="majorBidi" w:cstheme="majorBidi"/>
          <w:shd w:val="clear" w:color="auto" w:fill="FFFFFF"/>
        </w:rPr>
        <w:t>. Cambridge: Harvard University Press.</w:t>
      </w:r>
    </w:p>
  </w:footnote>
  <w:footnote w:id="82">
    <w:p w14:paraId="70F49CFD" w14:textId="7BBE4A79" w:rsidR="00F707F9" w:rsidRPr="00637780" w:rsidRDefault="00F707F9" w:rsidP="00644B88">
      <w:pPr>
        <w:spacing w:before="2" w:after="2" w:line="240" w:lineRule="auto"/>
        <w:jc w:val="both"/>
        <w:rPr>
          <w:rFonts w:asciiTheme="majorBidi" w:eastAsia="Times New Roman" w:hAnsiTheme="majorBidi" w:cstheme="majorBidi"/>
          <w:sz w:val="20"/>
          <w:szCs w:val="20"/>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w:t>
      </w:r>
      <w:r w:rsidRPr="00637780">
        <w:rPr>
          <w:rFonts w:asciiTheme="majorBidi" w:eastAsia="Times New Roman" w:hAnsiTheme="majorBidi" w:cstheme="majorBidi"/>
          <w:sz w:val="20"/>
          <w:szCs w:val="20"/>
        </w:rPr>
        <w:t>Monitoring technology is deployed for multiple purposes in universities, in contexts from learning analytics to attendance tracking as a replacement for placing trust in students. see Ross, Jen, and Hamish Macleod. "</w:t>
      </w:r>
      <w:r w:rsidRPr="00637780">
        <w:rPr>
          <w:rFonts w:asciiTheme="majorBidi" w:eastAsia="Times New Roman" w:hAnsiTheme="majorBidi" w:cstheme="majorBidi"/>
          <w:sz w:val="20"/>
          <w:szCs w:val="20"/>
        </w:rPr>
        <w:t>Surveillance,(dis)trust and teaching with plagiarism detection technology." Proceedings of the 10th International Conference on Networked Learning. 2018</w:t>
      </w:r>
      <w:r w:rsidR="00EB5F65">
        <w:rPr>
          <w:rFonts w:asciiTheme="majorBidi" w:eastAsia="Times New Roman" w:hAnsiTheme="majorBidi" w:cstheme="majorBidi"/>
          <w:sz w:val="20"/>
          <w:szCs w:val="20"/>
        </w:rPr>
        <w:t>;</w:t>
      </w:r>
      <w:r w:rsidRPr="00637780">
        <w:rPr>
          <w:rFonts w:asciiTheme="majorBidi" w:hAnsiTheme="majorBidi" w:cstheme="majorBidi"/>
          <w:sz w:val="20"/>
          <w:szCs w:val="20"/>
          <w:shd w:val="clear" w:color="auto" w:fill="FFFFFF"/>
        </w:rPr>
        <w:t xml:space="preserve"> </w:t>
      </w:r>
      <w:r w:rsidRPr="00637780">
        <w:rPr>
          <w:rFonts w:asciiTheme="majorBidi" w:eastAsia="Times New Roman" w:hAnsiTheme="majorBidi" w:cstheme="majorBidi"/>
          <w:sz w:val="20"/>
          <w:szCs w:val="20"/>
        </w:rPr>
        <w:t xml:space="preserve">Kahn, </w:t>
      </w:r>
    </w:p>
  </w:footnote>
  <w:footnote w:id="83">
    <w:p w14:paraId="7337882C" w14:textId="77777777" w:rsidR="00F707F9" w:rsidRPr="00637780" w:rsidRDefault="00F707F9" w:rsidP="00644B88">
      <w:pPr>
        <w:pStyle w:val="FootnoteText"/>
        <w:jc w:val="both"/>
        <w:rPr>
          <w:rFonts w:asciiTheme="majorBidi" w:hAnsiTheme="majorBidi" w:cstheme="majorBidi"/>
        </w:rPr>
      </w:pPr>
      <w:r w:rsidRPr="00637780">
        <w:rPr>
          <w:rFonts w:asciiTheme="majorBidi" w:hAnsiTheme="majorBidi" w:cstheme="majorBidi"/>
          <w:smallCaps/>
          <w:shd w:val="clear" w:color="auto" w:fill="FFFFFF"/>
          <w:vertAlign w:val="superscript"/>
        </w:rPr>
        <w:footnoteRef/>
      </w:r>
      <w:r w:rsidRPr="00637780">
        <w:rPr>
          <w:rFonts w:asciiTheme="majorBidi" w:hAnsiTheme="majorBidi" w:cstheme="majorBidi"/>
          <w:shd w:val="clear" w:color="auto" w:fill="FFFFFF"/>
          <w:vertAlign w:val="superscript"/>
        </w:rPr>
        <w:t xml:space="preserve"> </w:t>
      </w:r>
      <w:r w:rsidRPr="00637780">
        <w:rPr>
          <w:rFonts w:asciiTheme="majorBidi" w:hAnsiTheme="majorBidi" w:cstheme="majorBidi"/>
          <w:shd w:val="clear" w:color="auto" w:fill="FFFFFF"/>
        </w:rPr>
        <w:t>Putnam, Robert. "Social capital: Measurement and consequences." </w:t>
      </w:r>
      <w:r w:rsidRPr="00637780">
        <w:rPr>
          <w:rFonts w:asciiTheme="majorBidi" w:hAnsiTheme="majorBidi" w:cstheme="majorBidi"/>
          <w:i/>
          <w:iCs/>
          <w:shd w:val="clear" w:color="auto" w:fill="FFFFFF"/>
        </w:rPr>
        <w:t>Canadian journal of policy research</w:t>
      </w:r>
      <w:r w:rsidRPr="00637780">
        <w:rPr>
          <w:rFonts w:asciiTheme="majorBidi" w:hAnsiTheme="majorBidi" w:cstheme="majorBidi"/>
          <w:shd w:val="clear" w:color="auto" w:fill="FFFFFF"/>
        </w:rPr>
        <w:t> 2, no. 1 (2001): 41-51.</w:t>
      </w:r>
    </w:p>
  </w:footnote>
  <w:footnote w:id="84">
    <w:p w14:paraId="34700056" w14:textId="77777777" w:rsidR="00F707F9" w:rsidRPr="00637780" w:rsidRDefault="00F707F9" w:rsidP="00644B88">
      <w:pPr>
        <w:spacing w:before="2" w:after="2" w:line="240" w:lineRule="auto"/>
        <w:jc w:val="both"/>
        <w:rPr>
          <w:rFonts w:asciiTheme="majorBidi" w:hAnsiTheme="majorBidi" w:cstheme="majorBidi"/>
          <w:sz w:val="20"/>
          <w:szCs w:val="20"/>
          <w:rtl/>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See, for example, </w:t>
      </w:r>
      <w:r w:rsidRPr="00637780">
        <w:rPr>
          <w:rFonts w:asciiTheme="majorBidi" w:hAnsiTheme="majorBidi" w:cstheme="majorBidi"/>
          <w:sz w:val="20"/>
          <w:szCs w:val="20"/>
          <w:shd w:val="clear" w:color="auto" w:fill="FFFFFF"/>
        </w:rPr>
        <w:t>Ram A. Cnaan, Gil Luria, and Amnon Boehm. 2015. "National Culture and Prosocial Behaviors: Results From 66 Countries," </w:t>
      </w:r>
      <w:r w:rsidRPr="00637780">
        <w:rPr>
          <w:rFonts w:asciiTheme="majorBidi" w:hAnsiTheme="majorBidi" w:cstheme="majorBidi"/>
          <w:i/>
          <w:iCs/>
          <w:sz w:val="20"/>
          <w:szCs w:val="20"/>
          <w:shd w:val="clear" w:color="auto" w:fill="FFFFFF"/>
        </w:rPr>
        <w:t>Nonprofit and Voluntary Sector Quarterly. </w:t>
      </w:r>
      <w:r w:rsidRPr="00637780">
        <w:rPr>
          <w:rFonts w:asciiTheme="majorBidi" w:hAnsiTheme="majorBidi" w:cstheme="majorBidi"/>
          <w:sz w:val="20"/>
          <w:szCs w:val="20"/>
          <w:shd w:val="clear" w:color="auto" w:fill="FFFFFF"/>
        </w:rPr>
        <w:t xml:space="preserve">44 (5): 1041-1065. </w:t>
      </w:r>
      <w:r w:rsidRPr="00637780">
        <w:rPr>
          <w:rFonts w:asciiTheme="majorBidi" w:hAnsiTheme="majorBidi" w:cstheme="majorBidi"/>
          <w:sz w:val="20"/>
          <w:szCs w:val="20"/>
        </w:rPr>
        <w:t>Other explanations have been given for prosocial behavior, such as: religious participation (see Putnam, R. D., &amp; Campbell, D. E. [2010</w:t>
      </w:r>
      <w:r w:rsidRPr="00637780">
        <w:rPr>
          <w:rFonts w:asciiTheme="majorBidi" w:hAnsiTheme="majorBidi" w:cstheme="majorBidi"/>
          <w:sz w:val="20"/>
          <w:szCs w:val="20"/>
        </w:rPr>
        <w:t>] ; American grace: How religion divides and unites us. New York, NY: Simon &amp; Schuster; Bekkers, R., &amp; Wiepking, P. [2011]).</w:t>
      </w:r>
      <w:bookmarkStart w:id="22" w:name="_Hlk48737782"/>
      <w:r w:rsidRPr="00637780">
        <w:rPr>
          <w:rFonts w:asciiTheme="majorBidi" w:hAnsiTheme="majorBidi" w:cstheme="majorBidi"/>
          <w:sz w:val="20"/>
          <w:szCs w:val="20"/>
        </w:rPr>
        <w:t xml:space="preserve"> </w:t>
      </w:r>
      <w:r w:rsidRPr="00637780">
        <w:rPr>
          <w:rFonts w:asciiTheme="majorBidi" w:hAnsiTheme="majorBidi" w:cstheme="majorBidi"/>
          <w:sz w:val="20"/>
          <w:szCs w:val="20"/>
          <w:shd w:val="clear" w:color="auto" w:fill="FFFFFF"/>
        </w:rPr>
        <w:t xml:space="preserve">Changes in patterns of prosocial motivation between Grades 2 and 12 were examined in five samples from four countries: West Germany, Poland, Italy, and the United States. </w:t>
      </w:r>
      <w:r w:rsidRPr="00637780">
        <w:rPr>
          <w:rFonts w:asciiTheme="majorBidi" w:hAnsiTheme="majorBidi" w:cstheme="majorBidi"/>
          <w:sz w:val="20"/>
          <w:szCs w:val="20"/>
          <w:shd w:val="clear" w:color="auto" w:fill="FFFFFF"/>
          <w:lang w:val="de-DE"/>
        </w:rPr>
        <w:t xml:space="preserve">See Klaus Boehnke, Rainer K. Silbereisen, Nancy Eisenberg, Janusz Reykowski, and Augusto Palmonari. </w:t>
      </w:r>
      <w:r w:rsidRPr="00637780">
        <w:rPr>
          <w:rFonts w:asciiTheme="majorBidi" w:hAnsiTheme="majorBidi" w:cstheme="majorBidi"/>
          <w:sz w:val="20"/>
          <w:szCs w:val="20"/>
          <w:shd w:val="clear" w:color="auto" w:fill="FFFFFF"/>
        </w:rPr>
        <w:t>1989. "Developmental Pattern of Prosocial Motivation: A Cross-National Study". </w:t>
      </w:r>
      <w:r w:rsidRPr="00637780">
        <w:rPr>
          <w:rFonts w:asciiTheme="majorBidi" w:hAnsiTheme="majorBidi" w:cstheme="majorBidi"/>
          <w:i/>
          <w:iCs/>
          <w:sz w:val="20"/>
          <w:szCs w:val="20"/>
          <w:shd w:val="clear" w:color="auto" w:fill="FFFFFF"/>
        </w:rPr>
        <w:t>Journal of Cross-Cultural Psychology. </w:t>
      </w:r>
      <w:r w:rsidRPr="00637780">
        <w:rPr>
          <w:rFonts w:asciiTheme="majorBidi" w:hAnsiTheme="majorBidi" w:cstheme="majorBidi"/>
          <w:sz w:val="20"/>
          <w:szCs w:val="20"/>
          <w:shd w:val="clear" w:color="auto" w:fill="FFFFFF"/>
        </w:rPr>
        <w:t>20 (3): 219-243.</w:t>
      </w:r>
      <w:bookmarkEnd w:id="22"/>
    </w:p>
  </w:footnote>
  <w:footnote w:id="85">
    <w:p w14:paraId="7D510E0D" w14:textId="77777777" w:rsidR="00F707F9" w:rsidRPr="00644B88" w:rsidRDefault="00F707F9" w:rsidP="00637780">
      <w:pPr>
        <w:pStyle w:val="FootnoteText"/>
        <w:spacing w:before="2" w:after="2"/>
        <w:ind w:left="-720"/>
        <w:jc w:val="both"/>
        <w:rPr>
          <w:rFonts w:asciiTheme="majorBidi" w:hAnsiTheme="majorBidi" w:cstheme="majorBidi"/>
          <w:shd w:val="clear" w:color="auto" w:fill="FFFFFF"/>
        </w:rPr>
      </w:pPr>
      <w:r w:rsidRPr="00644B88">
        <w:rPr>
          <w:rStyle w:val="FootnoteReference"/>
          <w:rFonts w:asciiTheme="majorBidi" w:hAnsiTheme="majorBidi" w:cstheme="majorBidi"/>
        </w:rPr>
        <w:footnoteRef/>
      </w:r>
      <w:r w:rsidRPr="00644B88">
        <w:rPr>
          <w:rFonts w:asciiTheme="majorBidi" w:hAnsiTheme="majorBidi" w:cstheme="majorBidi"/>
        </w:rPr>
        <w:t xml:space="preserve"> Z</w:t>
      </w:r>
      <w:r w:rsidRPr="00644B88">
        <w:rPr>
          <w:rFonts w:asciiTheme="majorBidi" w:hAnsiTheme="majorBidi" w:cstheme="majorBidi"/>
          <w:color w:val="222222"/>
          <w:shd w:val="clear" w:color="auto" w:fill="FFFFFF"/>
        </w:rPr>
        <w:t>aza, S., Sleet, D. A., Thompson, R. S., Sosin, D. M., Bolen, J. C., &amp; Task Force on Community Preventive Services. (2001). Reviews of evidence regarding interventions to increase use of child safety seats. </w:t>
      </w:r>
      <w:r w:rsidRPr="00644B88">
        <w:rPr>
          <w:rFonts w:asciiTheme="majorBidi" w:hAnsiTheme="majorBidi" w:cstheme="majorBidi"/>
          <w:i/>
          <w:iCs/>
          <w:color w:val="222222"/>
          <w:shd w:val="clear" w:color="auto" w:fill="FFFFFF"/>
        </w:rPr>
        <w:t>American journal of preventive medicine</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21</w:t>
      </w:r>
      <w:r w:rsidRPr="00644B88">
        <w:rPr>
          <w:rFonts w:asciiTheme="majorBidi" w:hAnsiTheme="majorBidi" w:cstheme="majorBidi"/>
          <w:color w:val="222222"/>
          <w:shd w:val="clear" w:color="auto" w:fill="FFFFFF"/>
        </w:rPr>
        <w:t>(4), 31-47</w:t>
      </w:r>
      <w:r w:rsidRPr="00644B88">
        <w:rPr>
          <w:rFonts w:asciiTheme="majorBidi" w:hAnsiTheme="majorBidi" w:cstheme="majorBidi"/>
          <w:shd w:val="clear" w:color="auto" w:fill="FFFFFF"/>
        </w:rPr>
        <w:t>; R</w:t>
      </w:r>
      <w:r w:rsidRPr="00644B88">
        <w:rPr>
          <w:rFonts w:asciiTheme="majorBidi" w:hAnsiTheme="majorBidi" w:cstheme="majorBidi"/>
          <w:color w:val="222222"/>
          <w:shd w:val="clear" w:color="auto" w:fill="FFFFFF"/>
        </w:rPr>
        <w:t>ivara, F. P., Bennett, E., Crispin, B., Kruger, K., Ebel, B., &amp; Sarewitz, A. (2001). Booster seats for child passengers: lessons for increasing their use. </w:t>
      </w:r>
      <w:r w:rsidRPr="00644B88">
        <w:rPr>
          <w:rFonts w:asciiTheme="majorBidi" w:hAnsiTheme="majorBidi" w:cstheme="majorBidi"/>
          <w:i/>
          <w:iCs/>
          <w:color w:val="222222"/>
          <w:shd w:val="clear" w:color="auto" w:fill="FFFFFF"/>
        </w:rPr>
        <w:t>Injury Prevention</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7</w:t>
      </w:r>
      <w:r w:rsidRPr="00644B88">
        <w:rPr>
          <w:rFonts w:asciiTheme="majorBidi" w:hAnsiTheme="majorBidi" w:cstheme="majorBidi"/>
          <w:color w:val="222222"/>
          <w:shd w:val="clear" w:color="auto" w:fill="FFFFFF"/>
        </w:rPr>
        <w:t>(3), 210-213</w:t>
      </w:r>
      <w:r w:rsidRPr="00644B88" w:rsidDel="003E40C0">
        <w:rPr>
          <w:rFonts w:asciiTheme="majorBidi" w:hAnsiTheme="majorBidi" w:cstheme="majorBidi"/>
          <w:shd w:val="clear" w:color="auto" w:fill="FFFFFF"/>
        </w:rPr>
        <w:t xml:space="preserve"> </w:t>
      </w:r>
      <w:r w:rsidRPr="00644B88">
        <w:rPr>
          <w:rFonts w:asciiTheme="majorBidi" w:hAnsiTheme="majorBidi" w:cstheme="majorBidi"/>
          <w:color w:val="222222"/>
          <w:shd w:val="clear" w:color="auto" w:fill="FFFFFF"/>
        </w:rPr>
        <w:t>Stasson, M., &amp; Fishbein, M. (1990). The relation between perceived risk and preventive action: A within‐subject analysis of perceived driving risk and intentions to wear seatbelts. </w:t>
      </w:r>
      <w:r w:rsidRPr="00644B88">
        <w:rPr>
          <w:rFonts w:asciiTheme="majorBidi" w:hAnsiTheme="majorBidi" w:cstheme="majorBidi"/>
          <w:i/>
          <w:iCs/>
          <w:color w:val="222222"/>
          <w:shd w:val="clear" w:color="auto" w:fill="FFFFFF"/>
        </w:rPr>
        <w:t>Journal of Applied Social Psychology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20</w:t>
      </w:r>
      <w:r w:rsidRPr="00644B88">
        <w:rPr>
          <w:rFonts w:asciiTheme="majorBidi" w:hAnsiTheme="majorBidi" w:cstheme="majorBidi"/>
          <w:color w:val="222222"/>
          <w:shd w:val="clear" w:color="auto" w:fill="FFFFFF"/>
        </w:rPr>
        <w:t>(19), 1541-</w:t>
      </w:r>
      <w:r w:rsidRPr="00644B88">
        <w:rPr>
          <w:rFonts w:asciiTheme="majorBidi" w:hAnsiTheme="majorBidi" w:cstheme="majorBidi"/>
          <w:color w:val="222222"/>
          <w:shd w:val="clear" w:color="auto" w:fill="FFFFFF"/>
        </w:rPr>
        <w:t>1557;</w:t>
      </w:r>
      <w:r w:rsidRPr="00644B88">
        <w:rPr>
          <w:rFonts w:asciiTheme="majorBidi" w:hAnsiTheme="majorBidi" w:cstheme="majorBidi"/>
          <w:shd w:val="clear" w:color="auto" w:fill="FFFFFF"/>
        </w:rPr>
        <w:t>; S</w:t>
      </w:r>
      <w:r w:rsidRPr="00644B88">
        <w:rPr>
          <w:rFonts w:asciiTheme="majorBidi" w:hAnsiTheme="majorBidi" w:cstheme="majorBidi"/>
          <w:color w:val="222222"/>
          <w:shd w:val="clear" w:color="auto" w:fill="FFFFFF"/>
        </w:rPr>
        <w:t>imşekoğlu, Ö., &amp; Lajunen, T. (2008). Social psychology of seat belt use: A comparison of theory of planned behavior and health belief model. </w:t>
      </w:r>
      <w:r w:rsidRPr="00644B88">
        <w:rPr>
          <w:rFonts w:asciiTheme="majorBidi" w:hAnsiTheme="majorBidi" w:cstheme="majorBidi"/>
          <w:i/>
          <w:iCs/>
          <w:color w:val="222222"/>
          <w:shd w:val="clear" w:color="auto" w:fill="FFFFFF"/>
        </w:rPr>
        <w:t>Transportation research part F: traffic psychology and behaviour</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11</w:t>
      </w:r>
      <w:r w:rsidRPr="00644B88">
        <w:rPr>
          <w:rFonts w:asciiTheme="majorBidi" w:hAnsiTheme="majorBidi" w:cstheme="majorBidi"/>
          <w:color w:val="222222"/>
          <w:shd w:val="clear" w:color="auto" w:fill="FFFFFF"/>
        </w:rPr>
        <w:t>(3), 181-191</w:t>
      </w:r>
      <w:r w:rsidRPr="00644B88">
        <w:rPr>
          <w:rFonts w:asciiTheme="majorBidi" w:hAnsiTheme="majorBidi" w:cstheme="majorBidi"/>
          <w:shd w:val="clear" w:color="auto" w:fill="FFFFFF"/>
        </w:rPr>
        <w:t>.</w:t>
      </w:r>
    </w:p>
  </w:footnote>
  <w:footnote w:id="86">
    <w:p w14:paraId="2994F84B" w14:textId="77777777" w:rsidR="00F707F9" w:rsidRPr="00644B88" w:rsidRDefault="00F707F9" w:rsidP="00644B88">
      <w:pPr>
        <w:pStyle w:val="FootnoteText"/>
        <w:ind w:hanging="720"/>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E</w:t>
      </w:r>
      <w:r w:rsidRPr="00644B88">
        <w:rPr>
          <w:rFonts w:asciiTheme="majorBidi" w:hAnsiTheme="majorBidi" w:cstheme="majorBidi"/>
          <w:color w:val="222222"/>
          <w:shd w:val="clear" w:color="auto" w:fill="FFFFFF"/>
        </w:rPr>
        <w:t>llickson, R. C. (1991). </w:t>
      </w:r>
      <w:r w:rsidRPr="00644B88">
        <w:rPr>
          <w:rFonts w:asciiTheme="majorBidi" w:hAnsiTheme="majorBidi" w:cstheme="majorBidi"/>
          <w:i/>
          <w:iCs/>
          <w:color w:val="222222"/>
          <w:shd w:val="clear" w:color="auto" w:fill="FFFFFF"/>
        </w:rPr>
        <w:t>Order without law</w:t>
      </w:r>
      <w:r w:rsidRPr="00644B88">
        <w:rPr>
          <w:rFonts w:asciiTheme="majorBidi" w:hAnsiTheme="majorBidi" w:cstheme="majorBidi"/>
          <w:color w:val="222222"/>
          <w:shd w:val="clear" w:color="auto" w:fill="FFFFFF"/>
        </w:rPr>
        <w:t>. Harvard University Press.</w:t>
      </w:r>
    </w:p>
  </w:footnote>
  <w:footnote w:id="87">
    <w:p w14:paraId="53061A8E" w14:textId="77777777" w:rsidR="00F707F9" w:rsidRPr="00644B88" w:rsidRDefault="00F707F9" w:rsidP="00637780">
      <w:pPr>
        <w:spacing w:before="2" w:after="2"/>
        <w:ind w:left="-720"/>
        <w:jc w:val="both"/>
        <w:rPr>
          <w:rFonts w:asciiTheme="majorBidi" w:hAnsiTheme="majorBidi" w:cstheme="majorBidi"/>
          <w:sz w:val="20"/>
          <w:szCs w:val="20"/>
        </w:rPr>
      </w:pPr>
      <w:r w:rsidRPr="00644B88">
        <w:rPr>
          <w:rStyle w:val="FootnoteReference"/>
          <w:rFonts w:asciiTheme="majorBidi" w:hAnsiTheme="majorBidi" w:cstheme="majorBidi"/>
          <w:sz w:val="20"/>
          <w:szCs w:val="20"/>
        </w:rPr>
        <w:footnoteRef/>
      </w:r>
      <w:r w:rsidRPr="00644B88">
        <w:rPr>
          <w:rFonts w:asciiTheme="majorBidi" w:hAnsiTheme="majorBidi" w:cstheme="majorBidi"/>
          <w:sz w:val="20"/>
          <w:szCs w:val="20"/>
        </w:rPr>
        <w:t xml:space="preserve"> </w:t>
      </w:r>
      <w:r w:rsidRPr="00644B88">
        <w:rPr>
          <w:rFonts w:asciiTheme="majorBidi" w:hAnsiTheme="majorBidi" w:cstheme="majorBidi"/>
          <w:sz w:val="20"/>
          <w:szCs w:val="20"/>
          <w:shd w:val="clear" w:color="auto" w:fill="FFFFFF"/>
        </w:rPr>
        <w:t>Monson, E., and N. Arsenault. 2017. "Effects of Enactment of Legislative (Public) Smoking Bans on Voluntary Home Smoking Restrictions: A Review". </w:t>
      </w:r>
      <w:r w:rsidRPr="00644B88">
        <w:rPr>
          <w:rFonts w:asciiTheme="majorBidi" w:hAnsiTheme="majorBidi" w:cstheme="majorBidi"/>
          <w:i/>
          <w:iCs/>
          <w:sz w:val="20"/>
          <w:szCs w:val="20"/>
          <w:shd w:val="clear" w:color="auto" w:fill="FFFFFF"/>
        </w:rPr>
        <w:t>NICOTINE AND TOBACCO RESEARCH. </w:t>
      </w:r>
      <w:r w:rsidRPr="00644B88">
        <w:rPr>
          <w:rFonts w:asciiTheme="majorBidi" w:hAnsiTheme="majorBidi" w:cstheme="majorBidi"/>
          <w:sz w:val="20"/>
          <w:szCs w:val="20"/>
          <w:shd w:val="clear" w:color="auto" w:fill="FFFFFF"/>
        </w:rPr>
        <w:t>19 (2): 141-</w:t>
      </w:r>
      <w:r w:rsidRPr="00644B88">
        <w:rPr>
          <w:rFonts w:asciiTheme="majorBidi" w:hAnsiTheme="majorBidi" w:cstheme="majorBidi"/>
          <w:sz w:val="20"/>
          <w:szCs w:val="20"/>
          <w:shd w:val="clear" w:color="auto" w:fill="FFFFFF"/>
        </w:rPr>
        <w:t>148;W</w:t>
      </w:r>
      <w:r w:rsidRPr="00644B88">
        <w:rPr>
          <w:rFonts w:asciiTheme="majorBidi" w:hAnsiTheme="majorBidi" w:cstheme="majorBidi"/>
          <w:color w:val="222222"/>
          <w:sz w:val="20"/>
          <w:szCs w:val="20"/>
          <w:shd w:val="clear" w:color="auto" w:fill="FFFFFF"/>
        </w:rPr>
        <w:t>akefield, M. A., Chaloupka, F. J., Kaufman, N. J., Orleans, C. T., Barker, D. C., &amp; Ruel, E. E. (2000). Effect of restrictions on smoking at home, at school, and in public places on teenage smoking: cross sectional study. </w:t>
      </w:r>
      <w:r w:rsidRPr="00644B88">
        <w:rPr>
          <w:rFonts w:asciiTheme="majorBidi" w:hAnsiTheme="majorBidi" w:cstheme="majorBidi"/>
          <w:i/>
          <w:iCs/>
          <w:color w:val="222222"/>
          <w:sz w:val="20"/>
          <w:szCs w:val="20"/>
          <w:shd w:val="clear" w:color="auto" w:fill="FFFFFF"/>
        </w:rPr>
        <w:t>Bmj</w:t>
      </w:r>
      <w:r w:rsidRPr="00644B88">
        <w:rPr>
          <w:rFonts w:asciiTheme="majorBidi" w:hAnsiTheme="majorBidi" w:cstheme="majorBidi"/>
          <w:color w:val="222222"/>
          <w:sz w:val="20"/>
          <w:szCs w:val="20"/>
          <w:shd w:val="clear" w:color="auto" w:fill="FFFFFF"/>
        </w:rPr>
        <w:t>, </w:t>
      </w:r>
      <w:r w:rsidRPr="00644B88">
        <w:rPr>
          <w:rFonts w:asciiTheme="majorBidi" w:hAnsiTheme="majorBidi" w:cstheme="majorBidi"/>
          <w:i/>
          <w:iCs/>
          <w:color w:val="222222"/>
          <w:sz w:val="20"/>
          <w:szCs w:val="20"/>
          <w:shd w:val="clear" w:color="auto" w:fill="FFFFFF"/>
        </w:rPr>
        <w:t>321</w:t>
      </w:r>
      <w:r w:rsidRPr="00644B88">
        <w:rPr>
          <w:rFonts w:asciiTheme="majorBidi" w:hAnsiTheme="majorBidi" w:cstheme="majorBidi"/>
          <w:color w:val="222222"/>
          <w:sz w:val="20"/>
          <w:szCs w:val="20"/>
          <w:shd w:val="clear" w:color="auto" w:fill="FFFFFF"/>
        </w:rPr>
        <w:t>(7257), 333-337</w:t>
      </w:r>
      <w:r w:rsidRPr="00644B88">
        <w:rPr>
          <w:rFonts w:asciiTheme="majorBidi" w:hAnsiTheme="majorBidi" w:cstheme="majorBidi"/>
          <w:sz w:val="20"/>
          <w:szCs w:val="20"/>
        </w:rPr>
        <w:t>Leopold J., Lambert J.R., Ogunyomi I.O., and Bell M.P. 2019. "The hashtag heard round the world: how #MeToo did what laws did not". Equality, Diversity and Inclusion.</w:t>
      </w:r>
      <w:r w:rsidRPr="00644B88">
        <w:rPr>
          <w:rFonts w:asciiTheme="majorBidi" w:hAnsiTheme="majorBidi" w:cstheme="majorBidi"/>
          <w:color w:val="222222"/>
          <w:sz w:val="20"/>
          <w:szCs w:val="20"/>
          <w:shd w:val="clear" w:color="auto" w:fill="FFFFFF"/>
        </w:rPr>
        <w:t>;Parker, C. (1999). How to win hearts and minds: corporate compliance policies for sexual harassment. </w:t>
      </w:r>
      <w:r w:rsidRPr="00644B88">
        <w:rPr>
          <w:rFonts w:asciiTheme="majorBidi" w:hAnsiTheme="majorBidi" w:cstheme="majorBidi"/>
          <w:i/>
          <w:iCs/>
          <w:color w:val="222222"/>
          <w:sz w:val="20"/>
          <w:szCs w:val="20"/>
          <w:shd w:val="clear" w:color="auto" w:fill="FFFFFF"/>
        </w:rPr>
        <w:t>Law &amp; Policy</w:t>
      </w:r>
      <w:r w:rsidRPr="00644B88">
        <w:rPr>
          <w:rFonts w:asciiTheme="majorBidi" w:hAnsiTheme="majorBidi" w:cstheme="majorBidi"/>
          <w:color w:val="222222"/>
          <w:sz w:val="20"/>
          <w:szCs w:val="20"/>
          <w:shd w:val="clear" w:color="auto" w:fill="FFFFFF"/>
        </w:rPr>
        <w:t>, </w:t>
      </w:r>
      <w:r w:rsidRPr="00644B88">
        <w:rPr>
          <w:rFonts w:asciiTheme="majorBidi" w:hAnsiTheme="majorBidi" w:cstheme="majorBidi"/>
          <w:i/>
          <w:iCs/>
          <w:color w:val="222222"/>
          <w:sz w:val="20"/>
          <w:szCs w:val="20"/>
          <w:shd w:val="clear" w:color="auto" w:fill="FFFFFF"/>
        </w:rPr>
        <w:t>21</w:t>
      </w:r>
      <w:r w:rsidRPr="00644B88">
        <w:rPr>
          <w:rFonts w:asciiTheme="majorBidi" w:hAnsiTheme="majorBidi" w:cstheme="majorBidi"/>
          <w:color w:val="222222"/>
          <w:sz w:val="20"/>
          <w:szCs w:val="20"/>
          <w:shd w:val="clear" w:color="auto" w:fill="FFFFFF"/>
        </w:rPr>
        <w:t>(1), 21-48</w:t>
      </w:r>
    </w:p>
  </w:footnote>
  <w:footnote w:id="88">
    <w:p w14:paraId="178465B1" w14:textId="77777777" w:rsidR="006F667C" w:rsidRPr="00637780" w:rsidRDefault="006F667C" w:rsidP="006F667C">
      <w:pPr>
        <w:pStyle w:val="FootnoteText"/>
        <w:spacing w:before="2" w:after="2"/>
        <w:jc w:val="both"/>
        <w:rPr>
          <w:rFonts w:asciiTheme="majorBidi" w:hAnsiTheme="majorBidi" w:cstheme="majorBidi"/>
          <w:shd w:val="clear" w:color="auto" w:fill="FFFFFF"/>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Zaza, Stephanie, David A Sleet, Robert S Thompson, Daniel M Sosin, and Julie C Bolen. 2001. "Reviews of evidence regarding interventions to increase use of child safety seats". </w:t>
      </w:r>
      <w:r w:rsidRPr="00637780">
        <w:rPr>
          <w:rFonts w:asciiTheme="majorBidi" w:hAnsiTheme="majorBidi" w:cstheme="majorBidi"/>
          <w:i/>
          <w:iCs/>
          <w:shd w:val="clear" w:color="auto" w:fill="FFFFFF"/>
        </w:rPr>
        <w:t>American Journal of Preventive Medicine. </w:t>
      </w:r>
      <w:r w:rsidRPr="00637780">
        <w:rPr>
          <w:rFonts w:asciiTheme="majorBidi" w:hAnsiTheme="majorBidi" w:cstheme="majorBidi"/>
          <w:shd w:val="clear" w:color="auto" w:fill="FFFFFF"/>
        </w:rPr>
        <w:t>21 (4): 31-47. See also; Rivara, F, Bennett, E, Crispin, B, Kruger, K, Ebel, B, and Sarewitz, A. n.d. </w:t>
      </w:r>
      <w:r w:rsidRPr="00637780">
        <w:rPr>
          <w:rFonts w:asciiTheme="majorBidi" w:hAnsiTheme="majorBidi" w:cstheme="majorBidi"/>
          <w:i/>
          <w:iCs/>
          <w:shd w:val="clear" w:color="auto" w:fill="FFFFFF"/>
        </w:rPr>
        <w:t>Booster seats for child passengers: lessons for increasing their use</w:t>
      </w:r>
      <w:r w:rsidRPr="00637780">
        <w:rPr>
          <w:rFonts w:asciiTheme="majorBidi" w:hAnsiTheme="majorBidi" w:cstheme="majorBidi"/>
          <w:shd w:val="clear" w:color="auto" w:fill="FFFFFF"/>
        </w:rPr>
        <w:t>. BMJ Group. (Campaigns to promote booster seat use should address issues of knowledge about the appropriate age and size of the child, cost, inadequacy of lap belts, and resistance to use by the child.)</w:t>
      </w:r>
    </w:p>
    <w:p w14:paraId="4D3E065A" w14:textId="77777777" w:rsidR="006F667C" w:rsidRPr="00637780" w:rsidRDefault="006F667C" w:rsidP="006F667C">
      <w:pPr>
        <w:pStyle w:val="FootnoteText"/>
        <w:jc w:val="both"/>
        <w:rPr>
          <w:rFonts w:asciiTheme="majorBidi" w:hAnsiTheme="majorBidi" w:cstheme="majorBidi"/>
          <w:shd w:val="clear" w:color="auto" w:fill="FFFFFF"/>
        </w:rPr>
      </w:pPr>
      <w:r w:rsidRPr="00637780">
        <w:rPr>
          <w:rFonts w:asciiTheme="majorBidi" w:hAnsiTheme="majorBidi" w:cstheme="majorBidi"/>
          <w:shd w:val="clear" w:color="auto" w:fill="FFFFFF"/>
        </w:rPr>
        <w:t>Stasson, Mark, and Martin Fishbein. "The relation between perceived risk and preventive action: A within‐subject analysis of perceived driving risk and intentions to wear seatbelts</w:t>
      </w:r>
      <w:r w:rsidRPr="00637780">
        <w:rPr>
          <w:rFonts w:asciiTheme="majorBidi" w:hAnsiTheme="majorBidi" w:cstheme="majorBidi"/>
          <w:i/>
          <w:iCs/>
          <w:shd w:val="clear" w:color="auto" w:fill="FFFFFF"/>
        </w:rPr>
        <w:t>." Journal of Applied Social Psychology</w:t>
      </w:r>
      <w:r w:rsidRPr="00637780">
        <w:rPr>
          <w:rFonts w:asciiTheme="majorBidi" w:hAnsiTheme="majorBidi" w:cstheme="majorBidi"/>
          <w:shd w:val="clear" w:color="auto" w:fill="FFFFFF"/>
        </w:rPr>
        <w:t> 20.19 (1990): 1541-1557, see also; Şimşekoğlu, Özlem, and Timo Lajunen. "Social psychology of seat belt use: A comparison of theory of planned behavior and health belief model." Transportation research part F: traffic psychology and behaviour 11.3 (2008): 181-191.</w:t>
      </w:r>
    </w:p>
  </w:footnote>
  <w:footnote w:id="89">
    <w:p w14:paraId="5F86765F" w14:textId="77777777" w:rsidR="006F667C" w:rsidRPr="00637780" w:rsidRDefault="006F667C" w:rsidP="006F667C">
      <w:pPr>
        <w:spacing w:before="2" w:after="2"/>
        <w:jc w:val="both"/>
        <w:rPr>
          <w:rFonts w:asciiTheme="majorBidi" w:hAnsiTheme="majorBidi" w:cstheme="majorBidi"/>
          <w:sz w:val="20"/>
          <w:szCs w:val="20"/>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Existing evidence indicates an overall significant post-legislative positive effect regarding voluntary home smoking restrictions. See </w:t>
      </w:r>
      <w:r w:rsidRPr="00637780">
        <w:rPr>
          <w:rFonts w:asciiTheme="majorBidi" w:hAnsiTheme="majorBidi" w:cstheme="majorBidi"/>
          <w:sz w:val="20"/>
          <w:szCs w:val="20"/>
          <w:shd w:val="clear" w:color="auto" w:fill="FFFFFF"/>
        </w:rPr>
        <w:t>Monson, E., and N. Arsenault. 2017. "Effects of Enactment of Legislative (Public) Smoking Bans on Voluntary Home Smoking Restrictions: A Review". </w:t>
      </w:r>
      <w:r w:rsidRPr="00637780">
        <w:rPr>
          <w:rFonts w:asciiTheme="majorBidi" w:hAnsiTheme="majorBidi" w:cstheme="majorBidi"/>
          <w:i/>
          <w:iCs/>
          <w:sz w:val="20"/>
          <w:szCs w:val="20"/>
          <w:shd w:val="clear" w:color="auto" w:fill="FFFFFF"/>
        </w:rPr>
        <w:t>NICOTINE AND TOBACCO RESEARCH. </w:t>
      </w:r>
      <w:r w:rsidRPr="00637780">
        <w:rPr>
          <w:rFonts w:asciiTheme="majorBidi" w:hAnsiTheme="majorBidi" w:cstheme="majorBidi"/>
          <w:sz w:val="20"/>
          <w:szCs w:val="20"/>
          <w:shd w:val="clear" w:color="auto" w:fill="FFFFFF"/>
        </w:rPr>
        <w:t>19 (2): 141-148. Wakefield, Melanie A., Frank J. Chaloupka, Nancy J. Kaufman, C. Tracy Orleans, Dianne C. Barker, and Erin E. Ruel. "Effect of restrictions on smoking at home, at school, and in public places on teenage smoking: cross sectional study." </w:t>
      </w:r>
      <w:r w:rsidRPr="00637780">
        <w:rPr>
          <w:rFonts w:asciiTheme="majorBidi" w:hAnsiTheme="majorBidi" w:cstheme="majorBidi"/>
          <w:i/>
          <w:iCs/>
          <w:sz w:val="20"/>
          <w:szCs w:val="20"/>
          <w:shd w:val="clear" w:color="auto" w:fill="FFFFFF"/>
        </w:rPr>
        <w:t>Bmj</w:t>
      </w:r>
      <w:r w:rsidRPr="00637780">
        <w:rPr>
          <w:rFonts w:asciiTheme="majorBidi" w:hAnsiTheme="majorBidi" w:cstheme="majorBidi"/>
          <w:sz w:val="20"/>
          <w:szCs w:val="20"/>
          <w:shd w:val="clear" w:color="auto" w:fill="FFFFFF"/>
        </w:rPr>
        <w:t> 321, no. 7257 (2000): 333-337</w:t>
      </w:r>
      <w:r>
        <w:rPr>
          <w:rFonts w:asciiTheme="majorBidi" w:hAnsiTheme="majorBidi" w:cstheme="majorBidi"/>
          <w:sz w:val="20"/>
          <w:szCs w:val="20"/>
        </w:rPr>
        <w:t xml:space="preserve">; </w:t>
      </w:r>
      <w:r w:rsidRPr="00637780">
        <w:rPr>
          <w:rFonts w:asciiTheme="majorBidi" w:hAnsiTheme="majorBidi" w:cstheme="majorBidi"/>
          <w:sz w:val="20"/>
          <w:szCs w:val="20"/>
        </w:rPr>
        <w:t xml:space="preserve">How #MeToo did what laws did not. See more: Leopold J., Lambert J.R., Ogunyomi I.O., and Bell M.P. 2019. "The hashtag heard round the world: how #MeToo did what laws did not". Equality, </w:t>
      </w:r>
      <w:r w:rsidRPr="00637780">
        <w:rPr>
          <w:rFonts w:asciiTheme="majorBidi" w:hAnsiTheme="majorBidi" w:cstheme="majorBidi"/>
          <w:sz w:val="20"/>
          <w:szCs w:val="20"/>
        </w:rPr>
        <w:t>Diversity and Inclusion</w:t>
      </w:r>
      <w:r>
        <w:rPr>
          <w:rFonts w:asciiTheme="majorBidi" w:hAnsiTheme="majorBidi" w:cstheme="majorBidi"/>
          <w:sz w:val="20"/>
          <w:szCs w:val="20"/>
          <w:shd w:val="clear" w:color="auto" w:fill="FFFFFF"/>
        </w:rPr>
        <w:t xml:space="preserve">; </w:t>
      </w:r>
      <w:r w:rsidRPr="00637780">
        <w:rPr>
          <w:rFonts w:asciiTheme="majorBidi" w:hAnsiTheme="majorBidi" w:cstheme="majorBidi"/>
          <w:sz w:val="20"/>
          <w:szCs w:val="20"/>
          <w:shd w:val="clear" w:color="auto" w:fill="FFFFFF"/>
        </w:rPr>
        <w:t>Parker, Christine. 1999. "How to Win Hearts and Minds: Corporate Compliance Policies for Sexual Harassment". </w:t>
      </w:r>
      <w:r w:rsidRPr="00637780">
        <w:rPr>
          <w:rFonts w:asciiTheme="majorBidi" w:hAnsiTheme="majorBidi" w:cstheme="majorBidi"/>
          <w:i/>
          <w:iCs/>
          <w:sz w:val="20"/>
          <w:szCs w:val="20"/>
          <w:shd w:val="clear" w:color="auto" w:fill="FFFFFF"/>
        </w:rPr>
        <w:t>Law &lt;Html_Ent Glyph="@Amp;" Ascii="&amp;Amp;"/&gt; Policy. </w:t>
      </w:r>
      <w:r w:rsidRPr="00637780">
        <w:rPr>
          <w:rFonts w:asciiTheme="majorBidi" w:hAnsiTheme="majorBidi" w:cstheme="majorBidi"/>
          <w:sz w:val="20"/>
          <w:szCs w:val="20"/>
          <w:shd w:val="clear" w:color="auto" w:fill="FFFFFF"/>
        </w:rPr>
        <w:t>21 (1): 21-48.</w:t>
      </w:r>
    </w:p>
  </w:footnote>
  <w:footnote w:id="90">
    <w:p w14:paraId="447805E2" w14:textId="77777777" w:rsidR="006F667C" w:rsidRPr="00637780" w:rsidRDefault="006F667C" w:rsidP="006F667C">
      <w:pPr>
        <w:spacing w:before="2" w:after="2"/>
        <w:jc w:val="both"/>
        <w:rPr>
          <w:rFonts w:asciiTheme="majorBidi" w:hAnsiTheme="majorBidi" w:cstheme="majorBidi"/>
          <w:sz w:val="20"/>
          <w:szCs w:val="20"/>
          <w:rtl/>
        </w:rPr>
      </w:pPr>
      <w:r w:rsidRPr="00637780">
        <w:rPr>
          <w:rFonts w:asciiTheme="majorBidi" w:hAnsiTheme="majorBidi" w:cstheme="majorBidi"/>
          <w:sz w:val="20"/>
          <w:szCs w:val="20"/>
          <w:shd w:val="clear" w:color="auto" w:fill="FFFFFF"/>
          <w:vertAlign w:val="superscript"/>
        </w:rPr>
        <w:footnoteRef/>
      </w:r>
      <w:r w:rsidRPr="00637780">
        <w:rPr>
          <w:rFonts w:asciiTheme="majorBidi" w:hAnsiTheme="majorBidi" w:cstheme="majorBidi"/>
          <w:sz w:val="20"/>
          <w:szCs w:val="20"/>
          <w:shd w:val="clear" w:color="auto" w:fill="FFFFFF"/>
          <w:vertAlign w:val="superscript"/>
        </w:rPr>
        <w:t xml:space="preserve"> </w:t>
      </w:r>
      <w:r w:rsidRPr="00637780">
        <w:rPr>
          <w:rFonts w:asciiTheme="majorBidi" w:hAnsiTheme="majorBidi" w:cstheme="majorBidi"/>
          <w:sz w:val="20"/>
          <w:szCs w:val="20"/>
          <w:shd w:val="clear" w:color="auto" w:fill="FFFFFF"/>
        </w:rPr>
        <w:t xml:space="preserve">Bernstein, Lisa. "Opting out of the legal system: Extralegal contractual relations in the diamond </w:t>
      </w:r>
      <w:r w:rsidRPr="00637780">
        <w:rPr>
          <w:rFonts w:asciiTheme="majorBidi" w:hAnsiTheme="majorBidi" w:cstheme="majorBidi"/>
          <w:sz w:val="20"/>
          <w:szCs w:val="20"/>
        </w:rPr>
        <w:t>industry." The Journal of Legal Studies 21, no. 1 (1992): 115-157.</w:t>
      </w:r>
    </w:p>
  </w:footnote>
  <w:footnote w:id="91">
    <w:p w14:paraId="4B86941B" w14:textId="77777777" w:rsidR="006F667C" w:rsidRPr="00637780" w:rsidRDefault="006F667C" w:rsidP="006F667C">
      <w:pPr>
        <w:spacing w:before="2" w:after="2"/>
        <w:jc w:val="both"/>
        <w:rPr>
          <w:rFonts w:asciiTheme="majorBidi" w:hAnsiTheme="majorBidi" w:cstheme="majorBidi"/>
          <w:sz w:val="20"/>
          <w:szCs w:val="20"/>
          <w:rtl/>
        </w:rPr>
      </w:pPr>
      <w:r w:rsidRPr="00637780">
        <w:rPr>
          <w:rFonts w:asciiTheme="majorBidi" w:hAnsiTheme="majorBidi" w:cstheme="majorBidi"/>
          <w:sz w:val="20"/>
          <w:szCs w:val="20"/>
          <w:vertAlign w:val="superscript"/>
        </w:rPr>
        <w:footnoteRef/>
      </w:r>
      <w:r w:rsidRPr="00637780">
        <w:rPr>
          <w:rFonts w:asciiTheme="majorBidi" w:hAnsiTheme="majorBidi" w:cstheme="majorBidi"/>
          <w:sz w:val="20"/>
          <w:szCs w:val="20"/>
        </w:rPr>
        <w:t xml:space="preserve"> Bernstein</w:t>
      </w:r>
      <w:r w:rsidRPr="00637780">
        <w:rPr>
          <w:rFonts w:asciiTheme="majorBidi" w:hAnsiTheme="majorBidi" w:cstheme="majorBidi"/>
          <w:sz w:val="20"/>
          <w:szCs w:val="20"/>
          <w:shd w:val="clear" w:color="auto" w:fill="FFFFFF"/>
        </w:rPr>
        <w:t>, Lisa. "Private commercial law in the cotton industry: Creating cooperation through rules, norms, and institutions." </w:t>
      </w:r>
      <w:r w:rsidRPr="00637780">
        <w:rPr>
          <w:rFonts w:asciiTheme="majorBidi" w:hAnsiTheme="majorBidi" w:cstheme="majorBidi"/>
          <w:i/>
          <w:iCs/>
          <w:sz w:val="20"/>
          <w:szCs w:val="20"/>
          <w:shd w:val="clear" w:color="auto" w:fill="FFFFFF"/>
        </w:rPr>
        <w:t>Michigan law review</w:t>
      </w:r>
      <w:r w:rsidRPr="00637780">
        <w:rPr>
          <w:rFonts w:asciiTheme="majorBidi" w:hAnsiTheme="majorBidi" w:cstheme="majorBidi"/>
          <w:sz w:val="20"/>
          <w:szCs w:val="20"/>
          <w:shd w:val="clear" w:color="auto" w:fill="FFFFFF"/>
        </w:rPr>
        <w:t> 99, no. 7 (2001): 1724-1790.</w:t>
      </w:r>
    </w:p>
  </w:footnote>
  <w:footnote w:id="92">
    <w:p w14:paraId="2C35941A" w14:textId="77777777" w:rsidR="00F707F9" w:rsidRPr="00644B88" w:rsidRDefault="00F707F9" w:rsidP="00637780">
      <w:pPr>
        <w:pStyle w:val="FootnoteText"/>
        <w:ind w:left="-720"/>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color w:val="222222"/>
          <w:shd w:val="clear" w:color="auto" w:fill="FFFFFF"/>
        </w:rPr>
        <w:t>Feldman, Y. "The expressive function of trade secret law: Legality, cost, intrinsic motivation, and consensus." </w:t>
      </w:r>
      <w:r w:rsidRPr="00644B88">
        <w:rPr>
          <w:rFonts w:asciiTheme="majorBidi" w:hAnsiTheme="majorBidi" w:cstheme="majorBidi"/>
          <w:i/>
          <w:iCs/>
          <w:color w:val="222222"/>
          <w:shd w:val="clear" w:color="auto" w:fill="FFFFFF"/>
        </w:rPr>
        <w:t>Journal of Empirical Legal Studies</w:t>
      </w:r>
      <w:r w:rsidRPr="00644B88">
        <w:rPr>
          <w:rFonts w:asciiTheme="majorBidi" w:hAnsiTheme="majorBidi" w:cstheme="majorBidi"/>
          <w:color w:val="222222"/>
          <w:shd w:val="clear" w:color="auto" w:fill="FFFFFF"/>
        </w:rPr>
        <w:t> 6, no. 1 (2009): 177-212.</w:t>
      </w:r>
    </w:p>
  </w:footnote>
  <w:footnote w:id="93">
    <w:p w14:paraId="1B7C7A8E" w14:textId="77777777" w:rsidR="00F707F9" w:rsidRPr="00644B88" w:rsidRDefault="00F707F9" w:rsidP="00637780">
      <w:pPr>
        <w:pStyle w:val="FootnoteText"/>
        <w:ind w:left="-720"/>
        <w:jc w:val="both"/>
        <w:rPr>
          <w:rFonts w:asciiTheme="majorBidi" w:hAnsiTheme="majorBidi" w:cstheme="majorBidi"/>
          <w:rtl/>
        </w:rPr>
      </w:pPr>
      <w:r w:rsidRPr="00644B88">
        <w:rPr>
          <w:rStyle w:val="FootnoteReference"/>
          <w:rFonts w:asciiTheme="majorBidi" w:hAnsiTheme="majorBidi" w:cstheme="majorBidi"/>
        </w:rPr>
        <w:footnoteRef/>
      </w:r>
      <w:r w:rsidRPr="00644B88">
        <w:rPr>
          <w:rFonts w:asciiTheme="majorBidi" w:hAnsiTheme="majorBidi" w:cstheme="majorBidi"/>
          <w:color w:val="222222"/>
          <w:shd w:val="clear" w:color="auto" w:fill="FFFFFF"/>
        </w:rPr>
        <w:t xml:space="preserve"> Peer, E., &amp; Feldman, Y. (2021). Honesty pledges for the </w:t>
      </w:r>
      <w:r w:rsidRPr="00644B88">
        <w:rPr>
          <w:rFonts w:asciiTheme="majorBidi" w:hAnsiTheme="majorBidi" w:cstheme="majorBidi"/>
          <w:color w:val="222222"/>
          <w:shd w:val="clear" w:color="auto" w:fill="FFFFFF"/>
        </w:rPr>
        <w:t>behaviorally-based regulation of dishonesty. </w:t>
      </w:r>
      <w:r w:rsidRPr="00644B88">
        <w:rPr>
          <w:rFonts w:asciiTheme="majorBidi" w:hAnsiTheme="majorBidi" w:cstheme="majorBidi"/>
          <w:i/>
          <w:iCs/>
          <w:color w:val="222222"/>
          <w:shd w:val="clear" w:color="auto" w:fill="FFFFFF"/>
        </w:rPr>
        <w:t>Journal of European Public Policy</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28</w:t>
      </w:r>
      <w:r w:rsidRPr="00644B88">
        <w:rPr>
          <w:rFonts w:asciiTheme="majorBidi" w:hAnsiTheme="majorBidi" w:cstheme="majorBidi"/>
          <w:color w:val="222222"/>
          <w:shd w:val="clear" w:color="auto" w:fill="FFFFFF"/>
        </w:rPr>
        <w:t>(5), 761-781.</w:t>
      </w:r>
    </w:p>
  </w:footnote>
  <w:footnote w:id="94">
    <w:p w14:paraId="1C12DFAA" w14:textId="6168E220" w:rsidR="00D8383B" w:rsidRDefault="00D8383B">
      <w:pPr>
        <w:pStyle w:val="FootnoteText"/>
      </w:pPr>
      <w:r>
        <w:rPr>
          <w:rStyle w:val="FootnoteReference"/>
        </w:rPr>
        <w:footnoteRef/>
      </w:r>
      <w:r>
        <w:t xml:space="preserve"> </w:t>
      </w:r>
      <w:r>
        <w:rPr>
          <w:rFonts w:ascii="Arial" w:hAnsi="Arial" w:cs="Arial"/>
          <w:color w:val="222222"/>
          <w:shd w:val="clear" w:color="auto" w:fill="FFFFFF"/>
        </w:rPr>
        <w:t>Münscher, Robert, Max Vetter, and Thomas Scheuerle. "A review and taxonomy of choice architecture techniques." </w:t>
      </w:r>
      <w:r>
        <w:rPr>
          <w:rFonts w:ascii="Arial" w:hAnsi="Arial" w:cs="Arial"/>
          <w:i/>
          <w:iCs/>
          <w:color w:val="222222"/>
          <w:shd w:val="clear" w:color="auto" w:fill="FFFFFF"/>
        </w:rPr>
        <w:t>Journal of Behavioral Decision Making</w:t>
      </w:r>
      <w:r>
        <w:rPr>
          <w:rFonts w:ascii="Arial" w:hAnsi="Arial" w:cs="Arial"/>
          <w:color w:val="222222"/>
          <w:shd w:val="clear" w:color="auto" w:fill="FFFFFF"/>
        </w:rPr>
        <w:t> 29.5 (2016): 511-524.</w:t>
      </w:r>
    </w:p>
  </w:footnote>
  <w:footnote w:id="95">
    <w:p w14:paraId="11764A5E" w14:textId="77777777" w:rsidR="00F707F9" w:rsidRPr="00644B88" w:rsidRDefault="00F707F9" w:rsidP="00637780">
      <w:pPr>
        <w:pStyle w:val="FootnoteText"/>
        <w:ind w:left="-720"/>
        <w:jc w:val="both"/>
        <w:rPr>
          <w:rFonts w:asciiTheme="majorBidi" w:hAnsiTheme="majorBidi" w:cstheme="majorBidi"/>
        </w:rPr>
      </w:pPr>
      <w:r w:rsidRPr="00644B88">
        <w:rPr>
          <w:rFonts w:asciiTheme="majorBidi" w:hAnsiTheme="majorBidi" w:cstheme="majorBidi"/>
          <w:shd w:val="clear" w:color="auto" w:fill="FFFFFF"/>
          <w:vertAlign w:val="superscript"/>
        </w:rPr>
        <w:footnoteRef/>
      </w:r>
      <w:r w:rsidRPr="00644B88">
        <w:rPr>
          <w:rFonts w:asciiTheme="majorBidi" w:hAnsiTheme="majorBidi" w:cstheme="majorBidi"/>
          <w:shd w:val="clear" w:color="auto" w:fill="FFFFFF"/>
        </w:rPr>
        <w:t xml:space="preserve"> F</w:t>
      </w:r>
      <w:r w:rsidRPr="00644B88">
        <w:rPr>
          <w:rFonts w:asciiTheme="majorBidi" w:hAnsiTheme="majorBidi" w:cstheme="majorBidi"/>
          <w:color w:val="222222"/>
          <w:shd w:val="clear" w:color="auto" w:fill="FFFFFF"/>
        </w:rPr>
        <w:t>eldman, Y., &amp; Lobel, O. (2009). The incentives matrix: The comparative effectiveness of rewards, liabilities, duties, and protections for reporting illegality. </w:t>
      </w:r>
      <w:r w:rsidRPr="00644B88">
        <w:rPr>
          <w:rFonts w:asciiTheme="majorBidi" w:hAnsiTheme="majorBidi" w:cstheme="majorBidi"/>
          <w:i/>
          <w:iCs/>
          <w:color w:val="222222"/>
          <w:shd w:val="clear" w:color="auto" w:fill="FFFFFF"/>
        </w:rPr>
        <w:t>Tex. L. Rev.</w:t>
      </w:r>
      <w:r w:rsidRPr="00644B88">
        <w:rPr>
          <w:rFonts w:asciiTheme="majorBidi" w:hAnsiTheme="majorBidi" w:cstheme="majorBidi"/>
          <w:color w:val="222222"/>
          <w:shd w:val="clear" w:color="auto" w:fill="FFFFFF"/>
        </w:rPr>
        <w:t>, </w:t>
      </w:r>
      <w:r w:rsidRPr="00644B88">
        <w:rPr>
          <w:rFonts w:asciiTheme="majorBidi" w:hAnsiTheme="majorBidi" w:cstheme="majorBidi"/>
          <w:i/>
          <w:iCs/>
          <w:color w:val="222222"/>
          <w:shd w:val="clear" w:color="auto" w:fill="FFFFFF"/>
        </w:rPr>
        <w:t>88</w:t>
      </w:r>
      <w:r w:rsidRPr="00644B88">
        <w:rPr>
          <w:rFonts w:asciiTheme="majorBidi" w:hAnsiTheme="majorBidi" w:cstheme="majorBidi"/>
          <w:color w:val="222222"/>
          <w:shd w:val="clear" w:color="auto" w:fill="FFFFFF"/>
        </w:rPr>
        <w:t>, 1151.</w:t>
      </w:r>
    </w:p>
  </w:footnote>
  <w:footnote w:id="96">
    <w:p w14:paraId="020FB525" w14:textId="77777777" w:rsidR="00F707F9" w:rsidRPr="00644B88" w:rsidRDefault="00F707F9" w:rsidP="00644B88">
      <w:pPr>
        <w:pStyle w:val="FootnoteText"/>
        <w:ind w:hanging="720"/>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hAnsiTheme="majorBidi" w:cstheme="majorBidi"/>
          <w:shd w:val="clear" w:color="auto" w:fill="FFFFFF"/>
        </w:rPr>
        <w:t>T</w:t>
      </w:r>
      <w:r w:rsidRPr="00644B88">
        <w:rPr>
          <w:rFonts w:asciiTheme="majorBidi" w:hAnsiTheme="majorBidi" w:cstheme="majorBidi"/>
          <w:color w:val="222222"/>
          <w:shd w:val="clear" w:color="auto" w:fill="FFFFFF"/>
        </w:rPr>
        <w:t>haler, R. H., &amp; Sunstein, C. R. Nudge: Improving decisions about health, wealth, and happiness.</w:t>
      </w:r>
    </w:p>
  </w:footnote>
  <w:footnote w:id="97">
    <w:p w14:paraId="2FA4FA60" w14:textId="77777777" w:rsidR="00F707F9" w:rsidRPr="00644B88" w:rsidRDefault="00F707F9" w:rsidP="00637780">
      <w:pPr>
        <w:pStyle w:val="FootnoteText"/>
        <w:ind w:left="-720"/>
        <w:jc w:val="both"/>
        <w:rPr>
          <w:rFonts w:asciiTheme="majorBidi" w:hAnsiTheme="majorBidi" w:cstheme="majorBidi"/>
          <w:rtl/>
        </w:rPr>
      </w:pPr>
      <w:r w:rsidRPr="00644B88">
        <w:rPr>
          <w:rStyle w:val="FootnoteReference"/>
          <w:rFonts w:asciiTheme="majorBidi" w:hAnsiTheme="majorBidi" w:cstheme="majorBidi"/>
        </w:rPr>
        <w:footnoteRef/>
      </w:r>
      <w:r w:rsidRPr="00644B88">
        <w:rPr>
          <w:rFonts w:asciiTheme="majorBidi" w:hAnsiTheme="majorBidi" w:cstheme="majorBidi"/>
        </w:rPr>
        <w:t xml:space="preserve"> F</w:t>
      </w:r>
      <w:r w:rsidRPr="00644B88">
        <w:rPr>
          <w:rFonts w:asciiTheme="majorBidi" w:hAnsiTheme="majorBidi" w:cstheme="majorBidi"/>
          <w:color w:val="222222"/>
          <w:shd w:val="clear" w:color="auto" w:fill="FFFFFF"/>
        </w:rPr>
        <w:t>eldman, Y., &amp; Lobel, O. (2014). Behavioral trade-offs: Beyond the land of nudges spans the world of law and psychology. </w:t>
      </w:r>
      <w:r w:rsidRPr="00644B88">
        <w:rPr>
          <w:rFonts w:asciiTheme="majorBidi" w:hAnsiTheme="majorBidi" w:cstheme="majorBidi"/>
          <w:i/>
          <w:iCs/>
          <w:color w:val="222222"/>
          <w:shd w:val="clear" w:color="auto" w:fill="FFFFFF"/>
        </w:rPr>
        <w:t>San Diego Legal Studies Paper</w:t>
      </w:r>
      <w:r w:rsidRPr="00644B88">
        <w:rPr>
          <w:rFonts w:asciiTheme="majorBidi" w:hAnsiTheme="majorBidi" w:cstheme="majorBidi"/>
          <w:color w:val="222222"/>
          <w:shd w:val="clear" w:color="auto" w:fill="FFFFFF"/>
        </w:rPr>
        <w:t>, (14-158).</w:t>
      </w:r>
      <w:r w:rsidRPr="00644B88">
        <w:rPr>
          <w:rFonts w:asciiTheme="majorBidi" w:hAnsiTheme="majorBidi" w:cstheme="majorBidi"/>
        </w:rPr>
        <w:t xml:space="preserve"> </w:t>
      </w:r>
    </w:p>
  </w:footnote>
  <w:footnote w:id="98">
    <w:p w14:paraId="6352B46D" w14:textId="5A435E66" w:rsidR="002D62BB" w:rsidRDefault="002D62BB">
      <w:pPr>
        <w:pStyle w:val="FootnoteText"/>
      </w:pPr>
      <w:r>
        <w:rPr>
          <w:rStyle w:val="FootnoteReference"/>
        </w:rPr>
        <w:footnoteRef/>
      </w:r>
      <w:r>
        <w:t xml:space="preserve"> </w:t>
      </w:r>
      <w:r>
        <w:rPr>
          <w:rFonts w:ascii="Arial" w:hAnsi="Arial" w:cs="Arial"/>
          <w:color w:val="222222"/>
          <w:shd w:val="clear" w:color="auto" w:fill="FFFFFF"/>
        </w:rPr>
        <w:t>Milkman, Katherine L., Linnea Gandhi, Mitesh S. Patel, Heather N. Graci, Dena M. Gromet, Hung Ho, Joseph S. Kay et al. "A 680,000-person megastudy of nudges to encourage vaccination in pharmacies." </w:t>
      </w:r>
      <w:r>
        <w:rPr>
          <w:rFonts w:ascii="Arial" w:hAnsi="Arial" w:cs="Arial"/>
          <w:i/>
          <w:iCs/>
          <w:color w:val="222222"/>
          <w:shd w:val="clear" w:color="auto" w:fill="FFFFFF"/>
        </w:rPr>
        <w:t>Proceedings of the National Academy of Sciences</w:t>
      </w:r>
      <w:r>
        <w:rPr>
          <w:rFonts w:ascii="Arial" w:hAnsi="Arial" w:cs="Arial"/>
          <w:color w:val="222222"/>
          <w:shd w:val="clear" w:color="auto" w:fill="FFFFFF"/>
        </w:rPr>
        <w:t> 119, no. 6 (2022): e2115126119.</w:t>
      </w:r>
    </w:p>
  </w:footnote>
  <w:footnote w:id="99">
    <w:p w14:paraId="4E97AFBC" w14:textId="0FD7020F" w:rsidR="00F65D41" w:rsidRPr="00637780" w:rsidRDefault="00F65D41" w:rsidP="00637780">
      <w:pPr>
        <w:pStyle w:val="FootnoteText"/>
        <w:spacing w:before="2" w:after="2"/>
        <w:jc w:val="both"/>
      </w:pPr>
      <w:r w:rsidRPr="003B26D0">
        <w:rPr>
          <w:rStyle w:val="FootnoteReference"/>
          <w:rFonts w:asciiTheme="majorBidi" w:hAnsiTheme="majorBidi" w:cstheme="majorBidi"/>
        </w:rPr>
        <w:footnoteRef/>
      </w:r>
      <w:r w:rsidRPr="003B26D0">
        <w:rPr>
          <w:rFonts w:asciiTheme="majorBidi" w:hAnsiTheme="majorBidi" w:cstheme="majorBidi"/>
        </w:rPr>
        <w:t xml:space="preserve"> </w:t>
      </w:r>
      <w:r w:rsidRPr="003B26D0">
        <w:rPr>
          <w:rFonts w:asciiTheme="majorBidi" w:hAnsiTheme="majorBidi" w:cstheme="majorBidi"/>
          <w:shd w:val="clear" w:color="auto" w:fill="FFFFFF"/>
        </w:rPr>
        <w:t>Borisov, Igor, and Szergej Vinogradov. "The Role of Social Cohesion in Social and Economic Processes</w:t>
      </w:r>
      <w:r w:rsidRPr="003B26D0">
        <w:rPr>
          <w:rFonts w:asciiTheme="majorBidi" w:hAnsiTheme="majorBidi" w:cstheme="majorBidi"/>
          <w:i/>
          <w:iCs/>
          <w:shd w:val="clear" w:color="auto" w:fill="FFFFFF"/>
        </w:rPr>
        <w:t>." Proceedings of the International Conference" Business &amp; Management Scienc</w:t>
      </w:r>
      <w:r w:rsidRPr="003B26D0">
        <w:rPr>
          <w:rFonts w:asciiTheme="majorBidi" w:hAnsiTheme="majorBidi" w:cstheme="majorBidi"/>
          <w:shd w:val="clear" w:color="auto" w:fill="FFFFFF"/>
        </w:rPr>
        <w:t>es: New Challenges in Theory &amp; Practice. 2018</w:t>
      </w:r>
      <w:r w:rsidR="003B26D0" w:rsidRPr="00637780">
        <w:rPr>
          <w:rFonts w:asciiTheme="majorBidi" w:hAnsiTheme="majorBidi" w:cstheme="majorBidi"/>
          <w:shd w:val="clear" w:color="auto" w:fill="FFFFFF"/>
        </w:rPr>
        <w:t>.</w:t>
      </w:r>
    </w:p>
  </w:footnote>
  <w:footnote w:id="100">
    <w:p w14:paraId="48777C29" w14:textId="50FE9FEE" w:rsidR="00306D4A" w:rsidRDefault="00306D4A">
      <w:pPr>
        <w:pStyle w:val="FootnoteText"/>
      </w:pPr>
      <w:r>
        <w:rPr>
          <w:rStyle w:val="FootnoteReference"/>
        </w:rPr>
        <w:footnoteRef/>
      </w:r>
      <w:r>
        <w:t xml:space="preserve"> </w:t>
      </w:r>
      <w:r>
        <w:rPr>
          <w:rFonts w:ascii="Arial" w:hAnsi="Arial" w:cs="Arial"/>
          <w:color w:val="222222"/>
          <w:shd w:val="clear" w:color="auto" w:fill="FFFFFF"/>
        </w:rPr>
        <w:t>Elahee, Mohammad N., Susan L. Kirby, and Ercan Nasif. "National culture, trust, and perceptions about ethical behavior in intra</w:t>
      </w:r>
      <w:r>
        <w:rPr>
          <w:rFonts w:ascii="Cambria Math" w:hAnsi="Cambria Math" w:cs="Cambria Math"/>
          <w:color w:val="222222"/>
          <w:shd w:val="clear" w:color="auto" w:fill="FFFFFF"/>
        </w:rPr>
        <w:t>‐</w:t>
      </w:r>
      <w:r>
        <w:rPr>
          <w:rFonts w:ascii="Arial" w:hAnsi="Arial" w:cs="Arial"/>
          <w:color w:val="222222"/>
          <w:shd w:val="clear" w:color="auto" w:fill="FFFFFF"/>
        </w:rPr>
        <w:t>and cross</w:t>
      </w:r>
      <w:r>
        <w:rPr>
          <w:rFonts w:ascii="Cambria Math" w:hAnsi="Cambria Math" w:cs="Cambria Math"/>
          <w:color w:val="222222"/>
          <w:shd w:val="clear" w:color="auto" w:fill="FFFFFF"/>
        </w:rPr>
        <w:t>‐</w:t>
      </w:r>
      <w:r>
        <w:rPr>
          <w:rFonts w:ascii="Arial" w:hAnsi="Arial" w:cs="Arial"/>
          <w:color w:val="222222"/>
          <w:shd w:val="clear" w:color="auto" w:fill="FFFFFF"/>
        </w:rPr>
        <w:t>cultural negotiations: An analysis of NAFTA countries." </w:t>
      </w:r>
      <w:r>
        <w:rPr>
          <w:rFonts w:ascii="Arial" w:hAnsi="Arial" w:cs="Arial"/>
          <w:i/>
          <w:iCs/>
          <w:color w:val="222222"/>
          <w:shd w:val="clear" w:color="auto" w:fill="FFFFFF"/>
        </w:rPr>
        <w:t>Thunderbird International Business Review</w:t>
      </w:r>
      <w:r>
        <w:rPr>
          <w:rFonts w:ascii="Arial" w:hAnsi="Arial" w:cs="Arial"/>
          <w:color w:val="222222"/>
          <w:shd w:val="clear" w:color="auto" w:fill="FFFFFF"/>
        </w:rPr>
        <w:t> 44.6 (2002): 799-818.</w:t>
      </w:r>
    </w:p>
  </w:footnote>
  <w:footnote w:id="101">
    <w:p w14:paraId="157E1676" w14:textId="149FD053" w:rsidR="00306D4A" w:rsidRDefault="00306D4A">
      <w:pPr>
        <w:pStyle w:val="FootnoteText"/>
      </w:pPr>
      <w:r>
        <w:rPr>
          <w:rStyle w:val="FootnoteReference"/>
        </w:rPr>
        <w:footnoteRef/>
      </w:r>
      <w:r>
        <w:t xml:space="preserve"> </w:t>
      </w:r>
      <w:r>
        <w:rPr>
          <w:rFonts w:ascii="Arial" w:hAnsi="Arial" w:cs="Arial"/>
          <w:color w:val="222222"/>
          <w:shd w:val="clear" w:color="auto" w:fill="FFFFFF"/>
        </w:rPr>
        <w:t>Oh, Se Hyung. "Do collectivists conform more than individualists? Cross-cultural differences in compliance and internalization." </w:t>
      </w:r>
      <w:r>
        <w:rPr>
          <w:rFonts w:ascii="Arial" w:hAnsi="Arial" w:cs="Arial"/>
          <w:i/>
          <w:iCs/>
          <w:color w:val="222222"/>
          <w:shd w:val="clear" w:color="auto" w:fill="FFFFFF"/>
        </w:rPr>
        <w:t>Social Behavior and Personality: an international journal</w:t>
      </w:r>
      <w:r>
        <w:rPr>
          <w:rFonts w:ascii="Arial" w:hAnsi="Arial" w:cs="Arial"/>
          <w:color w:val="222222"/>
          <w:shd w:val="clear" w:color="auto" w:fill="FFFFFF"/>
        </w:rPr>
        <w:t> 41.6 (2013): 981-994.</w:t>
      </w:r>
    </w:p>
  </w:footnote>
  <w:footnote w:id="102">
    <w:p w14:paraId="5EF6AD22" w14:textId="77777777" w:rsidR="00F707F9" w:rsidRPr="00637780" w:rsidRDefault="00F707F9"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Garland, David. </w:t>
      </w:r>
      <w:r w:rsidRPr="00637780">
        <w:rPr>
          <w:rFonts w:asciiTheme="majorBidi" w:hAnsiTheme="majorBidi" w:cstheme="majorBidi"/>
          <w:i/>
          <w:iCs/>
          <w:shd w:val="clear" w:color="auto" w:fill="FFFFFF"/>
        </w:rPr>
        <w:t>Punishment and modern society: A study in social theory</w:t>
      </w:r>
      <w:r w:rsidRPr="00637780">
        <w:rPr>
          <w:rFonts w:asciiTheme="majorBidi" w:hAnsiTheme="majorBidi" w:cstheme="majorBidi"/>
          <w:shd w:val="clear" w:color="auto" w:fill="FFFFFF"/>
        </w:rPr>
        <w:t>. University of Chicago Press, 2012.</w:t>
      </w:r>
    </w:p>
  </w:footnote>
  <w:footnote w:id="103">
    <w:p w14:paraId="0F57AD93" w14:textId="77777777" w:rsidR="004A780E" w:rsidRDefault="004A780E" w:rsidP="004A780E">
      <w:pPr>
        <w:pStyle w:val="FootnoteText"/>
      </w:pPr>
      <w:r>
        <w:rPr>
          <w:rStyle w:val="FootnoteReference"/>
        </w:rPr>
        <w:footnoteRef/>
      </w:r>
      <w:r>
        <w:t xml:space="preserve"> </w:t>
      </w:r>
      <w:r>
        <w:rPr>
          <w:rFonts w:ascii="Arial" w:hAnsi="Arial" w:cs="Arial"/>
          <w:color w:val="222222"/>
          <w:shd w:val="clear" w:color="auto" w:fill="FFFFFF"/>
        </w:rPr>
        <w:t>Moser, Andrea K. "Consumers' purchasing decisions regarding environmentally friendly products: An empirical analysis of German consumers." </w:t>
      </w:r>
      <w:r>
        <w:rPr>
          <w:rFonts w:ascii="Arial" w:hAnsi="Arial" w:cs="Arial"/>
          <w:i/>
          <w:iCs/>
          <w:color w:val="222222"/>
          <w:shd w:val="clear" w:color="auto" w:fill="FFFFFF"/>
        </w:rPr>
        <w:t>Journal of Retailing and Consumer Services</w:t>
      </w:r>
      <w:r>
        <w:rPr>
          <w:rFonts w:ascii="Arial" w:hAnsi="Arial" w:cs="Arial"/>
          <w:color w:val="222222"/>
          <w:shd w:val="clear" w:color="auto" w:fill="FFFFFF"/>
        </w:rPr>
        <w:t> 31 (2016): 389-397.</w:t>
      </w:r>
    </w:p>
  </w:footnote>
  <w:footnote w:id="104">
    <w:p w14:paraId="31AA86EB" w14:textId="77777777" w:rsidR="004A780E" w:rsidRPr="00104695" w:rsidRDefault="004A780E" w:rsidP="004A780E">
      <w:pPr>
        <w:pStyle w:val="FootnoteText"/>
        <w:jc w:val="both"/>
        <w:rPr>
          <w:rFonts w:asciiTheme="majorBidi" w:hAnsiTheme="majorBidi" w:cstheme="majorBidi"/>
        </w:rPr>
      </w:pPr>
      <w:r>
        <w:rPr>
          <w:rStyle w:val="FootnoteReference"/>
        </w:rPr>
        <w:footnoteRef/>
      </w:r>
      <w:hyperlink r:id="rId4" w:history="1">
        <w:r w:rsidRPr="00104695">
          <w:rPr>
            <w:rStyle w:val="Hyperlink"/>
            <w:rFonts w:asciiTheme="majorBidi" w:hAnsiTheme="majorBidi" w:cstheme="majorBidi"/>
          </w:rPr>
          <w:t>http://persuasion-and-influence.blogspot.com/2018/03/next-episode-in-10seconds-default.html</w:t>
        </w:r>
      </w:hyperlink>
      <w:r w:rsidRPr="00104695">
        <w:rPr>
          <w:rFonts w:asciiTheme="majorBidi" w:hAnsiTheme="majorBidi" w:cstheme="majorBidi"/>
        </w:rPr>
        <w:t>, visited July 5</w:t>
      </w:r>
      <w:r w:rsidRPr="00104695">
        <w:rPr>
          <w:rFonts w:asciiTheme="majorBidi" w:hAnsiTheme="majorBidi" w:cstheme="majorBidi"/>
          <w:vertAlign w:val="superscript"/>
        </w:rPr>
        <w:t>th</w:t>
      </w:r>
      <w:r w:rsidRPr="00104695">
        <w:rPr>
          <w:rFonts w:asciiTheme="majorBidi" w:hAnsiTheme="majorBidi" w:cstheme="majorBidi"/>
        </w:rPr>
        <w:t xml:space="preserve"> 2023 </w:t>
      </w:r>
    </w:p>
  </w:footnote>
  <w:footnote w:id="105">
    <w:p w14:paraId="7606A6C8" w14:textId="77777777" w:rsidR="004A780E" w:rsidRPr="00104695" w:rsidRDefault="004A780E" w:rsidP="004A780E">
      <w:pPr>
        <w:pStyle w:val="FootnoteText"/>
        <w:jc w:val="both"/>
        <w:rPr>
          <w:rFonts w:asciiTheme="majorBidi" w:hAnsiTheme="majorBidi" w:cstheme="majorBidi"/>
        </w:rPr>
      </w:pPr>
      <w:r w:rsidRPr="00104695">
        <w:rPr>
          <w:rStyle w:val="FootnoteReference"/>
          <w:rFonts w:asciiTheme="majorBidi" w:hAnsiTheme="majorBidi" w:cstheme="majorBidi"/>
        </w:rPr>
        <w:footnoteRef/>
      </w:r>
      <w:r w:rsidRPr="00104695">
        <w:rPr>
          <w:rFonts w:asciiTheme="majorBidi" w:hAnsiTheme="majorBidi" w:cstheme="majorBidi"/>
        </w:rPr>
        <w:t xml:space="preserve"> </w:t>
      </w:r>
      <w:r w:rsidRPr="00104695">
        <w:rPr>
          <w:rFonts w:asciiTheme="majorBidi" w:hAnsiTheme="majorBidi" w:cstheme="majorBidi"/>
          <w:color w:val="222222"/>
          <w:shd w:val="clear" w:color="auto" w:fill="FFFFFF"/>
        </w:rPr>
        <w:t>Nelson, Robert M., et al. "The concept of voluntary consent." </w:t>
      </w:r>
      <w:r w:rsidRPr="00104695">
        <w:rPr>
          <w:rFonts w:asciiTheme="majorBidi" w:hAnsiTheme="majorBidi" w:cstheme="majorBidi"/>
          <w:i/>
          <w:iCs/>
          <w:color w:val="222222"/>
          <w:shd w:val="clear" w:color="auto" w:fill="FFFFFF"/>
        </w:rPr>
        <w:t>The American Journal of Bioethics</w:t>
      </w:r>
      <w:r w:rsidRPr="00104695">
        <w:rPr>
          <w:rFonts w:asciiTheme="majorBidi" w:hAnsiTheme="majorBidi" w:cstheme="majorBidi"/>
          <w:color w:val="222222"/>
          <w:shd w:val="clear" w:color="auto" w:fill="FFFFFF"/>
        </w:rPr>
        <w:t> 11.8 (2011): 6-16.</w:t>
      </w:r>
    </w:p>
  </w:footnote>
  <w:footnote w:id="106">
    <w:p w14:paraId="78393672" w14:textId="77777777" w:rsidR="004A780E" w:rsidRDefault="004A780E" w:rsidP="004A780E">
      <w:pPr>
        <w:pStyle w:val="FootnoteText"/>
      </w:pPr>
      <w:r>
        <w:rPr>
          <w:rStyle w:val="FootnoteReference"/>
        </w:rPr>
        <w:footnoteRef/>
      </w:r>
      <w:r>
        <w:t xml:space="preserve"> </w:t>
      </w:r>
      <w:r>
        <w:rPr>
          <w:rFonts w:ascii="Arial" w:hAnsi="Arial" w:cs="Arial"/>
          <w:color w:val="222222"/>
          <w:shd w:val="clear" w:color="auto" w:fill="FFFFFF"/>
        </w:rPr>
        <w:t>Ryan, Richard M., and Edward L. Deci. "Autonomy is no illusion." </w:t>
      </w:r>
      <w:r>
        <w:rPr>
          <w:rFonts w:ascii="Arial" w:hAnsi="Arial" w:cs="Arial"/>
          <w:i/>
          <w:iCs/>
          <w:color w:val="222222"/>
          <w:shd w:val="clear" w:color="auto" w:fill="FFFFFF"/>
        </w:rPr>
        <w:t>Handbook of experimental existential psychology</w:t>
      </w:r>
      <w:r>
        <w:rPr>
          <w:rFonts w:ascii="Arial" w:hAnsi="Arial" w:cs="Arial"/>
          <w:color w:val="222222"/>
          <w:shd w:val="clear" w:color="auto" w:fill="FFFFFF"/>
        </w:rPr>
        <w:t> (2004): 449-479.</w:t>
      </w:r>
    </w:p>
  </w:footnote>
  <w:footnote w:id="107">
    <w:p w14:paraId="2CCAAB6E" w14:textId="6EF7C769" w:rsidR="009B5FD3" w:rsidRDefault="009B5FD3">
      <w:pPr>
        <w:pStyle w:val="FootnoteText"/>
      </w:pPr>
      <w:r>
        <w:rPr>
          <w:rStyle w:val="FootnoteReference"/>
        </w:rPr>
        <w:footnoteRef/>
      </w:r>
      <w:r>
        <w:t xml:space="preserve"> </w:t>
      </w:r>
      <w:r>
        <w:rPr>
          <w:rFonts w:ascii="Arial" w:hAnsi="Arial" w:cs="Arial"/>
          <w:color w:val="222222"/>
          <w:shd w:val="clear" w:color="auto" w:fill="FFFFFF"/>
        </w:rPr>
        <w:t>Schlag, Pierre. "Rules and standards." </w:t>
      </w:r>
      <w:r>
        <w:rPr>
          <w:rFonts w:ascii="Arial" w:hAnsi="Arial" w:cs="Arial"/>
          <w:i/>
          <w:iCs/>
          <w:color w:val="222222"/>
          <w:shd w:val="clear" w:color="auto" w:fill="FFFFFF"/>
        </w:rPr>
        <w:t>Ucla L. Rev.</w:t>
      </w:r>
      <w:r>
        <w:rPr>
          <w:rFonts w:ascii="Arial" w:hAnsi="Arial" w:cs="Arial"/>
          <w:color w:val="222222"/>
          <w:shd w:val="clear" w:color="auto" w:fill="FFFFFF"/>
        </w:rPr>
        <w:t> 33 (1985): 379. Kaplow, Louis. "Rules versus standards: An economic analysis." </w:t>
      </w:r>
      <w:r>
        <w:rPr>
          <w:rFonts w:ascii="Arial" w:hAnsi="Arial" w:cs="Arial"/>
          <w:i/>
          <w:iCs/>
          <w:color w:val="222222"/>
          <w:shd w:val="clear" w:color="auto" w:fill="FFFFFF"/>
        </w:rPr>
        <w:t>Scientific Models of Legal Reasoning</w:t>
      </w:r>
      <w:r>
        <w:rPr>
          <w:rFonts w:ascii="Arial" w:hAnsi="Arial" w:cs="Arial"/>
          <w:color w:val="222222"/>
          <w:shd w:val="clear" w:color="auto" w:fill="FFFFFF"/>
        </w:rPr>
        <w:t>. Routledge, 2013. 11-84.</w:t>
      </w:r>
    </w:p>
  </w:footnote>
  <w:footnote w:id="108">
    <w:p w14:paraId="3E8722E9" w14:textId="361EA5FE" w:rsidR="009B5FD3" w:rsidRDefault="009B5FD3">
      <w:pPr>
        <w:pStyle w:val="FootnoteText"/>
      </w:pPr>
      <w:r>
        <w:rPr>
          <w:rStyle w:val="FootnoteReference"/>
        </w:rPr>
        <w:footnoteRef/>
      </w:r>
      <w:r>
        <w:t xml:space="preserve"> </w:t>
      </w:r>
      <w:r>
        <w:rPr>
          <w:rFonts w:ascii="Arial" w:hAnsi="Arial" w:cs="Arial"/>
          <w:color w:val="222222"/>
          <w:shd w:val="clear" w:color="auto" w:fill="FFFFFF"/>
        </w:rPr>
        <w:t>Feldman, Yuval, and Doron Teichman. "Are all legal probabilities created equal." </w:t>
      </w:r>
      <w:r>
        <w:rPr>
          <w:rFonts w:ascii="Arial" w:hAnsi="Arial" w:cs="Arial"/>
          <w:i/>
          <w:iCs/>
          <w:color w:val="222222"/>
          <w:shd w:val="clear" w:color="auto" w:fill="FFFFFF"/>
        </w:rPr>
        <w:t>NYUL Rev.</w:t>
      </w:r>
      <w:r>
        <w:rPr>
          <w:rFonts w:ascii="Arial" w:hAnsi="Arial" w:cs="Arial"/>
          <w:color w:val="222222"/>
          <w:shd w:val="clear" w:color="auto" w:fill="FFFFFF"/>
        </w:rPr>
        <w:t> 84 (2009): 980.</w:t>
      </w:r>
    </w:p>
  </w:footnote>
  <w:footnote w:id="109">
    <w:p w14:paraId="634352F7" w14:textId="4FEE1B6F" w:rsidR="0003076A" w:rsidRDefault="0003076A">
      <w:pPr>
        <w:pStyle w:val="FootnoteText"/>
      </w:pPr>
      <w:r>
        <w:rPr>
          <w:rStyle w:val="FootnoteReference"/>
        </w:rPr>
        <w:footnoteRef/>
      </w:r>
      <w:r>
        <w:t xml:space="preserve"> As for example was the situation in the US </w:t>
      </w:r>
      <w:r>
        <w:rPr>
          <w:rFonts w:ascii="Arial" w:hAnsi="Arial" w:cs="Arial"/>
          <w:color w:val="222222"/>
          <w:shd w:val="clear" w:color="auto" w:fill="FFFFFF"/>
        </w:rPr>
        <w:t>DeJonckheere, Melissa, et al. "Views on COVID-19 and use of face coverings among US youth." </w:t>
      </w:r>
      <w:r>
        <w:rPr>
          <w:rFonts w:ascii="Arial" w:hAnsi="Arial" w:cs="Arial"/>
          <w:i/>
          <w:iCs/>
          <w:color w:val="222222"/>
          <w:shd w:val="clear" w:color="auto" w:fill="FFFFFF"/>
        </w:rPr>
        <w:t>Journal of Adolescent Health</w:t>
      </w:r>
      <w:r>
        <w:rPr>
          <w:rFonts w:ascii="Arial" w:hAnsi="Arial" w:cs="Arial"/>
          <w:color w:val="222222"/>
          <w:shd w:val="clear" w:color="auto" w:fill="FFFFFF"/>
        </w:rPr>
        <w:t> 68.5 (2021): 873-881.</w:t>
      </w:r>
    </w:p>
  </w:footnote>
  <w:footnote w:id="110">
    <w:p w14:paraId="45EAB3EB" w14:textId="77777777" w:rsidR="004A780E" w:rsidRPr="00104695" w:rsidRDefault="004A780E" w:rsidP="004A780E">
      <w:pPr>
        <w:pStyle w:val="FootnoteText"/>
        <w:jc w:val="both"/>
        <w:rPr>
          <w:rFonts w:asciiTheme="majorBidi" w:hAnsiTheme="majorBidi" w:cstheme="majorBidi"/>
        </w:rPr>
      </w:pPr>
      <w:r w:rsidRPr="00104695">
        <w:rPr>
          <w:rStyle w:val="FootnoteReference"/>
          <w:rFonts w:asciiTheme="majorBidi" w:hAnsiTheme="majorBidi" w:cstheme="majorBidi"/>
        </w:rPr>
        <w:footnoteRef/>
      </w:r>
      <w:r w:rsidRPr="00104695">
        <w:rPr>
          <w:rFonts w:asciiTheme="majorBidi" w:hAnsiTheme="majorBidi" w:cstheme="majorBidi"/>
        </w:rPr>
        <w:t xml:space="preserve"> Hansen S, Whitelaw B, Leong JD (2012) Tackling fare evasion on Calgary transit’s CTrain system. Sustaining the Metropolis, 84;</w:t>
      </w:r>
      <w:r w:rsidRPr="00A16051">
        <w:rPr>
          <w:rFonts w:asciiTheme="majorBidi" w:hAnsiTheme="majorBidi" w:cstheme="majorBidi"/>
        </w:rPr>
        <w:t xml:space="preserve"> </w:t>
      </w:r>
      <w:r w:rsidRPr="00104695">
        <w:rPr>
          <w:rFonts w:asciiTheme="majorBidi" w:hAnsiTheme="majorBidi" w:cstheme="majorBidi"/>
        </w:rPr>
        <w:t xml:space="preserve">Larwin TF, Koprowski Y (2012a) Of-board fare payment using proof-of-payment verifcation, vol 96. Transportation Research </w:t>
      </w:r>
      <w:r w:rsidRPr="00104695">
        <w:rPr>
          <w:rFonts w:asciiTheme="majorBidi" w:hAnsiTheme="majorBidi" w:cstheme="majorBidi"/>
        </w:rPr>
        <w:t>Board;  Larwin TF, Koprowski Y (2012b) Of-board fare payment using proof-of-payment verifcation. Transit Cooperative Research Program, Synthesis 96. Washington, D.C.</w:t>
      </w:r>
      <w:r w:rsidRPr="00A16051">
        <w:rPr>
          <w:rFonts w:asciiTheme="majorBidi" w:hAnsiTheme="majorBidi" w:cstheme="majorBidi"/>
        </w:rPr>
        <w:t>;</w:t>
      </w:r>
      <w:r w:rsidRPr="00104695">
        <w:rPr>
          <w:rFonts w:asciiTheme="majorBidi" w:hAnsiTheme="majorBidi" w:cstheme="majorBidi"/>
        </w:rPr>
        <w:t xml:space="preserve"> Torres-Montoya M (2014) Tackling fare evasion in Transantiago: an integrated approach. In: Transportation Research Board 93rd annual meeting (No. 14-4641)</w:t>
      </w:r>
      <w:r w:rsidRPr="00A16051">
        <w:rPr>
          <w:rFonts w:asciiTheme="majorBidi" w:hAnsiTheme="majorBidi" w:cstheme="majorBidi"/>
        </w:rPr>
        <w:t>;</w:t>
      </w:r>
      <w:r w:rsidRPr="00104695">
        <w:rPr>
          <w:rFonts w:asciiTheme="majorBidi" w:hAnsiTheme="majorBidi" w:cstheme="majorBidi"/>
        </w:rPr>
        <w:t xml:space="preserve"> Reddy AV, Kuhls J, Lu A (2011) Measuring and controlling subway fare evasion. Transp Res Rec 2216:85–99.</w:t>
      </w:r>
    </w:p>
  </w:footnote>
  <w:footnote w:id="111">
    <w:p w14:paraId="580505A0" w14:textId="77777777" w:rsidR="004A780E" w:rsidRPr="00104695" w:rsidRDefault="004A780E" w:rsidP="004A780E">
      <w:pPr>
        <w:pStyle w:val="FootnoteText"/>
        <w:jc w:val="both"/>
        <w:rPr>
          <w:rFonts w:asciiTheme="majorBidi" w:hAnsiTheme="majorBidi" w:cstheme="majorBidi"/>
        </w:rPr>
      </w:pPr>
      <w:r w:rsidRPr="00104695">
        <w:rPr>
          <w:rStyle w:val="FootnoteReference"/>
          <w:rFonts w:asciiTheme="majorBidi" w:hAnsiTheme="majorBidi" w:cstheme="majorBidi"/>
        </w:rPr>
        <w:footnoteRef/>
      </w:r>
      <w:r w:rsidRPr="00104695">
        <w:rPr>
          <w:rFonts w:asciiTheme="majorBidi" w:hAnsiTheme="majorBidi" w:cstheme="majorBidi"/>
        </w:rPr>
        <w:t xml:space="preserve"> Bijleveld C (2007) Fare dodging and the strong arm of the law. J Exp Criminol 3(2):183–199.;</w:t>
      </w:r>
      <w:r w:rsidRPr="00104695">
        <w:rPr>
          <w:rFonts w:asciiTheme="majorBidi" w:hAnsiTheme="majorBidi" w:cstheme="majorBidi"/>
          <w:color w:val="222222"/>
          <w:shd w:val="clear" w:color="auto" w:fill="FFFFFF"/>
        </w:rPr>
        <w:t xml:space="preserve"> arabino, B., Lai, C., &amp; Olivo, A. (2020). Fare evasion in public transport systems: A review of the literature. </w:t>
      </w:r>
      <w:r w:rsidRPr="00104695">
        <w:rPr>
          <w:rFonts w:asciiTheme="majorBidi" w:hAnsiTheme="majorBidi" w:cstheme="majorBidi"/>
          <w:i/>
          <w:iCs/>
          <w:color w:val="222222"/>
          <w:shd w:val="clear" w:color="auto" w:fill="FFFFFF"/>
        </w:rPr>
        <w:t>Public Transport</w:t>
      </w:r>
      <w:r w:rsidRPr="00104695">
        <w:rPr>
          <w:rFonts w:asciiTheme="majorBidi" w:hAnsiTheme="majorBidi" w:cstheme="majorBidi"/>
          <w:color w:val="222222"/>
          <w:shd w:val="clear" w:color="auto" w:fill="FFFFFF"/>
        </w:rPr>
        <w:t>, </w:t>
      </w:r>
      <w:r w:rsidRPr="00104695">
        <w:rPr>
          <w:rFonts w:asciiTheme="majorBidi" w:hAnsiTheme="majorBidi" w:cstheme="majorBidi"/>
          <w:i/>
          <w:iCs/>
          <w:color w:val="222222"/>
          <w:shd w:val="clear" w:color="auto" w:fill="FFFFFF"/>
        </w:rPr>
        <w:t>12</w:t>
      </w:r>
      <w:r w:rsidRPr="00104695">
        <w:rPr>
          <w:rFonts w:asciiTheme="majorBidi" w:hAnsiTheme="majorBidi" w:cstheme="majorBidi"/>
          <w:color w:val="222222"/>
          <w:shd w:val="clear" w:color="auto" w:fill="FFFFFF"/>
        </w:rPr>
        <w:t>, 27-88.</w:t>
      </w:r>
    </w:p>
  </w:footnote>
  <w:footnote w:id="112">
    <w:p w14:paraId="53B5C15C" w14:textId="77777777" w:rsidR="004A780E" w:rsidRDefault="004A780E" w:rsidP="004A780E">
      <w:pPr>
        <w:pStyle w:val="FootnoteText"/>
      </w:pPr>
      <w:r w:rsidRPr="00104695">
        <w:rPr>
          <w:rStyle w:val="FootnoteReference"/>
          <w:rFonts w:asciiTheme="majorBidi" w:hAnsiTheme="majorBidi" w:cstheme="majorBidi"/>
        </w:rPr>
        <w:footnoteRef/>
      </w:r>
      <w:r w:rsidRPr="00104695">
        <w:rPr>
          <w:rFonts w:asciiTheme="majorBidi" w:hAnsiTheme="majorBidi" w:cstheme="majorBidi"/>
        </w:rPr>
        <w:t xml:space="preserve"> </w:t>
      </w:r>
      <w:r w:rsidRPr="00104695">
        <w:rPr>
          <w:rFonts w:asciiTheme="majorBidi" w:hAnsiTheme="majorBidi" w:cstheme="majorBidi"/>
          <w:color w:val="222222"/>
          <w:shd w:val="clear" w:color="auto" w:fill="FFFFFF"/>
        </w:rPr>
        <w:t>Dai, Zhixin, Fabio Galeotti, and Marie Claire Villeval. "Cheating in the lab predicts fraud in the field: An experiment in public transportation." </w:t>
      </w:r>
      <w:r w:rsidRPr="00104695">
        <w:rPr>
          <w:rFonts w:asciiTheme="majorBidi" w:hAnsiTheme="majorBidi" w:cstheme="majorBidi"/>
          <w:i/>
          <w:iCs/>
          <w:color w:val="222222"/>
          <w:shd w:val="clear" w:color="auto" w:fill="FFFFFF"/>
        </w:rPr>
        <w:t>Management Science</w:t>
      </w:r>
      <w:r w:rsidRPr="00104695">
        <w:rPr>
          <w:rFonts w:asciiTheme="majorBidi" w:hAnsiTheme="majorBidi" w:cstheme="majorBidi"/>
          <w:color w:val="222222"/>
          <w:shd w:val="clear" w:color="auto" w:fill="FFFFFF"/>
        </w:rPr>
        <w:t> 64.3 (2018): 1081-1100.</w:t>
      </w:r>
      <w:r w:rsidRPr="00104695">
        <w:rPr>
          <w:rFonts w:asciiTheme="majorBidi" w:hAnsiTheme="majorBidi" w:cstheme="majorBidi"/>
        </w:rPr>
        <w:t xml:space="preserve"> </w:t>
      </w:r>
      <w:r w:rsidRPr="00104695">
        <w:rPr>
          <w:rFonts w:asciiTheme="majorBidi" w:hAnsiTheme="majorBidi" w:cstheme="majorBidi"/>
          <w:color w:val="222222"/>
          <w:shd w:val="clear" w:color="auto" w:fill="FFFFFF"/>
        </w:rPr>
        <w:t>Barabino, Benedetto, Cristian Lai, and Alessandro</w:t>
      </w:r>
      <w:r>
        <w:rPr>
          <w:rFonts w:ascii="Arial" w:hAnsi="Arial" w:cs="Arial"/>
          <w:color w:val="222222"/>
          <w:shd w:val="clear" w:color="auto" w:fill="FFFFFF"/>
        </w:rPr>
        <w:t xml:space="preserve"> Olivo. "Fare evasion in public transport systems: A review of the literature." </w:t>
      </w:r>
      <w:r>
        <w:rPr>
          <w:rFonts w:ascii="Arial" w:hAnsi="Arial" w:cs="Arial"/>
          <w:i/>
          <w:iCs/>
          <w:color w:val="222222"/>
          <w:shd w:val="clear" w:color="auto" w:fill="FFFFFF"/>
        </w:rPr>
        <w:t>Public Transport</w:t>
      </w:r>
      <w:r>
        <w:rPr>
          <w:rFonts w:ascii="Arial" w:hAnsi="Arial" w:cs="Arial"/>
          <w:color w:val="222222"/>
          <w:shd w:val="clear" w:color="auto" w:fill="FFFFFF"/>
        </w:rPr>
        <w:t> 12 (2020): 27-88.</w:t>
      </w:r>
    </w:p>
  </w:footnote>
  <w:footnote w:id="113">
    <w:p w14:paraId="0AEEE22B" w14:textId="77777777" w:rsidR="000E2C83" w:rsidRDefault="000E2C83" w:rsidP="000E2C83">
      <w:pPr>
        <w:pStyle w:val="FootnoteText"/>
      </w:pPr>
      <w:r>
        <w:rPr>
          <w:rStyle w:val="FootnoteReference"/>
        </w:rPr>
        <w:footnoteRef/>
      </w:r>
      <w:r>
        <w:t xml:space="preserve"> </w:t>
      </w:r>
      <w:r>
        <w:rPr>
          <w:rFonts w:ascii="Arial" w:hAnsi="Arial" w:cs="Arial"/>
          <w:color w:val="222222"/>
          <w:shd w:val="clear" w:color="auto" w:fill="FFFFFF"/>
        </w:rPr>
        <w:t>O’Keefe, Daniel J. "Guilt as a mechanism of persuasion." </w:t>
      </w:r>
      <w:r>
        <w:rPr>
          <w:rFonts w:ascii="Arial" w:hAnsi="Arial" w:cs="Arial"/>
          <w:i/>
          <w:iCs/>
          <w:color w:val="222222"/>
          <w:shd w:val="clear" w:color="auto" w:fill="FFFFFF"/>
        </w:rPr>
        <w:t>The persuasion handbook: Developments in theory and practice</w:t>
      </w:r>
      <w:r>
        <w:rPr>
          <w:rFonts w:ascii="Arial" w:hAnsi="Arial" w:cs="Arial"/>
          <w:color w:val="222222"/>
          <w:shd w:val="clear" w:color="auto" w:fill="FFFFFF"/>
        </w:rPr>
        <w:t> (2002): 329-344. Massi Lindsey, Lisa L. "Anticipated guilt as behavioral motivation: An examination of appeals to help unknown others through bone marrow donation." </w:t>
      </w:r>
      <w:r>
        <w:rPr>
          <w:rFonts w:ascii="Arial" w:hAnsi="Arial" w:cs="Arial"/>
          <w:i/>
          <w:iCs/>
          <w:color w:val="222222"/>
          <w:shd w:val="clear" w:color="auto" w:fill="FFFFFF"/>
        </w:rPr>
        <w:t>Human Communication Research</w:t>
      </w:r>
      <w:r>
        <w:rPr>
          <w:rFonts w:ascii="Arial" w:hAnsi="Arial" w:cs="Arial"/>
          <w:color w:val="222222"/>
          <w:shd w:val="clear" w:color="auto" w:fill="FFFFFF"/>
        </w:rPr>
        <w:t> 31.4 (2005): 453-481.</w:t>
      </w:r>
    </w:p>
  </w:footnote>
  <w:footnote w:id="114">
    <w:p w14:paraId="7869905B" w14:textId="548E907C" w:rsidR="00544423" w:rsidRDefault="00544423">
      <w:pPr>
        <w:pStyle w:val="FootnoteText"/>
        <w:rPr>
          <w:rtl/>
        </w:rPr>
      </w:pPr>
      <w:r>
        <w:rPr>
          <w:rStyle w:val="FootnoteReference"/>
        </w:rPr>
        <w:footnoteRef/>
      </w:r>
      <w:r>
        <w:t xml:space="preserve"> </w:t>
      </w:r>
      <w:r>
        <w:rPr>
          <w:rFonts w:ascii="Arial" w:hAnsi="Arial" w:cs="Arial"/>
          <w:color w:val="222222"/>
          <w:shd w:val="clear" w:color="auto" w:fill="FFFFFF"/>
        </w:rPr>
        <w:t>Travers, Michael L. "Mistake of law in mala prohibita crimes." </w:t>
      </w:r>
      <w:r>
        <w:rPr>
          <w:rFonts w:ascii="Arial" w:hAnsi="Arial" w:cs="Arial"/>
          <w:i/>
          <w:iCs/>
          <w:color w:val="222222"/>
          <w:shd w:val="clear" w:color="auto" w:fill="FFFFFF"/>
        </w:rPr>
        <w:t>The University of Chicago Law Review</w:t>
      </w:r>
      <w:r>
        <w:rPr>
          <w:rFonts w:ascii="Arial" w:hAnsi="Arial" w:cs="Arial"/>
          <w:color w:val="222222"/>
          <w:shd w:val="clear" w:color="auto" w:fill="FFFFFF"/>
        </w:rPr>
        <w:t> 62.3 (1995): 1301-1331.</w:t>
      </w:r>
    </w:p>
  </w:footnote>
  <w:footnote w:id="115">
    <w:p w14:paraId="101997CC" w14:textId="0A35F700" w:rsidR="00311CBA" w:rsidRDefault="00311CBA">
      <w:pPr>
        <w:pStyle w:val="FootnoteText"/>
      </w:pPr>
      <w:r>
        <w:rPr>
          <w:rStyle w:val="FootnoteReference"/>
        </w:rPr>
        <w:footnoteRef/>
      </w:r>
      <w:r>
        <w:t xml:space="preserve"> </w:t>
      </w:r>
      <w:r>
        <w:rPr>
          <w:rFonts w:ascii="Arial" w:hAnsi="Arial" w:cs="Arial"/>
          <w:color w:val="222222"/>
          <w:shd w:val="clear" w:color="auto" w:fill="FFFFFF"/>
        </w:rPr>
        <w:t>Laffont, Jean-Jacques, and Jean Tirole. </w:t>
      </w:r>
      <w:r>
        <w:rPr>
          <w:rFonts w:ascii="Arial" w:hAnsi="Arial" w:cs="Arial"/>
          <w:i/>
          <w:iCs/>
          <w:color w:val="222222"/>
          <w:shd w:val="clear" w:color="auto" w:fill="FFFFFF"/>
        </w:rPr>
        <w:t>A theory of incentives in procurement and regulation</w:t>
      </w:r>
      <w:r>
        <w:rPr>
          <w:rFonts w:ascii="Arial" w:hAnsi="Arial" w:cs="Arial"/>
          <w:color w:val="222222"/>
          <w:shd w:val="clear" w:color="auto" w:fill="FFFFFF"/>
        </w:rPr>
        <w:t>. MIT press, 1993.</w:t>
      </w:r>
    </w:p>
  </w:footnote>
  <w:footnote w:id="116">
    <w:p w14:paraId="546C1937" w14:textId="77777777" w:rsidR="00F707F9" w:rsidRPr="00644B88" w:rsidRDefault="00F707F9" w:rsidP="00637780">
      <w:pPr>
        <w:pStyle w:val="FootnoteText"/>
        <w:jc w:val="both"/>
        <w:rPr>
          <w:rFonts w:asciiTheme="majorBidi" w:hAnsiTheme="majorBidi" w:cstheme="majorBidi"/>
          <w:color w:val="222222"/>
          <w:shd w:val="clear" w:color="auto" w:fill="FFFFFF"/>
        </w:rPr>
      </w:pPr>
      <w:r w:rsidRPr="00637780">
        <w:rPr>
          <w:rFonts w:asciiTheme="majorBidi" w:hAnsiTheme="majorBidi" w:cstheme="majorBidi"/>
          <w:color w:val="222222"/>
          <w:shd w:val="clear" w:color="auto" w:fill="FFFFFF"/>
          <w:vertAlign w:val="superscript"/>
        </w:rPr>
        <w:footnoteRef/>
      </w:r>
      <w:r w:rsidRPr="00644B88">
        <w:rPr>
          <w:rFonts w:asciiTheme="majorBidi" w:hAnsiTheme="majorBidi" w:cstheme="majorBidi"/>
          <w:color w:val="222222"/>
          <w:shd w:val="clear" w:color="auto" w:fill="FFFFFF"/>
        </w:rPr>
        <w:t xml:space="preserve"> Barak‐Corren, N., &amp; Kariv‐Teitelbaum, Y. (2021). Behavioral responsive regulation: Bringing together responsive regulation and behavioral public policy. </w:t>
      </w:r>
      <w:r w:rsidRPr="00644B88">
        <w:rPr>
          <w:rFonts w:asciiTheme="majorBidi" w:hAnsiTheme="majorBidi" w:cstheme="majorBidi"/>
          <w:i/>
          <w:iCs/>
          <w:color w:val="222222"/>
          <w:shd w:val="clear" w:color="auto" w:fill="FFFFFF"/>
        </w:rPr>
        <w:t>Regulation &amp; Governance</w:t>
      </w:r>
      <w:r w:rsidRPr="00644B88">
        <w:rPr>
          <w:rFonts w:asciiTheme="majorBidi" w:hAnsiTheme="majorBidi" w:cstheme="majorBidi"/>
          <w:color w:val="222222"/>
          <w:shd w:val="clear" w:color="auto" w:fill="FFFFFF"/>
        </w:rPr>
        <w:t>.</w:t>
      </w:r>
    </w:p>
  </w:footnote>
  <w:footnote w:id="117">
    <w:p w14:paraId="52103270" w14:textId="77777777" w:rsidR="00F707F9" w:rsidRPr="00644B88" w:rsidRDefault="00F707F9" w:rsidP="00637780">
      <w:pPr>
        <w:pStyle w:val="FootnoteText"/>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B</w:t>
      </w:r>
      <w:r w:rsidRPr="00644B88">
        <w:rPr>
          <w:rFonts w:asciiTheme="majorBidi" w:hAnsiTheme="majorBidi" w:cstheme="majorBidi"/>
          <w:color w:val="222222"/>
          <w:shd w:val="clear" w:color="auto" w:fill="FFFFFF"/>
        </w:rPr>
        <w:t>icchieri, C. (2005). </w:t>
      </w:r>
      <w:r w:rsidRPr="00644B88">
        <w:rPr>
          <w:rFonts w:asciiTheme="majorBidi" w:hAnsiTheme="majorBidi" w:cstheme="majorBidi"/>
          <w:i/>
          <w:iCs/>
          <w:color w:val="222222"/>
          <w:shd w:val="clear" w:color="auto" w:fill="FFFFFF"/>
        </w:rPr>
        <w:t>The grammar of society: The nature and dynamics of social norms</w:t>
      </w:r>
      <w:r w:rsidRPr="00644B88">
        <w:rPr>
          <w:rFonts w:asciiTheme="majorBidi" w:hAnsiTheme="majorBidi" w:cstheme="majorBidi"/>
          <w:color w:val="222222"/>
          <w:shd w:val="clear" w:color="auto" w:fill="FFFFFF"/>
        </w:rPr>
        <w:t>. Cambridge University Press.</w:t>
      </w:r>
    </w:p>
  </w:footnote>
  <w:footnote w:id="118">
    <w:p w14:paraId="15F00D6E" w14:textId="151CFDD1" w:rsidR="004F54E9" w:rsidRDefault="004F54E9">
      <w:pPr>
        <w:pStyle w:val="FootnoteText"/>
      </w:pPr>
      <w:r>
        <w:rPr>
          <w:rStyle w:val="FootnoteReference"/>
        </w:rPr>
        <w:footnoteRef/>
      </w:r>
      <w:r>
        <w:t xml:space="preserve"> In the relevant chapters, I will discuss some of the working papers in which cross domain predictability of human misconduct is examined normatively (with Aronson and Lobel) and behaviorally (with Assoulin, Sleiter and Gilad) </w:t>
      </w:r>
    </w:p>
  </w:footnote>
  <w:footnote w:id="119">
    <w:p w14:paraId="385CCABE"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For the proportion of people in the group in the context of honesty see </w:t>
      </w:r>
      <w:r w:rsidRPr="00637780">
        <w:rPr>
          <w:rFonts w:asciiTheme="majorBidi" w:hAnsiTheme="majorBidi" w:cstheme="majorBidi"/>
          <w:shd w:val="clear" w:color="auto" w:fill="FFFFFF"/>
        </w:rPr>
        <w:t>Gneezy, Uri, Bettina Rockenbach, and Marta Serra-Garcia. "Measuring lying aversion." </w:t>
      </w:r>
      <w:r w:rsidRPr="00637780">
        <w:rPr>
          <w:rFonts w:asciiTheme="majorBidi" w:hAnsiTheme="majorBidi" w:cstheme="majorBidi"/>
          <w:i/>
          <w:iCs/>
          <w:shd w:val="clear" w:color="auto" w:fill="FFFFFF"/>
        </w:rPr>
        <w:t>Journal of Economic Behavior &amp; Organization</w:t>
      </w:r>
      <w:r w:rsidRPr="00637780">
        <w:rPr>
          <w:rFonts w:asciiTheme="majorBidi" w:hAnsiTheme="majorBidi" w:cstheme="majorBidi"/>
          <w:shd w:val="clear" w:color="auto" w:fill="FFFFFF"/>
        </w:rPr>
        <w:t> 93 (2013): 293-300. Brewer, Marilynn B., and Roderick M. Kramer. "Choice behavior in social dilemmas: Effects of social identity, group size, and decision framing." </w:t>
      </w:r>
      <w:r w:rsidRPr="00637780">
        <w:rPr>
          <w:rFonts w:asciiTheme="majorBidi" w:hAnsiTheme="majorBidi" w:cstheme="majorBidi"/>
          <w:i/>
          <w:iCs/>
          <w:shd w:val="clear" w:color="auto" w:fill="FFFFFF"/>
        </w:rPr>
        <w:t>Journal of personality and social psychology</w:t>
      </w:r>
      <w:r w:rsidRPr="00637780">
        <w:rPr>
          <w:rFonts w:asciiTheme="majorBidi" w:hAnsiTheme="majorBidi" w:cstheme="majorBidi"/>
          <w:shd w:val="clear" w:color="auto" w:fill="FFFFFF"/>
        </w:rPr>
        <w:t> 50, no. 3 (1986): 543.-275.</w:t>
      </w:r>
    </w:p>
  </w:footnote>
  <w:footnote w:id="120">
    <w:p w14:paraId="7C31EB66" w14:textId="77777777" w:rsidR="00372724" w:rsidRPr="00637780" w:rsidRDefault="00372724" w:rsidP="00637780">
      <w:pPr>
        <w:jc w:val="both"/>
        <w:rPr>
          <w:rFonts w:asciiTheme="majorBidi" w:hAnsiTheme="majorBidi" w:cstheme="majorBidi"/>
          <w:color w:val="000000"/>
          <w:sz w:val="20"/>
          <w:szCs w:val="20"/>
          <w:lang w:val="en-AU"/>
        </w:rPr>
      </w:pPr>
      <w:r w:rsidRPr="00637780">
        <w:rPr>
          <w:rStyle w:val="FootnoteReference"/>
          <w:rFonts w:asciiTheme="majorBidi" w:hAnsiTheme="majorBidi" w:cstheme="majorBidi"/>
          <w:sz w:val="20"/>
          <w:szCs w:val="20"/>
        </w:rPr>
        <w:footnoteRef/>
      </w:r>
      <w:r w:rsidRPr="00637780">
        <w:rPr>
          <w:rFonts w:asciiTheme="majorBidi" w:hAnsiTheme="majorBidi" w:cstheme="majorBidi"/>
          <w:sz w:val="20"/>
          <w:szCs w:val="20"/>
        </w:rPr>
        <w:t xml:space="preserve"> </w:t>
      </w:r>
      <w:r w:rsidRPr="00637780">
        <w:rPr>
          <w:rFonts w:asciiTheme="majorBidi" w:hAnsiTheme="majorBidi" w:cstheme="majorBidi"/>
          <w:color w:val="000000"/>
          <w:sz w:val="20"/>
          <w:szCs w:val="20"/>
          <w:lang w:val="en-AU"/>
        </w:rPr>
        <w:t xml:space="preserve">John </w:t>
      </w:r>
      <w:r w:rsidRPr="00637780">
        <w:rPr>
          <w:rFonts w:asciiTheme="majorBidi" w:hAnsiTheme="majorBidi" w:cstheme="majorBidi"/>
          <w:color w:val="000000"/>
          <w:sz w:val="20"/>
          <w:szCs w:val="20"/>
          <w:lang w:val="en-AU"/>
        </w:rPr>
        <w:t>Braithwaite,  Managing Compliance Complexity</w:t>
      </w:r>
    </w:p>
    <w:p w14:paraId="2220B359" w14:textId="77777777" w:rsidR="00372724" w:rsidRPr="00637780" w:rsidRDefault="00372724" w:rsidP="00637780">
      <w:pPr>
        <w:jc w:val="both"/>
        <w:rPr>
          <w:rFonts w:asciiTheme="majorBidi" w:hAnsiTheme="majorBidi" w:cstheme="majorBidi"/>
          <w:color w:val="000000"/>
          <w:sz w:val="20"/>
          <w:szCs w:val="20"/>
          <w:lang w:val="en-AU"/>
        </w:rPr>
      </w:pPr>
      <w:r w:rsidRPr="00637780">
        <w:rPr>
          <w:rFonts w:asciiTheme="majorBidi" w:hAnsiTheme="majorBidi" w:cstheme="majorBidi"/>
          <w:color w:val="000000"/>
          <w:sz w:val="20"/>
          <w:szCs w:val="20"/>
          <w:lang w:val="en-AU"/>
        </w:rPr>
        <w:t> </w:t>
      </w:r>
    </w:p>
    <w:p w14:paraId="5B8D2A95" w14:textId="77777777" w:rsidR="00372724" w:rsidRPr="00637780" w:rsidRDefault="00372724" w:rsidP="00637780">
      <w:pPr>
        <w:jc w:val="both"/>
        <w:rPr>
          <w:rFonts w:asciiTheme="majorBidi" w:hAnsiTheme="majorBidi" w:cstheme="majorBidi"/>
          <w:color w:val="000000"/>
          <w:sz w:val="20"/>
          <w:szCs w:val="20"/>
          <w:lang w:val="en-AU"/>
        </w:rPr>
      </w:pPr>
      <w:r w:rsidRPr="00637780">
        <w:rPr>
          <w:rFonts w:asciiTheme="majorBidi" w:hAnsiTheme="majorBidi" w:cstheme="majorBidi"/>
          <w:color w:val="000000"/>
          <w:sz w:val="20"/>
          <w:szCs w:val="20"/>
          <w:lang w:val="en-AU"/>
        </w:rPr>
        <w:t> </w:t>
      </w:r>
    </w:p>
    <w:p w14:paraId="51A77A62" w14:textId="77777777" w:rsidR="00372724" w:rsidRPr="00637780" w:rsidRDefault="00372724" w:rsidP="00637780">
      <w:pPr>
        <w:pStyle w:val="FootnoteText"/>
        <w:jc w:val="both"/>
        <w:rPr>
          <w:rFonts w:asciiTheme="majorBidi" w:hAnsiTheme="majorBidi" w:cstheme="majorBidi"/>
        </w:rPr>
      </w:pPr>
    </w:p>
  </w:footnote>
  <w:footnote w:id="121">
    <w:p w14:paraId="5ADAA93F"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and Yotam Kaplan. "Big Data &amp; Bounded Ethicality." </w:t>
      </w:r>
      <w:r w:rsidRPr="00637780">
        <w:rPr>
          <w:rFonts w:asciiTheme="majorBidi" w:hAnsiTheme="majorBidi" w:cstheme="majorBidi"/>
          <w:i/>
          <w:iCs/>
          <w:shd w:val="clear" w:color="auto" w:fill="FFFFFF"/>
        </w:rPr>
        <w:t>Cornell J. of Law and Public Policy 2020</w:t>
      </w:r>
      <w:r w:rsidRPr="00637780">
        <w:rPr>
          <w:rFonts w:asciiTheme="majorBidi" w:hAnsiTheme="majorBidi" w:cstheme="majorBidi"/>
          <w:shd w:val="clear" w:color="auto" w:fill="FFFFFF"/>
        </w:rPr>
        <w:t>.</w:t>
      </w:r>
    </w:p>
  </w:footnote>
  <w:footnote w:id="122">
    <w:p w14:paraId="119BC801"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Feldman and Kaplan, Id </w:t>
      </w:r>
    </w:p>
  </w:footnote>
  <w:footnote w:id="123">
    <w:p w14:paraId="20549A58" w14:textId="77777777" w:rsidR="00A30D53" w:rsidRPr="00637780" w:rsidRDefault="00A30D53" w:rsidP="00644B88">
      <w:pPr>
        <w:pStyle w:val="FootnoteText"/>
        <w:spacing w:before="2" w:after="2"/>
        <w:jc w:val="both"/>
        <w:rPr>
          <w:rFonts w:asciiTheme="majorBidi" w:hAnsiTheme="majorBidi" w:cstheme="majorBidi"/>
          <w:shd w:val="clear" w:color="auto" w:fill="FFFFFF"/>
        </w:rPr>
      </w:pPr>
      <w:r w:rsidRPr="00637780">
        <w:rPr>
          <w:rStyle w:val="FootnoteReference"/>
          <w:rFonts w:asciiTheme="majorBidi" w:hAnsiTheme="majorBidi" w:cstheme="majorBidi"/>
        </w:rPr>
        <w:footnoteRef/>
      </w:r>
      <w:r w:rsidRPr="00637780">
        <w:rPr>
          <w:rFonts w:asciiTheme="majorBidi" w:hAnsiTheme="majorBidi" w:cstheme="majorBidi"/>
        </w:rPr>
        <w:t xml:space="preserve"> S</w:t>
      </w:r>
      <w:r w:rsidRPr="00637780">
        <w:rPr>
          <w:rFonts w:asciiTheme="majorBidi" w:hAnsiTheme="majorBidi" w:cstheme="majorBidi"/>
          <w:shd w:val="clear" w:color="auto" w:fill="FFFFFF"/>
        </w:rPr>
        <w:t>ohail, Muhammad, D. A. C. Maunder, and Sue Cavill. "Effective regulation for sustainable public transport in developing countries." </w:t>
      </w:r>
      <w:r w:rsidRPr="00637780">
        <w:rPr>
          <w:rFonts w:asciiTheme="majorBidi" w:hAnsiTheme="majorBidi" w:cstheme="majorBidi"/>
          <w:i/>
          <w:iCs/>
          <w:shd w:val="clear" w:color="auto" w:fill="FFFFFF"/>
        </w:rPr>
        <w:t>Transport policy</w:t>
      </w:r>
      <w:r w:rsidRPr="00637780">
        <w:rPr>
          <w:rFonts w:asciiTheme="majorBidi" w:hAnsiTheme="majorBidi" w:cstheme="majorBidi"/>
          <w:shd w:val="clear" w:color="auto" w:fill="FFFFFF"/>
        </w:rPr>
        <w:t> 13.3 (2006): 177-190; see also Uslaner, Eric M. Barabino, Benedetto, Sara Salis, and Bruno Useli. "Fare evasion in proof-of-payment transit systems: Deriving the optimum inspection level." </w:t>
      </w:r>
      <w:r w:rsidRPr="00637780">
        <w:rPr>
          <w:rFonts w:asciiTheme="majorBidi" w:hAnsiTheme="majorBidi" w:cstheme="majorBidi"/>
          <w:i/>
          <w:iCs/>
          <w:shd w:val="clear" w:color="auto" w:fill="FFFFFF"/>
        </w:rPr>
        <w:t>Transportation Research Part B: Methodological</w:t>
      </w:r>
      <w:r w:rsidRPr="00637780">
        <w:rPr>
          <w:rFonts w:asciiTheme="majorBidi" w:hAnsiTheme="majorBidi" w:cstheme="majorBidi"/>
          <w:shd w:val="clear" w:color="auto" w:fill="FFFFFF"/>
        </w:rPr>
        <w:t xml:space="preserve"> 70 (2014): 1-17. Barabino, Benedetto, Sara Salis, and Bruno Useli. "What are the determinants in making people free riders in proof-of-payment transit systems? Evidence from Italy." Transportation Research Part A: Policy and Practice 80 (2015): 184-196; </w:t>
      </w:r>
      <w:r w:rsidRPr="00637780">
        <w:rPr>
          <w:rFonts w:asciiTheme="majorBidi" w:hAnsiTheme="majorBidi" w:cstheme="majorBidi"/>
        </w:rPr>
        <w:t>G</w:t>
      </w:r>
      <w:r w:rsidRPr="00637780">
        <w:rPr>
          <w:rFonts w:asciiTheme="majorBidi" w:hAnsiTheme="majorBidi" w:cstheme="majorBidi"/>
          <w:shd w:val="clear" w:color="auto" w:fill="FFFFFF"/>
        </w:rPr>
        <w:t>uarda, Pablo, et al. "Decreasing fare evasion without fines? A microeconomic analysis." Research in Transportation Economics 59 (2016): 151-158</w:t>
      </w:r>
    </w:p>
  </w:footnote>
  <w:footnote w:id="124">
    <w:p w14:paraId="0D2A409D" w14:textId="588AD3E8" w:rsidR="002C457F" w:rsidRDefault="002C457F">
      <w:pPr>
        <w:pStyle w:val="FootnoteText"/>
      </w:pPr>
      <w:r>
        <w:rPr>
          <w:rStyle w:val="FootnoteReference"/>
        </w:rPr>
        <w:footnoteRef/>
      </w:r>
      <w:r>
        <w:t xml:space="preserve"> </w:t>
      </w:r>
      <w:r>
        <w:rPr>
          <w:rFonts w:ascii="Arial" w:hAnsi="Arial" w:cs="Arial"/>
          <w:color w:val="222222"/>
          <w:shd w:val="clear" w:color="auto" w:fill="FFFFFF"/>
        </w:rPr>
        <w:t>Thaler, Richard H., and Shlomo Benartzi. "Save more tomorrow™: Using behavioral economics to increase employee saving." </w:t>
      </w:r>
      <w:r>
        <w:rPr>
          <w:rFonts w:ascii="Arial" w:hAnsi="Arial" w:cs="Arial"/>
          <w:i/>
          <w:iCs/>
          <w:color w:val="222222"/>
          <w:shd w:val="clear" w:color="auto" w:fill="FFFFFF"/>
        </w:rPr>
        <w:t>Journal of political Economy</w:t>
      </w:r>
      <w:r>
        <w:rPr>
          <w:rFonts w:ascii="Arial" w:hAnsi="Arial" w:cs="Arial"/>
          <w:color w:val="222222"/>
          <w:shd w:val="clear" w:color="auto" w:fill="FFFFFF"/>
        </w:rPr>
        <w:t> 112.S1 (2004): S164-S187.</w:t>
      </w:r>
    </w:p>
  </w:footnote>
  <w:footnote w:id="125">
    <w:p w14:paraId="3B4CEE75" w14:textId="77777777" w:rsidR="00736E55" w:rsidRPr="00644B88" w:rsidRDefault="00736E55" w:rsidP="00736E55">
      <w:pPr>
        <w:pStyle w:val="FootnoteText"/>
        <w:ind w:left="-720"/>
        <w:jc w:val="both"/>
        <w:rPr>
          <w:rFonts w:asciiTheme="majorBidi" w:hAnsiTheme="majorBidi" w:cstheme="majorBidi"/>
          <w:shd w:val="clear" w:color="auto" w:fill="FFFFFF"/>
        </w:rPr>
      </w:pPr>
      <w:r w:rsidRPr="00644B88">
        <w:rPr>
          <w:rStyle w:val="FootnoteReference"/>
          <w:rFonts w:asciiTheme="majorBidi" w:hAnsiTheme="majorBidi" w:cstheme="majorBidi"/>
        </w:rPr>
        <w:footnoteRef/>
      </w:r>
      <w:r w:rsidRPr="00644B88">
        <w:rPr>
          <w:rFonts w:asciiTheme="majorBidi" w:hAnsiTheme="majorBidi" w:cstheme="majorBidi"/>
        </w:rPr>
        <w:t xml:space="preserve"> Hausman, D. M., &amp; Welch, B. (2010). Debate: To nudge or not to nudge. Journal of Political Philosophy, 18, 123–136;</w:t>
      </w:r>
      <w:r>
        <w:rPr>
          <w:rFonts w:asciiTheme="majorBidi" w:hAnsiTheme="majorBidi" w:cstheme="majorBidi"/>
        </w:rPr>
        <w:t xml:space="preserve"> </w:t>
      </w:r>
      <w:r w:rsidRPr="00644B88">
        <w:rPr>
          <w:rFonts w:asciiTheme="majorBidi" w:hAnsiTheme="majorBidi" w:cstheme="majorBidi"/>
        </w:rPr>
        <w:t xml:space="preserve">Rebonato, R. (2014). A critical assessment of libertarian paternalism. Journal of Consumer Policy, 37, 357–396; Hansen, P. G., &amp; Jespersen, A. M. (2013). Nudge and the manipulation of choice: A framework for the responsible use of the nudge approach to behaviour change in public policy. European Journal of Risk Regulation, 4, 3–28. </w:t>
      </w:r>
      <w:r w:rsidRPr="00644B88">
        <w:rPr>
          <w:rFonts w:asciiTheme="majorBidi" w:hAnsiTheme="majorBidi" w:cstheme="majorBidi"/>
        </w:rPr>
        <w:t>;</w:t>
      </w:r>
      <w:r w:rsidRPr="00644B88">
        <w:rPr>
          <w:rFonts w:asciiTheme="majorBidi" w:hAnsiTheme="majorBidi" w:cstheme="majorBidi"/>
          <w:color w:val="333333"/>
          <w:spacing w:val="4"/>
          <w:shd w:val="clear" w:color="auto" w:fill="FCFCFC"/>
        </w:rPr>
        <w:t xml:space="preserve">White M.D. (2013) Why Nudges Are Unethical. In: The Manipulation of Choice. Palgrave Macmillan, New York. </w:t>
      </w:r>
      <w:hyperlink r:id="rId5" w:history="1">
        <w:r w:rsidRPr="00644B88">
          <w:rPr>
            <w:rStyle w:val="Hyperlink"/>
            <w:rFonts w:asciiTheme="majorBidi" w:hAnsiTheme="majorBidi" w:cstheme="majorBidi"/>
            <w:spacing w:val="4"/>
            <w:shd w:val="clear" w:color="auto" w:fill="FCFCFC"/>
          </w:rPr>
          <w:t>https://doi.org/10.1057/9781137313577_5</w:t>
        </w:r>
      </w:hyperlink>
      <w:r w:rsidRPr="00644B88">
        <w:rPr>
          <w:rFonts w:asciiTheme="majorBidi" w:hAnsiTheme="majorBidi" w:cstheme="majorBidi"/>
          <w:color w:val="333333"/>
          <w:spacing w:val="4"/>
          <w:shd w:val="clear" w:color="auto" w:fill="FCFCFC"/>
        </w:rPr>
        <w:t xml:space="preserve">; </w:t>
      </w:r>
      <w:r w:rsidRPr="00644B88">
        <w:rPr>
          <w:rFonts w:asciiTheme="majorBidi" w:hAnsiTheme="majorBidi" w:cstheme="majorBidi"/>
        </w:rPr>
        <w:t>Bovens, L. (2009). The ethics of nudge. In T. Grune-Yanoff, &amp; S. O. Hansson (Eds.), Preference change: Approaches from philosophy, economics and psychology (pp. 207–219). Dordrecht: Springer Science &amp; Business Media; House of Lords Report (2011). Behaviour chan</w:t>
      </w:r>
      <w:r w:rsidRPr="00644B88">
        <w:rPr>
          <w:rFonts w:asciiTheme="majorBidi" w:hAnsiTheme="majorBidi" w:cstheme="majorBidi"/>
          <w:shd w:val="clear" w:color="auto" w:fill="FFFFFF"/>
        </w:rPr>
        <w:t>ge. retrieved from https://publications.parliament.uk/pa/ld201012/ldselect/ldsctech/179/17902.htm.</w:t>
      </w:r>
    </w:p>
  </w:footnote>
  <w:footnote w:id="126">
    <w:p w14:paraId="1164DEF1" w14:textId="77777777" w:rsidR="00736E55" w:rsidRPr="00644B88" w:rsidRDefault="00736E55" w:rsidP="00736E55">
      <w:pPr>
        <w:pStyle w:val="FootnoteText"/>
        <w:ind w:left="-720"/>
        <w:jc w:val="both"/>
        <w:rPr>
          <w:rFonts w:asciiTheme="majorBidi" w:hAnsiTheme="majorBidi" w:cstheme="majorBidi"/>
        </w:rPr>
      </w:pPr>
      <w:r w:rsidRPr="00644B88">
        <w:rPr>
          <w:rStyle w:val="FootnoteReference"/>
          <w:rFonts w:asciiTheme="majorBidi" w:hAnsiTheme="majorBidi" w:cstheme="majorBidi"/>
        </w:rPr>
        <w:footnoteRef/>
      </w:r>
      <w:r w:rsidRPr="00644B88">
        <w:rPr>
          <w:rFonts w:asciiTheme="majorBidi" w:hAnsiTheme="majorBidi" w:cstheme="majorBidi"/>
        </w:rPr>
        <w:t xml:space="preserve"> </w:t>
      </w:r>
      <w:r w:rsidRPr="00644B88">
        <w:rPr>
          <w:rFonts w:asciiTheme="majorBidi" w:eastAsia="MS Mincho" w:hAnsiTheme="majorBidi" w:cstheme="majorBidi"/>
        </w:rPr>
        <w:t>P</w:t>
      </w:r>
      <w:r w:rsidRPr="00644B88">
        <w:rPr>
          <w:rFonts w:asciiTheme="majorBidi" w:hAnsiTheme="majorBidi" w:cstheme="majorBidi"/>
          <w:color w:val="222222"/>
          <w:shd w:val="clear" w:color="auto" w:fill="FFFFFF"/>
        </w:rPr>
        <w:t>arker, C. (2000). </w:t>
      </w:r>
      <w:r w:rsidRPr="00644B88">
        <w:rPr>
          <w:rFonts w:asciiTheme="majorBidi" w:hAnsiTheme="majorBidi" w:cstheme="majorBidi"/>
          <w:i/>
          <w:iCs/>
          <w:color w:val="222222"/>
          <w:shd w:val="clear" w:color="auto" w:fill="FFFFFF"/>
        </w:rPr>
        <w:t>Reducing the risk of policy failure: challenges for regulatory compliance: final version</w:t>
      </w:r>
      <w:r w:rsidRPr="00644B88">
        <w:rPr>
          <w:rFonts w:asciiTheme="majorBidi" w:hAnsiTheme="majorBidi" w:cstheme="majorBidi"/>
          <w:color w:val="222222"/>
          <w:shd w:val="clear" w:color="auto" w:fill="FFFFFF"/>
        </w:rPr>
        <w:t>. OECD.</w:t>
      </w:r>
    </w:p>
  </w:footnote>
  <w:footnote w:id="127">
    <w:p w14:paraId="3837606E" w14:textId="77777777" w:rsidR="00736E55" w:rsidRDefault="00736E55" w:rsidP="00736E55">
      <w:pPr>
        <w:pStyle w:val="FootnoteText"/>
      </w:pPr>
      <w:r>
        <w:rPr>
          <w:rStyle w:val="FootnoteReference"/>
        </w:rPr>
        <w:footnoteRef/>
      </w:r>
      <w:r>
        <w:t xml:space="preserve"> </w:t>
      </w:r>
      <w:r>
        <w:rPr>
          <w:rFonts w:ascii="Arial" w:hAnsi="Arial" w:cs="Arial"/>
          <w:color w:val="222222"/>
          <w:shd w:val="clear" w:color="auto" w:fill="FFFFFF"/>
        </w:rPr>
        <w:t>Loewenstein, George, and Nick Chater. "Putting nudges in perspective." </w:t>
      </w:r>
      <w:r>
        <w:rPr>
          <w:rFonts w:ascii="Arial" w:hAnsi="Arial" w:cs="Arial"/>
          <w:i/>
          <w:iCs/>
          <w:color w:val="222222"/>
          <w:shd w:val="clear" w:color="auto" w:fill="FFFFFF"/>
        </w:rPr>
        <w:t>Behavioural Public Policy</w:t>
      </w:r>
      <w:r>
        <w:rPr>
          <w:rFonts w:ascii="Arial" w:hAnsi="Arial" w:cs="Arial"/>
          <w:color w:val="222222"/>
          <w:shd w:val="clear" w:color="auto" w:fill="FFFFFF"/>
        </w:rPr>
        <w:t> 1.1 (2017): 26-53.</w:t>
      </w:r>
    </w:p>
  </w:footnote>
  <w:footnote w:id="128">
    <w:p w14:paraId="3F7B37E6" w14:textId="77777777" w:rsidR="00736E55" w:rsidRDefault="00736E55" w:rsidP="00736E55">
      <w:pPr>
        <w:pStyle w:val="FootnoteText"/>
      </w:pPr>
      <w:r>
        <w:rPr>
          <w:rStyle w:val="FootnoteReference"/>
        </w:rPr>
        <w:footnoteRef/>
      </w:r>
      <w:r>
        <w:t xml:space="preserve"> </w:t>
      </w:r>
      <w:r>
        <w:rPr>
          <w:rFonts w:ascii="Arial" w:hAnsi="Arial" w:cs="Arial"/>
          <w:color w:val="222222"/>
          <w:shd w:val="clear" w:color="auto" w:fill="FFFFFF"/>
        </w:rPr>
        <w:t>Sunstein, Cass R. "Do people like nudges." </w:t>
      </w:r>
      <w:r>
        <w:rPr>
          <w:rFonts w:ascii="Arial" w:hAnsi="Arial" w:cs="Arial"/>
          <w:i/>
          <w:iCs/>
          <w:color w:val="222222"/>
          <w:shd w:val="clear" w:color="auto" w:fill="FFFFFF"/>
        </w:rPr>
        <w:t>Admin. L. Rev.</w:t>
      </w:r>
      <w:r>
        <w:rPr>
          <w:rFonts w:ascii="Arial" w:hAnsi="Arial" w:cs="Arial"/>
          <w:color w:val="222222"/>
          <w:shd w:val="clear" w:color="auto" w:fill="FFFFFF"/>
        </w:rPr>
        <w:t> 68 (2016): 177.</w:t>
      </w:r>
    </w:p>
  </w:footnote>
  <w:footnote w:id="129">
    <w:p w14:paraId="751C4785" w14:textId="77777777" w:rsidR="00736E55" w:rsidRDefault="00736E55" w:rsidP="00736E55">
      <w:pPr>
        <w:pStyle w:val="FootnoteText"/>
      </w:pPr>
      <w:r>
        <w:rPr>
          <w:rStyle w:val="FootnoteReference"/>
        </w:rPr>
        <w:footnoteRef/>
      </w:r>
      <w:r>
        <w:t xml:space="preserve"> </w:t>
      </w:r>
      <w:r>
        <w:rPr>
          <w:rFonts w:ascii="Arial" w:hAnsi="Arial" w:cs="Arial"/>
          <w:color w:val="222222"/>
          <w:shd w:val="clear" w:color="auto" w:fill="FFFFFF"/>
        </w:rPr>
        <w:t xml:space="preserve">Bruns, Hendrik, et al. "Can nudges be transparent and yet </w:t>
      </w:r>
      <w:r>
        <w:rPr>
          <w:rFonts w:ascii="Arial" w:hAnsi="Arial" w:cs="Arial"/>
          <w:color w:val="222222"/>
          <w:shd w:val="clear" w:color="auto" w:fill="FFFFFF"/>
        </w:rPr>
        <w:t>effective?." </w:t>
      </w:r>
      <w:r>
        <w:rPr>
          <w:rFonts w:ascii="Arial" w:hAnsi="Arial" w:cs="Arial"/>
          <w:i/>
          <w:iCs/>
          <w:color w:val="222222"/>
          <w:shd w:val="clear" w:color="auto" w:fill="FFFFFF"/>
        </w:rPr>
        <w:t>Journal of Economic Psychology</w:t>
      </w:r>
      <w:r>
        <w:rPr>
          <w:rFonts w:ascii="Arial" w:hAnsi="Arial" w:cs="Arial"/>
          <w:color w:val="222222"/>
          <w:shd w:val="clear" w:color="auto" w:fill="FFFFFF"/>
        </w:rPr>
        <w:t> 65 (2018): 41-59.</w:t>
      </w:r>
    </w:p>
  </w:footnote>
  <w:footnote w:id="130">
    <w:p w14:paraId="6BA35C03" w14:textId="55EBACC4" w:rsidR="007D49C0" w:rsidRDefault="007D49C0">
      <w:pPr>
        <w:pStyle w:val="FootnoteText"/>
      </w:pPr>
      <w:r>
        <w:rPr>
          <w:rStyle w:val="FootnoteReference"/>
        </w:rPr>
        <w:footnoteRef/>
      </w:r>
      <w:r>
        <w:t xml:space="preserve"> </w:t>
      </w:r>
      <w:r>
        <w:rPr>
          <w:rFonts w:ascii="Arial" w:hAnsi="Arial" w:cs="Arial"/>
          <w:color w:val="222222"/>
          <w:shd w:val="clear" w:color="auto" w:fill="FFFFFF"/>
        </w:rPr>
        <w:t>Sunstein, Cass R. "People prefer system 2 nudges (kind of)." </w:t>
      </w:r>
      <w:r>
        <w:rPr>
          <w:rFonts w:ascii="Arial" w:hAnsi="Arial" w:cs="Arial"/>
          <w:i/>
          <w:iCs/>
          <w:color w:val="222222"/>
          <w:shd w:val="clear" w:color="auto" w:fill="FFFFFF"/>
        </w:rPr>
        <w:t>Duke LJ</w:t>
      </w:r>
      <w:r>
        <w:rPr>
          <w:rFonts w:ascii="Arial" w:hAnsi="Arial" w:cs="Arial"/>
          <w:color w:val="222222"/>
          <w:shd w:val="clear" w:color="auto" w:fill="FFFFFF"/>
        </w:rPr>
        <w:t> 66 (2016): 121.</w:t>
      </w:r>
    </w:p>
  </w:footnote>
  <w:footnote w:id="131">
    <w:p w14:paraId="429E7691" w14:textId="57CC4D97" w:rsidR="004732AD" w:rsidRDefault="004732AD">
      <w:pPr>
        <w:pStyle w:val="FootnoteText"/>
      </w:pPr>
      <w:r>
        <w:rPr>
          <w:rStyle w:val="FootnoteReference"/>
        </w:rPr>
        <w:footnoteRef/>
      </w:r>
      <w:r>
        <w:t xml:space="preserve"> </w:t>
      </w:r>
      <w:r>
        <w:rPr>
          <w:rFonts w:ascii="Arial" w:hAnsi="Arial" w:cs="Arial"/>
          <w:color w:val="222222"/>
          <w:shd w:val="clear" w:color="auto" w:fill="FFFFFF"/>
        </w:rPr>
        <w:t xml:space="preserve">Grüne-Yanoff, Till, and Ralph Hertwig. "Nudge versus boost: How coherent are policy and </w:t>
      </w:r>
      <w:r>
        <w:rPr>
          <w:rFonts w:ascii="Arial" w:hAnsi="Arial" w:cs="Arial"/>
          <w:color w:val="222222"/>
          <w:shd w:val="clear" w:color="auto" w:fill="FFFFFF"/>
        </w:rPr>
        <w:t>theory?." </w:t>
      </w:r>
      <w:r>
        <w:rPr>
          <w:rFonts w:ascii="Arial" w:hAnsi="Arial" w:cs="Arial"/>
          <w:i/>
          <w:iCs/>
          <w:color w:val="222222"/>
          <w:shd w:val="clear" w:color="auto" w:fill="FFFFFF"/>
        </w:rPr>
        <w:t>Minds and Machines</w:t>
      </w:r>
      <w:r>
        <w:rPr>
          <w:rFonts w:ascii="Arial" w:hAnsi="Arial" w:cs="Arial"/>
          <w:color w:val="222222"/>
          <w:shd w:val="clear" w:color="auto" w:fill="FFFFFF"/>
        </w:rPr>
        <w:t> 26.1 (2016): 149-183.</w:t>
      </w:r>
    </w:p>
  </w:footnote>
  <w:footnote w:id="132">
    <w:p w14:paraId="00BE6FBC" w14:textId="7127A204" w:rsidR="007D49C0" w:rsidRDefault="007D49C0">
      <w:pPr>
        <w:pStyle w:val="FootnoteText"/>
      </w:pPr>
      <w:r>
        <w:rPr>
          <w:rStyle w:val="FootnoteReference"/>
        </w:rPr>
        <w:footnoteRef/>
      </w:r>
      <w:r>
        <w:t xml:space="preserve"> </w:t>
      </w:r>
      <w:r>
        <w:rPr>
          <w:rFonts w:ascii="Arial" w:hAnsi="Arial" w:cs="Arial"/>
          <w:color w:val="222222"/>
          <w:shd w:val="clear" w:color="auto" w:fill="FFFFFF"/>
        </w:rPr>
        <w:t>Bohnet, Iris, Alexandra Van Geen, and Max Bazerman. "When performance trumps gender bias: Joint vs. separate evaluation." </w:t>
      </w:r>
      <w:r>
        <w:rPr>
          <w:rFonts w:ascii="Arial" w:hAnsi="Arial" w:cs="Arial"/>
          <w:i/>
          <w:iCs/>
          <w:color w:val="222222"/>
          <w:shd w:val="clear" w:color="auto" w:fill="FFFFFF"/>
        </w:rPr>
        <w:t>Management Science</w:t>
      </w:r>
      <w:r>
        <w:rPr>
          <w:rFonts w:ascii="Arial" w:hAnsi="Arial" w:cs="Arial"/>
          <w:color w:val="222222"/>
          <w:shd w:val="clear" w:color="auto" w:fill="FFFFFF"/>
        </w:rPr>
        <w:t> 62.5 (2016): 1225-1234.</w:t>
      </w:r>
    </w:p>
  </w:footnote>
  <w:footnote w:id="133">
    <w:p w14:paraId="279FC93A" w14:textId="392036D1" w:rsidR="007D49C0" w:rsidRDefault="007D49C0">
      <w:pPr>
        <w:pStyle w:val="FootnoteText"/>
      </w:pPr>
      <w:r>
        <w:rPr>
          <w:rStyle w:val="FootnoteReference"/>
        </w:rPr>
        <w:footnoteRef/>
      </w:r>
      <w:r>
        <w:t xml:space="preserve"> </w:t>
      </w:r>
      <w:r>
        <w:rPr>
          <w:rFonts w:ascii="Arial" w:hAnsi="Arial" w:cs="Arial"/>
          <w:color w:val="222222"/>
          <w:shd w:val="clear" w:color="auto" w:fill="FFFFFF"/>
        </w:rPr>
        <w:t>Fonseca, Miguel A., and Shaun B. Grimshaw. "Do behavioral nudges in prepopulated tax forms affect compliance? Experimental evidence with real taxpayers." </w:t>
      </w:r>
      <w:r>
        <w:rPr>
          <w:rFonts w:ascii="Arial" w:hAnsi="Arial" w:cs="Arial"/>
          <w:i/>
          <w:iCs/>
          <w:color w:val="222222"/>
          <w:shd w:val="clear" w:color="auto" w:fill="FFFFFF"/>
        </w:rPr>
        <w:t>Journal of Public Policy &amp; Marketing</w:t>
      </w:r>
      <w:r>
        <w:rPr>
          <w:rFonts w:ascii="Arial" w:hAnsi="Arial" w:cs="Arial"/>
          <w:color w:val="222222"/>
          <w:shd w:val="clear" w:color="auto" w:fill="FFFFFF"/>
        </w:rPr>
        <w:t> 36.2 (2017): 213-226.</w:t>
      </w:r>
    </w:p>
  </w:footnote>
  <w:footnote w:id="134">
    <w:p w14:paraId="28365197" w14:textId="7AC41A4E" w:rsidR="00BC56B4" w:rsidRDefault="00BC56B4">
      <w:pPr>
        <w:pStyle w:val="FootnoteText"/>
      </w:pPr>
      <w:r>
        <w:rPr>
          <w:rStyle w:val="FootnoteReference"/>
        </w:rPr>
        <w:footnoteRef/>
      </w:r>
      <w:r>
        <w:t xml:space="preserve"> </w:t>
      </w:r>
      <w:r>
        <w:rPr>
          <w:rFonts w:ascii="Arial" w:hAnsi="Arial" w:cs="Arial"/>
          <w:color w:val="222222"/>
          <w:shd w:val="clear" w:color="auto" w:fill="FFFFFF"/>
        </w:rPr>
        <w:t>Bohnet, Iris, Alexandra Van Geen, and Max Bazerman. "When performance trumps gender bias: Joint vs. separate evaluation." </w:t>
      </w:r>
      <w:r>
        <w:rPr>
          <w:rFonts w:ascii="Arial" w:hAnsi="Arial" w:cs="Arial"/>
          <w:i/>
          <w:iCs/>
          <w:color w:val="222222"/>
          <w:shd w:val="clear" w:color="auto" w:fill="FFFFFF"/>
        </w:rPr>
        <w:t>Management Science</w:t>
      </w:r>
      <w:r>
        <w:rPr>
          <w:rFonts w:ascii="Arial" w:hAnsi="Arial" w:cs="Arial"/>
          <w:color w:val="222222"/>
          <w:shd w:val="clear" w:color="auto" w:fill="FFFFFF"/>
        </w:rPr>
        <w:t> 62.5 (2016): 1225-1234.</w:t>
      </w:r>
    </w:p>
  </w:footnote>
  <w:footnote w:id="135">
    <w:p w14:paraId="2BBCF18A" w14:textId="63BC89F3" w:rsidR="00EC18E9" w:rsidRDefault="00EC18E9">
      <w:pPr>
        <w:pStyle w:val="FootnoteText"/>
      </w:pPr>
      <w:r>
        <w:rPr>
          <w:rStyle w:val="FootnoteReference"/>
        </w:rPr>
        <w:footnoteRef/>
      </w:r>
      <w:r>
        <w:t xml:space="preserve"> </w:t>
      </w:r>
      <w:r>
        <w:rPr>
          <w:rFonts w:ascii="Arial" w:hAnsi="Arial" w:cs="Arial"/>
          <w:color w:val="222222"/>
          <w:shd w:val="clear" w:color="auto" w:fill="FFFFFF"/>
        </w:rPr>
        <w:t>Feldman, Yuval, and Orly Lobel. "Behavioral trade-offs: Beyond the land of nudges spans the world of law and psychology." </w:t>
      </w:r>
      <w:r>
        <w:rPr>
          <w:rFonts w:ascii="Arial" w:hAnsi="Arial" w:cs="Arial"/>
          <w:i/>
          <w:iCs/>
          <w:color w:val="222222"/>
          <w:shd w:val="clear" w:color="auto" w:fill="FFFFFF"/>
        </w:rPr>
        <w:t>Nudging in Europe</w:t>
      </w:r>
      <w:r>
        <w:rPr>
          <w:rFonts w:ascii="Arial" w:hAnsi="Arial" w:cs="Arial"/>
          <w:color w:val="222222"/>
          <w:shd w:val="clear" w:color="auto" w:fill="FFFFFF"/>
        </w:rPr>
        <w:t xml:space="preserve"> (2014).</w:t>
      </w:r>
    </w:p>
  </w:footnote>
  <w:footnote w:id="136">
    <w:p w14:paraId="2FF27466" w14:textId="175432B4" w:rsidR="004732AD" w:rsidRDefault="004732AD">
      <w:pPr>
        <w:pStyle w:val="FootnoteText"/>
      </w:pPr>
      <w:r>
        <w:rPr>
          <w:rStyle w:val="FootnoteReference"/>
        </w:rPr>
        <w:footnoteRef/>
      </w:r>
      <w:r>
        <w:t xml:space="preserve"> </w:t>
      </w:r>
      <w:r>
        <w:rPr>
          <w:rFonts w:ascii="Arial" w:hAnsi="Arial" w:cs="Arial"/>
          <w:color w:val="222222"/>
          <w:shd w:val="clear" w:color="auto" w:fill="FFFFFF"/>
        </w:rPr>
        <w:t>Banerjee, Sanchayan, and Peter John. "Nudge plus: incorporating reflection into behavioral public policy." </w:t>
      </w:r>
      <w:r>
        <w:rPr>
          <w:rFonts w:ascii="Arial" w:hAnsi="Arial" w:cs="Arial"/>
          <w:i/>
          <w:iCs/>
          <w:color w:val="222222"/>
          <w:shd w:val="clear" w:color="auto" w:fill="FFFFFF"/>
        </w:rPr>
        <w:t>Behavioural Public Policy</w:t>
      </w:r>
      <w:r>
        <w:rPr>
          <w:rFonts w:ascii="Arial" w:hAnsi="Arial" w:cs="Arial"/>
          <w:color w:val="222222"/>
          <w:shd w:val="clear" w:color="auto" w:fill="FFFFFF"/>
        </w:rPr>
        <w:t> (2021): 1-16.</w:t>
      </w:r>
    </w:p>
  </w:footnote>
  <w:footnote w:id="137">
    <w:p w14:paraId="68B1DC7C" w14:textId="2F98DC44" w:rsidR="00A30D53" w:rsidRPr="00637780" w:rsidRDefault="00A30D53" w:rsidP="00644B88">
      <w:pPr>
        <w:pStyle w:val="FootnoteText"/>
        <w:jc w:val="both"/>
        <w:rPr>
          <w:rFonts w:asciiTheme="majorBidi" w:hAnsiTheme="majorBidi" w:cstheme="majorBidi"/>
          <w:shd w:val="clear" w:color="auto" w:fill="FFFFFF"/>
        </w:rPr>
      </w:pPr>
      <w:r w:rsidRPr="00637780">
        <w:rPr>
          <w:rFonts w:asciiTheme="majorBidi" w:hAnsiTheme="majorBidi" w:cstheme="majorBidi"/>
          <w:shd w:val="clear" w:color="auto" w:fill="FFFFFF"/>
          <w:vertAlign w:val="superscript"/>
        </w:rPr>
        <w:footnoteRef/>
      </w:r>
      <w:r w:rsidRPr="00637780">
        <w:rPr>
          <w:rFonts w:asciiTheme="majorBidi" w:hAnsiTheme="majorBidi" w:cstheme="majorBidi"/>
          <w:shd w:val="clear" w:color="auto" w:fill="FFFFFF"/>
        </w:rPr>
        <w:t xml:space="preserve"> </w:t>
      </w:r>
      <w:r w:rsidRPr="00637780">
        <w:rPr>
          <w:rFonts w:asciiTheme="majorBidi" w:hAnsiTheme="majorBidi" w:cstheme="majorBidi"/>
        </w:rPr>
        <w:t>See: Braithwaite</w:t>
      </w:r>
      <w:r w:rsidRPr="00637780">
        <w:rPr>
          <w:rFonts w:asciiTheme="majorBidi" w:hAnsiTheme="majorBidi" w:cstheme="majorBidi"/>
          <w:shd w:val="clear" w:color="auto" w:fill="FFFFFF"/>
        </w:rPr>
        <w:t xml:space="preserve"> Valerie. 2007 "Responsive Regulation and Taxation: Introduction". </w:t>
      </w:r>
      <w:r w:rsidRPr="00637780">
        <w:rPr>
          <w:rFonts w:asciiTheme="majorBidi" w:hAnsiTheme="majorBidi" w:cstheme="majorBidi"/>
          <w:i/>
          <w:iCs/>
          <w:shd w:val="clear" w:color="auto" w:fill="FFFFFF"/>
        </w:rPr>
        <w:t>Law &amp; Policy. </w:t>
      </w:r>
      <w:r w:rsidRPr="00637780">
        <w:rPr>
          <w:rFonts w:asciiTheme="majorBidi" w:hAnsiTheme="majorBidi" w:cstheme="majorBidi"/>
          <w:shd w:val="clear" w:color="auto" w:fill="FFFFFF"/>
        </w:rPr>
        <w:t>29 (1): 3-10; Job, Jenny, Andrew Stout, and Rachel Smith. 2007. "Culture Change in Three Taxation Administrations: From Command-and-Control to Responsive Regulation". </w:t>
      </w:r>
      <w:r w:rsidRPr="00637780">
        <w:rPr>
          <w:rFonts w:asciiTheme="majorBidi" w:hAnsiTheme="majorBidi" w:cstheme="majorBidi"/>
          <w:i/>
          <w:iCs/>
          <w:shd w:val="clear" w:color="auto" w:fill="FFFFFF"/>
        </w:rPr>
        <w:t>Law &amp; Policy</w:t>
      </w:r>
      <w:r w:rsidRPr="00637780">
        <w:rPr>
          <w:rFonts w:asciiTheme="majorBidi" w:hAnsiTheme="majorBidi" w:cstheme="majorBidi"/>
          <w:shd w:val="clear" w:color="auto" w:fill="FFFFFF"/>
        </w:rPr>
        <w:t>. 29 (1): 84-101</w:t>
      </w:r>
      <w:r w:rsidRPr="00637780">
        <w:rPr>
          <w:rFonts w:asciiTheme="majorBidi" w:hAnsiTheme="majorBidi" w:cstheme="majorBidi"/>
          <w:shd w:val="clear" w:color="auto" w:fill="FFFFFF"/>
        </w:rPr>
        <w:t>. ; Ivec, Mary, Valerie Ann Braithwaite, Charlotte Wood, and Jenny Job. 2015. </w:t>
      </w:r>
      <w:r w:rsidRPr="00637780">
        <w:rPr>
          <w:rFonts w:asciiTheme="majorBidi" w:hAnsiTheme="majorBidi" w:cstheme="majorBidi"/>
          <w:i/>
          <w:iCs/>
          <w:shd w:val="clear" w:color="auto" w:fill="FFFFFF"/>
        </w:rPr>
        <w:t>Applications of responsive regulatory theory in Australia and overseas: update</w:t>
      </w:r>
      <w:r w:rsidRPr="00637780">
        <w:rPr>
          <w:rFonts w:asciiTheme="majorBidi" w:hAnsiTheme="majorBidi" w:cstheme="majorBidi"/>
          <w:shd w:val="clear" w:color="auto" w:fill="FFFFFF"/>
        </w:rPr>
        <w:t xml:space="preserve">. </w:t>
      </w:r>
      <w:hyperlink r:id="rId6" w:history="1">
        <w:r w:rsidRPr="00637780">
          <w:rPr>
            <w:rStyle w:val="Hyperlink"/>
            <w:rFonts w:asciiTheme="majorBidi" w:hAnsiTheme="majorBidi" w:cstheme="majorBidi"/>
            <w:color w:val="auto"/>
          </w:rPr>
          <w:t>http://nla.gov.au/nla.obj-534266985</w:t>
        </w:r>
      </w:hyperlink>
      <w:r w:rsidRPr="00637780">
        <w:rPr>
          <w:rFonts w:asciiTheme="majorBidi" w:hAnsiTheme="majorBidi" w:cstheme="majorBidi"/>
          <w:shd w:val="clear" w:color="auto" w:fill="FFFFFF"/>
        </w:rPr>
        <w:t>. Hill, L., and L. Stewart. 1998. ""Responsive Regulation" Theory and the Sale of Liquor Act". </w:t>
      </w:r>
      <w:r w:rsidRPr="00637780">
        <w:rPr>
          <w:rFonts w:asciiTheme="majorBidi" w:hAnsiTheme="majorBidi" w:cstheme="majorBidi"/>
          <w:i/>
          <w:iCs/>
          <w:shd w:val="clear" w:color="auto" w:fill="FFFFFF"/>
        </w:rPr>
        <w:t>Social Policy Journal of New Zealand. </w:t>
      </w:r>
      <w:r w:rsidRPr="00637780">
        <w:rPr>
          <w:rFonts w:asciiTheme="majorBidi" w:hAnsiTheme="majorBidi" w:cstheme="majorBidi"/>
          <w:shd w:val="clear" w:color="auto" w:fill="FFFFFF"/>
        </w:rPr>
        <w:t>(11): 49-66.</w:t>
      </w:r>
    </w:p>
  </w:footnote>
  <w:footnote w:id="138">
    <w:p w14:paraId="0A647BEF" w14:textId="77777777" w:rsidR="00A30D53" w:rsidRPr="00637780" w:rsidRDefault="00A30D53" w:rsidP="00637780">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Patall, Erika A., Harris Cooper, and Jorgianne Civey Robinson. "The effects of choice on intrinsic motivation and related outcomes: a meta-analysis of research findings." </w:t>
      </w:r>
      <w:r w:rsidRPr="00637780">
        <w:rPr>
          <w:rFonts w:asciiTheme="majorBidi" w:hAnsiTheme="majorBidi" w:cstheme="majorBidi"/>
          <w:i/>
          <w:iCs/>
          <w:shd w:val="clear" w:color="auto" w:fill="FFFFFF"/>
        </w:rPr>
        <w:t>Psychological bulletin </w:t>
      </w:r>
      <w:r w:rsidRPr="00637780">
        <w:rPr>
          <w:rFonts w:asciiTheme="majorBidi" w:hAnsiTheme="majorBidi" w:cstheme="majorBidi"/>
          <w:shd w:val="clear" w:color="auto" w:fill="FFFFFF"/>
        </w:rPr>
        <w:t>134, no. 2 (2008): 270.</w:t>
      </w:r>
    </w:p>
  </w:footnote>
  <w:footnote w:id="139">
    <w:p w14:paraId="4BF32F1B"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Winick, Bruce J. "The jurisprudence of therapeutic jurisprudence." </w:t>
      </w:r>
      <w:r w:rsidRPr="00637780">
        <w:rPr>
          <w:rFonts w:asciiTheme="majorBidi" w:hAnsiTheme="majorBidi" w:cstheme="majorBidi"/>
          <w:i/>
          <w:iCs/>
          <w:shd w:val="clear" w:color="auto" w:fill="FFFFFF"/>
        </w:rPr>
        <w:t>Psychology, Public Policy, and Law</w:t>
      </w:r>
      <w:r w:rsidRPr="00637780">
        <w:rPr>
          <w:rFonts w:asciiTheme="majorBidi" w:hAnsiTheme="majorBidi" w:cstheme="majorBidi"/>
          <w:shd w:val="clear" w:color="auto" w:fill="FFFFFF"/>
        </w:rPr>
        <w:t> 3, no. 1 (1997): 184. Wexler, David. "Therapeutic jurisprudence: An overview." </w:t>
      </w:r>
      <w:r w:rsidRPr="00637780">
        <w:rPr>
          <w:rFonts w:asciiTheme="majorBidi" w:hAnsiTheme="majorBidi" w:cstheme="majorBidi"/>
          <w:i/>
          <w:iCs/>
          <w:shd w:val="clear" w:color="auto" w:fill="FFFFFF"/>
        </w:rPr>
        <w:t>TM Cooley L. Rev.</w:t>
      </w:r>
      <w:r w:rsidRPr="00637780">
        <w:rPr>
          <w:rFonts w:asciiTheme="majorBidi" w:hAnsiTheme="majorBidi" w:cstheme="majorBidi"/>
          <w:shd w:val="clear" w:color="auto" w:fill="FFFFFF"/>
        </w:rPr>
        <w:t> 17 (2000): 125.</w:t>
      </w:r>
    </w:p>
  </w:footnote>
  <w:footnote w:id="140">
    <w:p w14:paraId="4B62E9E3"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Posner, Eric A., and Cass R. Sunstein, eds. </w:t>
      </w:r>
      <w:r w:rsidRPr="00637780">
        <w:rPr>
          <w:rFonts w:asciiTheme="majorBidi" w:hAnsiTheme="majorBidi" w:cstheme="majorBidi"/>
          <w:i/>
          <w:iCs/>
          <w:shd w:val="clear" w:color="auto" w:fill="FFFFFF"/>
        </w:rPr>
        <w:t>Law and happiness</w:t>
      </w:r>
      <w:r w:rsidRPr="00637780">
        <w:rPr>
          <w:rFonts w:asciiTheme="majorBidi" w:hAnsiTheme="majorBidi" w:cstheme="majorBidi"/>
          <w:shd w:val="clear" w:color="auto" w:fill="FFFFFF"/>
        </w:rPr>
        <w:t>. University of Chicago Press, 2010.; Bronsteen, John, Christopher Buccafusco, and Jonathan S. Masur. </w:t>
      </w:r>
      <w:r w:rsidRPr="00637780">
        <w:rPr>
          <w:rFonts w:asciiTheme="majorBidi" w:hAnsiTheme="majorBidi" w:cstheme="majorBidi"/>
          <w:i/>
          <w:iCs/>
          <w:shd w:val="clear" w:color="auto" w:fill="FFFFFF"/>
        </w:rPr>
        <w:t>Happiness and the Law</w:t>
      </w:r>
      <w:r w:rsidRPr="00637780">
        <w:rPr>
          <w:rFonts w:asciiTheme="majorBidi" w:hAnsiTheme="majorBidi" w:cstheme="majorBidi"/>
          <w:shd w:val="clear" w:color="auto" w:fill="FFFFFF"/>
        </w:rPr>
        <w:t>. University of Chicago Press, 2014.</w:t>
      </w:r>
    </w:p>
  </w:footnote>
  <w:footnote w:id="141">
    <w:p w14:paraId="61CD9015" w14:textId="52D28675" w:rsidR="00A85A41" w:rsidRDefault="00A85A41">
      <w:pPr>
        <w:pStyle w:val="FootnoteText"/>
      </w:pPr>
      <w:r>
        <w:rPr>
          <w:rStyle w:val="FootnoteReference"/>
        </w:rPr>
        <w:footnoteRef/>
      </w:r>
      <w:r>
        <w:t xml:space="preserve"> </w:t>
      </w:r>
      <w:r>
        <w:rPr>
          <w:rFonts w:ascii="Arial" w:hAnsi="Arial" w:cs="Arial"/>
          <w:color w:val="222222"/>
          <w:shd w:val="clear" w:color="auto" w:fill="FFFFFF"/>
        </w:rPr>
        <w:t>Chater, Nick, and George Loewenstein. "The i-frame and the s-frame: How focusing on individual-level solutions has led behavioral public policy astray." </w:t>
      </w:r>
      <w:r>
        <w:rPr>
          <w:rFonts w:ascii="Arial" w:hAnsi="Arial" w:cs="Arial"/>
          <w:i/>
          <w:iCs/>
          <w:color w:val="222222"/>
          <w:shd w:val="clear" w:color="auto" w:fill="FFFFFF"/>
        </w:rPr>
        <w:t>Behavioral and Brain Sciences</w:t>
      </w:r>
      <w:r>
        <w:rPr>
          <w:rFonts w:ascii="Arial" w:hAnsi="Arial" w:cs="Arial"/>
          <w:color w:val="222222"/>
          <w:shd w:val="clear" w:color="auto" w:fill="FFFFFF"/>
        </w:rPr>
        <w:t> (2022): 1-60.</w:t>
      </w:r>
    </w:p>
  </w:footnote>
  <w:footnote w:id="142">
    <w:p w14:paraId="2CB38375"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color w:val="000000"/>
          <w:shd w:val="clear" w:color="auto" w:fill="FFFFFF"/>
        </w:rPr>
        <w:t xml:space="preserve"> </w:t>
      </w:r>
      <w:r w:rsidRPr="00637780">
        <w:rPr>
          <w:rFonts w:asciiTheme="majorBidi" w:hAnsiTheme="majorBidi" w:cstheme="majorBidi"/>
        </w:rPr>
        <w:t>McGuire, J. B., A. Sundgren, and T. Schneeweis. 1988. "Corporate Social Responsibility and Firm Financial performance.”</w:t>
      </w:r>
      <w:r w:rsidRPr="00637780">
        <w:rPr>
          <w:rFonts w:asciiTheme="majorBidi" w:hAnsiTheme="majorBidi" w:cstheme="majorBidi"/>
          <w:color w:val="000000"/>
          <w:shd w:val="clear" w:color="auto" w:fill="FFFFFF"/>
        </w:rPr>
        <w:t xml:space="preserve"> </w:t>
      </w:r>
      <w:r w:rsidRPr="00637780">
        <w:rPr>
          <w:rFonts w:asciiTheme="majorBidi" w:hAnsiTheme="majorBidi" w:cstheme="majorBidi"/>
        </w:rPr>
        <w:softHyphen/>
      </w:r>
      <w:r w:rsidRPr="00637780">
        <w:rPr>
          <w:rFonts w:asciiTheme="majorBidi" w:hAnsiTheme="majorBidi" w:cstheme="majorBidi"/>
        </w:rPr>
        <w:softHyphen/>
      </w:r>
      <w:r w:rsidRPr="00637780">
        <w:rPr>
          <w:rFonts w:asciiTheme="majorBidi" w:hAnsiTheme="majorBidi" w:cstheme="majorBidi"/>
          <w:i/>
          <w:iCs/>
        </w:rPr>
        <w:t>Academy of Management Journal.</w:t>
      </w:r>
      <w:r w:rsidRPr="00637780">
        <w:rPr>
          <w:rFonts w:asciiTheme="majorBidi" w:hAnsiTheme="majorBidi" w:cstheme="majorBidi"/>
        </w:rPr>
        <w:t> 31 (4): 854-872.</w:t>
      </w:r>
    </w:p>
  </w:footnote>
  <w:footnote w:id="143">
    <w:p w14:paraId="7DC6D8BF"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Feldman, Yuval, Adi Libson, and Gideon Parchomovsky. "Corporate Law for Good People." </w:t>
      </w:r>
      <w:r w:rsidRPr="00637780">
        <w:rPr>
          <w:rFonts w:asciiTheme="majorBidi" w:hAnsiTheme="majorBidi" w:cstheme="majorBidi"/>
          <w:i/>
          <w:iCs/>
          <w:shd w:val="clear" w:color="auto" w:fill="FFFFFF"/>
        </w:rPr>
        <w:t>Forthcoming Northwestern Law Review (2021)</w:t>
      </w:r>
    </w:p>
  </w:footnote>
  <w:footnote w:id="144">
    <w:p w14:paraId="50760EE6"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Swift, Tracey. "Trust, reputation and corporate accountability to stakeholders." </w:t>
      </w:r>
      <w:r w:rsidRPr="00637780">
        <w:rPr>
          <w:rFonts w:asciiTheme="majorBidi" w:hAnsiTheme="majorBidi" w:cstheme="majorBidi"/>
          <w:i/>
          <w:iCs/>
          <w:shd w:val="clear" w:color="auto" w:fill="FFFFFF"/>
        </w:rPr>
        <w:t>Business Ethics: A European Review</w:t>
      </w:r>
      <w:r w:rsidRPr="00637780">
        <w:rPr>
          <w:rFonts w:asciiTheme="majorBidi" w:hAnsiTheme="majorBidi" w:cstheme="majorBidi"/>
          <w:shd w:val="clear" w:color="auto" w:fill="FFFFFF"/>
        </w:rPr>
        <w:t> 10, no. 1 (2001): 16-26.</w:t>
      </w:r>
    </w:p>
  </w:footnote>
  <w:footnote w:id="145">
    <w:p w14:paraId="5C265C9A" w14:textId="77777777" w:rsidR="00A30D53" w:rsidRPr="00637780" w:rsidRDefault="00A30D53" w:rsidP="00644B88">
      <w:pPr>
        <w:pStyle w:val="FootnoteText"/>
        <w:jc w:val="both"/>
        <w:rPr>
          <w:rFonts w:asciiTheme="majorBidi" w:hAnsiTheme="majorBidi" w:cstheme="majorBidi"/>
        </w:rPr>
      </w:pPr>
      <w:r w:rsidRPr="00637780">
        <w:rPr>
          <w:rStyle w:val="FootnoteReference"/>
          <w:rFonts w:asciiTheme="majorBidi" w:hAnsiTheme="majorBidi" w:cstheme="majorBidi"/>
        </w:rPr>
        <w:footnoteRef/>
      </w:r>
      <w:r w:rsidRPr="00637780">
        <w:rPr>
          <w:rFonts w:asciiTheme="majorBidi" w:hAnsiTheme="majorBidi" w:cstheme="majorBidi"/>
        </w:rPr>
        <w:t xml:space="preserve"> </w:t>
      </w:r>
      <w:r w:rsidRPr="00637780">
        <w:rPr>
          <w:rFonts w:asciiTheme="majorBidi" w:hAnsiTheme="majorBidi" w:cstheme="majorBidi"/>
          <w:shd w:val="clear" w:color="auto" w:fill="FFFFFF"/>
        </w:rPr>
        <w:t>Garland, David. </w:t>
      </w:r>
      <w:r w:rsidRPr="00637780">
        <w:rPr>
          <w:rFonts w:asciiTheme="majorBidi" w:hAnsiTheme="majorBidi" w:cstheme="majorBidi"/>
          <w:i/>
          <w:iCs/>
          <w:shd w:val="clear" w:color="auto" w:fill="FFFFFF"/>
        </w:rPr>
        <w:t>Punishment and modern society: A study in social theory</w:t>
      </w:r>
      <w:r w:rsidRPr="00637780">
        <w:rPr>
          <w:rFonts w:asciiTheme="majorBidi" w:hAnsiTheme="majorBidi" w:cstheme="majorBidi"/>
          <w:shd w:val="clear" w:color="auto" w:fill="FFFFFF"/>
        </w:rPr>
        <w:t>. University of Chicago Press, 2012.</w:t>
      </w:r>
    </w:p>
  </w:footnote>
  <w:footnote w:id="146">
    <w:p w14:paraId="39AF4AA1" w14:textId="08A2EAE1" w:rsidR="00A621B1" w:rsidRDefault="00A621B1">
      <w:pPr>
        <w:pStyle w:val="FootnoteText"/>
      </w:pPr>
      <w:r>
        <w:rPr>
          <w:rStyle w:val="FootnoteReference"/>
        </w:rPr>
        <w:footnoteRef/>
      </w:r>
      <w:r>
        <w:t xml:space="preserve"> </w:t>
      </w:r>
      <w:r>
        <w:rPr>
          <w:rFonts w:ascii="Arial" w:hAnsi="Arial" w:cs="Arial"/>
          <w:color w:val="222222"/>
          <w:shd w:val="clear" w:color="auto" w:fill="FFFFFF"/>
        </w:rPr>
        <w:t>Keh, Hean Tat, and Yi Xie. "Corporate reputation and customer behavioral intentions: The roles of trust, identification and commitment." </w:t>
      </w:r>
      <w:r>
        <w:rPr>
          <w:rFonts w:ascii="Arial" w:hAnsi="Arial" w:cs="Arial"/>
          <w:i/>
          <w:iCs/>
          <w:color w:val="222222"/>
          <w:shd w:val="clear" w:color="auto" w:fill="FFFFFF"/>
        </w:rPr>
        <w:t>Industrial marketing management</w:t>
      </w:r>
      <w:r>
        <w:rPr>
          <w:rFonts w:ascii="Arial" w:hAnsi="Arial" w:cs="Arial"/>
          <w:color w:val="222222"/>
          <w:shd w:val="clear" w:color="auto" w:fill="FFFFFF"/>
        </w:rPr>
        <w:t> 38.7 (2009): 732-742.</w:t>
      </w:r>
    </w:p>
  </w:footnote>
  <w:footnote w:id="147">
    <w:p w14:paraId="1D7FF239" w14:textId="5C199ED5" w:rsidR="00202211" w:rsidRDefault="00202211">
      <w:pPr>
        <w:pStyle w:val="FootnoteText"/>
      </w:pPr>
      <w:r>
        <w:rPr>
          <w:rStyle w:val="FootnoteReference"/>
        </w:rPr>
        <w:footnoteRef/>
      </w:r>
      <w:r>
        <w:t xml:space="preserve"> See work in progress by Ori Aronson, Yuval Feldman</w:t>
      </w:r>
      <w:r w:rsidR="0045032C">
        <w:t xml:space="preserve"> &amp;</w:t>
      </w:r>
      <w:r w:rsidR="0045032C" w:rsidRPr="0045032C">
        <w:t xml:space="preserve"> </w:t>
      </w:r>
      <w:r w:rsidR="0045032C">
        <w:t>Orly Lobel, Date Driving Trust</w:t>
      </w:r>
    </w:p>
  </w:footnote>
  <w:footnote w:id="148">
    <w:p w14:paraId="5C342784" w14:textId="49B30E9D" w:rsidR="00D43207" w:rsidRDefault="00D43207">
      <w:pPr>
        <w:pStyle w:val="FootnoteText"/>
      </w:pPr>
      <w:r>
        <w:rPr>
          <w:rStyle w:val="FootnoteReference"/>
        </w:rPr>
        <w:footnoteRef/>
      </w:r>
      <w:r>
        <w:t xml:space="preserve"> </w:t>
      </w:r>
      <w:r>
        <w:rPr>
          <w:rFonts w:ascii="Arial" w:hAnsi="Arial" w:cs="Arial"/>
          <w:color w:val="222222"/>
          <w:shd w:val="clear" w:color="auto" w:fill="FFFFFF"/>
        </w:rPr>
        <w:t>Milkman, Katherine L., Julia A. Minson, and Kevin GM Volpp. "Holding the hunger games hostage at the gym: An evaluation of temptation bundling." </w:t>
      </w:r>
      <w:r>
        <w:rPr>
          <w:rFonts w:ascii="Arial" w:hAnsi="Arial" w:cs="Arial"/>
          <w:i/>
          <w:iCs/>
          <w:color w:val="222222"/>
          <w:shd w:val="clear" w:color="auto" w:fill="FFFFFF"/>
        </w:rPr>
        <w:t>Management science</w:t>
      </w:r>
      <w:r>
        <w:rPr>
          <w:rFonts w:ascii="Arial" w:hAnsi="Arial" w:cs="Arial"/>
          <w:color w:val="222222"/>
          <w:shd w:val="clear" w:color="auto" w:fill="FFFFFF"/>
        </w:rPr>
        <w:t> 60.2 (2014): 283-299.</w:t>
      </w:r>
    </w:p>
  </w:footnote>
  <w:footnote w:id="149">
    <w:p w14:paraId="2BE942C6" w14:textId="6402047B" w:rsidR="009A29C6" w:rsidRDefault="009A29C6">
      <w:pPr>
        <w:pStyle w:val="FootnoteText"/>
      </w:pPr>
      <w:r>
        <w:rPr>
          <w:rStyle w:val="FootnoteReference"/>
        </w:rPr>
        <w:footnoteRef/>
      </w:r>
      <w:r>
        <w:t xml:space="preserve"> </w:t>
      </w:r>
      <w:r>
        <w:rPr>
          <w:rFonts w:ascii="Arial" w:hAnsi="Arial" w:cs="Arial"/>
          <w:color w:val="222222"/>
          <w:shd w:val="clear" w:color="auto" w:fill="FFFFFF"/>
        </w:rPr>
        <w:t>Carlsmith, J. Merrill, and Alan E. Gross. "Some effects of guilt on compliance." </w:t>
      </w:r>
      <w:r>
        <w:rPr>
          <w:rFonts w:ascii="Arial" w:hAnsi="Arial" w:cs="Arial"/>
          <w:i/>
          <w:iCs/>
          <w:color w:val="222222"/>
          <w:shd w:val="clear" w:color="auto" w:fill="FFFFFF"/>
        </w:rPr>
        <w:t>Journal of personality and social psychology</w:t>
      </w:r>
      <w:r>
        <w:rPr>
          <w:rFonts w:ascii="Arial" w:hAnsi="Arial" w:cs="Arial"/>
          <w:color w:val="222222"/>
          <w:shd w:val="clear" w:color="auto" w:fill="FFFFFF"/>
        </w:rPr>
        <w:t> 11.3 (1969): 232.</w:t>
      </w:r>
    </w:p>
  </w:footnote>
  <w:footnote w:id="150">
    <w:p w14:paraId="38834EAE" w14:textId="23BCDD1F" w:rsidR="00AF0504" w:rsidRDefault="00AF0504">
      <w:pPr>
        <w:pStyle w:val="FootnoteText"/>
      </w:pPr>
      <w:r>
        <w:rPr>
          <w:rStyle w:val="FootnoteReference"/>
        </w:rPr>
        <w:footnoteRef/>
      </w:r>
      <w:r>
        <w:t xml:space="preserve"> </w:t>
      </w:r>
      <w:r>
        <w:rPr>
          <w:rFonts w:ascii="Arial" w:hAnsi="Arial" w:cs="Arial"/>
          <w:color w:val="222222"/>
          <w:shd w:val="clear" w:color="auto" w:fill="FFFFFF"/>
        </w:rPr>
        <w:t>London, Perry, Robert E. Schulman, and Michael S. Black. "Religion, guilt, and ethical standards." </w:t>
      </w:r>
      <w:r>
        <w:rPr>
          <w:rFonts w:ascii="Arial" w:hAnsi="Arial" w:cs="Arial"/>
          <w:i/>
          <w:iCs/>
          <w:color w:val="222222"/>
          <w:shd w:val="clear" w:color="auto" w:fill="FFFFFF"/>
        </w:rPr>
        <w:t>The Journal of social psychology</w:t>
      </w:r>
      <w:r>
        <w:rPr>
          <w:rFonts w:ascii="Arial" w:hAnsi="Arial" w:cs="Arial"/>
          <w:color w:val="222222"/>
          <w:shd w:val="clear" w:color="auto" w:fill="FFFFFF"/>
        </w:rPr>
        <w:t> 63.1 (1964): 145-159.</w:t>
      </w:r>
    </w:p>
  </w:footnote>
  <w:footnote w:id="151">
    <w:p w14:paraId="42F939A2" w14:textId="603BE3CE" w:rsidR="000C5DED" w:rsidRDefault="000C5DED">
      <w:pPr>
        <w:pStyle w:val="FootnoteText"/>
      </w:pPr>
      <w:r>
        <w:rPr>
          <w:rStyle w:val="FootnoteReference"/>
        </w:rPr>
        <w:footnoteRef/>
      </w:r>
      <w:r>
        <w:t xml:space="preserve"> </w:t>
      </w:r>
      <w:r>
        <w:rPr>
          <w:rFonts w:ascii="Arial" w:hAnsi="Arial" w:cs="Arial"/>
          <w:color w:val="222222"/>
          <w:shd w:val="clear" w:color="auto" w:fill="FFFFFF"/>
        </w:rPr>
        <w:t>Feldman, Yuval. "The expressive function of trade secret law: Legality, cost, intrinsic motivation, and consensus." </w:t>
      </w:r>
      <w:r>
        <w:rPr>
          <w:rFonts w:ascii="Arial" w:hAnsi="Arial" w:cs="Arial"/>
          <w:i/>
          <w:iCs/>
          <w:color w:val="222222"/>
          <w:shd w:val="clear" w:color="auto" w:fill="FFFFFF"/>
        </w:rPr>
        <w:t>Journal of Empirical Legal Studies</w:t>
      </w:r>
      <w:r>
        <w:rPr>
          <w:rFonts w:ascii="Arial" w:hAnsi="Arial" w:cs="Arial"/>
          <w:color w:val="222222"/>
          <w:shd w:val="clear" w:color="auto" w:fill="FFFFFF"/>
        </w:rPr>
        <w:t> 6.1 (2009): 177-212.</w:t>
      </w:r>
    </w:p>
  </w:footnote>
  <w:footnote w:id="152">
    <w:p w14:paraId="47B8A5E2" w14:textId="31AFCAF5" w:rsidR="000C5DED" w:rsidRDefault="000C5DED">
      <w:pPr>
        <w:pStyle w:val="FootnoteText"/>
      </w:pPr>
      <w:r>
        <w:rPr>
          <w:rStyle w:val="FootnoteReference"/>
        </w:rPr>
        <w:footnoteRef/>
      </w:r>
      <w:r>
        <w:t xml:space="preserve"> </w:t>
      </w:r>
      <w:r>
        <w:rPr>
          <w:rFonts w:ascii="Arial" w:hAnsi="Arial" w:cs="Arial"/>
          <w:color w:val="222222"/>
          <w:shd w:val="clear" w:color="auto" w:fill="FFFFFF"/>
        </w:rPr>
        <w:t>Luttmer, Erzo FP, and Monica Singhal. "Tax morale." </w:t>
      </w:r>
      <w:r>
        <w:rPr>
          <w:rFonts w:ascii="Arial" w:hAnsi="Arial" w:cs="Arial"/>
          <w:i/>
          <w:iCs/>
          <w:color w:val="222222"/>
          <w:shd w:val="clear" w:color="auto" w:fill="FFFFFF"/>
        </w:rPr>
        <w:t>Journal of economic perspectives</w:t>
      </w:r>
      <w:r>
        <w:rPr>
          <w:rFonts w:ascii="Arial" w:hAnsi="Arial" w:cs="Arial"/>
          <w:color w:val="222222"/>
          <w:shd w:val="clear" w:color="auto" w:fill="FFFFFF"/>
        </w:rPr>
        <w:t> 28.4 (2014): 149-168. Bott, Kristina M., et al. "You’ve got mail: A randomized field experiment on tax evasion." </w:t>
      </w:r>
      <w:r>
        <w:rPr>
          <w:rFonts w:ascii="Arial" w:hAnsi="Arial" w:cs="Arial"/>
          <w:i/>
          <w:iCs/>
          <w:color w:val="222222"/>
          <w:shd w:val="clear" w:color="auto" w:fill="FFFFFF"/>
        </w:rPr>
        <w:t>Management science</w:t>
      </w:r>
      <w:r>
        <w:rPr>
          <w:rFonts w:ascii="Arial" w:hAnsi="Arial" w:cs="Arial"/>
          <w:color w:val="222222"/>
          <w:shd w:val="clear" w:color="auto" w:fill="FFFFFF"/>
        </w:rPr>
        <w:t> 66.7 (2020): 2801-2819.</w:t>
      </w:r>
    </w:p>
  </w:footnote>
  <w:footnote w:id="153">
    <w:p w14:paraId="64F4F3C2" w14:textId="74FACB2A" w:rsidR="00F55937" w:rsidRDefault="00F55937" w:rsidP="00F55937">
      <w:r>
        <w:rPr>
          <w:rStyle w:val="FootnoteReference"/>
        </w:rPr>
        <w:footnoteRef/>
      </w:r>
      <w:r>
        <w:t xml:space="preserve"> </w:t>
      </w:r>
      <w:r w:rsidRPr="00644B88">
        <w:rPr>
          <w:rFonts w:asciiTheme="majorBidi" w:hAnsiTheme="majorBidi" w:cstheme="majorBidi"/>
          <w:sz w:val="24"/>
          <w:szCs w:val="24"/>
        </w:rPr>
        <w:t>Gelfand view on culture</w:t>
      </w:r>
      <w:r>
        <w:rPr>
          <w:rFonts w:asciiTheme="majorBidi" w:hAnsiTheme="majorBidi" w:cstheme="majorBidi"/>
          <w:sz w:val="24"/>
          <w:szCs w:val="24"/>
        </w:rPr>
        <w:t xml:space="preserve">; </w:t>
      </w:r>
      <w:r w:rsidRPr="00644B88">
        <w:rPr>
          <w:rFonts w:asciiTheme="majorBidi" w:hAnsiTheme="majorBidi" w:cstheme="majorBidi"/>
          <w:sz w:val="24"/>
          <w:szCs w:val="24"/>
        </w:rPr>
        <w:t xml:space="preserve">Vs. </w:t>
      </w:r>
      <w:r w:rsidRPr="00644B88">
        <w:rPr>
          <w:rFonts w:asciiTheme="majorBidi" w:hAnsiTheme="majorBidi" w:cstheme="majorBidi"/>
          <w:sz w:val="24"/>
          <w:szCs w:val="24"/>
        </w:rPr>
        <w:t xml:space="preserve">hofstade </w:t>
      </w:r>
      <w:r>
        <w:rPr>
          <w:rFonts w:asciiTheme="majorBidi" w:hAnsiTheme="majorBidi" w:cstheme="majorBidi"/>
          <w:sz w:val="24"/>
          <w:szCs w:val="24"/>
        </w:rPr>
        <w:t>;</w:t>
      </w:r>
      <w:r w:rsidRPr="00644B88">
        <w:rPr>
          <w:rFonts w:asciiTheme="majorBidi" w:hAnsiTheme="majorBidi" w:cstheme="majorBidi"/>
          <w:sz w:val="24"/>
          <w:szCs w:val="24"/>
        </w:rPr>
        <w:t xml:space="preserve"> research on the skandvinaian countries change in their trust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A1E0" w14:textId="77777777" w:rsidR="00A30D53" w:rsidRDefault="00A30D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4D5C" w14:textId="77777777" w:rsidR="00A30D53" w:rsidRDefault="00A30D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28CB" w14:textId="77777777" w:rsidR="00A30D53" w:rsidRDefault="00A30D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0AD4"/>
    <w:multiLevelType w:val="multilevel"/>
    <w:tmpl w:val="E6AA9814"/>
    <w:lvl w:ilvl="0">
      <w:start w:val="1"/>
      <w:numFmt w:val="decimal"/>
      <w:lvlText w:val="%1)"/>
      <w:lvlJc w:val="left"/>
      <w:pPr>
        <w:ind w:left="360" w:hanging="360"/>
      </w:pPr>
      <w:rPr>
        <w:rFonts w:asciiTheme="majorBidi" w:hAnsiTheme="majorBidi" w:cstheme="majorBidi" w:hint="default"/>
      </w:r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81F072A"/>
    <w:multiLevelType w:val="multilevel"/>
    <w:tmpl w:val="246A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503C84"/>
    <w:multiLevelType w:val="multilevel"/>
    <w:tmpl w:val="B57851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1441E2"/>
    <w:multiLevelType w:val="multilevel"/>
    <w:tmpl w:val="1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1B3521F"/>
    <w:multiLevelType w:val="multilevel"/>
    <w:tmpl w:val="B50ACF6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4A72B4"/>
    <w:multiLevelType w:val="hybridMultilevel"/>
    <w:tmpl w:val="6BA63D20"/>
    <w:lvl w:ilvl="0" w:tplc="3E3C14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CB24A4"/>
    <w:multiLevelType w:val="multilevel"/>
    <w:tmpl w:val="A14A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C20918"/>
    <w:multiLevelType w:val="multilevel"/>
    <w:tmpl w:val="FAB486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BA2F0D"/>
    <w:multiLevelType w:val="multilevel"/>
    <w:tmpl w:val="6454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D92188"/>
    <w:multiLevelType w:val="multilevel"/>
    <w:tmpl w:val="2C78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3E4E51"/>
    <w:multiLevelType w:val="multilevel"/>
    <w:tmpl w:val="8C9A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B42898"/>
    <w:multiLevelType w:val="multilevel"/>
    <w:tmpl w:val="35AA0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0031485">
    <w:abstractNumId w:val="2"/>
  </w:num>
  <w:num w:numId="2" w16cid:durableId="217130007">
    <w:abstractNumId w:val="0"/>
  </w:num>
  <w:num w:numId="3" w16cid:durableId="249393696">
    <w:abstractNumId w:val="3"/>
  </w:num>
  <w:num w:numId="4" w16cid:durableId="722560341">
    <w:abstractNumId w:val="8"/>
  </w:num>
  <w:num w:numId="5" w16cid:durableId="1834947049">
    <w:abstractNumId w:val="5"/>
  </w:num>
  <w:num w:numId="6" w16cid:durableId="1274436191">
    <w:abstractNumId w:val="4"/>
  </w:num>
  <w:num w:numId="7" w16cid:durableId="268858425">
    <w:abstractNumId w:val="10"/>
  </w:num>
  <w:num w:numId="8" w16cid:durableId="890531860">
    <w:abstractNumId w:val="9"/>
  </w:num>
  <w:num w:numId="9" w16cid:durableId="1237714402">
    <w:abstractNumId w:val="7"/>
  </w:num>
  <w:num w:numId="10" w16cid:durableId="1085151892">
    <w:abstractNumId w:val="6"/>
  </w:num>
  <w:num w:numId="11" w16cid:durableId="43916798">
    <w:abstractNumId w:val="1"/>
  </w:num>
  <w:num w:numId="12" w16cid:durableId="9207169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986"/>
    <w:rsid w:val="0000584A"/>
    <w:rsid w:val="00005AE3"/>
    <w:rsid w:val="0001215D"/>
    <w:rsid w:val="000265E8"/>
    <w:rsid w:val="0003076A"/>
    <w:rsid w:val="00046ABE"/>
    <w:rsid w:val="00050AFC"/>
    <w:rsid w:val="0005203D"/>
    <w:rsid w:val="000540C7"/>
    <w:rsid w:val="000556B9"/>
    <w:rsid w:val="00063D05"/>
    <w:rsid w:val="00076AD1"/>
    <w:rsid w:val="000847A7"/>
    <w:rsid w:val="00095310"/>
    <w:rsid w:val="000A0248"/>
    <w:rsid w:val="000B117B"/>
    <w:rsid w:val="000B335F"/>
    <w:rsid w:val="000B7B3F"/>
    <w:rsid w:val="000B7E23"/>
    <w:rsid w:val="000C5DED"/>
    <w:rsid w:val="000C6856"/>
    <w:rsid w:val="000D5732"/>
    <w:rsid w:val="000D59DA"/>
    <w:rsid w:val="000E2C83"/>
    <w:rsid w:val="000F127E"/>
    <w:rsid w:val="000F1956"/>
    <w:rsid w:val="000F333C"/>
    <w:rsid w:val="00104695"/>
    <w:rsid w:val="00133F6F"/>
    <w:rsid w:val="00135413"/>
    <w:rsid w:val="00136E85"/>
    <w:rsid w:val="0014132F"/>
    <w:rsid w:val="0014166D"/>
    <w:rsid w:val="00150476"/>
    <w:rsid w:val="00150C29"/>
    <w:rsid w:val="00167752"/>
    <w:rsid w:val="001702F0"/>
    <w:rsid w:val="001716B4"/>
    <w:rsid w:val="00177EC4"/>
    <w:rsid w:val="001800D5"/>
    <w:rsid w:val="001838A2"/>
    <w:rsid w:val="001A02C2"/>
    <w:rsid w:val="001A13CE"/>
    <w:rsid w:val="001A6AD0"/>
    <w:rsid w:val="001B1E9A"/>
    <w:rsid w:val="001B7080"/>
    <w:rsid w:val="001C23AE"/>
    <w:rsid w:val="001C4A69"/>
    <w:rsid w:val="001D01C5"/>
    <w:rsid w:val="001D1B9A"/>
    <w:rsid w:val="001D676E"/>
    <w:rsid w:val="001D69B6"/>
    <w:rsid w:val="001D7868"/>
    <w:rsid w:val="001E514B"/>
    <w:rsid w:val="001F3B87"/>
    <w:rsid w:val="001F5BB0"/>
    <w:rsid w:val="00202211"/>
    <w:rsid w:val="00206CC2"/>
    <w:rsid w:val="002108DE"/>
    <w:rsid w:val="0021184B"/>
    <w:rsid w:val="00216175"/>
    <w:rsid w:val="00216B2B"/>
    <w:rsid w:val="00235660"/>
    <w:rsid w:val="00244341"/>
    <w:rsid w:val="0025062B"/>
    <w:rsid w:val="00251BC2"/>
    <w:rsid w:val="00252FB1"/>
    <w:rsid w:val="00254509"/>
    <w:rsid w:val="00273D72"/>
    <w:rsid w:val="0028681B"/>
    <w:rsid w:val="0029032F"/>
    <w:rsid w:val="0029171A"/>
    <w:rsid w:val="0029336E"/>
    <w:rsid w:val="002A3A12"/>
    <w:rsid w:val="002A3AB0"/>
    <w:rsid w:val="002B0992"/>
    <w:rsid w:val="002B432C"/>
    <w:rsid w:val="002C457F"/>
    <w:rsid w:val="002C4FC9"/>
    <w:rsid w:val="002D1464"/>
    <w:rsid w:val="002D4122"/>
    <w:rsid w:val="002D5CA0"/>
    <w:rsid w:val="002D62BB"/>
    <w:rsid w:val="002E5DBC"/>
    <w:rsid w:val="002E73B0"/>
    <w:rsid w:val="002F0B7E"/>
    <w:rsid w:val="002F5CD7"/>
    <w:rsid w:val="002F612A"/>
    <w:rsid w:val="00306D4A"/>
    <w:rsid w:val="00311CBA"/>
    <w:rsid w:val="00312DB6"/>
    <w:rsid w:val="00314BA4"/>
    <w:rsid w:val="003322E6"/>
    <w:rsid w:val="003324D1"/>
    <w:rsid w:val="0033360D"/>
    <w:rsid w:val="0033645C"/>
    <w:rsid w:val="00340084"/>
    <w:rsid w:val="00340B64"/>
    <w:rsid w:val="00345385"/>
    <w:rsid w:val="00346E95"/>
    <w:rsid w:val="00347C82"/>
    <w:rsid w:val="00372724"/>
    <w:rsid w:val="003855F8"/>
    <w:rsid w:val="0038657E"/>
    <w:rsid w:val="00391E3F"/>
    <w:rsid w:val="00393D52"/>
    <w:rsid w:val="00395069"/>
    <w:rsid w:val="003B26D0"/>
    <w:rsid w:val="003C1CBB"/>
    <w:rsid w:val="003C3103"/>
    <w:rsid w:val="003C400F"/>
    <w:rsid w:val="003C41F1"/>
    <w:rsid w:val="003C4E79"/>
    <w:rsid w:val="003C4FA6"/>
    <w:rsid w:val="003C59B2"/>
    <w:rsid w:val="003D034A"/>
    <w:rsid w:val="003D512A"/>
    <w:rsid w:val="003D6EAE"/>
    <w:rsid w:val="003D7766"/>
    <w:rsid w:val="003E3B28"/>
    <w:rsid w:val="003E4021"/>
    <w:rsid w:val="003E491A"/>
    <w:rsid w:val="003E7890"/>
    <w:rsid w:val="003F1CCD"/>
    <w:rsid w:val="003F2666"/>
    <w:rsid w:val="004308E3"/>
    <w:rsid w:val="0045032C"/>
    <w:rsid w:val="004732AD"/>
    <w:rsid w:val="00480553"/>
    <w:rsid w:val="004A6B6E"/>
    <w:rsid w:val="004A780E"/>
    <w:rsid w:val="004B2257"/>
    <w:rsid w:val="004B2749"/>
    <w:rsid w:val="004B5D6B"/>
    <w:rsid w:val="004C2556"/>
    <w:rsid w:val="004D1356"/>
    <w:rsid w:val="004D5049"/>
    <w:rsid w:val="004E7114"/>
    <w:rsid w:val="004E75A6"/>
    <w:rsid w:val="004F54E9"/>
    <w:rsid w:val="00500051"/>
    <w:rsid w:val="00500ADE"/>
    <w:rsid w:val="00501358"/>
    <w:rsid w:val="00502BF5"/>
    <w:rsid w:val="00507C11"/>
    <w:rsid w:val="00520AA9"/>
    <w:rsid w:val="005311A9"/>
    <w:rsid w:val="00534781"/>
    <w:rsid w:val="00543C1D"/>
    <w:rsid w:val="00543E09"/>
    <w:rsid w:val="00544423"/>
    <w:rsid w:val="00544B67"/>
    <w:rsid w:val="00545BCC"/>
    <w:rsid w:val="00546B20"/>
    <w:rsid w:val="005727CF"/>
    <w:rsid w:val="00573AAA"/>
    <w:rsid w:val="00577B7F"/>
    <w:rsid w:val="00581F28"/>
    <w:rsid w:val="005821BC"/>
    <w:rsid w:val="00584CC2"/>
    <w:rsid w:val="005922CA"/>
    <w:rsid w:val="005A0D08"/>
    <w:rsid w:val="005A11FC"/>
    <w:rsid w:val="005C0ED1"/>
    <w:rsid w:val="005C40E3"/>
    <w:rsid w:val="005D7DEC"/>
    <w:rsid w:val="005E6151"/>
    <w:rsid w:val="005F2BE2"/>
    <w:rsid w:val="005F6C47"/>
    <w:rsid w:val="006324CD"/>
    <w:rsid w:val="00632B97"/>
    <w:rsid w:val="006357CF"/>
    <w:rsid w:val="00637780"/>
    <w:rsid w:val="00643417"/>
    <w:rsid w:val="00644B88"/>
    <w:rsid w:val="00653E86"/>
    <w:rsid w:val="00654E58"/>
    <w:rsid w:val="00655F2B"/>
    <w:rsid w:val="0066387F"/>
    <w:rsid w:val="0068725D"/>
    <w:rsid w:val="006A2552"/>
    <w:rsid w:val="006A457B"/>
    <w:rsid w:val="006B670B"/>
    <w:rsid w:val="006C39FB"/>
    <w:rsid w:val="006E1EA9"/>
    <w:rsid w:val="006F13BA"/>
    <w:rsid w:val="006F3E87"/>
    <w:rsid w:val="006F667C"/>
    <w:rsid w:val="00702CB4"/>
    <w:rsid w:val="00736B51"/>
    <w:rsid w:val="00736E55"/>
    <w:rsid w:val="00744251"/>
    <w:rsid w:val="00746878"/>
    <w:rsid w:val="007673F8"/>
    <w:rsid w:val="00771C92"/>
    <w:rsid w:val="007850FA"/>
    <w:rsid w:val="007879F6"/>
    <w:rsid w:val="007951BF"/>
    <w:rsid w:val="007A5C19"/>
    <w:rsid w:val="007B329B"/>
    <w:rsid w:val="007B487C"/>
    <w:rsid w:val="007C1ABE"/>
    <w:rsid w:val="007D10A9"/>
    <w:rsid w:val="007D1FBF"/>
    <w:rsid w:val="007D49C0"/>
    <w:rsid w:val="007E2EC7"/>
    <w:rsid w:val="007E3718"/>
    <w:rsid w:val="007E552D"/>
    <w:rsid w:val="007E7AE9"/>
    <w:rsid w:val="007F08D8"/>
    <w:rsid w:val="007F3104"/>
    <w:rsid w:val="007F49F5"/>
    <w:rsid w:val="008118CD"/>
    <w:rsid w:val="00814BA6"/>
    <w:rsid w:val="008225DB"/>
    <w:rsid w:val="00825CC6"/>
    <w:rsid w:val="00832554"/>
    <w:rsid w:val="00840775"/>
    <w:rsid w:val="00845746"/>
    <w:rsid w:val="00853EF2"/>
    <w:rsid w:val="00855FE2"/>
    <w:rsid w:val="00856DC2"/>
    <w:rsid w:val="00857447"/>
    <w:rsid w:val="00862FAE"/>
    <w:rsid w:val="0086588C"/>
    <w:rsid w:val="00866F22"/>
    <w:rsid w:val="00873800"/>
    <w:rsid w:val="00873B2D"/>
    <w:rsid w:val="0089206A"/>
    <w:rsid w:val="008A58FF"/>
    <w:rsid w:val="008B0E4F"/>
    <w:rsid w:val="008B12A9"/>
    <w:rsid w:val="008C1661"/>
    <w:rsid w:val="008C47AF"/>
    <w:rsid w:val="008D4920"/>
    <w:rsid w:val="008D69B5"/>
    <w:rsid w:val="008E25C5"/>
    <w:rsid w:val="008E3ABA"/>
    <w:rsid w:val="008F6EBE"/>
    <w:rsid w:val="008F7A4C"/>
    <w:rsid w:val="00900805"/>
    <w:rsid w:val="0090764D"/>
    <w:rsid w:val="0091241C"/>
    <w:rsid w:val="00913B20"/>
    <w:rsid w:val="00914546"/>
    <w:rsid w:val="0092669E"/>
    <w:rsid w:val="00930FAE"/>
    <w:rsid w:val="00936580"/>
    <w:rsid w:val="00957964"/>
    <w:rsid w:val="00962316"/>
    <w:rsid w:val="00970CB1"/>
    <w:rsid w:val="00980CDC"/>
    <w:rsid w:val="0098251B"/>
    <w:rsid w:val="00982532"/>
    <w:rsid w:val="009850F5"/>
    <w:rsid w:val="00985494"/>
    <w:rsid w:val="009877E1"/>
    <w:rsid w:val="00990D71"/>
    <w:rsid w:val="0099104D"/>
    <w:rsid w:val="00996D3C"/>
    <w:rsid w:val="009A285E"/>
    <w:rsid w:val="009A29C6"/>
    <w:rsid w:val="009B5FD3"/>
    <w:rsid w:val="009C0747"/>
    <w:rsid w:val="009D1080"/>
    <w:rsid w:val="009D55C4"/>
    <w:rsid w:val="009E3E5E"/>
    <w:rsid w:val="009F4D8B"/>
    <w:rsid w:val="00A16051"/>
    <w:rsid w:val="00A30D53"/>
    <w:rsid w:val="00A35B54"/>
    <w:rsid w:val="00A371F9"/>
    <w:rsid w:val="00A470FD"/>
    <w:rsid w:val="00A473B3"/>
    <w:rsid w:val="00A5298B"/>
    <w:rsid w:val="00A621B1"/>
    <w:rsid w:val="00A670D1"/>
    <w:rsid w:val="00A76071"/>
    <w:rsid w:val="00A842DE"/>
    <w:rsid w:val="00A85A41"/>
    <w:rsid w:val="00A944EE"/>
    <w:rsid w:val="00A96EC7"/>
    <w:rsid w:val="00AA25BB"/>
    <w:rsid w:val="00AB0249"/>
    <w:rsid w:val="00AB7A75"/>
    <w:rsid w:val="00AC14C9"/>
    <w:rsid w:val="00AC6023"/>
    <w:rsid w:val="00AC7D7A"/>
    <w:rsid w:val="00AD134F"/>
    <w:rsid w:val="00AE0352"/>
    <w:rsid w:val="00AE38B0"/>
    <w:rsid w:val="00AE4E74"/>
    <w:rsid w:val="00AF0504"/>
    <w:rsid w:val="00AF1317"/>
    <w:rsid w:val="00AF7D90"/>
    <w:rsid w:val="00B006EF"/>
    <w:rsid w:val="00B0220F"/>
    <w:rsid w:val="00B022D8"/>
    <w:rsid w:val="00B1502A"/>
    <w:rsid w:val="00B346E4"/>
    <w:rsid w:val="00B4184B"/>
    <w:rsid w:val="00B5410C"/>
    <w:rsid w:val="00B5563F"/>
    <w:rsid w:val="00B56D82"/>
    <w:rsid w:val="00B67A4F"/>
    <w:rsid w:val="00B72AB9"/>
    <w:rsid w:val="00B73848"/>
    <w:rsid w:val="00B7397A"/>
    <w:rsid w:val="00B77060"/>
    <w:rsid w:val="00B80AD1"/>
    <w:rsid w:val="00B8559C"/>
    <w:rsid w:val="00B945DA"/>
    <w:rsid w:val="00B95EC1"/>
    <w:rsid w:val="00B96B19"/>
    <w:rsid w:val="00BA471E"/>
    <w:rsid w:val="00BA4E09"/>
    <w:rsid w:val="00BA6904"/>
    <w:rsid w:val="00BA6C5B"/>
    <w:rsid w:val="00BB1E68"/>
    <w:rsid w:val="00BB38F8"/>
    <w:rsid w:val="00BB6ED6"/>
    <w:rsid w:val="00BB7F31"/>
    <w:rsid w:val="00BC0A0A"/>
    <w:rsid w:val="00BC56B4"/>
    <w:rsid w:val="00BD2FDC"/>
    <w:rsid w:val="00BE3D02"/>
    <w:rsid w:val="00BF1C16"/>
    <w:rsid w:val="00C0775A"/>
    <w:rsid w:val="00C2182C"/>
    <w:rsid w:val="00C21D43"/>
    <w:rsid w:val="00C3195B"/>
    <w:rsid w:val="00C42FA6"/>
    <w:rsid w:val="00C4333D"/>
    <w:rsid w:val="00C55AF2"/>
    <w:rsid w:val="00C56B03"/>
    <w:rsid w:val="00C62A4E"/>
    <w:rsid w:val="00C70C41"/>
    <w:rsid w:val="00C814F8"/>
    <w:rsid w:val="00C85E5E"/>
    <w:rsid w:val="00C926BC"/>
    <w:rsid w:val="00CA4641"/>
    <w:rsid w:val="00CB0674"/>
    <w:rsid w:val="00CC501B"/>
    <w:rsid w:val="00CD7986"/>
    <w:rsid w:val="00CE1E9A"/>
    <w:rsid w:val="00CF1959"/>
    <w:rsid w:val="00CF249D"/>
    <w:rsid w:val="00D019C1"/>
    <w:rsid w:val="00D04A38"/>
    <w:rsid w:val="00D300D0"/>
    <w:rsid w:val="00D313F7"/>
    <w:rsid w:val="00D32EED"/>
    <w:rsid w:val="00D43207"/>
    <w:rsid w:val="00D44A44"/>
    <w:rsid w:val="00D46BE7"/>
    <w:rsid w:val="00D5259B"/>
    <w:rsid w:val="00D56007"/>
    <w:rsid w:val="00D77410"/>
    <w:rsid w:val="00D8193F"/>
    <w:rsid w:val="00D83396"/>
    <w:rsid w:val="00D8383B"/>
    <w:rsid w:val="00D92B29"/>
    <w:rsid w:val="00D942F8"/>
    <w:rsid w:val="00D964E5"/>
    <w:rsid w:val="00D969F3"/>
    <w:rsid w:val="00DA5026"/>
    <w:rsid w:val="00DA5E29"/>
    <w:rsid w:val="00DA75BA"/>
    <w:rsid w:val="00DB0310"/>
    <w:rsid w:val="00DC2597"/>
    <w:rsid w:val="00DD6714"/>
    <w:rsid w:val="00DE6000"/>
    <w:rsid w:val="00DE6FB6"/>
    <w:rsid w:val="00DF457C"/>
    <w:rsid w:val="00E02ED1"/>
    <w:rsid w:val="00E0431E"/>
    <w:rsid w:val="00E10C59"/>
    <w:rsid w:val="00E21A55"/>
    <w:rsid w:val="00E21A80"/>
    <w:rsid w:val="00E21C81"/>
    <w:rsid w:val="00E253D4"/>
    <w:rsid w:val="00E2635F"/>
    <w:rsid w:val="00E263B2"/>
    <w:rsid w:val="00E30150"/>
    <w:rsid w:val="00E30CCA"/>
    <w:rsid w:val="00E3468E"/>
    <w:rsid w:val="00E50828"/>
    <w:rsid w:val="00E53359"/>
    <w:rsid w:val="00E7681A"/>
    <w:rsid w:val="00E81288"/>
    <w:rsid w:val="00E85BDA"/>
    <w:rsid w:val="00E97352"/>
    <w:rsid w:val="00EA1657"/>
    <w:rsid w:val="00EA3EBB"/>
    <w:rsid w:val="00EB5F65"/>
    <w:rsid w:val="00EC18E9"/>
    <w:rsid w:val="00EC7AD4"/>
    <w:rsid w:val="00ED4FB5"/>
    <w:rsid w:val="00EE04CB"/>
    <w:rsid w:val="00EE0579"/>
    <w:rsid w:val="00EF22C4"/>
    <w:rsid w:val="00F2679B"/>
    <w:rsid w:val="00F3202D"/>
    <w:rsid w:val="00F364CE"/>
    <w:rsid w:val="00F4292C"/>
    <w:rsid w:val="00F55937"/>
    <w:rsid w:val="00F571E7"/>
    <w:rsid w:val="00F65D41"/>
    <w:rsid w:val="00F65DFA"/>
    <w:rsid w:val="00F66441"/>
    <w:rsid w:val="00F707F9"/>
    <w:rsid w:val="00F715FE"/>
    <w:rsid w:val="00F748D6"/>
    <w:rsid w:val="00F87A33"/>
    <w:rsid w:val="00FA5329"/>
    <w:rsid w:val="00FA5A73"/>
    <w:rsid w:val="00FA5CCD"/>
    <w:rsid w:val="00FB45DE"/>
    <w:rsid w:val="00FD7F9D"/>
    <w:rsid w:val="00FE1679"/>
    <w:rsid w:val="00FF1996"/>
    <w:rsid w:val="00FF72A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740231"/>
  <w15:docId w15:val="{77B38C05-F50F-411B-8605-9D173283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986"/>
  </w:style>
  <w:style w:type="paragraph" w:styleId="Heading1">
    <w:name w:val="heading 1"/>
    <w:basedOn w:val="Normal"/>
    <w:next w:val="Normal"/>
    <w:link w:val="Heading1Char"/>
    <w:uiPriority w:val="9"/>
    <w:qFormat/>
    <w:rsid w:val="00CD79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79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79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98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D798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D798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D7986"/>
    <w:pPr>
      <w:ind w:left="720"/>
      <w:contextualSpacing/>
    </w:pPr>
  </w:style>
  <w:style w:type="character" w:styleId="CommentReference">
    <w:name w:val="annotation reference"/>
    <w:basedOn w:val="DefaultParagraphFont"/>
    <w:uiPriority w:val="99"/>
    <w:semiHidden/>
    <w:unhideWhenUsed/>
    <w:rsid w:val="00CD7986"/>
    <w:rPr>
      <w:sz w:val="16"/>
      <w:szCs w:val="16"/>
    </w:rPr>
  </w:style>
  <w:style w:type="paragraph" w:styleId="CommentText">
    <w:name w:val="annotation text"/>
    <w:basedOn w:val="Normal"/>
    <w:link w:val="CommentTextChar"/>
    <w:uiPriority w:val="99"/>
    <w:unhideWhenUsed/>
    <w:rsid w:val="00CD7986"/>
    <w:pPr>
      <w:spacing w:line="240" w:lineRule="auto"/>
    </w:pPr>
    <w:rPr>
      <w:sz w:val="20"/>
      <w:szCs w:val="20"/>
    </w:rPr>
  </w:style>
  <w:style w:type="character" w:customStyle="1" w:styleId="CommentTextChar">
    <w:name w:val="Comment Text Char"/>
    <w:basedOn w:val="DefaultParagraphFont"/>
    <w:link w:val="CommentText"/>
    <w:uiPriority w:val="99"/>
    <w:rsid w:val="00CD7986"/>
    <w:rPr>
      <w:sz w:val="20"/>
      <w:szCs w:val="20"/>
    </w:rPr>
  </w:style>
  <w:style w:type="paragraph" w:styleId="CommentSubject">
    <w:name w:val="annotation subject"/>
    <w:basedOn w:val="CommentText"/>
    <w:next w:val="CommentText"/>
    <w:link w:val="CommentSubjectChar"/>
    <w:uiPriority w:val="99"/>
    <w:semiHidden/>
    <w:unhideWhenUsed/>
    <w:rsid w:val="00CD7986"/>
    <w:rPr>
      <w:b/>
      <w:bCs/>
    </w:rPr>
  </w:style>
  <w:style w:type="character" w:customStyle="1" w:styleId="CommentSubjectChar">
    <w:name w:val="Comment Subject Char"/>
    <w:basedOn w:val="CommentTextChar"/>
    <w:link w:val="CommentSubject"/>
    <w:uiPriority w:val="99"/>
    <w:semiHidden/>
    <w:rsid w:val="00CD7986"/>
    <w:rPr>
      <w:b/>
      <w:bCs/>
      <w:sz w:val="20"/>
      <w:szCs w:val="20"/>
    </w:rPr>
  </w:style>
  <w:style w:type="paragraph" w:styleId="BalloonText">
    <w:name w:val="Balloon Text"/>
    <w:basedOn w:val="Normal"/>
    <w:link w:val="BalloonTextChar"/>
    <w:uiPriority w:val="99"/>
    <w:semiHidden/>
    <w:unhideWhenUsed/>
    <w:rsid w:val="00CD79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986"/>
    <w:rPr>
      <w:rFonts w:ascii="Segoe UI" w:hAnsi="Segoe UI" w:cs="Segoe UI"/>
      <w:sz w:val="18"/>
      <w:szCs w:val="18"/>
    </w:rPr>
  </w:style>
  <w:style w:type="paragraph" w:styleId="FootnoteText">
    <w:name w:val="footnote text"/>
    <w:basedOn w:val="Normal"/>
    <w:link w:val="FootnoteTextChar"/>
    <w:uiPriority w:val="99"/>
    <w:unhideWhenUsed/>
    <w:rsid w:val="00CD7986"/>
    <w:pPr>
      <w:spacing w:after="0" w:line="240" w:lineRule="auto"/>
    </w:pPr>
    <w:rPr>
      <w:sz w:val="20"/>
      <w:szCs w:val="20"/>
    </w:rPr>
  </w:style>
  <w:style w:type="character" w:customStyle="1" w:styleId="FootnoteTextChar">
    <w:name w:val="Footnote Text Char"/>
    <w:basedOn w:val="DefaultParagraphFont"/>
    <w:link w:val="FootnoteText"/>
    <w:uiPriority w:val="99"/>
    <w:rsid w:val="00CD7986"/>
    <w:rPr>
      <w:sz w:val="20"/>
      <w:szCs w:val="20"/>
    </w:rPr>
  </w:style>
  <w:style w:type="character" w:styleId="FootnoteReference">
    <w:name w:val="footnote reference"/>
    <w:basedOn w:val="DefaultParagraphFont"/>
    <w:uiPriority w:val="99"/>
    <w:semiHidden/>
    <w:unhideWhenUsed/>
    <w:rsid w:val="00CD7986"/>
    <w:rPr>
      <w:vertAlign w:val="superscript"/>
    </w:rPr>
  </w:style>
  <w:style w:type="character" w:styleId="Hyperlink">
    <w:name w:val="Hyperlink"/>
    <w:basedOn w:val="DefaultParagraphFont"/>
    <w:uiPriority w:val="99"/>
    <w:unhideWhenUsed/>
    <w:rsid w:val="00CD7986"/>
    <w:rPr>
      <w:color w:val="0563C1" w:themeColor="hyperlink"/>
      <w:u w:val="single"/>
    </w:rPr>
  </w:style>
  <w:style w:type="character" w:customStyle="1" w:styleId="UnresolvedMention1">
    <w:name w:val="Unresolved Mention1"/>
    <w:basedOn w:val="DefaultParagraphFont"/>
    <w:uiPriority w:val="99"/>
    <w:semiHidden/>
    <w:unhideWhenUsed/>
    <w:rsid w:val="00CD7986"/>
    <w:rPr>
      <w:color w:val="605E5C"/>
      <w:shd w:val="clear" w:color="auto" w:fill="E1DFDD"/>
    </w:rPr>
  </w:style>
  <w:style w:type="paragraph" w:styleId="Bibliography">
    <w:name w:val="Bibliography"/>
    <w:basedOn w:val="Normal"/>
    <w:next w:val="Normal"/>
    <w:uiPriority w:val="37"/>
    <w:unhideWhenUsed/>
    <w:rsid w:val="00CD7986"/>
  </w:style>
  <w:style w:type="character" w:customStyle="1" w:styleId="1">
    <w:name w:val="כותרת משנה1"/>
    <w:basedOn w:val="DefaultParagraphFont"/>
    <w:rsid w:val="00CD7986"/>
  </w:style>
  <w:style w:type="character" w:customStyle="1" w:styleId="a-size-extra-large">
    <w:name w:val="a-size-extra-large"/>
    <w:basedOn w:val="DefaultParagraphFont"/>
    <w:rsid w:val="00CD7986"/>
  </w:style>
  <w:style w:type="paragraph" w:styleId="EndnoteText">
    <w:name w:val="endnote text"/>
    <w:basedOn w:val="Normal"/>
    <w:link w:val="EndnoteTextChar"/>
    <w:uiPriority w:val="99"/>
    <w:unhideWhenUsed/>
    <w:rsid w:val="00CD7986"/>
    <w:pPr>
      <w:spacing w:after="0" w:line="240" w:lineRule="auto"/>
    </w:pPr>
    <w:rPr>
      <w:sz w:val="20"/>
      <w:szCs w:val="20"/>
    </w:rPr>
  </w:style>
  <w:style w:type="character" w:customStyle="1" w:styleId="EndnoteTextChar">
    <w:name w:val="Endnote Text Char"/>
    <w:basedOn w:val="DefaultParagraphFont"/>
    <w:link w:val="EndnoteText"/>
    <w:uiPriority w:val="99"/>
    <w:rsid w:val="00CD7986"/>
    <w:rPr>
      <w:sz w:val="20"/>
      <w:szCs w:val="20"/>
    </w:rPr>
  </w:style>
  <w:style w:type="character" w:styleId="EndnoteReference">
    <w:name w:val="endnote reference"/>
    <w:basedOn w:val="DefaultParagraphFont"/>
    <w:uiPriority w:val="99"/>
    <w:semiHidden/>
    <w:unhideWhenUsed/>
    <w:rsid w:val="00CD7986"/>
    <w:rPr>
      <w:vertAlign w:val="superscript"/>
    </w:rPr>
  </w:style>
  <w:style w:type="character" w:styleId="Strong">
    <w:name w:val="Strong"/>
    <w:basedOn w:val="DefaultParagraphFont"/>
    <w:uiPriority w:val="22"/>
    <w:qFormat/>
    <w:rsid w:val="00CD7986"/>
    <w:rPr>
      <w:b/>
      <w:bCs/>
    </w:rPr>
  </w:style>
  <w:style w:type="paragraph" w:styleId="NormalWeb">
    <w:name w:val="Normal (Web)"/>
    <w:basedOn w:val="Normal"/>
    <w:uiPriority w:val="99"/>
    <w:unhideWhenUsed/>
    <w:rsid w:val="00CD79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7986"/>
    <w:rPr>
      <w:i/>
      <w:iCs/>
    </w:rPr>
  </w:style>
  <w:style w:type="paragraph" w:styleId="HTMLPreformatted">
    <w:name w:val="HTML Preformatted"/>
    <w:basedOn w:val="Normal"/>
    <w:link w:val="HTMLPreformattedChar"/>
    <w:uiPriority w:val="99"/>
    <w:semiHidden/>
    <w:unhideWhenUsed/>
    <w:rsid w:val="00CD7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7986"/>
    <w:rPr>
      <w:rFonts w:ascii="Courier New" w:eastAsia="Times New Roman" w:hAnsi="Courier New" w:cs="Courier New"/>
      <w:sz w:val="20"/>
      <w:szCs w:val="20"/>
    </w:rPr>
  </w:style>
  <w:style w:type="character" w:customStyle="1" w:styleId="screen-reader-text">
    <w:name w:val="screen-reader-text"/>
    <w:basedOn w:val="DefaultParagraphFont"/>
    <w:rsid w:val="00CD7986"/>
  </w:style>
  <w:style w:type="paragraph" w:styleId="z-TopofForm">
    <w:name w:val="HTML Top of Form"/>
    <w:basedOn w:val="Normal"/>
    <w:next w:val="Normal"/>
    <w:link w:val="z-TopofFormChar"/>
    <w:hidden/>
    <w:uiPriority w:val="99"/>
    <w:semiHidden/>
    <w:unhideWhenUsed/>
    <w:rsid w:val="00CD79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D798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D79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D7986"/>
    <w:rPr>
      <w:rFonts w:ascii="Arial" w:eastAsia="Times New Roman" w:hAnsi="Arial" w:cs="Arial"/>
      <w:vanish/>
      <w:sz w:val="16"/>
      <w:szCs w:val="16"/>
    </w:rPr>
  </w:style>
  <w:style w:type="paragraph" w:styleId="Header">
    <w:name w:val="header"/>
    <w:basedOn w:val="Normal"/>
    <w:link w:val="HeaderChar"/>
    <w:uiPriority w:val="99"/>
    <w:unhideWhenUsed/>
    <w:rsid w:val="00CD7986"/>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986"/>
  </w:style>
  <w:style w:type="paragraph" w:styleId="Footer">
    <w:name w:val="footer"/>
    <w:basedOn w:val="Normal"/>
    <w:link w:val="FooterChar"/>
    <w:uiPriority w:val="99"/>
    <w:unhideWhenUsed/>
    <w:rsid w:val="00CD7986"/>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986"/>
  </w:style>
  <w:style w:type="paragraph" w:styleId="Revision">
    <w:name w:val="Revision"/>
    <w:hidden/>
    <w:uiPriority w:val="99"/>
    <w:semiHidden/>
    <w:rsid w:val="00CD7986"/>
    <w:pPr>
      <w:spacing w:after="0" w:line="240" w:lineRule="auto"/>
    </w:pPr>
  </w:style>
  <w:style w:type="character" w:styleId="FollowedHyperlink">
    <w:name w:val="FollowedHyperlink"/>
    <w:basedOn w:val="DefaultParagraphFont"/>
    <w:uiPriority w:val="99"/>
    <w:semiHidden/>
    <w:unhideWhenUsed/>
    <w:rsid w:val="00CD7986"/>
    <w:rPr>
      <w:color w:val="954F72" w:themeColor="followedHyperlink"/>
      <w:u w:val="single"/>
    </w:rPr>
  </w:style>
  <w:style w:type="character" w:styleId="UnresolvedMention">
    <w:name w:val="Unresolved Mention"/>
    <w:basedOn w:val="DefaultParagraphFont"/>
    <w:uiPriority w:val="99"/>
    <w:rsid w:val="00CD7986"/>
    <w:rPr>
      <w:color w:val="605E5C"/>
      <w:shd w:val="clear" w:color="auto" w:fill="E1DFDD"/>
    </w:rPr>
  </w:style>
  <w:style w:type="paragraph" w:styleId="TOCHeading">
    <w:name w:val="TOC Heading"/>
    <w:basedOn w:val="Heading1"/>
    <w:next w:val="Normal"/>
    <w:uiPriority w:val="39"/>
    <w:unhideWhenUsed/>
    <w:qFormat/>
    <w:rsid w:val="00A30D53"/>
    <w:pPr>
      <w:outlineLvl w:val="9"/>
    </w:pPr>
    <w:rPr>
      <w:lang w:bidi="ar-SA"/>
    </w:rPr>
  </w:style>
  <w:style w:type="paragraph" w:styleId="TOC2">
    <w:name w:val="toc 2"/>
    <w:basedOn w:val="Normal"/>
    <w:next w:val="Normal"/>
    <w:autoRedefine/>
    <w:uiPriority w:val="39"/>
    <w:unhideWhenUsed/>
    <w:rsid w:val="008A58FF"/>
    <w:pPr>
      <w:tabs>
        <w:tab w:val="right" w:leader="dot" w:pos="8296"/>
      </w:tabs>
      <w:spacing w:after="100"/>
      <w:ind w:left="220"/>
    </w:pPr>
  </w:style>
  <w:style w:type="paragraph" w:styleId="TOC3">
    <w:name w:val="toc 3"/>
    <w:basedOn w:val="Normal"/>
    <w:next w:val="Normal"/>
    <w:autoRedefine/>
    <w:uiPriority w:val="39"/>
    <w:unhideWhenUsed/>
    <w:rsid w:val="00A30D53"/>
    <w:pPr>
      <w:spacing w:after="100"/>
      <w:ind w:left="440"/>
    </w:pPr>
  </w:style>
  <w:style w:type="paragraph" w:styleId="TOC1">
    <w:name w:val="toc 1"/>
    <w:basedOn w:val="Normal"/>
    <w:next w:val="Normal"/>
    <w:autoRedefine/>
    <w:uiPriority w:val="39"/>
    <w:unhideWhenUsed/>
    <w:rsid w:val="00F707F9"/>
    <w:pPr>
      <w:spacing w:after="100"/>
    </w:pPr>
  </w:style>
  <w:style w:type="character" w:customStyle="1" w:styleId="cf01">
    <w:name w:val="cf01"/>
    <w:basedOn w:val="DefaultParagraphFont"/>
    <w:rsid w:val="00A76071"/>
    <w:rPr>
      <w:rFonts w:ascii="Segoe UI" w:hAnsi="Segoe UI" w:cs="Segoe UI" w:hint="default"/>
      <w:sz w:val="18"/>
      <w:szCs w:val="18"/>
    </w:rPr>
  </w:style>
  <w:style w:type="table" w:styleId="TableGrid">
    <w:name w:val="Table Grid"/>
    <w:basedOn w:val="TableNormal"/>
    <w:uiPriority w:val="39"/>
    <w:rsid w:val="002D6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75979">
      <w:bodyDiv w:val="1"/>
      <w:marLeft w:val="0"/>
      <w:marRight w:val="0"/>
      <w:marTop w:val="0"/>
      <w:marBottom w:val="0"/>
      <w:divBdr>
        <w:top w:val="none" w:sz="0" w:space="0" w:color="auto"/>
        <w:left w:val="none" w:sz="0" w:space="0" w:color="auto"/>
        <w:bottom w:val="none" w:sz="0" w:space="0" w:color="auto"/>
        <w:right w:val="none" w:sz="0" w:space="0" w:color="auto"/>
      </w:divBdr>
    </w:div>
    <w:div w:id="508760456">
      <w:bodyDiv w:val="1"/>
      <w:marLeft w:val="0"/>
      <w:marRight w:val="0"/>
      <w:marTop w:val="0"/>
      <w:marBottom w:val="0"/>
      <w:divBdr>
        <w:top w:val="none" w:sz="0" w:space="0" w:color="auto"/>
        <w:left w:val="none" w:sz="0" w:space="0" w:color="auto"/>
        <w:bottom w:val="none" w:sz="0" w:space="0" w:color="auto"/>
        <w:right w:val="none" w:sz="0" w:space="0" w:color="auto"/>
      </w:divBdr>
    </w:div>
    <w:div w:id="937639637">
      <w:bodyDiv w:val="1"/>
      <w:marLeft w:val="0"/>
      <w:marRight w:val="0"/>
      <w:marTop w:val="0"/>
      <w:marBottom w:val="0"/>
      <w:divBdr>
        <w:top w:val="none" w:sz="0" w:space="0" w:color="auto"/>
        <w:left w:val="none" w:sz="0" w:space="0" w:color="auto"/>
        <w:bottom w:val="none" w:sz="0" w:space="0" w:color="auto"/>
        <w:right w:val="none" w:sz="0" w:space="0" w:color="auto"/>
      </w:divBdr>
      <w:divsChild>
        <w:div w:id="137844593">
          <w:marLeft w:val="0"/>
          <w:marRight w:val="0"/>
          <w:marTop w:val="0"/>
          <w:marBottom w:val="0"/>
          <w:divBdr>
            <w:top w:val="none" w:sz="0" w:space="0" w:color="auto"/>
            <w:left w:val="none" w:sz="0" w:space="0" w:color="auto"/>
            <w:bottom w:val="none" w:sz="0" w:space="0" w:color="auto"/>
            <w:right w:val="none" w:sz="0" w:space="0" w:color="auto"/>
          </w:divBdr>
          <w:divsChild>
            <w:div w:id="1451826752">
              <w:marLeft w:val="0"/>
              <w:marRight w:val="0"/>
              <w:marTop w:val="0"/>
              <w:marBottom w:val="0"/>
              <w:divBdr>
                <w:top w:val="none" w:sz="0" w:space="0" w:color="auto"/>
                <w:left w:val="none" w:sz="0" w:space="0" w:color="auto"/>
                <w:bottom w:val="none" w:sz="0" w:space="0" w:color="auto"/>
                <w:right w:val="none" w:sz="0" w:space="0" w:color="auto"/>
              </w:divBdr>
              <w:divsChild>
                <w:div w:id="581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2107">
          <w:marLeft w:val="0"/>
          <w:marRight w:val="0"/>
          <w:marTop w:val="0"/>
          <w:marBottom w:val="0"/>
          <w:divBdr>
            <w:top w:val="none" w:sz="0" w:space="0" w:color="auto"/>
            <w:left w:val="none" w:sz="0" w:space="0" w:color="auto"/>
            <w:bottom w:val="none" w:sz="0" w:space="0" w:color="auto"/>
            <w:right w:val="none" w:sz="0" w:space="0" w:color="auto"/>
          </w:divBdr>
          <w:divsChild>
            <w:div w:id="279724241">
              <w:marLeft w:val="0"/>
              <w:marRight w:val="0"/>
              <w:marTop w:val="0"/>
              <w:marBottom w:val="0"/>
              <w:divBdr>
                <w:top w:val="none" w:sz="0" w:space="0" w:color="auto"/>
                <w:left w:val="none" w:sz="0" w:space="0" w:color="auto"/>
                <w:bottom w:val="none" w:sz="0" w:space="0" w:color="auto"/>
                <w:right w:val="none" w:sz="0" w:space="0" w:color="auto"/>
              </w:divBdr>
              <w:divsChild>
                <w:div w:id="505361964">
                  <w:marLeft w:val="0"/>
                  <w:marRight w:val="300"/>
                  <w:marTop w:val="225"/>
                  <w:marBottom w:val="75"/>
                  <w:divBdr>
                    <w:top w:val="none" w:sz="0" w:space="0" w:color="auto"/>
                    <w:left w:val="none" w:sz="0" w:space="0" w:color="auto"/>
                    <w:bottom w:val="none" w:sz="0" w:space="0" w:color="auto"/>
                    <w:right w:val="none" w:sz="0" w:space="0" w:color="auto"/>
                  </w:divBdr>
                </w:div>
              </w:divsChild>
            </w:div>
            <w:div w:id="496187437">
              <w:marLeft w:val="0"/>
              <w:marRight w:val="0"/>
              <w:marTop w:val="0"/>
              <w:marBottom w:val="0"/>
              <w:divBdr>
                <w:top w:val="none" w:sz="0" w:space="0" w:color="auto"/>
                <w:left w:val="none" w:sz="0" w:space="0" w:color="auto"/>
                <w:bottom w:val="none" w:sz="0" w:space="0" w:color="auto"/>
                <w:right w:val="none" w:sz="0" w:space="0" w:color="auto"/>
              </w:divBdr>
              <w:divsChild>
                <w:div w:id="7050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18400">
          <w:marLeft w:val="0"/>
          <w:marRight w:val="0"/>
          <w:marTop w:val="0"/>
          <w:marBottom w:val="0"/>
          <w:divBdr>
            <w:top w:val="none" w:sz="0" w:space="0" w:color="auto"/>
            <w:left w:val="none" w:sz="0" w:space="0" w:color="auto"/>
            <w:bottom w:val="none" w:sz="0" w:space="0" w:color="auto"/>
            <w:right w:val="none" w:sz="0" w:space="0" w:color="auto"/>
          </w:divBdr>
          <w:divsChild>
            <w:div w:id="1120228297">
              <w:marLeft w:val="0"/>
              <w:marRight w:val="0"/>
              <w:marTop w:val="0"/>
              <w:marBottom w:val="0"/>
              <w:divBdr>
                <w:top w:val="none" w:sz="0" w:space="0" w:color="auto"/>
                <w:left w:val="none" w:sz="0" w:space="0" w:color="auto"/>
                <w:bottom w:val="none" w:sz="0" w:space="0" w:color="auto"/>
                <w:right w:val="none" w:sz="0" w:space="0" w:color="auto"/>
              </w:divBdr>
              <w:divsChild>
                <w:div w:id="2062511664">
                  <w:marLeft w:val="0"/>
                  <w:marRight w:val="0"/>
                  <w:marTop w:val="0"/>
                  <w:marBottom w:val="0"/>
                  <w:divBdr>
                    <w:top w:val="none" w:sz="0" w:space="0" w:color="auto"/>
                    <w:left w:val="none" w:sz="0" w:space="0" w:color="auto"/>
                    <w:bottom w:val="none" w:sz="0" w:space="0" w:color="auto"/>
                    <w:right w:val="none" w:sz="0" w:space="0" w:color="auto"/>
                  </w:divBdr>
                  <w:divsChild>
                    <w:div w:id="6597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ssrn.com/abstract=3444963" TargetMode="External"/><Relationship Id="rId2" Type="http://schemas.openxmlformats.org/officeDocument/2006/relationships/hyperlink" Target="https://doi.org/10.1007/s11292-020-09426-x" TargetMode="External"/><Relationship Id="rId1" Type="http://schemas.openxmlformats.org/officeDocument/2006/relationships/hyperlink" Target="http://dx.doi.org/10.1037/law0000096" TargetMode="External"/><Relationship Id="rId6" Type="http://schemas.openxmlformats.org/officeDocument/2006/relationships/hyperlink" Target="http://nla.gov.au/nla.obj-534266985" TargetMode="External"/><Relationship Id="rId5" Type="http://schemas.openxmlformats.org/officeDocument/2006/relationships/hyperlink" Target="https://doi.org/10.1057/9781137313577_5" TargetMode="External"/><Relationship Id="rId4" Type="http://schemas.openxmlformats.org/officeDocument/2006/relationships/hyperlink" Target="http://persuasion-and-influence.blogspot.com/2018/03/next-episode-in-10seconds-defaul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40E8C-0F76-4CB7-93EA-92F0860E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13074</Words>
  <Characters>61188</Characters>
  <Application>Microsoft Office Word</Application>
  <DocSecurity>0</DocSecurity>
  <Lines>1019</Lines>
  <Paragraphs>216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BIU Office 365 Pro Plus</Company>
  <LinksUpToDate>false</LinksUpToDate>
  <CharactersWithSpaces>74046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Yuval Feldman</dc:creator>
  <cp:keywords/>
  <dc:description/>
  <cp:lastModifiedBy>Susan Doron</cp:lastModifiedBy>
  <cp:revision>2</cp:revision>
  <dcterms:created xsi:type="dcterms:W3CDTF">2024-03-17T15:09:00Z</dcterms:created>
  <dcterms:modified xsi:type="dcterms:W3CDTF">2024-03-17T15:09:00Z</dcterms:modified>
</cp:coreProperties>
</file>