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37038" w14:textId="17EF84CC" w:rsidR="002635D4" w:rsidRPr="00B24BEF" w:rsidRDefault="002635D4" w:rsidP="00B24BEF">
      <w:pPr>
        <w:rPr>
          <w:rFonts w:ascii="Arial" w:hAnsi="Arial" w:cs="Arial"/>
        </w:rPr>
      </w:pPr>
      <w:bookmarkStart w:id="0" w:name="_Toc76406737"/>
      <w:r w:rsidRPr="00B24BEF">
        <w:rPr>
          <w:rFonts w:ascii="Arial" w:hAnsi="Arial" w:cs="Arial"/>
          <w:b/>
          <w:sz w:val="28"/>
        </w:rPr>
        <w:t>Yoruba Girl Dancing: A Feminist Nigerian/British Reading of Herodias’s Daughter in Mark 6:17-28 &amp; Matthew 14: 3-12</w:t>
      </w:r>
      <w:r w:rsidR="00DD699C" w:rsidRPr="00B24BEF">
        <w:rPr>
          <w:rFonts w:ascii="Arial" w:hAnsi="Arial" w:cs="Arial"/>
          <w:b/>
          <w:sz w:val="28"/>
        </w:rPr>
        <w:br/>
      </w:r>
    </w:p>
    <w:p w14:paraId="48A4589E" w14:textId="5FE8A5E8" w:rsidR="002D36E1" w:rsidRPr="00B24BEF" w:rsidRDefault="00DD699C" w:rsidP="00B24BEF">
      <w:pPr>
        <w:pStyle w:val="Keywords"/>
        <w:spacing w:line="480" w:lineRule="auto"/>
        <w:jc w:val="both"/>
        <w:rPr>
          <w:rFonts w:ascii="Arial" w:hAnsi="Arial" w:cs="Arial"/>
        </w:rPr>
      </w:pPr>
      <w:r w:rsidRPr="00B24BEF">
        <w:rPr>
          <w:rFonts w:ascii="Arial" w:hAnsi="Arial" w:cs="Arial"/>
        </w:rPr>
        <w:t xml:space="preserve">This </w:t>
      </w:r>
      <w:r w:rsidR="00810873">
        <w:rPr>
          <w:rFonts w:ascii="Arial" w:hAnsi="Arial" w:cs="Arial"/>
        </w:rPr>
        <w:t xml:space="preserve">article </w:t>
      </w:r>
      <w:r w:rsidR="002D36E1" w:rsidRPr="00B24BEF">
        <w:rPr>
          <w:rFonts w:ascii="Arial" w:hAnsi="Arial" w:cs="Arial"/>
        </w:rPr>
        <w:t>seeks</w:t>
      </w:r>
      <w:r w:rsidRPr="00B24BEF">
        <w:rPr>
          <w:rFonts w:ascii="Arial" w:hAnsi="Arial" w:cs="Arial"/>
        </w:rPr>
        <w:t xml:space="preserve"> to offer a feminist Nigerian/British reading of Herodias’ daughter’s dance in Mark</w:t>
      </w:r>
      <w:r w:rsidR="00810873">
        <w:rPr>
          <w:rFonts w:ascii="Arial" w:hAnsi="Arial" w:cs="Arial"/>
        </w:rPr>
        <w:t xml:space="preserve"> 6:17-28</w:t>
      </w:r>
      <w:r w:rsidRPr="00B24BEF">
        <w:rPr>
          <w:rFonts w:ascii="Arial" w:hAnsi="Arial" w:cs="Arial"/>
        </w:rPr>
        <w:t xml:space="preserve"> and Matthew </w:t>
      </w:r>
      <w:r w:rsidR="00810873">
        <w:rPr>
          <w:rFonts w:ascii="Arial" w:hAnsi="Arial" w:cs="Arial"/>
        </w:rPr>
        <w:t xml:space="preserve">14:3-12 </w:t>
      </w:r>
      <w:r w:rsidRPr="00B24BEF">
        <w:rPr>
          <w:rFonts w:ascii="Arial" w:hAnsi="Arial" w:cs="Arial"/>
        </w:rPr>
        <w:t>by reading it alongside Simi Bedford’s Yorùbá Girl Dancing (Bedford, 1994)</w:t>
      </w:r>
      <w:r w:rsidR="00164004">
        <w:rPr>
          <w:rFonts w:ascii="Arial" w:hAnsi="Arial" w:cs="Arial"/>
        </w:rPr>
        <w:t>,</w:t>
      </w:r>
      <w:r w:rsidRPr="00B24BEF">
        <w:rPr>
          <w:rFonts w:ascii="Arial" w:hAnsi="Arial" w:cs="Arial"/>
        </w:rPr>
        <w:t xml:space="preserve"> In this </w:t>
      </w:r>
      <w:r w:rsidR="00810873">
        <w:rPr>
          <w:rFonts w:ascii="Arial" w:hAnsi="Arial" w:cs="Arial"/>
        </w:rPr>
        <w:t xml:space="preserve">article </w:t>
      </w:r>
      <w:r w:rsidRPr="00B24BEF">
        <w:rPr>
          <w:rFonts w:ascii="Arial" w:hAnsi="Arial" w:cs="Arial"/>
        </w:rPr>
        <w:t xml:space="preserve">the dominant Western interpretation of Herodias’ daughter’s dance being “erotic” (Marcus, 2000: 397) </w:t>
      </w:r>
      <w:r w:rsidR="00810873">
        <w:rPr>
          <w:rFonts w:ascii="Arial" w:hAnsi="Arial" w:cs="Arial"/>
        </w:rPr>
        <w:t>i</w:t>
      </w:r>
      <w:r w:rsidRPr="00B24BEF">
        <w:rPr>
          <w:rFonts w:ascii="Arial" w:hAnsi="Arial" w:cs="Arial"/>
        </w:rPr>
        <w:t xml:space="preserve">s shown to have been heavily influenced by </w:t>
      </w:r>
      <w:r w:rsidR="00FF63C2">
        <w:rPr>
          <w:rFonts w:ascii="Arial" w:hAnsi="Arial" w:cs="Arial"/>
        </w:rPr>
        <w:t xml:space="preserve">hypersexualised </w:t>
      </w:r>
      <w:r w:rsidRPr="00B24BEF">
        <w:rPr>
          <w:rFonts w:ascii="Arial" w:hAnsi="Arial" w:cs="Arial"/>
        </w:rPr>
        <w:t xml:space="preserve">art reception history (Joynes, 2009: 150) in the face of no biblical evidence. By combining insights from Simi Bedford’s novel (that depicted Yorùbá dance on British soil to “double as a public exorcism of European devilry” (Ogunyemi, 1996: 325)) and the important role that dance played within Yorùbá life and death rituals (Ogundipe, 2018: 25), from a feminist Nigerian/British perspective this </w:t>
      </w:r>
      <w:r w:rsidR="00810873">
        <w:rPr>
          <w:rFonts w:ascii="Arial" w:hAnsi="Arial" w:cs="Arial"/>
        </w:rPr>
        <w:t xml:space="preserve">article </w:t>
      </w:r>
      <w:r w:rsidRPr="00B24BEF">
        <w:rPr>
          <w:rFonts w:ascii="Arial" w:hAnsi="Arial" w:cs="Arial"/>
        </w:rPr>
        <w:t>reconfigur</w:t>
      </w:r>
      <w:r w:rsidR="00FF63C2">
        <w:rPr>
          <w:rFonts w:ascii="Arial" w:hAnsi="Arial" w:cs="Arial"/>
        </w:rPr>
        <w:t>es</w:t>
      </w:r>
      <w:r w:rsidRPr="00B24BEF">
        <w:rPr>
          <w:rFonts w:ascii="Arial" w:hAnsi="Arial" w:cs="Arial"/>
        </w:rPr>
        <w:t xml:space="preserve"> Herodias’ daughter’s dance to be a form of resistance against the patriarchal gaze, a prophetic ritual lament of the death of John the Baptist, a means to communicate to a higher deity, and finally a means to mark the end of the John the Baptist era. </w:t>
      </w:r>
    </w:p>
    <w:p w14:paraId="7597BB19" w14:textId="6015E95F" w:rsidR="00A86986" w:rsidRPr="00B24BEF" w:rsidRDefault="002D1BE8" w:rsidP="00B24BEF">
      <w:pPr>
        <w:pStyle w:val="Keywords"/>
        <w:spacing w:line="480" w:lineRule="auto"/>
        <w:jc w:val="both"/>
        <w:rPr>
          <w:rFonts w:ascii="Arial" w:hAnsi="Arial" w:cs="Arial"/>
        </w:rPr>
      </w:pPr>
      <w:r w:rsidRPr="0071129A">
        <w:rPr>
          <w:rFonts w:ascii="Arial" w:hAnsi="Arial" w:cs="Arial"/>
          <w:b/>
          <w:bCs/>
        </w:rPr>
        <w:t>Key</w:t>
      </w:r>
      <w:r w:rsidR="00496A92" w:rsidRPr="0071129A">
        <w:rPr>
          <w:rFonts w:ascii="Arial" w:hAnsi="Arial" w:cs="Arial"/>
          <w:b/>
          <w:bCs/>
        </w:rPr>
        <w:t>w</w:t>
      </w:r>
      <w:r w:rsidRPr="0071129A">
        <w:rPr>
          <w:rFonts w:ascii="Arial" w:hAnsi="Arial" w:cs="Arial"/>
          <w:b/>
          <w:bCs/>
        </w:rPr>
        <w:t>ords:</w:t>
      </w:r>
      <w:r w:rsidRPr="00B24BEF">
        <w:rPr>
          <w:rFonts w:ascii="Arial" w:hAnsi="Arial" w:cs="Arial"/>
        </w:rPr>
        <w:t xml:space="preserve"> </w:t>
      </w:r>
      <w:r w:rsidR="00325140" w:rsidRPr="00B24BEF">
        <w:rPr>
          <w:rFonts w:ascii="Arial" w:hAnsi="Arial" w:cs="Arial"/>
        </w:rPr>
        <w:t xml:space="preserve">Feminist </w:t>
      </w:r>
      <w:r w:rsidR="002F56F3" w:rsidRPr="00B24BEF">
        <w:rPr>
          <w:rFonts w:ascii="Arial" w:hAnsi="Arial" w:cs="Arial"/>
        </w:rPr>
        <w:t>Nigerian/British Interpretation</w:t>
      </w:r>
      <w:r w:rsidR="00496A92" w:rsidRPr="00B24BEF">
        <w:rPr>
          <w:rFonts w:ascii="Arial" w:hAnsi="Arial" w:cs="Arial"/>
        </w:rPr>
        <w:t>;</w:t>
      </w:r>
      <w:r w:rsidR="002F56F3" w:rsidRPr="00B24BEF">
        <w:rPr>
          <w:rFonts w:ascii="Arial" w:hAnsi="Arial" w:cs="Arial"/>
        </w:rPr>
        <w:t xml:space="preserve"> </w:t>
      </w:r>
      <w:r w:rsidR="00134E6E" w:rsidRPr="00B24BEF">
        <w:rPr>
          <w:rFonts w:ascii="Arial" w:hAnsi="Arial" w:cs="Arial"/>
        </w:rPr>
        <w:t>Herodias’s Daughter</w:t>
      </w:r>
      <w:r w:rsidR="00496A92" w:rsidRPr="00B24BEF">
        <w:rPr>
          <w:rFonts w:ascii="Arial" w:hAnsi="Arial" w:cs="Arial"/>
        </w:rPr>
        <w:t>;</w:t>
      </w:r>
      <w:r w:rsidR="002F56F3" w:rsidRPr="00B24BEF">
        <w:rPr>
          <w:rFonts w:ascii="Arial" w:hAnsi="Arial" w:cs="Arial"/>
        </w:rPr>
        <w:t xml:space="preserve"> </w:t>
      </w:r>
      <w:r w:rsidR="002D36E1" w:rsidRPr="00B24BEF">
        <w:rPr>
          <w:rFonts w:ascii="Arial" w:hAnsi="Arial" w:cs="Arial"/>
        </w:rPr>
        <w:t xml:space="preserve">Mark 6:17-28; Matthew 14:3-12; </w:t>
      </w:r>
      <w:r w:rsidR="00134E6E" w:rsidRPr="00B24BEF">
        <w:rPr>
          <w:rFonts w:ascii="Arial" w:hAnsi="Arial" w:cs="Arial"/>
        </w:rPr>
        <w:t>Dancing</w:t>
      </w:r>
      <w:r w:rsidR="00496A92" w:rsidRPr="00B24BEF">
        <w:rPr>
          <w:rFonts w:ascii="Arial" w:hAnsi="Arial" w:cs="Arial"/>
        </w:rPr>
        <w:t>;</w:t>
      </w:r>
      <w:r w:rsidR="00AA72B0" w:rsidRPr="00B24BEF">
        <w:rPr>
          <w:rFonts w:ascii="Arial" w:hAnsi="Arial" w:cs="Arial"/>
        </w:rPr>
        <w:t xml:space="preserve"> Simi Bedford</w:t>
      </w:r>
      <w:r w:rsidR="000642DA" w:rsidRPr="00B24BEF">
        <w:rPr>
          <w:rFonts w:ascii="Arial" w:hAnsi="Arial" w:cs="Arial"/>
        </w:rPr>
        <w:t xml:space="preserve">, </w:t>
      </w:r>
      <w:r w:rsidR="00AA72B0" w:rsidRPr="00B24BEF">
        <w:rPr>
          <w:rFonts w:ascii="Arial" w:hAnsi="Arial" w:cs="Arial"/>
          <w:i/>
          <w:iCs/>
        </w:rPr>
        <w:t>Yoruba Girl Dancing</w:t>
      </w:r>
      <w:r w:rsidR="002219BE" w:rsidRPr="00B24BEF">
        <w:rPr>
          <w:rFonts w:ascii="Arial" w:hAnsi="Arial" w:cs="Arial"/>
        </w:rPr>
        <w:t xml:space="preserve"> </w:t>
      </w:r>
      <w:r w:rsidR="000642DA" w:rsidRPr="00B24BEF">
        <w:rPr>
          <w:rFonts w:ascii="Arial" w:hAnsi="Arial" w:cs="Arial"/>
        </w:rPr>
        <w:t>(</w:t>
      </w:r>
      <w:r w:rsidR="00AA72B0" w:rsidRPr="00B24BEF">
        <w:rPr>
          <w:rFonts w:ascii="Arial" w:hAnsi="Arial" w:cs="Arial"/>
        </w:rPr>
        <w:t>1994</w:t>
      </w:r>
      <w:r w:rsidR="000642DA" w:rsidRPr="00B24BEF">
        <w:rPr>
          <w:rFonts w:ascii="Arial" w:hAnsi="Arial" w:cs="Arial"/>
        </w:rPr>
        <w:t xml:space="preserve">) </w:t>
      </w:r>
    </w:p>
    <w:p w14:paraId="232F1E9C" w14:textId="77777777" w:rsidR="00A86986" w:rsidRDefault="00A86986" w:rsidP="00B24BEF">
      <w:pPr>
        <w:pStyle w:val="Paragraph"/>
        <w:rPr>
          <w:rFonts w:ascii="Arial" w:hAnsi="Arial" w:cs="Arial"/>
        </w:rPr>
      </w:pPr>
    </w:p>
    <w:p w14:paraId="6B291793" w14:textId="77777777" w:rsidR="00DE18AE" w:rsidRPr="00DE18AE" w:rsidRDefault="00DE18AE" w:rsidP="00DE18AE">
      <w:pPr>
        <w:pStyle w:val="Newparagraph"/>
      </w:pPr>
    </w:p>
    <w:p w14:paraId="3BF54E4A" w14:textId="167D91B8" w:rsidR="002D1BE8" w:rsidRPr="00B24BEF" w:rsidRDefault="00FC4B4E" w:rsidP="00B24BEF">
      <w:pPr>
        <w:pStyle w:val="Heading1"/>
        <w:spacing w:line="480" w:lineRule="auto"/>
        <w:rPr>
          <w:rFonts w:ascii="Arial" w:hAnsi="Arial"/>
        </w:rPr>
      </w:pPr>
      <w:r w:rsidRPr="00B24BEF">
        <w:rPr>
          <w:rFonts w:ascii="Arial" w:hAnsi="Arial"/>
        </w:rPr>
        <w:lastRenderedPageBreak/>
        <w:t>Introduction</w:t>
      </w:r>
    </w:p>
    <w:bookmarkEnd w:id="0"/>
    <w:p w14:paraId="3EF038EE" w14:textId="43796CD3" w:rsidR="001C782A" w:rsidRPr="0090279A" w:rsidRDefault="001C782A" w:rsidP="00B24BEF">
      <w:pPr>
        <w:widowControl w:val="0"/>
        <w:spacing w:after="200"/>
        <w:jc w:val="both"/>
        <w:rPr>
          <w:rFonts w:ascii="Arial" w:eastAsia="Calibri" w:hAnsi="Arial" w:cs="Arial"/>
        </w:rPr>
      </w:pPr>
      <w:r w:rsidRPr="0090279A">
        <w:rPr>
          <w:rFonts w:ascii="Arial" w:eastAsia="Calibri" w:hAnsi="Arial" w:cs="Arial"/>
        </w:rPr>
        <w:t xml:space="preserve">This </w:t>
      </w:r>
      <w:r w:rsidR="00172921">
        <w:rPr>
          <w:rFonts w:ascii="Arial" w:eastAsia="Calibri" w:hAnsi="Arial" w:cs="Arial"/>
        </w:rPr>
        <w:t xml:space="preserve">article </w:t>
      </w:r>
      <w:r w:rsidRPr="0090279A">
        <w:rPr>
          <w:rFonts w:ascii="Arial" w:eastAsia="Calibri" w:hAnsi="Arial" w:cs="Arial"/>
        </w:rPr>
        <w:t xml:space="preserve">seeks to challenge the “long history of disembodied views of mind, thought, and language” within Western scholarship </w:t>
      </w:r>
      <w:r w:rsidRPr="0090279A">
        <w:rPr>
          <w:rFonts w:ascii="Arial" w:eastAsia="Calibri" w:hAnsi="Arial" w:cs="Arial"/>
          <w:noProof/>
        </w:rPr>
        <w:t>(Johnson, 2015: 2)</w:t>
      </w:r>
      <w:r w:rsidRPr="0090279A">
        <w:rPr>
          <w:rFonts w:ascii="Arial" w:eastAsia="Calibri" w:hAnsi="Arial" w:cs="Arial"/>
        </w:rPr>
        <w:t xml:space="preserve">, by presenting the first feminist Nigerian/British reading of Herodias’ daughter in Mark 6:17-28, through the Afropean epistemological lens of hypervisibility and embodied knowledge. In order to inform this new interpretation, I will be juxtaposing Simi Bedford’s novel </w:t>
      </w:r>
      <w:r w:rsidRPr="0090279A">
        <w:rPr>
          <w:rFonts w:ascii="Arial" w:eastAsia="Calibri" w:hAnsi="Arial" w:cs="Arial"/>
          <w:i/>
          <w:iCs/>
        </w:rPr>
        <w:t>Yoruba Girl Dancing</w:t>
      </w:r>
      <w:r w:rsidRPr="0090279A">
        <w:rPr>
          <w:rFonts w:ascii="Arial" w:eastAsia="Calibri" w:hAnsi="Arial" w:cs="Arial"/>
        </w:rPr>
        <w:t xml:space="preserve"> [sic] </w:t>
      </w:r>
      <w:r w:rsidRPr="0090279A">
        <w:rPr>
          <w:rFonts w:ascii="Arial" w:eastAsia="Calibri" w:hAnsi="Arial" w:cs="Arial"/>
          <w:noProof/>
        </w:rPr>
        <w:t>(1994)</w:t>
      </w:r>
      <w:r w:rsidR="005A1045">
        <w:rPr>
          <w:rFonts w:ascii="Arial" w:eastAsia="Calibri" w:hAnsi="Arial" w:cs="Arial"/>
        </w:rPr>
        <w:t xml:space="preserve"> alongsi</w:t>
      </w:r>
      <w:r w:rsidR="00282537">
        <w:rPr>
          <w:rFonts w:ascii="Arial" w:eastAsia="Calibri" w:hAnsi="Arial" w:cs="Arial"/>
        </w:rPr>
        <w:t xml:space="preserve">de the biblical text </w:t>
      </w:r>
      <w:r w:rsidRPr="0090279A">
        <w:rPr>
          <w:rFonts w:ascii="Arial" w:eastAsia="Calibri" w:hAnsi="Arial" w:cs="Arial"/>
        </w:rPr>
        <w:t xml:space="preserve">in order to raise new questions within the biblical text. Historically, Western hegemony within scholarship has defined “legitimate knowledge” as being cerebral and disembodied, whilst labelling all non-Western ways of knowing as “savage, superstitious, and primitive” </w:t>
      </w:r>
      <w:r w:rsidRPr="0090279A">
        <w:rPr>
          <w:rFonts w:ascii="Arial" w:eastAsia="Calibri" w:hAnsi="Arial" w:cs="Arial"/>
          <w:noProof/>
        </w:rPr>
        <w:t>(Akena, 2012: 600)</w:t>
      </w:r>
      <w:r w:rsidRPr="0090279A">
        <w:rPr>
          <w:rFonts w:ascii="Arial" w:eastAsia="Calibri" w:hAnsi="Arial" w:cs="Arial"/>
        </w:rPr>
        <w:t xml:space="preserve">. This </w:t>
      </w:r>
      <w:r w:rsidR="00FF63C2">
        <w:rPr>
          <w:rFonts w:ascii="Arial" w:eastAsia="Calibri" w:hAnsi="Arial" w:cs="Arial"/>
        </w:rPr>
        <w:t>paper</w:t>
      </w:r>
      <w:r w:rsidRPr="0090279A">
        <w:rPr>
          <w:rFonts w:ascii="Arial" w:eastAsia="Calibri" w:hAnsi="Arial" w:cs="Arial"/>
        </w:rPr>
        <w:t xml:space="preserve"> however, allies with nascent moves within scholarship, that have recognised the limitations in Western thinking </w:t>
      </w:r>
      <w:r w:rsidRPr="0090279A">
        <w:rPr>
          <w:rFonts w:ascii="Arial" w:eastAsia="Calibri" w:hAnsi="Arial" w:cs="Arial"/>
          <w:noProof/>
        </w:rPr>
        <w:t>(Coetzee, 2018: 1)</w:t>
      </w:r>
      <w:r w:rsidRPr="0090279A">
        <w:rPr>
          <w:rFonts w:ascii="Arial" w:eastAsia="Calibri" w:hAnsi="Arial" w:cs="Arial"/>
        </w:rPr>
        <w:t xml:space="preserve">, and begun to acknowledge that the body itself can be a legitimate source of knowledge (Tanaka, 2011: 149). This is particularly poignant apropos of Herodias’ daughter, as she is the only character explored that does not produce any speech. Instead, Herodias’ daughter wields her power and influence </w:t>
      </w:r>
      <w:r w:rsidRPr="0090279A">
        <w:rPr>
          <w:rFonts w:ascii="Arial" w:eastAsia="Calibri" w:hAnsi="Arial" w:cs="Arial"/>
          <w:i/>
          <w:iCs/>
        </w:rPr>
        <w:t xml:space="preserve">entirely </w:t>
      </w:r>
      <w:r w:rsidRPr="0090279A">
        <w:rPr>
          <w:rFonts w:ascii="Arial" w:eastAsia="Calibri" w:hAnsi="Arial" w:cs="Arial"/>
        </w:rPr>
        <w:t xml:space="preserve">through her hypervisibility, her body, and specifically her dance (Mark 6:22). In light of this, under the overarching theme of hypervisibility and embodied knowledge, this </w:t>
      </w:r>
      <w:r w:rsidR="00FF63C2">
        <w:rPr>
          <w:rFonts w:ascii="Arial" w:eastAsia="Calibri" w:hAnsi="Arial" w:cs="Arial"/>
        </w:rPr>
        <w:t>paper</w:t>
      </w:r>
      <w:r w:rsidRPr="0090279A">
        <w:rPr>
          <w:rFonts w:ascii="Arial" w:eastAsia="Calibri" w:hAnsi="Arial" w:cs="Arial"/>
        </w:rPr>
        <w:t xml:space="preserve"> will seek to explore Herodias’ daughter specifically, through the lens of performance and dance. For centuries, Eurocentric interpretations have portrayed Herodias’ daughter’s dance as being highly sexualised, erotic</w:t>
      </w:r>
      <w:r w:rsidRPr="0090279A">
        <w:rPr>
          <w:rFonts w:ascii="Arial" w:eastAsia="Calibri" w:hAnsi="Arial" w:cs="Arial"/>
          <w:vertAlign w:val="superscript"/>
        </w:rPr>
        <w:footnoteReference w:id="1"/>
      </w:r>
      <w:r w:rsidRPr="0090279A">
        <w:rPr>
          <w:rFonts w:ascii="Arial" w:eastAsia="Calibri" w:hAnsi="Arial" w:cs="Arial"/>
        </w:rPr>
        <w:t xml:space="preserve">, and akin to “the dance of prostitutes” </w:t>
      </w:r>
      <w:r w:rsidRPr="0090279A">
        <w:rPr>
          <w:rFonts w:ascii="Arial" w:eastAsia="Calibri" w:hAnsi="Arial" w:cs="Arial"/>
          <w:noProof/>
        </w:rPr>
        <w:t>(Guelich, 1989: 332)</w:t>
      </w:r>
      <w:r w:rsidRPr="0090279A">
        <w:rPr>
          <w:rFonts w:ascii="Arial" w:eastAsia="Calibri" w:hAnsi="Arial" w:cs="Arial"/>
        </w:rPr>
        <w:t xml:space="preserve">. This parochial interpretation, based on a </w:t>
      </w:r>
      <w:r w:rsidRPr="0090279A">
        <w:rPr>
          <w:rFonts w:ascii="Arial" w:eastAsia="Calibri" w:hAnsi="Arial" w:cs="Arial"/>
        </w:rPr>
        <w:lastRenderedPageBreak/>
        <w:t xml:space="preserve">Western prejudice that has labelled all ‘othered’ dance as “erotic” </w:t>
      </w:r>
      <w:r w:rsidRPr="0090279A">
        <w:rPr>
          <w:rFonts w:ascii="Arial" w:eastAsia="Calibri" w:hAnsi="Arial" w:cs="Arial"/>
          <w:noProof/>
        </w:rPr>
        <w:t>(Aluede et al., 2007: 85)</w:t>
      </w:r>
      <w:r w:rsidRPr="0090279A">
        <w:rPr>
          <w:rFonts w:ascii="Arial" w:eastAsia="Calibri" w:hAnsi="Arial" w:cs="Arial"/>
          <w:vertAlign w:val="superscript"/>
        </w:rPr>
        <w:footnoteReference w:id="2"/>
      </w:r>
      <w:r w:rsidRPr="0090279A">
        <w:rPr>
          <w:rFonts w:ascii="Arial" w:eastAsia="Calibri" w:hAnsi="Arial" w:cs="Arial"/>
        </w:rPr>
        <w:t xml:space="preserve">, has unfairly shackled Herodias’ daughter to the trope of being a “femme fatale” </w:t>
      </w:r>
      <w:r w:rsidRPr="0090279A">
        <w:rPr>
          <w:rFonts w:ascii="Arial" w:eastAsia="Calibri" w:hAnsi="Arial" w:cs="Arial"/>
          <w:noProof/>
        </w:rPr>
        <w:t>(Joynes, 2009: 152; Lee and Kim, 2014: 125)</w:t>
      </w:r>
      <w:r w:rsidRPr="0090279A">
        <w:rPr>
          <w:rFonts w:ascii="Arial" w:eastAsia="Calibri" w:hAnsi="Arial" w:cs="Arial"/>
        </w:rPr>
        <w:t xml:space="preserve">, whilst failing to consider alternative constructions of dance and embodied knowledge outside of a ‘Western’ paradigm. This </w:t>
      </w:r>
      <w:r w:rsidR="00FF63C2">
        <w:rPr>
          <w:rFonts w:ascii="Arial" w:eastAsia="Calibri" w:hAnsi="Arial" w:cs="Arial"/>
        </w:rPr>
        <w:t>paper</w:t>
      </w:r>
      <w:r w:rsidRPr="0090279A">
        <w:rPr>
          <w:rFonts w:ascii="Arial" w:eastAsia="Calibri" w:hAnsi="Arial" w:cs="Arial"/>
        </w:rPr>
        <w:t xml:space="preserve"> therefore aims to tell the untold power of dance within this pericope, through a feminist Nigerian/British epistemological lens, using Gaunt’s key insight that the dancing body itself is “an environment where sounds and ethnic worlds become landscapes that speak to us” </w:t>
      </w:r>
      <w:r w:rsidRPr="0090279A">
        <w:rPr>
          <w:rFonts w:ascii="Arial" w:eastAsia="Calibri" w:hAnsi="Arial" w:cs="Arial"/>
          <w:noProof/>
        </w:rPr>
        <w:t>(Gaunt, 2021: 1)</w:t>
      </w:r>
      <w:r w:rsidRPr="0090279A">
        <w:rPr>
          <w:rFonts w:ascii="Arial" w:eastAsia="Calibri" w:hAnsi="Arial" w:cs="Arial"/>
        </w:rPr>
        <w:t xml:space="preserve">. It is therefore only for us </w:t>
      </w:r>
      <w:r w:rsidR="001E7146">
        <w:rPr>
          <w:rFonts w:ascii="Arial" w:eastAsia="Calibri" w:hAnsi="Arial" w:cs="Arial"/>
        </w:rPr>
        <w:t xml:space="preserve">to listen and </w:t>
      </w:r>
      <w:r w:rsidRPr="0090279A">
        <w:rPr>
          <w:rFonts w:ascii="Arial" w:eastAsia="Calibri" w:hAnsi="Arial" w:cs="Arial"/>
        </w:rPr>
        <w:t xml:space="preserve"> hear what it is saying. By introducing </w:t>
      </w:r>
      <w:r w:rsidRPr="0090279A">
        <w:rPr>
          <w:rFonts w:ascii="Arial" w:eastAsia="Calibri" w:hAnsi="Arial" w:cs="Arial"/>
          <w:i/>
          <w:iCs/>
        </w:rPr>
        <w:t>Yoruba Girl Dancing</w:t>
      </w:r>
      <w:r w:rsidRPr="0090279A">
        <w:rPr>
          <w:rFonts w:ascii="Arial" w:eastAsia="Calibri" w:hAnsi="Arial" w:cs="Arial"/>
        </w:rPr>
        <w:t xml:space="preserve"> </w:t>
      </w:r>
      <w:r w:rsidRPr="0090279A">
        <w:rPr>
          <w:rFonts w:ascii="Arial" w:eastAsia="Calibri" w:hAnsi="Arial" w:cs="Arial"/>
          <w:noProof/>
        </w:rPr>
        <w:t>(Bedford, 1994)</w:t>
      </w:r>
      <w:r w:rsidRPr="0090279A">
        <w:rPr>
          <w:rFonts w:ascii="Arial" w:eastAsia="Calibri" w:hAnsi="Arial" w:cs="Arial"/>
        </w:rPr>
        <w:t xml:space="preserve"> as a conversation partner with the biblical text, in which dance is used as a cipher for the </w:t>
      </w:r>
      <w:r w:rsidRPr="0090279A">
        <w:rPr>
          <w:rFonts w:ascii="Arial" w:hAnsi="Arial" w:cs="Arial"/>
          <w:color w:val="000000"/>
        </w:rPr>
        <w:t>‘rite of passage rituals’, ‘remembering Yorùbá dance’ and ‘rejecting Western hegemony’</w:t>
      </w:r>
      <w:r w:rsidRPr="0090279A">
        <w:rPr>
          <w:rFonts w:ascii="Arial" w:eastAsia="Calibri" w:hAnsi="Arial" w:cs="Arial"/>
        </w:rPr>
        <w:t>, a feminist Nigerian/British interpretation is able to read Herodias’ daughter’s dance in a new light. By considering a Yorùbá epistemological construction of dance, which plays a crucial role in embodied religion, rituals, and spirit possession</w:t>
      </w:r>
      <w:r w:rsidRPr="0090279A">
        <w:rPr>
          <w:rFonts w:ascii="Arial" w:eastAsia="Calibri" w:hAnsi="Arial" w:cs="Arial"/>
          <w:vertAlign w:val="superscript"/>
        </w:rPr>
        <w:footnoteReference w:id="3"/>
      </w:r>
      <w:r w:rsidRPr="0090279A">
        <w:rPr>
          <w:rFonts w:ascii="Arial" w:eastAsia="Calibri" w:hAnsi="Arial" w:cs="Arial"/>
        </w:rPr>
        <w:t xml:space="preserve">, the dance of Herodias is redeemed from being just “erotic” </w:t>
      </w:r>
      <w:r w:rsidRPr="0090279A">
        <w:rPr>
          <w:rFonts w:ascii="Arial" w:eastAsia="Calibri" w:hAnsi="Arial" w:cs="Arial"/>
          <w:noProof/>
        </w:rPr>
        <w:t>(Marcus, 2000: 397)</w:t>
      </w:r>
      <w:r w:rsidRPr="0090279A">
        <w:rPr>
          <w:rFonts w:ascii="Arial" w:eastAsia="Calibri" w:hAnsi="Arial" w:cs="Arial"/>
        </w:rPr>
        <w:t xml:space="preserve">, and intended to cause “sexual arousal” </w:t>
      </w:r>
      <w:r w:rsidRPr="0090279A">
        <w:rPr>
          <w:rFonts w:ascii="Arial" w:eastAsia="Calibri" w:hAnsi="Arial" w:cs="Arial"/>
          <w:noProof/>
        </w:rPr>
        <w:t>(Marcus, 2000: 398)</w:t>
      </w:r>
      <w:r w:rsidRPr="0090279A">
        <w:rPr>
          <w:rFonts w:ascii="Arial" w:eastAsia="Calibri" w:hAnsi="Arial" w:cs="Arial"/>
        </w:rPr>
        <w:t xml:space="preserve">. Instead, it emerges as a ritualistic and ‘possession like’ encounter, where Herodias’ daughter, as a Priestess, subverts Herod’s alleged power over life and death and enters a possession state “expressed through the medium of dance” (Drewal, 1992: 183). This new feminist Nigerian/British interpretation aims to use creative actualisation to offer different possibilities for envisioning Herodias’ daughter ‘s dance, whilst highlighting the </w:t>
      </w:r>
      <w:r w:rsidRPr="0090279A">
        <w:rPr>
          <w:rFonts w:ascii="Arial" w:eastAsia="Calibri" w:hAnsi="Arial" w:cs="Arial"/>
        </w:rPr>
        <w:lastRenderedPageBreak/>
        <w:t>parochial Western epistemic lenses attached to the constructions of dance,</w:t>
      </w:r>
      <w:r w:rsidRPr="0090279A">
        <w:rPr>
          <w:rFonts w:ascii="Arial" w:eastAsia="Calibri" w:hAnsi="Arial" w:cs="Arial"/>
          <w:vertAlign w:val="superscript"/>
        </w:rPr>
        <w:footnoteReference w:id="4"/>
      </w:r>
      <w:r w:rsidRPr="0090279A">
        <w:rPr>
          <w:rFonts w:ascii="Arial" w:eastAsia="Calibri" w:hAnsi="Arial" w:cs="Arial"/>
        </w:rPr>
        <w:t xml:space="preserve"> hypervisibility and embodied knowledge,</w:t>
      </w:r>
      <w:r w:rsidRPr="0090279A">
        <w:rPr>
          <w:rFonts w:ascii="Arial" w:eastAsia="Calibri" w:hAnsi="Arial" w:cs="Arial"/>
          <w:vertAlign w:val="superscript"/>
        </w:rPr>
        <w:footnoteReference w:id="5"/>
      </w:r>
      <w:r w:rsidRPr="0090279A">
        <w:rPr>
          <w:rFonts w:ascii="Arial" w:eastAsia="Calibri" w:hAnsi="Arial" w:cs="Arial"/>
        </w:rPr>
        <w:t xml:space="preserve"> that have been unchallenged for centuries. </w:t>
      </w:r>
    </w:p>
    <w:p w14:paraId="749F3DAE" w14:textId="4F499EBA" w:rsidR="008C4B4C" w:rsidRPr="00B24BEF" w:rsidRDefault="001E7146" w:rsidP="00B24BEF">
      <w:pPr>
        <w:widowControl w:val="0"/>
        <w:spacing w:after="200"/>
        <w:jc w:val="both"/>
        <w:rPr>
          <w:rFonts w:ascii="Arial" w:eastAsia="Calibri" w:hAnsi="Arial" w:cs="Arial"/>
        </w:rPr>
      </w:pPr>
      <w:r>
        <w:rPr>
          <w:rFonts w:ascii="Arial" w:eastAsia="Calibri" w:hAnsi="Arial" w:cs="Arial"/>
        </w:rPr>
        <w:t>T</w:t>
      </w:r>
      <w:r w:rsidRPr="001E7146">
        <w:rPr>
          <w:rFonts w:ascii="Arial" w:eastAsia="Calibri" w:hAnsi="Arial" w:cs="Arial"/>
        </w:rPr>
        <w:t>his article will be structured as follows:</w:t>
      </w:r>
      <w:r w:rsidR="00D00FD4">
        <w:rPr>
          <w:rFonts w:ascii="Arial" w:eastAsia="Calibri" w:hAnsi="Arial" w:cs="Arial"/>
        </w:rPr>
        <w:t xml:space="preserve">: </w:t>
      </w:r>
      <w:r w:rsidR="001C782A" w:rsidRPr="0090279A">
        <w:rPr>
          <w:rFonts w:ascii="Arial" w:eastAsia="Calibri" w:hAnsi="Arial" w:cs="Arial"/>
        </w:rPr>
        <w:t xml:space="preserve">first, I will expand on my justification for choosing to use Mark 6:17-28 as the primary text, and Matt 14:3-12 as the secondary text from which to construct this new feminist Nigerian/British interpretation, with specific reference to Josephus’ extra-biblical account; second, I will review the history of interpretation of Mark 6:17-28 (briefly touching on how Salome’s depiction in art and literature has influenced biblical interpretation) in order to identify the dominant lines of enquiry within extant exegesis; </w:t>
      </w:r>
      <w:r w:rsidR="00312C2C">
        <w:rPr>
          <w:rFonts w:ascii="Arial" w:eastAsia="Calibri" w:hAnsi="Arial" w:cs="Arial"/>
        </w:rPr>
        <w:t>third,</w:t>
      </w:r>
      <w:r w:rsidR="001C782A" w:rsidRPr="0090279A">
        <w:rPr>
          <w:rFonts w:ascii="Arial" w:eastAsia="Calibri" w:hAnsi="Arial" w:cs="Arial"/>
        </w:rPr>
        <w:t xml:space="preserve"> I will introduce Simi Bedford’s book </w:t>
      </w:r>
      <w:r w:rsidR="001C782A" w:rsidRPr="0090279A">
        <w:rPr>
          <w:rFonts w:ascii="Arial" w:eastAsia="Calibri" w:hAnsi="Arial" w:cs="Arial"/>
          <w:i/>
          <w:iCs/>
        </w:rPr>
        <w:t>Yoruba Girl Dancing</w:t>
      </w:r>
      <w:r w:rsidR="001C782A" w:rsidRPr="0090279A">
        <w:rPr>
          <w:rFonts w:ascii="Arial" w:eastAsia="Calibri" w:hAnsi="Arial" w:cs="Arial"/>
        </w:rPr>
        <w:t xml:space="preserve"> </w:t>
      </w:r>
      <w:r w:rsidR="001C782A" w:rsidRPr="0090279A">
        <w:rPr>
          <w:rFonts w:ascii="Arial" w:eastAsia="Calibri" w:hAnsi="Arial" w:cs="Arial"/>
          <w:noProof/>
        </w:rPr>
        <w:t>(1994)</w:t>
      </w:r>
      <w:r w:rsidR="001C782A" w:rsidRPr="0090279A">
        <w:rPr>
          <w:rFonts w:ascii="Arial" w:eastAsia="Calibri" w:hAnsi="Arial" w:cs="Arial"/>
        </w:rPr>
        <w:t xml:space="preserve"> as the piece of Nigerian/British cultural reference that I will be juxtaposing alongside the biblical text; finally I will</w:t>
      </w:r>
      <w:r>
        <w:rPr>
          <w:rFonts w:ascii="Arial" w:eastAsia="Calibri" w:hAnsi="Arial" w:cs="Arial"/>
        </w:rPr>
        <w:t xml:space="preserve"> use</w:t>
      </w:r>
      <w:r w:rsidR="001C782A" w:rsidRPr="0090279A">
        <w:rPr>
          <w:rFonts w:ascii="Arial" w:eastAsia="Calibri" w:hAnsi="Arial" w:cs="Arial"/>
        </w:rPr>
        <w:t xml:space="preserve"> </w:t>
      </w:r>
      <w:r w:rsidR="00DE18AE">
        <w:rPr>
          <w:rFonts w:ascii="Arial" w:eastAsia="Calibri" w:hAnsi="Arial" w:cs="Arial"/>
        </w:rPr>
        <w:t>the motifs that arise from</w:t>
      </w:r>
      <w:r w:rsidR="001C782A" w:rsidRPr="0090279A">
        <w:rPr>
          <w:rFonts w:ascii="Arial" w:eastAsia="Calibri" w:hAnsi="Arial" w:cs="Arial"/>
        </w:rPr>
        <w:t xml:space="preserve"> Bedford’s book, to create an original feminist Nigerian/British interpretation of Herodias’ daughter’s dance through the method of creative actualisation. This creative actualised refiguring will uncover unseen plausible possibilities to explain her dance and free her from the false erotic label.</w:t>
      </w:r>
    </w:p>
    <w:p w14:paraId="4BB2AB3A" w14:textId="26F5D5B0" w:rsidR="00DE18AE" w:rsidRPr="00DE18AE" w:rsidRDefault="00192824" w:rsidP="00DE18AE">
      <w:pPr>
        <w:pStyle w:val="Heading1"/>
        <w:spacing w:line="480" w:lineRule="auto"/>
        <w:rPr>
          <w:rFonts w:ascii="Arial" w:hAnsi="Arial"/>
        </w:rPr>
      </w:pPr>
      <w:r w:rsidRPr="00B24BEF">
        <w:rPr>
          <w:rFonts w:ascii="Arial" w:hAnsi="Arial"/>
        </w:rPr>
        <w:t xml:space="preserve">History of interpretation: </w:t>
      </w:r>
      <w:r w:rsidR="00AB08F0" w:rsidRPr="00B24BEF">
        <w:rPr>
          <w:rFonts w:ascii="Arial" w:hAnsi="Arial"/>
        </w:rPr>
        <w:t>Hypervisibility &amp; Embodied Knowledge</w:t>
      </w:r>
    </w:p>
    <w:p w14:paraId="0E08800F" w14:textId="5F8B555E" w:rsidR="008D2F74" w:rsidRPr="0090279A" w:rsidRDefault="008D2F74" w:rsidP="00B24BEF">
      <w:pPr>
        <w:widowControl w:val="0"/>
        <w:spacing w:after="200"/>
        <w:jc w:val="both"/>
        <w:rPr>
          <w:rFonts w:ascii="Arial" w:eastAsia="Calibri" w:hAnsi="Arial" w:cs="Arial"/>
        </w:rPr>
      </w:pPr>
      <w:r w:rsidRPr="0090279A">
        <w:rPr>
          <w:rFonts w:ascii="Arial" w:eastAsia="Calibri" w:hAnsi="Arial" w:cs="Arial"/>
        </w:rPr>
        <w:t xml:space="preserve">This section aims to critically examine extant interpretations of the Herodias’ daughter, primarily in Mark 6:17-18 (and touching on Matt 14:3-12), in order to identify the current questions that exegesis has tended to be pre-occupied by. The purpose of this section is to highlight and expose the parochial Western </w:t>
      </w:r>
      <w:r w:rsidRPr="0090279A">
        <w:rPr>
          <w:rFonts w:ascii="Arial" w:eastAsia="Calibri" w:hAnsi="Arial" w:cs="Arial"/>
        </w:rPr>
        <w:lastRenderedPageBreak/>
        <w:t>epistemological lenses that have been used with regards to the text, in order to set the scene for a new original interpretation. Herodias’ daughter has caught the attention of many scholars, play-writers, and artists outside of the field of Theology, having been extensively portrayed in literature</w:t>
      </w:r>
      <w:r w:rsidRPr="0090279A">
        <w:rPr>
          <w:rFonts w:ascii="Arial" w:eastAsia="Calibri" w:hAnsi="Arial" w:cs="Arial"/>
          <w:vertAlign w:val="superscript"/>
        </w:rPr>
        <w:footnoteReference w:id="6"/>
      </w:r>
      <w:r w:rsidRPr="0090279A">
        <w:rPr>
          <w:rFonts w:ascii="Arial" w:eastAsia="Calibri" w:hAnsi="Arial" w:cs="Arial"/>
        </w:rPr>
        <w:t>, and within art</w:t>
      </w:r>
      <w:r w:rsidRPr="0090279A">
        <w:rPr>
          <w:rFonts w:ascii="Arial" w:eastAsia="Calibri" w:hAnsi="Arial" w:cs="Arial"/>
          <w:vertAlign w:val="superscript"/>
        </w:rPr>
        <w:footnoteReference w:id="7"/>
      </w:r>
      <w:r w:rsidRPr="0090279A">
        <w:rPr>
          <w:rFonts w:ascii="Arial" w:eastAsia="Calibri" w:hAnsi="Arial" w:cs="Arial"/>
        </w:rPr>
        <w:t xml:space="preserve">, especially in the late 1800s. Although conducting a reception history of Herodias’ daughter is beyond the scope of my </w:t>
      </w:r>
      <w:r w:rsidR="00762F9D">
        <w:rPr>
          <w:rFonts w:ascii="Arial" w:eastAsia="Calibri" w:hAnsi="Arial" w:cs="Arial"/>
        </w:rPr>
        <w:t>article</w:t>
      </w:r>
      <w:r w:rsidRPr="0090279A">
        <w:rPr>
          <w:rFonts w:ascii="Arial" w:eastAsia="Calibri" w:hAnsi="Arial" w:cs="Arial"/>
          <w:vertAlign w:val="superscript"/>
        </w:rPr>
        <w:footnoteReference w:id="8"/>
      </w:r>
      <w:r w:rsidRPr="0090279A">
        <w:rPr>
          <w:rFonts w:ascii="Arial" w:eastAsia="Calibri" w:hAnsi="Arial" w:cs="Arial"/>
        </w:rPr>
        <w:t xml:space="preserve">, I think it is helpful to be briefly aware of how artistic depictions of Salome have influenced biblical interpretation. Essentially, throughout art history, and especially in Richard Strauss’ opera </w:t>
      </w:r>
      <w:r w:rsidRPr="0090279A">
        <w:rPr>
          <w:rFonts w:ascii="Arial" w:eastAsia="Calibri" w:hAnsi="Arial" w:cs="Arial"/>
          <w:i/>
          <w:iCs/>
        </w:rPr>
        <w:t>Salome</w:t>
      </w:r>
      <w:r w:rsidRPr="0090279A">
        <w:rPr>
          <w:rFonts w:ascii="Arial" w:eastAsia="Calibri" w:hAnsi="Arial" w:cs="Arial"/>
        </w:rPr>
        <w:t>, and her “</w:t>
      </w:r>
      <w:r w:rsidRPr="0090279A">
        <w:rPr>
          <w:rFonts w:ascii="Arial" w:eastAsia="Calibri" w:hAnsi="Arial" w:cs="Arial"/>
          <w:i/>
          <w:iCs/>
        </w:rPr>
        <w:t>Dance of the Seven Veils</w:t>
      </w:r>
      <w:r w:rsidRPr="0090279A">
        <w:rPr>
          <w:rFonts w:ascii="Arial" w:eastAsia="Calibri" w:hAnsi="Arial" w:cs="Arial"/>
        </w:rPr>
        <w:t>”</w:t>
      </w:r>
      <w:r w:rsidRPr="0090279A">
        <w:rPr>
          <w:rFonts w:ascii="Arial" w:eastAsia="Calibri" w:hAnsi="Arial" w:cs="Arial"/>
          <w:noProof/>
        </w:rPr>
        <w:t xml:space="preserve"> (Strauss, 1907)</w:t>
      </w:r>
      <w:r w:rsidRPr="0090279A">
        <w:rPr>
          <w:rFonts w:ascii="Arial" w:eastAsia="Calibri" w:hAnsi="Arial" w:cs="Arial"/>
        </w:rPr>
        <w:t xml:space="preserve">, Herodias’ daughter has been portrayed as a highly sexualised woman and a “seductive temptress” </w:t>
      </w:r>
      <w:r w:rsidRPr="0090279A">
        <w:rPr>
          <w:rFonts w:ascii="Arial" w:eastAsia="Calibri" w:hAnsi="Arial" w:cs="Arial"/>
          <w:noProof/>
        </w:rPr>
        <w:t>(Joynes, 2009: 150)</w:t>
      </w:r>
      <w:r w:rsidRPr="0090279A">
        <w:rPr>
          <w:rFonts w:ascii="Arial" w:eastAsia="Calibri" w:hAnsi="Arial" w:cs="Arial"/>
        </w:rPr>
        <w:t xml:space="preserve">. As a result of this, Jennifer Glancy argues that, subsequently, biblical scholars merely “echo the prejudices of poets and playwrights” </w:t>
      </w:r>
      <w:r w:rsidRPr="0090279A">
        <w:rPr>
          <w:rFonts w:ascii="Arial" w:eastAsia="Calibri" w:hAnsi="Arial" w:cs="Arial"/>
          <w:noProof/>
        </w:rPr>
        <w:t>(1994: 43)</w:t>
      </w:r>
      <w:r w:rsidRPr="0090279A">
        <w:rPr>
          <w:rFonts w:ascii="Arial" w:eastAsia="Calibri" w:hAnsi="Arial" w:cs="Arial"/>
        </w:rPr>
        <w:t xml:space="preserve">. She goes on to add that as result of these sexual depictions, “when modern commentators approach this story, they expect to find female characters who are sexually rapacious” </w:t>
      </w:r>
      <w:r w:rsidRPr="0090279A">
        <w:rPr>
          <w:rFonts w:ascii="Arial" w:eastAsia="Calibri" w:hAnsi="Arial" w:cs="Arial"/>
          <w:noProof/>
        </w:rPr>
        <w:t>(Glancy, 1994: 50)</w:t>
      </w:r>
      <w:r w:rsidRPr="0090279A">
        <w:rPr>
          <w:rFonts w:ascii="Arial" w:eastAsia="Calibri" w:hAnsi="Arial" w:cs="Arial"/>
        </w:rPr>
        <w:t xml:space="preserve">. Whilst the Matthean account largely omits discussion of the dance altogether </w:t>
      </w:r>
      <w:r w:rsidRPr="0090279A">
        <w:rPr>
          <w:rFonts w:ascii="Arial" w:eastAsia="Calibri" w:hAnsi="Arial" w:cs="Arial"/>
          <w:noProof/>
        </w:rPr>
        <w:t>(Allison, 2013: 863; Stendahl, 1975: 786)</w:t>
      </w:r>
      <w:r w:rsidRPr="0090279A">
        <w:rPr>
          <w:rFonts w:ascii="Arial" w:eastAsia="Calibri" w:hAnsi="Arial" w:cs="Arial"/>
        </w:rPr>
        <w:t>, I agree that Western male interpretation of the Markan account is reflective of this. Although some scholars have avoided this pit hole by questioning the historical credibility of the dance altogether</w:t>
      </w:r>
      <w:r w:rsidRPr="0090279A">
        <w:rPr>
          <w:rFonts w:ascii="Arial" w:eastAsia="Calibri" w:hAnsi="Arial" w:cs="Arial"/>
          <w:vertAlign w:val="superscript"/>
        </w:rPr>
        <w:footnoteReference w:id="9"/>
      </w:r>
      <w:r w:rsidRPr="0090279A">
        <w:rPr>
          <w:rFonts w:ascii="Arial" w:eastAsia="Calibri" w:hAnsi="Arial" w:cs="Arial"/>
        </w:rPr>
        <w:t>, primarily Markan scholars have succumbed to the influence of art and referred to her dance as being sexual in nature</w:t>
      </w:r>
      <w:r w:rsidRPr="0090279A">
        <w:rPr>
          <w:rFonts w:ascii="Arial" w:eastAsia="Calibri" w:hAnsi="Arial" w:cs="Arial"/>
          <w:vertAlign w:val="superscript"/>
        </w:rPr>
        <w:footnoteReference w:id="10"/>
      </w:r>
      <w:r w:rsidRPr="0090279A">
        <w:rPr>
          <w:rFonts w:ascii="Arial" w:eastAsia="Calibri" w:hAnsi="Arial" w:cs="Arial"/>
        </w:rPr>
        <w:t xml:space="preserve">. It is interesting to observe that whilst historical critical </w:t>
      </w:r>
      <w:r w:rsidRPr="0090279A">
        <w:rPr>
          <w:rFonts w:ascii="Arial" w:eastAsia="Calibri" w:hAnsi="Arial" w:cs="Arial"/>
        </w:rPr>
        <w:lastRenderedPageBreak/>
        <w:t>readings are ostensibly trying to give a historical view of the original historical context of the biblical story, these readings seem to be more influenced by the history of reception of the biblical text than might be acknowledged by that method. Historical critics only began to think of her as a sexualised woman in modernity once they had seen pictures of her within art being depicted in a sexual manner. Even some womanist</w:t>
      </w:r>
      <w:r w:rsidRPr="0090279A">
        <w:rPr>
          <w:rFonts w:ascii="Arial" w:eastAsia="Calibri" w:hAnsi="Arial" w:cs="Arial"/>
          <w:vertAlign w:val="superscript"/>
        </w:rPr>
        <w:footnoteReference w:id="11"/>
      </w:r>
      <w:r w:rsidRPr="0090279A">
        <w:rPr>
          <w:rFonts w:ascii="Arial" w:eastAsia="Calibri" w:hAnsi="Arial" w:cs="Arial"/>
        </w:rPr>
        <w:t xml:space="preserve"> and feminist interpretations</w:t>
      </w:r>
      <w:r w:rsidRPr="0090279A">
        <w:rPr>
          <w:rFonts w:ascii="Arial" w:eastAsia="Calibri" w:hAnsi="Arial" w:cs="Arial"/>
          <w:vertAlign w:val="superscript"/>
        </w:rPr>
        <w:footnoteReference w:id="12"/>
      </w:r>
      <w:r w:rsidRPr="0090279A">
        <w:rPr>
          <w:rFonts w:ascii="Arial" w:eastAsia="Calibri" w:hAnsi="Arial" w:cs="Arial"/>
        </w:rPr>
        <w:t xml:space="preserve"> have fallen into this hypersexualised trap. However, this parochial dominant interpretation of the pericope as indicative of an incestuous sex scandal, has been rightly challenged by other feminist scholars, who have argued that this interpretation is a merely “male construction” </w:t>
      </w:r>
      <w:r w:rsidRPr="0090279A">
        <w:rPr>
          <w:rFonts w:ascii="Arial" w:eastAsia="Calibri" w:hAnsi="Arial" w:cs="Arial"/>
          <w:noProof/>
        </w:rPr>
        <w:t>(Anderson, 1992: 115)</w:t>
      </w:r>
      <w:r w:rsidRPr="0090279A">
        <w:rPr>
          <w:rFonts w:ascii="Arial" w:eastAsia="Calibri" w:hAnsi="Arial" w:cs="Arial"/>
        </w:rPr>
        <w:t xml:space="preserve">. They have gone on to say that “the dance was not necessarily performed with the eroticism with which later tradition has imbued on it” </w:t>
      </w:r>
      <w:r w:rsidRPr="0090279A">
        <w:rPr>
          <w:rFonts w:ascii="Arial" w:eastAsia="Calibri" w:hAnsi="Arial" w:cs="Arial"/>
          <w:noProof/>
        </w:rPr>
        <w:t>(Hooker, 1991: 161)</w:t>
      </w:r>
      <w:r w:rsidRPr="0090279A">
        <w:rPr>
          <w:rFonts w:ascii="Arial" w:eastAsia="Calibri" w:hAnsi="Arial" w:cs="Arial"/>
        </w:rPr>
        <w:t xml:space="preserve">. I agree with this view, as neither Gospel account gives any detail about the nature, or the specifics of Herodias’ daughter’s dance; just the fact that Herod was “pleased” (Matt 14:6-7; Mark 6:22-23). The Greek verb </w:t>
      </w:r>
      <w:r w:rsidRPr="0090279A">
        <w:rPr>
          <w:rFonts w:ascii="Arial" w:hAnsi="Arial" w:cs="Arial"/>
        </w:rPr>
        <w:t>ἤρεσεν</w:t>
      </w:r>
      <w:r w:rsidRPr="0090279A">
        <w:rPr>
          <w:rFonts w:ascii="Arial" w:eastAsia="Calibri" w:hAnsi="Arial" w:cs="Arial"/>
          <w:sz w:val="16"/>
          <w:szCs w:val="16"/>
        </w:rPr>
        <w:t>,</w:t>
      </w:r>
      <w:r w:rsidRPr="0090279A">
        <w:rPr>
          <w:rFonts w:ascii="Arial" w:hAnsi="Arial" w:cs="Arial"/>
        </w:rPr>
        <w:t xml:space="preserve"> used in both accounts, has absolutely no inherent sexual connotation attached to it. Its root ἀρέσκω </w:t>
      </w:r>
      <w:r w:rsidRPr="0090279A">
        <w:rPr>
          <w:rFonts w:ascii="Arial" w:hAnsi="Arial" w:cs="Arial"/>
          <w:noProof/>
        </w:rPr>
        <w:t>(Kittel et al., 1964: 455)</w:t>
      </w:r>
      <w:r w:rsidRPr="0090279A">
        <w:rPr>
          <w:rFonts w:ascii="Arial" w:hAnsi="Arial" w:cs="Arial"/>
        </w:rPr>
        <w:t xml:space="preserve"> has two main meanings within the New Testament. The first meaning is “to act in a fawning manner, win favour, please, flatter”, with a particular “focus on winning approval” </w:t>
      </w:r>
      <w:r w:rsidRPr="0090279A">
        <w:rPr>
          <w:rFonts w:ascii="Arial" w:hAnsi="Arial" w:cs="Arial"/>
          <w:noProof/>
        </w:rPr>
        <w:t>(Arndt et al., 2000: 129)</w:t>
      </w:r>
      <w:r w:rsidRPr="0090279A">
        <w:rPr>
          <w:rFonts w:ascii="Arial" w:hAnsi="Arial" w:cs="Arial"/>
        </w:rPr>
        <w:t>. An example of this meaning is found in 1 Thessalonians, where Paul urges the early Church to not “please mortals, but to please God who tests our hearts” (</w:t>
      </w:r>
      <w:r w:rsidRPr="0090279A">
        <w:rPr>
          <w:rFonts w:ascii="Arial" w:eastAsia="Calibri" w:hAnsi="Arial" w:cs="Arial"/>
        </w:rPr>
        <w:t>1 Thess 2:4</w:t>
      </w:r>
      <w:r w:rsidRPr="0090279A">
        <w:rPr>
          <w:rFonts w:ascii="Arial" w:eastAsia="Calibri" w:hAnsi="Arial" w:cs="Arial"/>
          <w:vertAlign w:val="superscript"/>
        </w:rPr>
        <w:footnoteReference w:id="13"/>
      </w:r>
      <w:r w:rsidRPr="0090279A">
        <w:rPr>
          <w:rFonts w:ascii="Arial" w:eastAsia="Calibri" w:hAnsi="Arial" w:cs="Arial"/>
        </w:rPr>
        <w:t xml:space="preserve">). Here, Paul’s </w:t>
      </w:r>
      <w:r w:rsidRPr="0090279A">
        <w:rPr>
          <w:rFonts w:ascii="Arial" w:hAnsi="Arial" w:cs="Arial"/>
        </w:rPr>
        <w:t xml:space="preserve">use of ἀρέσκω </w:t>
      </w:r>
      <w:r w:rsidRPr="0090279A">
        <w:rPr>
          <w:rFonts w:ascii="Arial" w:eastAsia="Calibri" w:hAnsi="Arial" w:cs="Arial"/>
        </w:rPr>
        <w:t xml:space="preserve">specifically denotes a form of flattery or favour, which he argues should only be afforded to God, and </w:t>
      </w:r>
      <w:r w:rsidRPr="0090279A">
        <w:rPr>
          <w:rFonts w:ascii="Arial" w:eastAsia="Calibri" w:hAnsi="Arial" w:cs="Arial"/>
        </w:rPr>
        <w:lastRenderedPageBreak/>
        <w:t xml:space="preserve">not given to people. In this context, it is clear that Paul’s use of </w:t>
      </w:r>
      <w:r w:rsidRPr="0090279A">
        <w:rPr>
          <w:rFonts w:ascii="Arial" w:hAnsi="Arial" w:cs="Arial"/>
        </w:rPr>
        <w:t xml:space="preserve">ἀρέσκω is void of any sexual implications; instead, it is indicative of an inner “attitude” </w:t>
      </w:r>
      <w:r w:rsidRPr="0090279A">
        <w:rPr>
          <w:rFonts w:ascii="Arial" w:hAnsi="Arial" w:cs="Arial"/>
          <w:noProof/>
        </w:rPr>
        <w:t>(Kittel et al., 1964: 455)</w:t>
      </w:r>
      <w:r w:rsidRPr="0090279A">
        <w:rPr>
          <w:rFonts w:ascii="Arial" w:hAnsi="Arial" w:cs="Arial"/>
        </w:rPr>
        <w:t xml:space="preserve"> to win the “approval” of another </w:t>
      </w:r>
      <w:r w:rsidRPr="0090279A">
        <w:rPr>
          <w:rFonts w:ascii="Arial" w:hAnsi="Arial" w:cs="Arial"/>
          <w:noProof/>
        </w:rPr>
        <w:t>(Arndt et al., 2000: 129)</w:t>
      </w:r>
      <w:r w:rsidRPr="0090279A">
        <w:rPr>
          <w:rFonts w:ascii="Arial" w:hAnsi="Arial" w:cs="Arial"/>
        </w:rPr>
        <w:t xml:space="preserve">. The second meaning of ἀρέσκω is to “give pleasure/satisfaction” or to “please, accommodate” </w:t>
      </w:r>
      <w:r w:rsidRPr="0090279A">
        <w:rPr>
          <w:rFonts w:ascii="Arial" w:hAnsi="Arial" w:cs="Arial"/>
          <w:noProof/>
        </w:rPr>
        <w:t>(Arndt et al., 2000: 129)</w:t>
      </w:r>
      <w:r w:rsidRPr="0090279A">
        <w:rPr>
          <w:rFonts w:ascii="Arial" w:hAnsi="Arial" w:cs="Arial"/>
        </w:rPr>
        <w:t>. This meaning is particularly pertinent to Mark 6:22, as ma</w:t>
      </w:r>
      <w:r w:rsidR="00762F9D">
        <w:rPr>
          <w:rFonts w:ascii="Arial" w:hAnsi="Arial" w:cs="Arial"/>
        </w:rPr>
        <w:t>ny</w:t>
      </w:r>
      <w:r w:rsidRPr="0090279A">
        <w:rPr>
          <w:rFonts w:ascii="Arial" w:hAnsi="Arial" w:cs="Arial"/>
        </w:rPr>
        <w:t>Western scholars have falsely assumed that Herodias daughter’s dance</w:t>
      </w:r>
      <w:r w:rsidRPr="0090279A">
        <w:rPr>
          <w:rFonts w:ascii="Arial" w:hAnsi="Arial" w:cs="Arial"/>
          <w:i/>
          <w:iCs/>
        </w:rPr>
        <w:t xml:space="preserve"> sexually</w:t>
      </w:r>
      <w:r w:rsidRPr="0090279A">
        <w:rPr>
          <w:rFonts w:ascii="Arial" w:hAnsi="Arial" w:cs="Arial"/>
        </w:rPr>
        <w:t xml:space="preserve"> pleased Herod in the face of no evidence </w:t>
      </w:r>
      <w:r w:rsidRPr="0090279A">
        <w:rPr>
          <w:rFonts w:ascii="Arial" w:eastAsia="Calibri" w:hAnsi="Arial" w:cs="Arial"/>
          <w:noProof/>
        </w:rPr>
        <w:t>(Marcus, 2000: 398)</w:t>
      </w:r>
      <w:r w:rsidRPr="0090279A">
        <w:rPr>
          <w:rFonts w:ascii="Arial" w:eastAsia="Calibri" w:hAnsi="Arial" w:cs="Arial"/>
        </w:rPr>
        <w:t xml:space="preserve">. However, when one looks closely at the multiple other uses of </w:t>
      </w:r>
      <w:r w:rsidRPr="0090279A">
        <w:rPr>
          <w:rFonts w:ascii="Arial" w:hAnsi="Arial" w:cs="Arial"/>
        </w:rPr>
        <w:t xml:space="preserve">ἀρέσκω in the New Testament attached to this second meaning, it is clear that it is referring to two non-sexual ways in which to “give pleasure” </w:t>
      </w:r>
      <w:r w:rsidRPr="0090279A">
        <w:rPr>
          <w:rFonts w:ascii="Arial" w:hAnsi="Arial" w:cs="Arial"/>
          <w:noProof/>
        </w:rPr>
        <w:t>(Arndt et al., 2000: 129)</w:t>
      </w:r>
      <w:r w:rsidRPr="0090279A">
        <w:rPr>
          <w:rFonts w:ascii="Arial" w:hAnsi="Arial" w:cs="Arial"/>
        </w:rPr>
        <w:t xml:space="preserve">. The first refers to “accommodating others by meeting their needs or carrying out important obligations” </w:t>
      </w:r>
      <w:r w:rsidRPr="0090279A">
        <w:rPr>
          <w:rFonts w:ascii="Arial" w:hAnsi="Arial" w:cs="Arial"/>
          <w:noProof/>
        </w:rPr>
        <w:t>(Arndt et al., 2000: 129)</w:t>
      </w:r>
      <w:r w:rsidRPr="0090279A">
        <w:rPr>
          <w:rFonts w:ascii="Arial" w:hAnsi="Arial" w:cs="Arial"/>
        </w:rPr>
        <w:t>. An example of this is Romans 15:2 which says, “each of us should please our neighbour for the good purpose of building up the neighbour”. In this verse, it is clear that Paul is not imploring the early church to give each other sexual favours, but instead to meet their neighbours’ practical needs. Paul also encourages others to deny pleasing themselves</w:t>
      </w:r>
      <w:r w:rsidRPr="0090279A">
        <w:rPr>
          <w:rFonts w:ascii="Arial" w:hAnsi="Arial" w:cs="Arial"/>
          <w:vertAlign w:val="superscript"/>
        </w:rPr>
        <w:footnoteReference w:id="14"/>
      </w:r>
      <w:r w:rsidRPr="0090279A">
        <w:rPr>
          <w:rFonts w:ascii="Arial" w:hAnsi="Arial" w:cs="Arial"/>
        </w:rPr>
        <w:t>, in order to cultivate a culture where people carry Christ’s “obligations” before their own</w:t>
      </w:r>
      <w:r w:rsidRPr="0090279A">
        <w:rPr>
          <w:rFonts w:ascii="Arial" w:hAnsi="Arial" w:cs="Arial"/>
          <w:vertAlign w:val="superscript"/>
        </w:rPr>
        <w:footnoteReference w:id="15"/>
      </w:r>
      <w:r w:rsidRPr="0090279A">
        <w:rPr>
          <w:rFonts w:ascii="Arial" w:hAnsi="Arial" w:cs="Arial"/>
        </w:rPr>
        <w:t xml:space="preserve"> </w:t>
      </w:r>
      <w:r w:rsidRPr="0090279A">
        <w:rPr>
          <w:rFonts w:ascii="Arial" w:hAnsi="Arial" w:cs="Arial"/>
          <w:noProof/>
        </w:rPr>
        <w:t>(Arndt et al., 2000: 129)</w:t>
      </w:r>
      <w:r w:rsidRPr="0090279A">
        <w:rPr>
          <w:rFonts w:ascii="Arial" w:hAnsi="Arial" w:cs="Arial"/>
        </w:rPr>
        <w:t xml:space="preserve">. The second non-sexual use of ἀρέσκω with regards to giving pleasure, refers to the meeting of “expectations” in lieu of receiving a “reward” </w:t>
      </w:r>
      <w:r w:rsidRPr="0090279A">
        <w:rPr>
          <w:rFonts w:ascii="Arial" w:hAnsi="Arial" w:cs="Arial"/>
          <w:noProof/>
        </w:rPr>
        <w:t>(Arndt et al., 2000: 130)</w:t>
      </w:r>
      <w:r w:rsidRPr="0090279A">
        <w:rPr>
          <w:rFonts w:ascii="Arial" w:hAnsi="Arial" w:cs="Arial"/>
        </w:rPr>
        <w:t>. There are many examples of this in Paul’s letters, in which he encourages others to please God</w:t>
      </w:r>
      <w:r w:rsidRPr="0090279A">
        <w:rPr>
          <w:rFonts w:ascii="Arial" w:hAnsi="Arial" w:cs="Arial"/>
          <w:vertAlign w:val="superscript"/>
        </w:rPr>
        <w:footnoteReference w:id="16"/>
      </w:r>
      <w:r w:rsidRPr="0090279A">
        <w:rPr>
          <w:rFonts w:ascii="Arial" w:hAnsi="Arial" w:cs="Arial"/>
        </w:rPr>
        <w:t xml:space="preserve">, in order to meet the “divine expectations” God has from them. In this same vein, Herodias’ </w:t>
      </w:r>
      <w:r w:rsidRPr="0090279A">
        <w:rPr>
          <w:rFonts w:ascii="Arial" w:hAnsi="Arial" w:cs="Arial"/>
        </w:rPr>
        <w:lastRenderedPageBreak/>
        <w:t xml:space="preserve">daughter’s dance in Mark 6:22 and Matt 14:6, did not sexually arouse Herod, but simply met his expectations. Herodias’ daughter therefore received her reward in “keeping with the Mediterranean reciprocity system”, having fulfilled Herod’s expectations </w:t>
      </w:r>
      <w:r w:rsidRPr="0090279A">
        <w:rPr>
          <w:rFonts w:ascii="Arial" w:hAnsi="Arial" w:cs="Arial"/>
          <w:noProof/>
        </w:rPr>
        <w:t>(Arndt et al., 2000: 130)</w:t>
      </w:r>
      <w:r w:rsidRPr="0090279A">
        <w:rPr>
          <w:rFonts w:ascii="Arial" w:hAnsi="Arial" w:cs="Arial"/>
        </w:rPr>
        <w:t xml:space="preserve">, and not as a reward for a sexual favour as scholars have falsely suggested. This is in keeping with the use of ἀρέσκω within a wider Greek context, where it is used to refer to an action being deemed “acceptable” </w:t>
      </w:r>
      <w:r w:rsidRPr="0090279A">
        <w:rPr>
          <w:rFonts w:ascii="Arial" w:hAnsi="Arial" w:cs="Arial"/>
          <w:noProof/>
        </w:rPr>
        <w:t>(Liddell and Scott, 1890: 215)</w:t>
      </w:r>
      <w:r w:rsidRPr="0090279A">
        <w:rPr>
          <w:rFonts w:ascii="Arial" w:hAnsi="Arial" w:cs="Arial"/>
        </w:rPr>
        <w:t xml:space="preserve">. There is simply no evidence to justify the view that </w:t>
      </w:r>
      <w:r w:rsidRPr="0090279A">
        <w:rPr>
          <w:rFonts w:ascii="Arial" w:eastAsia="Calibri" w:hAnsi="Arial" w:cs="Arial"/>
        </w:rPr>
        <w:t>her dance was “erotic “(</w:t>
      </w:r>
      <w:r w:rsidRPr="0090279A">
        <w:rPr>
          <w:rFonts w:ascii="Arial" w:eastAsia="Calibri" w:hAnsi="Arial" w:cs="Arial"/>
          <w:noProof/>
        </w:rPr>
        <w:t>Marcus, 2000: 397)</w:t>
      </w:r>
      <w:r w:rsidRPr="0090279A">
        <w:rPr>
          <w:rFonts w:ascii="Arial" w:eastAsia="Calibri" w:hAnsi="Arial" w:cs="Arial"/>
        </w:rPr>
        <w:t>, as we are not told anything about her body movements, or even what she was wearing. The root of the Greek word for dance, ὀρχέομαι, used in Mark 6:22, does not have any sexual connotations in its multiple uses in both the New Testament</w:t>
      </w:r>
      <w:r w:rsidRPr="0090279A">
        <w:rPr>
          <w:rFonts w:ascii="Arial" w:eastAsia="Calibri" w:hAnsi="Arial" w:cs="Arial"/>
          <w:vertAlign w:val="superscript"/>
        </w:rPr>
        <w:footnoteReference w:id="17"/>
      </w:r>
      <w:r w:rsidRPr="0090279A">
        <w:rPr>
          <w:rFonts w:ascii="Arial" w:eastAsia="Calibri" w:hAnsi="Arial" w:cs="Arial"/>
        </w:rPr>
        <w:t xml:space="preserve"> and the Septuagint</w:t>
      </w:r>
      <w:r w:rsidRPr="0090279A">
        <w:rPr>
          <w:rFonts w:ascii="Arial" w:eastAsia="Calibri" w:hAnsi="Arial" w:cs="Arial"/>
          <w:vertAlign w:val="superscript"/>
        </w:rPr>
        <w:footnoteReference w:id="18"/>
      </w:r>
      <w:r w:rsidRPr="0090279A">
        <w:rPr>
          <w:rFonts w:ascii="Arial" w:eastAsia="Calibri" w:hAnsi="Arial" w:cs="Arial"/>
        </w:rPr>
        <w:t xml:space="preserve">. In fact, the Greek-English Lexicon of the New Testament explicitly states that “the verb itself does not of itself indicate a specific type of style of dance” </w:t>
      </w:r>
      <w:r w:rsidRPr="0090279A">
        <w:rPr>
          <w:rFonts w:ascii="Arial" w:eastAsia="Calibri" w:hAnsi="Arial" w:cs="Arial"/>
          <w:noProof/>
        </w:rPr>
        <w:t>(Arndt et al., 2000: 725)</w:t>
      </w:r>
      <w:r w:rsidRPr="0090279A">
        <w:rPr>
          <w:rFonts w:ascii="Arial" w:eastAsia="Calibri" w:hAnsi="Arial" w:cs="Arial"/>
        </w:rPr>
        <w:t xml:space="preserve">. In the Septuagint, the Greek present middle verb ὀρχούμενον, is used to say that King David was “dancing before the LORD” (2 Samuel 6:17). This derivative use of ὀρχέομαι obviously contains no sexual connotations, as his dance was specifically directed before God. </w:t>
      </w:r>
      <w:r w:rsidRPr="0090279A">
        <w:rPr>
          <w:rFonts w:ascii="Arial" w:hAnsi="Arial" w:cs="Arial"/>
        </w:rPr>
        <w:t xml:space="preserve">Within a wider Greek context, </w:t>
      </w:r>
      <w:r w:rsidRPr="0090279A">
        <w:rPr>
          <w:rFonts w:ascii="Arial" w:eastAsia="Calibri" w:hAnsi="Arial" w:cs="Arial"/>
        </w:rPr>
        <w:t xml:space="preserve">ὀρχέομαι has been described as </w:t>
      </w:r>
      <w:r w:rsidRPr="0090279A">
        <w:rPr>
          <w:rFonts w:ascii="Arial" w:hAnsi="Arial" w:cs="Arial"/>
        </w:rPr>
        <w:t xml:space="preserve">“to leap, bound” </w:t>
      </w:r>
      <w:r w:rsidRPr="0090279A">
        <w:rPr>
          <w:rFonts w:ascii="Arial" w:hAnsi="Arial" w:cs="Arial"/>
          <w:noProof/>
        </w:rPr>
        <w:t>(Liddell and Scott, 1890: 1080)</w:t>
      </w:r>
      <w:r w:rsidRPr="0090279A">
        <w:rPr>
          <w:rFonts w:ascii="Arial" w:hAnsi="Arial" w:cs="Arial"/>
        </w:rPr>
        <w:t xml:space="preserve">, which again has no sexual connotation. </w:t>
      </w:r>
      <w:r w:rsidRPr="0090279A">
        <w:rPr>
          <w:rFonts w:ascii="Arial" w:eastAsia="Calibri" w:hAnsi="Arial" w:cs="Arial"/>
        </w:rPr>
        <w:t xml:space="preserve">From this analysis of the Greek words </w:t>
      </w:r>
      <w:r w:rsidRPr="0090279A">
        <w:rPr>
          <w:rFonts w:ascii="Arial" w:hAnsi="Arial" w:cs="Arial"/>
        </w:rPr>
        <w:t xml:space="preserve">ἀρέσκω and </w:t>
      </w:r>
      <w:r w:rsidRPr="0090279A">
        <w:rPr>
          <w:rFonts w:ascii="Arial" w:eastAsia="Calibri" w:hAnsi="Arial" w:cs="Arial"/>
        </w:rPr>
        <w:t xml:space="preserve">ὀρχέομαι, one can therefore conclude that </w:t>
      </w:r>
      <w:r w:rsidRPr="0090279A">
        <w:rPr>
          <w:rFonts w:ascii="Arial" w:hAnsi="Arial" w:cs="Arial"/>
        </w:rPr>
        <w:t xml:space="preserve">the sexual perversion imbued onto Herodias’ daughter’s dance, originates solely from the mind of Western male scholars, and not from the biblical text. Laura </w:t>
      </w:r>
      <w:r w:rsidRPr="0090279A">
        <w:rPr>
          <w:rFonts w:ascii="Arial" w:hAnsi="Arial" w:cs="Arial"/>
        </w:rPr>
        <w:lastRenderedPageBreak/>
        <w:t xml:space="preserve">Mulvey coined the term “male gaze” to refer to this, in her seminal essay ‘Visual Pleasure and Narrative Cinema’ </w:t>
      </w:r>
      <w:r w:rsidRPr="0090279A">
        <w:rPr>
          <w:rFonts w:ascii="Arial" w:eastAsia="Calibri" w:hAnsi="Arial" w:cs="Arial"/>
          <w:noProof/>
        </w:rPr>
        <w:t>(Mulvey, 1975: 11)</w:t>
      </w:r>
      <w:r w:rsidRPr="0090279A">
        <w:rPr>
          <w:rFonts w:ascii="Arial" w:eastAsia="Calibri" w:hAnsi="Arial" w:cs="Arial"/>
        </w:rPr>
        <w:t xml:space="preserve">. In her essay she argues that the “male gaze </w:t>
      </w:r>
      <w:r w:rsidRPr="0090279A">
        <w:rPr>
          <w:rFonts w:ascii="Arial" w:eastAsia="Calibri" w:hAnsi="Arial" w:cs="Arial"/>
          <w:i/>
          <w:iCs/>
        </w:rPr>
        <w:t>projects</w:t>
      </w:r>
      <w:r w:rsidRPr="0090279A">
        <w:rPr>
          <w:rFonts w:ascii="Arial" w:eastAsia="Calibri" w:hAnsi="Arial" w:cs="Arial"/>
        </w:rPr>
        <w:t xml:space="preserve"> its phantasy on to the female form” (</w:t>
      </w:r>
      <w:r w:rsidRPr="0090279A">
        <w:rPr>
          <w:rFonts w:ascii="Arial" w:eastAsia="Calibri" w:hAnsi="Arial" w:cs="Arial"/>
          <w:noProof/>
        </w:rPr>
        <w:t>Mulvey, 1975: 11)</w:t>
      </w:r>
      <w:r w:rsidRPr="0090279A">
        <w:rPr>
          <w:rFonts w:ascii="Arial" w:eastAsia="Calibri" w:hAnsi="Arial" w:cs="Arial"/>
        </w:rPr>
        <w:t>. The key thing to note here is the word ‘project’.  According to Mulvey, an</w:t>
      </w:r>
      <w:r w:rsidRPr="0090279A">
        <w:rPr>
          <w:rFonts w:ascii="Arial" w:hAnsi="Arial" w:cs="Arial"/>
        </w:rPr>
        <w:t>y action carried out by a female could be viewed as sexual to a patriarchal mind that is focused on sex, even if it is completely innocuous. Sharpley takes the notion of ‘male gaze’ even further by introducing the concept of the “</w:t>
      </w:r>
      <w:r w:rsidRPr="0090279A">
        <w:rPr>
          <w:rFonts w:ascii="Arial" w:eastAsia="Calibri" w:hAnsi="Arial" w:cs="Arial"/>
        </w:rPr>
        <w:t xml:space="preserve">white male gaze as a conquering desire to discern, to shed light upon the unknown” </w:t>
      </w:r>
      <w:r w:rsidRPr="0090279A">
        <w:rPr>
          <w:rFonts w:ascii="Arial" w:eastAsia="Calibri" w:hAnsi="Arial" w:cs="Arial"/>
          <w:noProof/>
        </w:rPr>
        <w:t>(Sharpley, 1994: 2)</w:t>
      </w:r>
      <w:r w:rsidRPr="0090279A">
        <w:rPr>
          <w:rFonts w:ascii="Arial" w:hAnsi="Arial" w:cs="Arial"/>
        </w:rPr>
        <w:t xml:space="preserve"> One can argue therefore, this unfounded presupposition that Herodias’ daughters dance was sexual, could also be due to the historic Western “</w:t>
      </w:r>
      <w:r w:rsidRPr="0090279A">
        <w:rPr>
          <w:rFonts w:ascii="Arial" w:eastAsia="Calibri" w:hAnsi="Arial" w:cs="Arial"/>
        </w:rPr>
        <w:t xml:space="preserve">ethnocentric bias toward African dance” </w:t>
      </w:r>
      <w:r w:rsidRPr="0090279A">
        <w:rPr>
          <w:rFonts w:ascii="Arial" w:eastAsia="Calibri" w:hAnsi="Arial" w:cs="Arial"/>
          <w:noProof/>
        </w:rPr>
        <w:t>(Mills, 1997: 144)</w:t>
      </w:r>
      <w:r w:rsidRPr="0090279A">
        <w:rPr>
          <w:rFonts w:ascii="Arial" w:eastAsia="Calibri" w:hAnsi="Arial" w:cs="Arial"/>
        </w:rPr>
        <w:t xml:space="preserve">, which extends also to other ‘non-Western’ cultures and contexts. What new meaning could her dance take on if it was freed from the hypersexualised male and colonial gaze of Western scholarship? What else could her dance be saying? </w:t>
      </w:r>
    </w:p>
    <w:p w14:paraId="69A454EA" w14:textId="68CA4FC0" w:rsidR="00DE18AE" w:rsidRPr="0090279A" w:rsidRDefault="008D2F74" w:rsidP="00B24BEF">
      <w:pPr>
        <w:widowControl w:val="0"/>
        <w:spacing w:after="200"/>
        <w:jc w:val="both"/>
        <w:rPr>
          <w:rFonts w:ascii="Arial" w:eastAsia="Calibri" w:hAnsi="Arial" w:cs="Arial"/>
        </w:rPr>
      </w:pPr>
      <w:r w:rsidRPr="0090279A">
        <w:rPr>
          <w:rFonts w:ascii="Arial" w:eastAsia="Calibri" w:hAnsi="Arial" w:cs="Arial"/>
        </w:rPr>
        <w:t xml:space="preserve">Postcolonial interpretations succeed in reframing the biblical story to be a triumph of female power over colonial and patriarchal domination. Despite the fact that Herodias’ daughter was a member of “the ruling class” </w:t>
      </w:r>
      <w:r w:rsidRPr="0090279A">
        <w:rPr>
          <w:rFonts w:ascii="Arial" w:eastAsia="Calibri" w:hAnsi="Arial" w:cs="Arial"/>
          <w:noProof/>
        </w:rPr>
        <w:t>(Miller, 2004: 73)</w:t>
      </w:r>
      <w:r w:rsidRPr="0090279A">
        <w:rPr>
          <w:rFonts w:ascii="Arial" w:eastAsia="Calibri" w:hAnsi="Arial" w:cs="Arial"/>
        </w:rPr>
        <w:t xml:space="preserve">, there were “limits of power for even aristocratic women” </w:t>
      </w:r>
      <w:r w:rsidRPr="0090279A">
        <w:rPr>
          <w:rFonts w:ascii="Arial" w:eastAsia="Calibri" w:hAnsi="Arial" w:cs="Arial"/>
          <w:noProof/>
        </w:rPr>
        <w:t>(Tolbert, 1992: 272)</w:t>
      </w:r>
      <w:r w:rsidRPr="0090279A">
        <w:rPr>
          <w:rFonts w:ascii="Arial" w:eastAsia="Calibri" w:hAnsi="Arial" w:cs="Arial"/>
        </w:rPr>
        <w:t xml:space="preserve">, that left her relatively weak within the wider power structure. Postcolonial scholars argue that Herodias’ daughter “used her body as a vehicle to acquire honour and power by making Herod and the guests’ slaves to her body” </w:t>
      </w:r>
      <w:r w:rsidRPr="0090279A">
        <w:rPr>
          <w:rFonts w:ascii="Arial" w:eastAsia="Calibri" w:hAnsi="Arial" w:cs="Arial"/>
          <w:noProof/>
        </w:rPr>
        <w:t>(Molopyane, 2020a: 65)</w:t>
      </w:r>
      <w:r w:rsidRPr="0090279A">
        <w:rPr>
          <w:rFonts w:ascii="Arial" w:eastAsia="Calibri" w:hAnsi="Arial" w:cs="Arial"/>
        </w:rPr>
        <w:t xml:space="preserve">. It is her dance that ultimately “gave her the weapon and power to ascend from being mere woman to becoming a negotiator” </w:t>
      </w:r>
      <w:r w:rsidRPr="0090279A">
        <w:rPr>
          <w:rFonts w:ascii="Arial" w:eastAsia="Calibri" w:hAnsi="Arial" w:cs="Arial"/>
          <w:noProof/>
        </w:rPr>
        <w:t>(Molopyane, 2020b: 99-100)</w:t>
      </w:r>
      <w:r w:rsidRPr="0090279A">
        <w:rPr>
          <w:rFonts w:ascii="Arial" w:eastAsia="Calibri" w:hAnsi="Arial" w:cs="Arial"/>
        </w:rPr>
        <w:t xml:space="preserve">. By </w:t>
      </w:r>
      <w:r w:rsidRPr="0090279A">
        <w:rPr>
          <w:rFonts w:ascii="Arial" w:eastAsia="Calibri" w:hAnsi="Arial" w:cs="Arial"/>
        </w:rPr>
        <w:lastRenderedPageBreak/>
        <w:t>portraying Herodias’ daughter as a heroic anti-colonial female figure</w:t>
      </w:r>
      <w:r w:rsidRPr="0090279A">
        <w:rPr>
          <w:rFonts w:ascii="Arial" w:eastAsia="Calibri" w:hAnsi="Arial" w:cs="Arial"/>
          <w:vertAlign w:val="superscript"/>
        </w:rPr>
        <w:footnoteReference w:id="19"/>
      </w:r>
      <w:r w:rsidRPr="0090279A">
        <w:rPr>
          <w:rFonts w:ascii="Arial" w:eastAsia="Calibri" w:hAnsi="Arial" w:cs="Arial"/>
        </w:rPr>
        <w:t xml:space="preserve">, this interpretation provides a good foundation for a feminist Nigerian/British interpretation to build upon.  It is particularly interesting to note however, that African interpretations of both the Matthew and the Mark pericope, have failed to offer any new insights into the possible meaning of Herodias’ daughter’s dance </w:t>
      </w:r>
      <w:r w:rsidRPr="0090279A">
        <w:rPr>
          <w:rFonts w:ascii="Arial" w:eastAsia="Calibri" w:hAnsi="Arial" w:cs="Arial"/>
          <w:noProof/>
        </w:rPr>
        <w:t>(Cole, 2010: 1208; Kapolyo, 2010: 1166)</w:t>
      </w:r>
      <w:r w:rsidRPr="0090279A">
        <w:rPr>
          <w:rFonts w:ascii="Arial" w:eastAsia="Calibri" w:hAnsi="Arial" w:cs="Arial"/>
        </w:rPr>
        <w:t xml:space="preserve">. This is surprising, considering the special value attributed to dance on the African continent </w:t>
      </w:r>
      <w:r w:rsidRPr="0090279A">
        <w:rPr>
          <w:rFonts w:ascii="Arial" w:eastAsia="Calibri" w:hAnsi="Arial" w:cs="Arial"/>
          <w:noProof/>
        </w:rPr>
        <w:t>(Ajayi-Soyinka, 2010: 271)</w:t>
      </w:r>
      <w:r w:rsidRPr="0090279A">
        <w:rPr>
          <w:rFonts w:ascii="Arial" w:eastAsia="Calibri" w:hAnsi="Arial" w:cs="Arial"/>
        </w:rPr>
        <w:t xml:space="preserve">. Within a Nigerian (Yorùbá) context specifically, dance forms an integral part of “every turn in human life” </w:t>
      </w:r>
      <w:r w:rsidRPr="0090279A">
        <w:rPr>
          <w:rFonts w:ascii="Arial" w:eastAsia="Calibri" w:hAnsi="Arial" w:cs="Arial"/>
          <w:noProof/>
        </w:rPr>
        <w:t>(Ogundipe, 2018: 25)</w:t>
      </w:r>
      <w:r w:rsidRPr="0090279A">
        <w:rPr>
          <w:rFonts w:ascii="Arial" w:eastAsia="Calibri" w:hAnsi="Arial" w:cs="Arial"/>
        </w:rPr>
        <w:t xml:space="preserve">, particularly religious ceremonies </w:t>
      </w:r>
      <w:r w:rsidRPr="0090279A">
        <w:rPr>
          <w:rFonts w:ascii="Arial" w:eastAsia="Calibri" w:hAnsi="Arial" w:cs="Arial"/>
          <w:noProof/>
        </w:rPr>
        <w:t>(Peggy, 1969: 280)</w:t>
      </w:r>
      <w:r w:rsidRPr="0090279A">
        <w:rPr>
          <w:rFonts w:ascii="Arial" w:eastAsia="Calibri" w:hAnsi="Arial" w:cs="Arial"/>
        </w:rPr>
        <w:t xml:space="preserve">. Within a Yorùbá context, dance is also an important aspect of ritual that enables “spiritual forces [to] materialise in the phenomenal world” </w:t>
      </w:r>
      <w:r w:rsidRPr="0090279A">
        <w:rPr>
          <w:rFonts w:ascii="Arial" w:eastAsia="Calibri" w:hAnsi="Arial" w:cs="Arial"/>
          <w:noProof/>
        </w:rPr>
        <w:t>(Drewal, 1992: 183)</w:t>
      </w:r>
      <w:r w:rsidRPr="0090279A">
        <w:rPr>
          <w:rFonts w:ascii="Arial" w:eastAsia="Calibri" w:hAnsi="Arial" w:cs="Arial"/>
        </w:rPr>
        <w:t xml:space="preserve">. Through dance, priests are able to become “possessed” by a deity and manifest its power and influence in the material world </w:t>
      </w:r>
      <w:r w:rsidRPr="0090279A">
        <w:rPr>
          <w:rFonts w:ascii="Arial" w:eastAsia="Calibri" w:hAnsi="Arial" w:cs="Arial"/>
          <w:noProof/>
        </w:rPr>
        <w:t>(Ajayi-Soyinka, 2010: 273)</w:t>
      </w:r>
      <w:r w:rsidRPr="0090279A">
        <w:rPr>
          <w:rFonts w:ascii="Arial" w:eastAsia="Calibri" w:hAnsi="Arial" w:cs="Arial"/>
        </w:rPr>
        <w:t xml:space="preserve">. Taking into cognizance these insights from Yorùbá culture could open new realms of possibility regarding Herodias’ daughter’s dance. How could the dance possibly be reframed if we considered how dance was valued within a Yorùbá context? Rather than being intent on causing “sexual arousal” </w:t>
      </w:r>
      <w:r w:rsidRPr="0090279A">
        <w:rPr>
          <w:rFonts w:ascii="Arial" w:eastAsia="Calibri" w:hAnsi="Arial" w:cs="Arial"/>
          <w:noProof/>
        </w:rPr>
        <w:t>(Marcus, 2000: 398)</w:t>
      </w:r>
      <w:r w:rsidRPr="0090279A">
        <w:rPr>
          <w:rFonts w:ascii="Arial" w:eastAsia="Calibri" w:hAnsi="Arial" w:cs="Arial"/>
        </w:rPr>
        <w:t>, could her dance have been a form of religious ritual? Was her power yielded through her sexuality, or through her spiritual possession?</w:t>
      </w:r>
    </w:p>
    <w:p w14:paraId="7219A7F5" w14:textId="7F56EE5B" w:rsidR="00192824" w:rsidRPr="0059355A" w:rsidRDefault="008D2F74" w:rsidP="0059355A">
      <w:pPr>
        <w:widowControl w:val="0"/>
        <w:spacing w:after="200"/>
        <w:jc w:val="both"/>
        <w:rPr>
          <w:rFonts w:ascii="Arial" w:eastAsia="Calibri" w:hAnsi="Arial" w:cs="Arial"/>
        </w:rPr>
      </w:pPr>
      <w:r w:rsidRPr="0090279A">
        <w:rPr>
          <w:rFonts w:ascii="Arial" w:eastAsia="Calibri" w:hAnsi="Arial" w:cs="Arial"/>
        </w:rPr>
        <w:t xml:space="preserve">In summary, whilst Western </w:t>
      </w:r>
      <w:r w:rsidR="00762F9D">
        <w:rPr>
          <w:rFonts w:ascii="Arial" w:eastAsia="Calibri" w:hAnsi="Arial" w:cs="Arial"/>
        </w:rPr>
        <w:t>patriarchal</w:t>
      </w:r>
      <w:r w:rsidRPr="0090279A">
        <w:rPr>
          <w:rFonts w:ascii="Arial" w:eastAsia="Calibri" w:hAnsi="Arial" w:cs="Arial"/>
        </w:rPr>
        <w:t xml:space="preserve"> interpretations of her dance</w:t>
      </w:r>
      <w:r w:rsidRPr="0090279A">
        <w:rPr>
          <w:rFonts w:ascii="Arial" w:eastAsia="Calibri" w:hAnsi="Arial" w:cs="Arial"/>
          <w:vertAlign w:val="superscript"/>
        </w:rPr>
        <w:footnoteReference w:id="20"/>
      </w:r>
      <w:r w:rsidRPr="0090279A">
        <w:rPr>
          <w:rFonts w:ascii="Arial" w:eastAsia="Calibri" w:hAnsi="Arial" w:cs="Arial"/>
        </w:rPr>
        <w:t xml:space="preserve">, and even </w:t>
      </w:r>
      <w:r w:rsidRPr="0090279A">
        <w:rPr>
          <w:rFonts w:ascii="Arial" w:eastAsia="Calibri" w:hAnsi="Arial" w:cs="Arial"/>
        </w:rPr>
        <w:lastRenderedPageBreak/>
        <w:t>some</w:t>
      </w:r>
      <w:r w:rsidR="00DE18AE">
        <w:rPr>
          <w:rFonts w:ascii="Arial" w:eastAsia="Calibri" w:hAnsi="Arial" w:cs="Arial"/>
        </w:rPr>
        <w:t xml:space="preserve"> </w:t>
      </w:r>
      <w:r w:rsidRPr="0090279A">
        <w:rPr>
          <w:rFonts w:ascii="Arial" w:eastAsia="Calibri" w:hAnsi="Arial" w:cs="Arial"/>
        </w:rPr>
        <w:t>feminist</w:t>
      </w:r>
      <w:r w:rsidRPr="0090279A">
        <w:rPr>
          <w:rFonts w:ascii="Arial" w:eastAsia="Calibri" w:hAnsi="Arial" w:cs="Arial"/>
          <w:vertAlign w:val="superscript"/>
        </w:rPr>
        <w:footnoteReference w:id="21"/>
      </w:r>
      <w:r w:rsidRPr="0090279A">
        <w:rPr>
          <w:rFonts w:ascii="Arial" w:eastAsia="Calibri" w:hAnsi="Arial" w:cs="Arial"/>
        </w:rPr>
        <w:t xml:space="preserve"> and womanist</w:t>
      </w:r>
      <w:r w:rsidRPr="0090279A">
        <w:rPr>
          <w:rFonts w:ascii="Arial" w:eastAsia="Calibri" w:hAnsi="Arial" w:cs="Arial"/>
          <w:vertAlign w:val="superscript"/>
        </w:rPr>
        <w:footnoteReference w:id="22"/>
      </w:r>
      <w:r w:rsidRPr="0090279A">
        <w:rPr>
          <w:rFonts w:ascii="Arial" w:eastAsia="Calibri" w:hAnsi="Arial" w:cs="Arial"/>
        </w:rPr>
        <w:t xml:space="preserve"> interpretations, have hypersexualised Herodias daughter’s dance, having been most likely influenced by sexualised portrayals of Salome in art and literature </w:t>
      </w:r>
      <w:r w:rsidRPr="0090279A">
        <w:rPr>
          <w:rFonts w:ascii="Arial" w:eastAsia="Calibri" w:hAnsi="Arial" w:cs="Arial"/>
          <w:noProof/>
        </w:rPr>
        <w:t>(Joynes, 2009: 150)</w:t>
      </w:r>
      <w:r w:rsidRPr="0090279A">
        <w:rPr>
          <w:rFonts w:ascii="Arial" w:eastAsia="Calibri" w:hAnsi="Arial" w:cs="Arial"/>
        </w:rPr>
        <w:t xml:space="preserve">, close analysis of the Greek words </w:t>
      </w:r>
      <w:r w:rsidRPr="0090279A">
        <w:rPr>
          <w:rFonts w:ascii="Arial" w:hAnsi="Arial" w:cs="Arial"/>
        </w:rPr>
        <w:t xml:space="preserve">ἤρεσεν and </w:t>
      </w:r>
      <w:r w:rsidRPr="0090279A">
        <w:rPr>
          <w:rFonts w:ascii="Arial" w:eastAsia="Calibri" w:hAnsi="Arial" w:cs="Arial"/>
        </w:rPr>
        <w:t xml:space="preserve">ὀρχέομαι </w:t>
      </w:r>
      <w:r w:rsidRPr="0090279A">
        <w:rPr>
          <w:rFonts w:ascii="Arial" w:hAnsi="Arial" w:cs="Arial"/>
        </w:rPr>
        <w:t xml:space="preserve">used in both </w:t>
      </w:r>
      <w:r w:rsidRPr="0090279A">
        <w:rPr>
          <w:rFonts w:ascii="Arial" w:eastAsia="Calibri" w:hAnsi="Arial" w:cs="Arial"/>
        </w:rPr>
        <w:t xml:space="preserve">Matt 14:6-7 and Mark 6:22-23, reveal that this interpretation does not at all originate from the biblical text. Instead, it reveals a Western colonial bias, that has unfairly portrayed ‘othered’ dance as “erotic in posture and movement” </w:t>
      </w:r>
      <w:r w:rsidRPr="0090279A">
        <w:rPr>
          <w:rFonts w:ascii="Arial" w:eastAsia="Calibri" w:hAnsi="Arial" w:cs="Arial"/>
          <w:noProof/>
        </w:rPr>
        <w:t>(Aluede et al., 2007: 85)</w:t>
      </w:r>
      <w:r w:rsidRPr="0090279A">
        <w:rPr>
          <w:rFonts w:ascii="Arial" w:eastAsia="Calibri" w:hAnsi="Arial" w:cs="Arial"/>
        </w:rPr>
        <w:t xml:space="preserve"> when this is simply not the case. Whilst postcolonial interpretations have succeeded in laying a strong foundation for a feminist Nigerian/British interpretation to build upon, by reframing Herodias’ daughter’s dance to be the means by which she subverts colonial and patriarchal power structures </w:t>
      </w:r>
      <w:r w:rsidRPr="0090279A">
        <w:rPr>
          <w:rFonts w:ascii="Arial" w:eastAsia="Calibri" w:hAnsi="Arial" w:cs="Arial"/>
          <w:noProof/>
        </w:rPr>
        <w:t>(Molopyane, 2020a: 65)</w:t>
      </w:r>
      <w:r w:rsidRPr="0090279A">
        <w:rPr>
          <w:rFonts w:ascii="Arial" w:eastAsia="Calibri" w:hAnsi="Arial" w:cs="Arial"/>
        </w:rPr>
        <w:t>, African interpretations</w:t>
      </w:r>
      <w:r w:rsidRPr="0090279A">
        <w:rPr>
          <w:rFonts w:ascii="Arial" w:eastAsia="Calibri" w:hAnsi="Arial" w:cs="Arial"/>
          <w:vertAlign w:val="superscript"/>
        </w:rPr>
        <w:footnoteReference w:id="23"/>
      </w:r>
      <w:r w:rsidRPr="0090279A">
        <w:rPr>
          <w:rFonts w:ascii="Arial" w:eastAsia="Calibri" w:hAnsi="Arial" w:cs="Arial"/>
        </w:rPr>
        <w:t xml:space="preserve"> have ultimately failed to free her from the false “femme fatale” trope </w:t>
      </w:r>
      <w:r w:rsidRPr="0090279A">
        <w:rPr>
          <w:rFonts w:ascii="Arial" w:eastAsia="Calibri" w:hAnsi="Arial" w:cs="Arial"/>
          <w:noProof/>
        </w:rPr>
        <w:t>(Joynes, 2009: 152)</w:t>
      </w:r>
      <w:r w:rsidRPr="0090279A">
        <w:rPr>
          <w:rFonts w:ascii="Arial" w:eastAsia="Calibri" w:hAnsi="Arial" w:cs="Arial"/>
        </w:rPr>
        <w:t xml:space="preserve">. However, insights from a Yorùbá epistemological view of dance, where the moving body plays an integral role in “ritual ceremony” </w:t>
      </w:r>
      <w:r w:rsidRPr="0090279A">
        <w:rPr>
          <w:rFonts w:ascii="Arial" w:eastAsia="Calibri" w:hAnsi="Arial" w:cs="Arial"/>
          <w:noProof/>
        </w:rPr>
        <w:t>(Peggy, 1969: 280)</w:t>
      </w:r>
      <w:r w:rsidRPr="0090279A">
        <w:rPr>
          <w:rFonts w:ascii="Arial" w:eastAsia="Calibri" w:hAnsi="Arial" w:cs="Arial"/>
        </w:rPr>
        <w:t xml:space="preserve">, “religion” </w:t>
      </w:r>
      <w:r w:rsidRPr="0090279A">
        <w:rPr>
          <w:rFonts w:ascii="Arial" w:eastAsia="Calibri" w:hAnsi="Arial" w:cs="Arial"/>
          <w:noProof/>
        </w:rPr>
        <w:t>(Karade, 2020: 72)</w:t>
      </w:r>
      <w:r w:rsidRPr="0090279A">
        <w:rPr>
          <w:rFonts w:ascii="Arial" w:eastAsia="Calibri" w:hAnsi="Arial" w:cs="Arial"/>
        </w:rPr>
        <w:t xml:space="preserve"> and “possession” </w:t>
      </w:r>
      <w:r w:rsidRPr="0090279A">
        <w:rPr>
          <w:rFonts w:ascii="Arial" w:eastAsia="Calibri" w:hAnsi="Arial" w:cs="Arial"/>
          <w:noProof/>
        </w:rPr>
        <w:t>(Ajayi-Soyinka, 2010: 273)</w:t>
      </w:r>
      <w:r w:rsidRPr="0090279A">
        <w:rPr>
          <w:rFonts w:ascii="Arial" w:eastAsia="Calibri" w:hAnsi="Arial" w:cs="Arial"/>
        </w:rPr>
        <w:t xml:space="preserve"> could open the door to a new feminist Nigerian/British interpretation. Within the next section I will highlight the dominant themes explored within Yorùbá Girl Dancing </w:t>
      </w:r>
      <w:r w:rsidRPr="0090279A">
        <w:rPr>
          <w:rFonts w:ascii="Arial" w:eastAsia="Calibri" w:hAnsi="Arial" w:cs="Arial"/>
          <w:noProof/>
        </w:rPr>
        <w:t>(Bedford, 1994)</w:t>
      </w:r>
      <w:r w:rsidRPr="0090279A">
        <w:rPr>
          <w:rFonts w:ascii="Arial" w:eastAsia="Calibri" w:hAnsi="Arial" w:cs="Arial"/>
        </w:rPr>
        <w:t>, that could prove fruitful for a new feminist Nigerian/British interpretation.</w:t>
      </w:r>
    </w:p>
    <w:p w14:paraId="29EACC42" w14:textId="46DBD848" w:rsidR="00192824" w:rsidRPr="00B24BEF" w:rsidRDefault="000A01E6" w:rsidP="00B24BEF">
      <w:pPr>
        <w:pStyle w:val="Heading1"/>
        <w:spacing w:line="480" w:lineRule="auto"/>
        <w:rPr>
          <w:rStyle w:val="text"/>
          <w:rFonts w:ascii="Arial" w:hAnsi="Arial"/>
          <w:color w:val="000000"/>
          <w:shd w:val="clear" w:color="auto" w:fill="FFFFFF"/>
        </w:rPr>
      </w:pPr>
      <w:r w:rsidRPr="00B24BEF">
        <w:rPr>
          <w:rFonts w:ascii="Arial" w:hAnsi="Arial"/>
        </w:rPr>
        <w:lastRenderedPageBreak/>
        <w:t>Nigerian/British Cultural Reference: Simi Bedford’s Yoruba Girl Dancing</w:t>
      </w:r>
    </w:p>
    <w:p w14:paraId="0031D7A0" w14:textId="286D4A54" w:rsidR="00796010" w:rsidRPr="00B24BEF" w:rsidRDefault="00F938A1" w:rsidP="0059355A">
      <w:pPr>
        <w:widowControl w:val="0"/>
        <w:spacing w:after="200"/>
        <w:jc w:val="both"/>
        <w:rPr>
          <w:rFonts w:ascii="Arial" w:hAnsi="Arial" w:cs="Arial"/>
        </w:rPr>
      </w:pPr>
      <w:r w:rsidRPr="0090279A">
        <w:rPr>
          <w:rFonts w:ascii="Arial" w:eastAsia="Calibri" w:hAnsi="Arial" w:cs="Arial"/>
          <w:color w:val="000000"/>
          <w:shd w:val="clear" w:color="auto" w:fill="FFFFFF"/>
        </w:rPr>
        <w:t>In this section, I will introduce Simi Bedford as a Nigerian author, living in the UK, and give a brief overview of her</w:t>
      </w:r>
      <w:r w:rsidRPr="0090279A">
        <w:rPr>
          <w:rFonts w:ascii="Arial" w:eastAsia="Calibri" w:hAnsi="Arial" w:cs="Arial"/>
          <w:i/>
          <w:iCs/>
        </w:rPr>
        <w:t xml:space="preserve"> </w:t>
      </w:r>
      <w:r w:rsidRPr="0090279A">
        <w:rPr>
          <w:rFonts w:ascii="Arial" w:eastAsia="Calibri" w:hAnsi="Arial" w:cs="Arial"/>
        </w:rPr>
        <w:t xml:space="preserve">book, </w:t>
      </w:r>
      <w:r w:rsidRPr="0090279A">
        <w:rPr>
          <w:rFonts w:ascii="Arial" w:eastAsia="Calibri" w:hAnsi="Arial" w:cs="Arial"/>
          <w:i/>
          <w:iCs/>
        </w:rPr>
        <w:t>Yoruba Girl Dancing</w:t>
      </w:r>
      <w:r w:rsidRPr="0090279A">
        <w:rPr>
          <w:rFonts w:ascii="Arial" w:eastAsia="Calibri" w:hAnsi="Arial" w:cs="Arial"/>
        </w:rPr>
        <w:t xml:space="preserve"> </w:t>
      </w:r>
      <w:r w:rsidRPr="0090279A">
        <w:rPr>
          <w:rFonts w:ascii="Arial" w:eastAsia="Calibri" w:hAnsi="Arial" w:cs="Arial"/>
          <w:noProof/>
        </w:rPr>
        <w:t>(Bedford, 1994)</w:t>
      </w:r>
      <w:r w:rsidRPr="0090279A">
        <w:rPr>
          <w:rFonts w:ascii="Arial" w:eastAsia="Calibri" w:hAnsi="Arial" w:cs="Arial"/>
        </w:rPr>
        <w:t xml:space="preserve">. In the following section, I will then outline the main themes and ideas that Bedford explores within her book in order to identify potential lenses through which to approach the biblical narrative in a new and fresh way. Simi Bedford, born in Lagos, Nigeria was sent to an English boarding school at the age of six </w:t>
      </w:r>
      <w:r w:rsidRPr="0090279A">
        <w:rPr>
          <w:rFonts w:ascii="Arial" w:eastAsia="Calibri" w:hAnsi="Arial" w:cs="Arial"/>
          <w:noProof/>
        </w:rPr>
        <w:t>(Cooper, 2003: 60)</w:t>
      </w:r>
      <w:r w:rsidRPr="0090279A">
        <w:rPr>
          <w:rFonts w:ascii="Arial" w:eastAsia="Calibri" w:hAnsi="Arial" w:cs="Arial"/>
        </w:rPr>
        <w:t xml:space="preserve">. Her semi-autobiographical novel, </w:t>
      </w:r>
      <w:r w:rsidRPr="0090279A">
        <w:rPr>
          <w:rFonts w:ascii="Arial" w:eastAsia="Calibri" w:hAnsi="Arial" w:cs="Arial"/>
          <w:i/>
          <w:iCs/>
        </w:rPr>
        <w:t>Yoruba Girl Dancing</w:t>
      </w:r>
      <w:r w:rsidRPr="0090279A">
        <w:rPr>
          <w:rFonts w:ascii="Arial" w:eastAsia="Calibri" w:hAnsi="Arial" w:cs="Arial"/>
        </w:rPr>
        <w:t xml:space="preserve"> </w:t>
      </w:r>
      <w:r w:rsidRPr="0090279A">
        <w:rPr>
          <w:rFonts w:ascii="Arial" w:eastAsia="Calibri" w:hAnsi="Arial" w:cs="Arial"/>
          <w:noProof/>
        </w:rPr>
        <w:t>(Bedford, 1994)</w:t>
      </w:r>
      <w:r w:rsidRPr="0090279A">
        <w:rPr>
          <w:rFonts w:ascii="Arial" w:eastAsia="Calibri" w:hAnsi="Arial" w:cs="Arial"/>
        </w:rPr>
        <w:t xml:space="preserve">, set in the aftermath of World War 2, follows the journey of the protagonist Remi Foster, as she too is ripped from her family in Nigeria, to attend a boarding school in England. Bedford intentionally characterises Remi as being an exceptionally intelligent child from a wealthy Nigerian background, in order to “deconstruct continuing nineteenth-century notions of African mental incapacity” </w:t>
      </w:r>
      <w:r w:rsidRPr="0090279A">
        <w:rPr>
          <w:rFonts w:ascii="Arial" w:eastAsia="Calibri" w:hAnsi="Arial" w:cs="Arial"/>
          <w:noProof/>
        </w:rPr>
        <w:t>(Ogunyemi, 1996: 324)</w:t>
      </w:r>
      <w:r w:rsidRPr="0090279A">
        <w:rPr>
          <w:rFonts w:ascii="Arial" w:eastAsia="Calibri" w:hAnsi="Arial" w:cs="Arial"/>
        </w:rPr>
        <w:t xml:space="preserve">. Bedford’s novel has been said to “ingeniously, entertainingly, eloquently, and intelligently” explore issues of “home and identity” </w:t>
      </w:r>
      <w:r w:rsidRPr="0090279A">
        <w:rPr>
          <w:rFonts w:ascii="Arial" w:eastAsia="Calibri" w:hAnsi="Arial" w:cs="Arial"/>
          <w:noProof/>
        </w:rPr>
        <w:t>(Johnson, 1999: 11)</w:t>
      </w:r>
      <w:r w:rsidRPr="0090279A">
        <w:rPr>
          <w:rFonts w:ascii="Arial" w:eastAsia="Calibri" w:hAnsi="Arial" w:cs="Arial"/>
        </w:rPr>
        <w:t xml:space="preserve">, as Remi wrestles with belonging and identity in an environment where she is hyper visible. On arrival in the UK, Remi experiences abhorrent racism from her peers and teacher alike, being called a “savage” </w:t>
      </w:r>
      <w:r w:rsidRPr="0090279A">
        <w:rPr>
          <w:rFonts w:ascii="Arial" w:eastAsia="Calibri" w:hAnsi="Arial" w:cs="Arial"/>
          <w:noProof/>
        </w:rPr>
        <w:t>(Bedford, 1994: 50)</w:t>
      </w:r>
      <w:r w:rsidRPr="0090279A">
        <w:rPr>
          <w:rFonts w:ascii="Arial" w:eastAsia="Calibri" w:hAnsi="Arial" w:cs="Arial"/>
        </w:rPr>
        <w:t xml:space="preserve">, a “darkie” </w:t>
      </w:r>
      <w:r w:rsidRPr="0090279A">
        <w:rPr>
          <w:rFonts w:ascii="Arial" w:eastAsia="Calibri" w:hAnsi="Arial" w:cs="Arial"/>
          <w:noProof/>
        </w:rPr>
        <w:t>(Bedford, 1994: 89)</w:t>
      </w:r>
      <w:r w:rsidRPr="0090279A">
        <w:rPr>
          <w:rFonts w:ascii="Arial" w:eastAsia="Calibri" w:hAnsi="Arial" w:cs="Arial"/>
        </w:rPr>
        <w:t xml:space="preserve">, and a “wicked and evil child” </w:t>
      </w:r>
      <w:r w:rsidRPr="0090279A">
        <w:rPr>
          <w:rFonts w:ascii="Arial" w:eastAsia="Calibri" w:hAnsi="Arial" w:cs="Arial"/>
          <w:noProof/>
        </w:rPr>
        <w:t>(Bedford, 1994: 57)</w:t>
      </w:r>
      <w:r w:rsidRPr="0090279A">
        <w:rPr>
          <w:rFonts w:ascii="Arial" w:eastAsia="Calibri" w:hAnsi="Arial" w:cs="Arial"/>
        </w:rPr>
        <w:t xml:space="preserve">. For the first time in her life, she is forced to deal with incessant staring because of the colour of her skin, as people’s mouths literally “dropped open” when she walked into a room </w:t>
      </w:r>
      <w:r w:rsidRPr="0090279A">
        <w:rPr>
          <w:rFonts w:ascii="Arial" w:eastAsia="Calibri" w:hAnsi="Arial" w:cs="Arial"/>
          <w:noProof/>
        </w:rPr>
        <w:t>(Bedford, 1994: 64)</w:t>
      </w:r>
      <w:r w:rsidRPr="0090279A">
        <w:rPr>
          <w:rFonts w:ascii="Arial" w:eastAsia="Calibri" w:hAnsi="Arial" w:cs="Arial"/>
        </w:rPr>
        <w:t xml:space="preserve">. As the novel progresses, Remi’s self-confidence is seen to wane, as the once “favoured grandchild” of her Grandmother </w:t>
      </w:r>
      <w:r w:rsidRPr="0090279A">
        <w:rPr>
          <w:rFonts w:ascii="Arial" w:eastAsia="Calibri" w:hAnsi="Arial" w:cs="Arial"/>
          <w:noProof/>
        </w:rPr>
        <w:t>(Bedford, 1994: 7)</w:t>
      </w:r>
      <w:r w:rsidRPr="0090279A">
        <w:rPr>
          <w:rFonts w:ascii="Arial" w:eastAsia="Calibri" w:hAnsi="Arial" w:cs="Arial"/>
        </w:rPr>
        <w:t xml:space="preserve"> that had once danced “long </w:t>
      </w:r>
      <w:r w:rsidRPr="0090279A">
        <w:rPr>
          <w:rFonts w:ascii="Arial" w:eastAsia="Calibri" w:hAnsi="Arial" w:cs="Arial"/>
        </w:rPr>
        <w:lastRenderedPageBreak/>
        <w:t xml:space="preserve">into the night” </w:t>
      </w:r>
      <w:r w:rsidRPr="0090279A">
        <w:rPr>
          <w:rFonts w:ascii="Arial" w:eastAsia="Calibri" w:hAnsi="Arial" w:cs="Arial"/>
          <w:noProof/>
        </w:rPr>
        <w:t>(Bedford, 1994: 26)</w:t>
      </w:r>
      <w:r w:rsidRPr="0090279A">
        <w:rPr>
          <w:rFonts w:ascii="Arial" w:eastAsia="Calibri" w:hAnsi="Arial" w:cs="Arial"/>
        </w:rPr>
        <w:t xml:space="preserve"> at a wedding in Nigeria, is now found “concealed” on a bench by a teacher, and in floods of “tears” </w:t>
      </w:r>
      <w:r w:rsidRPr="0090279A">
        <w:rPr>
          <w:rFonts w:ascii="Arial" w:eastAsia="Calibri" w:hAnsi="Arial" w:cs="Arial"/>
          <w:noProof/>
        </w:rPr>
        <w:t>(Bedford, 1994: 91)</w:t>
      </w:r>
      <w:r w:rsidRPr="0090279A">
        <w:rPr>
          <w:rFonts w:ascii="Arial" w:eastAsia="Calibri" w:hAnsi="Arial" w:cs="Arial"/>
        </w:rPr>
        <w:t>, her identity “broken” by racism (</w:t>
      </w:r>
      <w:r w:rsidRPr="0090279A">
        <w:rPr>
          <w:rFonts w:ascii="Arial" w:eastAsia="Calibri" w:hAnsi="Arial" w:cs="Arial"/>
          <w:noProof/>
        </w:rPr>
        <w:t>Bedford, 1994: 92)</w:t>
      </w:r>
      <w:r w:rsidRPr="0090279A">
        <w:rPr>
          <w:rFonts w:ascii="Arial" w:eastAsia="Calibri" w:hAnsi="Arial" w:cs="Arial"/>
        </w:rPr>
        <w:t xml:space="preserve">. Over time however, as Remi forgets about her African background and assimilates well into British culture, Remi’s school friends begin to accept her as being British - telling her: “you’re not a savage any more, it’s simple” </w:t>
      </w:r>
      <w:r w:rsidRPr="0090279A">
        <w:rPr>
          <w:rFonts w:ascii="Arial" w:eastAsia="Calibri" w:hAnsi="Arial" w:cs="Arial"/>
          <w:noProof/>
        </w:rPr>
        <w:t>(Bedford, 1994: 122)</w:t>
      </w:r>
      <w:r w:rsidRPr="0090279A">
        <w:rPr>
          <w:rFonts w:ascii="Arial" w:eastAsia="Calibri" w:hAnsi="Arial" w:cs="Arial"/>
        </w:rPr>
        <w:t xml:space="preserve">. It is only when Remi attends a Caribbean church in the school holidays, that she finds that the “clapping and the dancing had awoken fierce memories of the rhythms of home” </w:t>
      </w:r>
      <w:r w:rsidRPr="0090279A">
        <w:rPr>
          <w:rFonts w:ascii="Arial" w:eastAsia="Calibri" w:hAnsi="Arial" w:cs="Arial"/>
          <w:noProof/>
        </w:rPr>
        <w:t>(Bedford, 1994: 150)</w:t>
      </w:r>
      <w:r w:rsidRPr="0090279A">
        <w:rPr>
          <w:rFonts w:ascii="Arial" w:eastAsia="Calibri" w:hAnsi="Arial" w:cs="Arial"/>
        </w:rPr>
        <w:t>. The novel ends with Remi at the age of eighteen, about to attend university, dancing at a party in the UK as a true “Yoruba girl” (</w:t>
      </w:r>
      <w:r w:rsidRPr="0090279A">
        <w:rPr>
          <w:rFonts w:ascii="Arial" w:eastAsia="Calibri" w:hAnsi="Arial" w:cs="Arial"/>
          <w:noProof/>
        </w:rPr>
        <w:t>Bedford, 1994: 185)</w:t>
      </w:r>
      <w:r w:rsidRPr="0090279A">
        <w:rPr>
          <w:rFonts w:ascii="Arial" w:eastAsia="Calibri" w:hAnsi="Arial" w:cs="Arial"/>
        </w:rPr>
        <w:t xml:space="preserve">. Ultimately, Bedford’s </w:t>
      </w:r>
      <w:r w:rsidRPr="0090279A">
        <w:rPr>
          <w:rFonts w:ascii="Arial" w:eastAsia="Calibri" w:hAnsi="Arial" w:cs="Arial"/>
          <w:i/>
          <w:iCs/>
        </w:rPr>
        <w:t>Yoruba Girl Dancing</w:t>
      </w:r>
      <w:r w:rsidRPr="0090279A">
        <w:rPr>
          <w:rFonts w:ascii="Arial" w:eastAsia="Calibri" w:hAnsi="Arial" w:cs="Arial"/>
        </w:rPr>
        <w:t xml:space="preserve"> </w:t>
      </w:r>
      <w:r w:rsidRPr="0090279A">
        <w:rPr>
          <w:rFonts w:ascii="Arial" w:eastAsia="Calibri" w:hAnsi="Arial" w:cs="Arial"/>
          <w:noProof/>
        </w:rPr>
        <w:t>(Bedford, 1994)</w:t>
      </w:r>
      <w:r w:rsidRPr="0090279A">
        <w:rPr>
          <w:rFonts w:ascii="Arial" w:eastAsia="Calibri" w:hAnsi="Arial" w:cs="Arial"/>
        </w:rPr>
        <w:t xml:space="preserve">, is a beautiful coming of age novel that follows Remi as she “gradually becomes detoxified from being an Englishwoman and blossoms, like the many flowers in one of her schools, into an Afro-Englishwoman” </w:t>
      </w:r>
      <w:r w:rsidRPr="0090279A">
        <w:rPr>
          <w:rFonts w:ascii="Arial" w:eastAsia="Calibri" w:hAnsi="Arial" w:cs="Arial"/>
          <w:noProof/>
        </w:rPr>
        <w:t>(Ogunyemi, 1996: 326)</w:t>
      </w:r>
      <w:r w:rsidRPr="0090279A">
        <w:rPr>
          <w:rFonts w:ascii="Arial" w:eastAsia="Calibri" w:hAnsi="Arial" w:cs="Arial"/>
        </w:rPr>
        <w:t xml:space="preserve">. Dance is the key medium that Bedford uses to depict this transformation, as after years of attempting to assimilate to English culture by doing Western “ballet” and “country dance” </w:t>
      </w:r>
      <w:r w:rsidRPr="0090279A">
        <w:rPr>
          <w:rFonts w:ascii="Arial" w:eastAsia="Calibri" w:hAnsi="Arial" w:cs="Arial"/>
          <w:noProof/>
        </w:rPr>
        <w:t>(Bedford, 1994: 135)</w:t>
      </w:r>
      <w:r w:rsidRPr="0090279A">
        <w:rPr>
          <w:rFonts w:ascii="Arial" w:eastAsia="Calibri" w:hAnsi="Arial" w:cs="Arial"/>
        </w:rPr>
        <w:t xml:space="preserve">, at the end of the novel Remi discovers that is “possible to be English without relinquishing her formative Yorùbá background, with which she finally feels free to reconnect and re-experience” </w:t>
      </w:r>
      <w:r w:rsidRPr="0090279A">
        <w:rPr>
          <w:rFonts w:ascii="Arial" w:eastAsia="Calibri" w:hAnsi="Arial" w:cs="Arial"/>
          <w:noProof/>
        </w:rPr>
        <w:t>(Lock, 1999: 120)</w:t>
      </w:r>
      <w:r w:rsidRPr="0090279A">
        <w:rPr>
          <w:rFonts w:ascii="Arial" w:eastAsia="Calibri" w:hAnsi="Arial" w:cs="Arial"/>
        </w:rPr>
        <w:t xml:space="preserve">. She is Nigerian and British, and in that there is no contradiction. Through this novel, Bedford successfully deconstructs the binary Western perception that all Nigerian novels must be set in a rural poor village. Instead, Bedford shows that “Yorùbá girls dancing with fellow law students at posh London parties are just as representative of Nigerian realities as Yorùbá girls dancing with their age-mates at village harvest festivals” </w:t>
      </w:r>
      <w:r w:rsidRPr="0090279A">
        <w:rPr>
          <w:rFonts w:ascii="Arial" w:eastAsia="Calibri" w:hAnsi="Arial" w:cs="Arial"/>
          <w:noProof/>
        </w:rPr>
        <w:t>(Griswold, 2000: 28)</w:t>
      </w:r>
      <w:r w:rsidRPr="0090279A">
        <w:rPr>
          <w:rFonts w:ascii="Arial" w:eastAsia="Calibri" w:hAnsi="Arial" w:cs="Arial"/>
        </w:rPr>
        <w:t xml:space="preserve">. </w:t>
      </w:r>
    </w:p>
    <w:p w14:paraId="4607F8CB" w14:textId="3B7DB65B" w:rsidR="00F03107" w:rsidRPr="00B24BEF" w:rsidRDefault="00F03107" w:rsidP="00B24BEF">
      <w:pPr>
        <w:widowControl w:val="0"/>
        <w:spacing w:after="200"/>
        <w:jc w:val="both"/>
        <w:rPr>
          <w:rFonts w:ascii="Arial" w:eastAsia="Calibri" w:hAnsi="Arial" w:cs="Arial"/>
        </w:rPr>
      </w:pPr>
      <w:r w:rsidRPr="0090279A">
        <w:rPr>
          <w:rFonts w:ascii="Arial" w:eastAsia="Calibri" w:hAnsi="Arial" w:cs="Arial"/>
          <w:iCs/>
          <w:noProof/>
        </w:rPr>
        <w:lastRenderedPageBreak/>
        <w:t xml:space="preserve">In her book </w:t>
      </w:r>
      <w:r w:rsidRPr="0090279A">
        <w:rPr>
          <w:rFonts w:ascii="Arial" w:eastAsia="Calibri" w:hAnsi="Arial" w:cs="Arial"/>
          <w:i/>
          <w:noProof/>
        </w:rPr>
        <w:t>Africa Wo/Man Palava: The Nigerian Novel by Women</w:t>
      </w:r>
      <w:r w:rsidRPr="0090279A">
        <w:rPr>
          <w:rFonts w:ascii="Arial" w:eastAsia="Calibri" w:hAnsi="Arial" w:cs="Arial"/>
          <w:iCs/>
          <w:noProof/>
        </w:rPr>
        <w:t xml:space="preserve"> (1996),</w:t>
      </w:r>
      <w:r w:rsidRPr="0090279A">
        <w:rPr>
          <w:rFonts w:ascii="Arial" w:eastAsia="Calibri" w:hAnsi="Arial" w:cs="Arial"/>
        </w:rPr>
        <w:t xml:space="preserve"> Ogunyemi offers key insights regarding Bedford’s use of dance in </w:t>
      </w:r>
      <w:r w:rsidRPr="0090279A">
        <w:rPr>
          <w:rFonts w:ascii="Arial" w:eastAsia="Calibri" w:hAnsi="Arial" w:cs="Arial"/>
          <w:i/>
          <w:iCs/>
        </w:rPr>
        <w:t xml:space="preserve">Yoruba Girl Dancing </w:t>
      </w:r>
      <w:r w:rsidRPr="0090279A">
        <w:rPr>
          <w:rFonts w:ascii="Arial" w:eastAsia="Calibri" w:hAnsi="Arial" w:cs="Arial"/>
          <w:noProof/>
        </w:rPr>
        <w:t>(Bedford, 1994)</w:t>
      </w:r>
      <w:r w:rsidRPr="0090279A">
        <w:rPr>
          <w:rFonts w:ascii="Arial" w:eastAsia="Calibri" w:hAnsi="Arial" w:cs="Arial"/>
        </w:rPr>
        <w:t xml:space="preserve">, that could offer new and exciting avenues for a Nigerian/British interpretation of Herodias’ daughter’s dance. Ogunyemi states that Bedford’s construction of dance in the novel, serves to highlight the “ritualistic, spiritual purpose” of dance within Yorùbá epistemology </w:t>
      </w:r>
      <w:r w:rsidRPr="0090279A">
        <w:rPr>
          <w:rFonts w:ascii="Arial" w:eastAsia="Calibri" w:hAnsi="Arial" w:cs="Arial"/>
          <w:noProof/>
        </w:rPr>
        <w:t>(Ogunyemi, 1996: 326)</w:t>
      </w:r>
      <w:r w:rsidRPr="0090279A">
        <w:rPr>
          <w:rFonts w:ascii="Arial" w:eastAsia="Calibri" w:hAnsi="Arial" w:cs="Arial"/>
        </w:rPr>
        <w:t xml:space="preserve">. She goes on to say that the “last dance brings the story full circle. Not only does it remind us of the first dance to celebrate a Yorùbá wedding with the pregnant Sisi Bola at the beginning of the novel, it contrasts sharply with the stiff waltz, quickstep, and uncoordinated rock-and-roll that pass for dance in Europe” </w:t>
      </w:r>
      <w:r w:rsidRPr="0090279A">
        <w:rPr>
          <w:rFonts w:ascii="Arial" w:eastAsia="Calibri" w:hAnsi="Arial" w:cs="Arial"/>
          <w:noProof/>
        </w:rPr>
        <w:t>(Ogunyemi, 1996: 325)</w:t>
      </w:r>
      <w:r w:rsidRPr="0090279A">
        <w:rPr>
          <w:rFonts w:ascii="Arial" w:eastAsia="Calibri" w:hAnsi="Arial" w:cs="Arial"/>
        </w:rPr>
        <w:t xml:space="preserve">. By juxtaposing Remi and her friend’s Nigerian dance, where they “wound and unwound” their bodies </w:t>
      </w:r>
      <w:r w:rsidRPr="0090279A">
        <w:rPr>
          <w:rFonts w:ascii="Arial" w:eastAsia="Calibri" w:hAnsi="Arial" w:cs="Arial"/>
          <w:noProof/>
        </w:rPr>
        <w:t>(Bedford, 1994: 185)</w:t>
      </w:r>
      <w:r w:rsidRPr="0090279A">
        <w:rPr>
          <w:rFonts w:ascii="Arial" w:eastAsia="Calibri" w:hAnsi="Arial" w:cs="Arial"/>
        </w:rPr>
        <w:t>, within a Western culture where alcohol is predominantly required to get people dancing (</w:t>
      </w:r>
      <w:r w:rsidRPr="0090279A">
        <w:rPr>
          <w:rFonts w:ascii="Arial" w:eastAsia="Calibri" w:hAnsi="Arial" w:cs="Arial"/>
          <w:noProof/>
        </w:rPr>
        <w:t>Rúdólfsdóttir and Morgan, 2009: 502)</w:t>
      </w:r>
      <w:r w:rsidRPr="0090279A">
        <w:rPr>
          <w:rFonts w:ascii="Arial" w:eastAsia="Calibri" w:hAnsi="Arial" w:cs="Arial"/>
        </w:rPr>
        <w:t>, their bodies and hypervisibility are particularly poignant. Whilst dance may simply be viewed as a social past-time</w:t>
      </w:r>
      <w:r w:rsidRPr="0090279A">
        <w:rPr>
          <w:rFonts w:ascii="Arial" w:eastAsia="Calibri" w:hAnsi="Arial" w:cs="Arial"/>
          <w:vertAlign w:val="superscript"/>
        </w:rPr>
        <w:footnoteReference w:id="24"/>
      </w:r>
      <w:r w:rsidRPr="0090279A">
        <w:rPr>
          <w:rFonts w:ascii="Arial" w:eastAsia="Calibri" w:hAnsi="Arial" w:cs="Arial"/>
        </w:rPr>
        <w:t>, or a source of exercise</w:t>
      </w:r>
      <w:r w:rsidRPr="0090279A">
        <w:rPr>
          <w:rFonts w:ascii="Arial" w:eastAsia="Calibri" w:hAnsi="Arial" w:cs="Arial"/>
          <w:vertAlign w:val="superscript"/>
        </w:rPr>
        <w:footnoteReference w:id="25"/>
      </w:r>
      <w:r w:rsidRPr="0090279A">
        <w:rPr>
          <w:rFonts w:ascii="Arial" w:eastAsia="Calibri" w:hAnsi="Arial" w:cs="Arial"/>
        </w:rPr>
        <w:t xml:space="preserve"> within a Western context, studying dance has been shown to offer “new authenticity, based on body knowledge” </w:t>
      </w:r>
      <w:r w:rsidRPr="0090279A">
        <w:rPr>
          <w:rFonts w:ascii="Arial" w:eastAsia="Calibri" w:hAnsi="Arial" w:cs="Arial"/>
          <w:noProof/>
        </w:rPr>
        <w:t>(Jones, 2002: 14)</w:t>
      </w:r>
      <w:r w:rsidRPr="0090279A">
        <w:rPr>
          <w:rFonts w:ascii="Arial" w:eastAsia="Calibri" w:hAnsi="Arial" w:cs="Arial"/>
        </w:rPr>
        <w:t xml:space="preserve">. As we have previously seen in the preceding sections of this </w:t>
      </w:r>
      <w:r w:rsidR="00DE18AE">
        <w:rPr>
          <w:rFonts w:ascii="Arial" w:eastAsia="Calibri" w:hAnsi="Arial" w:cs="Arial"/>
        </w:rPr>
        <w:t>paper</w:t>
      </w:r>
      <w:r w:rsidRPr="0090279A">
        <w:rPr>
          <w:rFonts w:ascii="Arial" w:eastAsia="Calibri" w:hAnsi="Arial" w:cs="Arial"/>
        </w:rPr>
        <w:t>, Western hegemonic interpretations of the biblical story have arbitrarily labelled Herodias’ daughters dance as “erotic “(</w:t>
      </w:r>
      <w:r w:rsidRPr="0090279A">
        <w:rPr>
          <w:rFonts w:ascii="Arial" w:eastAsia="Calibri" w:hAnsi="Arial" w:cs="Arial"/>
          <w:noProof/>
        </w:rPr>
        <w:t>Marcus, 2000: 397)</w:t>
      </w:r>
      <w:r w:rsidRPr="0090279A">
        <w:rPr>
          <w:rFonts w:ascii="Arial" w:eastAsia="Calibri" w:hAnsi="Arial" w:cs="Arial"/>
        </w:rPr>
        <w:t xml:space="preserve"> in the face of no evidence. Could there be deeper insights regarding dance, that a Western epistemic hegemony has overlooked?  According to </w:t>
      </w:r>
      <w:r w:rsidRPr="0090279A">
        <w:rPr>
          <w:rFonts w:ascii="Arial" w:eastAsia="Calibri" w:hAnsi="Arial" w:cs="Arial"/>
          <w:noProof/>
        </w:rPr>
        <w:t>Ajayi-Soyinka, on the African continent, “</w:t>
      </w:r>
      <w:r w:rsidRPr="0090279A">
        <w:rPr>
          <w:rFonts w:ascii="Arial" w:eastAsia="Calibri" w:hAnsi="Arial" w:cs="Arial"/>
        </w:rPr>
        <w:t xml:space="preserve">no ritual </w:t>
      </w:r>
      <w:r w:rsidRPr="0090279A">
        <w:rPr>
          <w:rFonts w:ascii="Arial" w:eastAsia="Calibri" w:hAnsi="Arial" w:cs="Arial"/>
        </w:rPr>
        <w:lastRenderedPageBreak/>
        <w:t>is complete without dancing; not even Christianity and Islam, the imported monotheistic religions, escape the danced worship</w:t>
      </w:r>
      <w:r w:rsidRPr="00B24BEF">
        <w:rPr>
          <w:rFonts w:ascii="Arial" w:eastAsia="Calibri" w:hAnsi="Arial" w:cs="Arial"/>
        </w:rPr>
        <w:t>” (</w:t>
      </w:r>
      <w:r w:rsidRPr="00B24BEF">
        <w:rPr>
          <w:rFonts w:ascii="Arial" w:hAnsi="Arial" w:cs="Arial"/>
        </w:rPr>
        <w:t>Ajayi-Soyinka, 2010: 272)</w:t>
      </w:r>
      <w:r w:rsidRPr="0090279A">
        <w:rPr>
          <w:rFonts w:ascii="Arial" w:eastAsia="Calibri" w:hAnsi="Arial" w:cs="Arial"/>
        </w:rPr>
        <w:t xml:space="preserve">. If within the Yorùbá community in Nigeria particularly, dance is seen as “the vortex of religious ritual ceremony” </w:t>
      </w:r>
      <w:r w:rsidRPr="0090279A">
        <w:rPr>
          <w:rFonts w:ascii="Arial" w:eastAsia="Calibri" w:hAnsi="Arial" w:cs="Arial"/>
          <w:noProof/>
        </w:rPr>
        <w:t>(Peggy, 1969: 280)</w:t>
      </w:r>
      <w:r w:rsidRPr="0090279A">
        <w:rPr>
          <w:rFonts w:ascii="Arial" w:eastAsia="Calibri" w:hAnsi="Arial" w:cs="Arial"/>
        </w:rPr>
        <w:t xml:space="preserve">, could this open a new door for a rereading of Herodias’ daughters dance? </w:t>
      </w:r>
      <w:r w:rsidRPr="00B24BEF">
        <w:rPr>
          <w:rFonts w:ascii="Arial" w:eastAsia="Calibri" w:hAnsi="Arial" w:cs="Arial"/>
        </w:rPr>
        <w:t>Rather than viewing Herodias’ daughter’s dance as being “erotic “(</w:t>
      </w:r>
      <w:r w:rsidRPr="00B24BEF">
        <w:rPr>
          <w:rFonts w:ascii="Arial" w:eastAsia="Calibri" w:hAnsi="Arial" w:cs="Arial"/>
          <w:noProof/>
        </w:rPr>
        <w:t>Marcus, 2000: 397)</w:t>
      </w:r>
      <w:r w:rsidRPr="00B24BEF">
        <w:rPr>
          <w:rFonts w:ascii="Arial" w:eastAsia="Calibri" w:hAnsi="Arial" w:cs="Arial"/>
        </w:rPr>
        <w:t xml:space="preserve">, the next section uses Yorùbá epistemology to reframe the biblical story as a death ritual that enabled John the Baptist’s transition “from the realm of the living to that of the dead” </w:t>
      </w:r>
      <w:r w:rsidRPr="00B24BEF">
        <w:rPr>
          <w:rFonts w:ascii="Arial" w:eastAsia="Calibri" w:hAnsi="Arial" w:cs="Arial"/>
          <w:noProof/>
        </w:rPr>
        <w:t>(Oripeloye and Omigbule, 2019: 194)</w:t>
      </w:r>
      <w:r w:rsidRPr="00B24BEF">
        <w:rPr>
          <w:rFonts w:ascii="Arial" w:eastAsia="Calibri" w:hAnsi="Arial" w:cs="Arial"/>
        </w:rPr>
        <w:t>.</w:t>
      </w:r>
    </w:p>
    <w:p w14:paraId="132321A7" w14:textId="7E0179E2" w:rsidR="00801CD6" w:rsidRPr="00B24BEF" w:rsidRDefault="00801CD6" w:rsidP="00801CD6">
      <w:pPr>
        <w:pStyle w:val="Heading1"/>
        <w:spacing w:line="480" w:lineRule="auto"/>
        <w:rPr>
          <w:rStyle w:val="text"/>
          <w:rFonts w:ascii="Arial" w:hAnsi="Arial"/>
          <w:color w:val="000000"/>
          <w:shd w:val="clear" w:color="auto" w:fill="FFFFFF"/>
        </w:rPr>
      </w:pPr>
      <w:r w:rsidRPr="00801CD6">
        <w:rPr>
          <w:rFonts w:ascii="Arial" w:hAnsi="Arial"/>
        </w:rPr>
        <w:t>Using Creative Actualisation to Construct a Feminist Nigerian/British Interpretation of Herodias’ Daughter in Mark 6:17-28 &amp; Matthew 14:3-12</w:t>
      </w:r>
    </w:p>
    <w:p w14:paraId="10715A0D" w14:textId="77777777" w:rsidR="00312C2C" w:rsidRPr="00312C2C" w:rsidRDefault="00312C2C" w:rsidP="00312C2C">
      <w:pPr>
        <w:pStyle w:val="Newparagraph"/>
      </w:pPr>
    </w:p>
    <w:p w14:paraId="3CB9325C" w14:textId="77777777" w:rsidR="007357D8" w:rsidRPr="0090279A" w:rsidRDefault="007357D8" w:rsidP="00B24BEF">
      <w:pPr>
        <w:widowControl w:val="0"/>
        <w:spacing w:after="200"/>
        <w:jc w:val="both"/>
        <w:rPr>
          <w:rFonts w:ascii="Arial" w:eastAsia="Calibri" w:hAnsi="Arial" w:cs="Arial"/>
        </w:rPr>
      </w:pPr>
      <w:r w:rsidRPr="0090279A">
        <w:rPr>
          <w:rFonts w:ascii="Arial" w:eastAsia="Calibri" w:hAnsi="Arial" w:cs="Arial"/>
        </w:rPr>
        <w:t xml:space="preserve">In order to form a creative actualised interpretation of this biblical story, it is important to start by looking deeper into the wider context in which Herodias’ daughter’s dance occurs. The first clue to the wider context of her dance, is found right at the outset of the story in both gospel versions, where Herod hears rumours that John the Baptist had been “raised from the dead” (Mark 6:14; Matt 14:2). In this wider setting, the biblical story hardly seems conducive for a steamy erotic dance to take place. Instead, closer analysis of these verses reveal a potential to reframe Herodias’ daughter’s dance as a ritualistic, ‘possession like’ encounter, as opposed to a sexually charged scandal. The tone at the beginning of Markan version is particularly macabre, as it is littered with references to ‘the dead’ (Mark 6:14), deceased prophets (Mark 6:15) and gruesome ‘beheadings’ (Mark 6:16). When one takes into consideration the morbid tone at the beginning </w:t>
      </w:r>
      <w:r w:rsidRPr="0090279A">
        <w:rPr>
          <w:rFonts w:ascii="Arial" w:eastAsia="Calibri" w:hAnsi="Arial" w:cs="Arial"/>
        </w:rPr>
        <w:lastRenderedPageBreak/>
        <w:t>of the story, it opens up the possibility that Herodias’ daughter’s dance was more than just an incestuous lap dance, akin to something out of the ‘Game of Thrones’. Instead, the continual references to ‘death’, ‘resurrection’ (Mark 6: 14,16; Matt 14:2) and to supernatural “powers” (Mark 6:14; Matt 14:2), allude to a more spiritual ‘other-worldly’ occurrence. This bears resemblance with Matt 27:19, in which Pilate’s wife has a supernatural encounter and says to her husband, “have nothing to do with that innocent man, for today I have suffered a great deal because of a dream about him”. Pilate’s wife is a woman of the ruling class, just like Herodias and her daughter (</w:t>
      </w:r>
      <w:r w:rsidRPr="0090279A">
        <w:rPr>
          <w:rFonts w:ascii="Arial" w:eastAsia="Calibri" w:hAnsi="Arial" w:cs="Arial"/>
          <w:noProof/>
        </w:rPr>
        <w:t>Miller, 2004: 73)</w:t>
      </w:r>
      <w:r w:rsidRPr="0090279A">
        <w:rPr>
          <w:rFonts w:ascii="Arial" w:eastAsia="Calibri" w:hAnsi="Arial" w:cs="Arial"/>
        </w:rPr>
        <w:t xml:space="preserve">, who was used powerfully within the book of Matthew through her supernatural/ spiritual insight. This lays a foundation for Herodias’ daughter to possibly possess a similar supernatural insight. The form of the gospel accounts may also be said to reflect this supernatural insight, as both accounts start with John the Baptist’s fate already being sealed in death (Mark 6:14; Matt 14:2). The chronological order of the biblical story is radically subverted, starting with the end, and then using the main body of the biblical story to inform the reader about the beginning and the middle of the story. There is sufficient evidence therefore, to argue that due to Herodias’ daughter’s unique spiritual gifting, she was aware of John the Baptist’s death </w:t>
      </w:r>
      <w:r w:rsidRPr="0090279A">
        <w:rPr>
          <w:rFonts w:ascii="Arial" w:eastAsia="Calibri" w:hAnsi="Arial" w:cs="Arial"/>
          <w:i/>
          <w:iCs/>
        </w:rPr>
        <w:t>before</w:t>
      </w:r>
      <w:r w:rsidRPr="0090279A">
        <w:rPr>
          <w:rFonts w:ascii="Arial" w:eastAsia="Calibri" w:hAnsi="Arial" w:cs="Arial"/>
        </w:rPr>
        <w:t xml:space="preserve"> she ever began to dance. If she did in fact have this spiritual insight, as the form of the pericope and the wider book of Matthew suggests, it would have undoubtedly affected the purpose of her dance in a way that previous scholars would not have thought to investigate. In that case, what could it possibly have meant?</w:t>
      </w:r>
    </w:p>
    <w:p w14:paraId="27CDB4E9" w14:textId="77777777" w:rsidR="007357D8" w:rsidRPr="0090279A" w:rsidRDefault="007357D8" w:rsidP="00B24BEF">
      <w:pPr>
        <w:widowControl w:val="0"/>
        <w:spacing w:after="200"/>
        <w:jc w:val="both"/>
        <w:rPr>
          <w:rFonts w:ascii="Arial" w:eastAsia="Calibri" w:hAnsi="Arial" w:cs="Arial"/>
        </w:rPr>
      </w:pPr>
      <w:r w:rsidRPr="0090279A">
        <w:rPr>
          <w:rFonts w:ascii="Arial" w:eastAsia="Calibri" w:hAnsi="Arial" w:cs="Arial"/>
        </w:rPr>
        <w:t xml:space="preserve">The second clue to the wider context of Herodias’ daughter’s dance, is found in Mark 6:21, at the specific point in which the “story crescendos” </w:t>
      </w:r>
      <w:r w:rsidRPr="0090279A">
        <w:rPr>
          <w:rFonts w:ascii="Arial" w:eastAsia="Calibri" w:hAnsi="Arial" w:cs="Arial"/>
          <w:noProof/>
        </w:rPr>
        <w:t xml:space="preserve">(Gillman, 2003: </w:t>
      </w:r>
      <w:r w:rsidRPr="0090279A">
        <w:rPr>
          <w:rFonts w:ascii="Arial" w:eastAsia="Calibri" w:hAnsi="Arial" w:cs="Arial"/>
          <w:noProof/>
        </w:rPr>
        <w:lastRenderedPageBreak/>
        <w:t>53)</w:t>
      </w:r>
      <w:r w:rsidRPr="0090279A">
        <w:rPr>
          <w:rFonts w:ascii="Arial" w:eastAsia="Calibri" w:hAnsi="Arial" w:cs="Arial"/>
        </w:rPr>
        <w:t xml:space="preserve">. It is here that the reader is finally informed that the biblical story is set specifically on Herod’s “birthday” (Mark 6:21). Despite this being the only occurrence of a ‘birthday’ in the entire Bible, extant scholarship has had surprisingly little to say on the topic. Whilst there is some research in the UK to suggest that the month of a child’s birth may affect their education outcomes </w:t>
      </w:r>
      <w:r w:rsidRPr="0090279A">
        <w:rPr>
          <w:rFonts w:ascii="Arial" w:eastAsia="Calibri" w:hAnsi="Arial" w:cs="Arial"/>
          <w:noProof/>
        </w:rPr>
        <w:t>(Crawford et al., 2010)</w:t>
      </w:r>
      <w:r w:rsidRPr="0090279A">
        <w:rPr>
          <w:rFonts w:ascii="Arial" w:eastAsia="Calibri" w:hAnsi="Arial" w:cs="Arial"/>
        </w:rPr>
        <w:t xml:space="preserve">, predominantly an individual’s date of birth within a Western context, has very little significance outside of identifying their medical records or looking up their horoscope at the back of a magazine. Birthdays are now common place and are a normative part of modern-day society. This is very different from Greek antiquity, where birthdays “were solely reserved for kings and nobility members” </w:t>
      </w:r>
      <w:r w:rsidRPr="0090279A">
        <w:rPr>
          <w:rFonts w:ascii="Arial" w:eastAsia="Calibri" w:hAnsi="Arial" w:cs="Arial"/>
          <w:noProof/>
        </w:rPr>
        <w:t>(Redlich, 2020: 791)</w:t>
      </w:r>
      <w:r w:rsidRPr="0090279A">
        <w:rPr>
          <w:rFonts w:ascii="Arial" w:eastAsia="Calibri" w:hAnsi="Arial" w:cs="Arial"/>
        </w:rPr>
        <w:t xml:space="preserve">. Only the rich and elite were able to celebrate their birthdays in ancient times as “people did not know how to calculate dates” </w:t>
      </w:r>
      <w:r w:rsidRPr="0090279A">
        <w:rPr>
          <w:rFonts w:ascii="Arial" w:eastAsia="Calibri" w:hAnsi="Arial" w:cs="Arial"/>
          <w:noProof/>
        </w:rPr>
        <w:t>(Redlich, 2020: 791)</w:t>
      </w:r>
      <w:r w:rsidRPr="0090279A">
        <w:rPr>
          <w:rFonts w:ascii="Arial" w:eastAsia="Calibri" w:hAnsi="Arial" w:cs="Arial"/>
        </w:rPr>
        <w:t xml:space="preserve">. This is similar to the personal experiences of older members of the Yorùbá community, who grew up in poor illiterate communities and were thus completely unaware of their date of birth </w:t>
      </w:r>
      <w:r w:rsidRPr="0090279A">
        <w:rPr>
          <w:rFonts w:ascii="Arial" w:eastAsia="Calibri" w:hAnsi="Arial" w:cs="Arial"/>
          <w:noProof/>
        </w:rPr>
        <w:t>(Iliffe, 2011: 7; Abimbọla and Miller, 1997: 41)</w:t>
      </w:r>
      <w:r w:rsidRPr="0090279A">
        <w:rPr>
          <w:rFonts w:ascii="Arial" w:eastAsia="Calibri" w:hAnsi="Arial" w:cs="Arial"/>
          <w:vertAlign w:val="superscript"/>
        </w:rPr>
        <w:footnoteReference w:id="26"/>
      </w:r>
      <w:r w:rsidRPr="0090279A">
        <w:rPr>
          <w:rFonts w:ascii="Arial" w:eastAsia="Calibri" w:hAnsi="Arial" w:cs="Arial"/>
        </w:rPr>
        <w:t xml:space="preserve">. Therefore, within traditional Yorùbá cosmology, dates are not constructed based on “numerical chronicling”, as we are used to in the West, but is instead “based on important historical events” and the events occurring around that time </w:t>
      </w:r>
      <w:r w:rsidRPr="0090279A">
        <w:rPr>
          <w:rFonts w:ascii="Arial" w:eastAsia="Calibri" w:hAnsi="Arial" w:cs="Arial"/>
          <w:noProof/>
        </w:rPr>
        <w:t>(Kazeem, 2016: 33)</w:t>
      </w:r>
      <w:r w:rsidRPr="0090279A">
        <w:rPr>
          <w:rFonts w:ascii="Arial" w:eastAsia="Calibri" w:hAnsi="Arial" w:cs="Arial"/>
        </w:rPr>
        <w:t xml:space="preserve">. Using a Yorùbá cosmology regarding dates as a lens to view Herod’s birthday, allows a new and exciting meaning to emerge that has been overlooked by extant scholarship. The significance of Herod’s birthday, therefore, may not lie within the date itself (which is not specified within the biblical text), but could possibly lie within the events that coincide with that date. In ancient pagan culture, it was believed that “evil spirits visited” people </w:t>
      </w:r>
      <w:r w:rsidRPr="0090279A">
        <w:rPr>
          <w:rFonts w:ascii="Arial" w:eastAsia="Calibri" w:hAnsi="Arial" w:cs="Arial"/>
        </w:rPr>
        <w:lastRenderedPageBreak/>
        <w:t xml:space="preserve">specifically on their birthday </w:t>
      </w:r>
      <w:r w:rsidRPr="0090279A">
        <w:rPr>
          <w:rFonts w:ascii="Arial" w:eastAsia="Calibri" w:hAnsi="Arial" w:cs="Arial"/>
          <w:noProof/>
        </w:rPr>
        <w:t>(Redlich, 2020: 791)</w:t>
      </w:r>
      <w:r w:rsidRPr="0090279A">
        <w:rPr>
          <w:rFonts w:ascii="Arial" w:eastAsia="Calibri" w:hAnsi="Arial" w:cs="Arial"/>
        </w:rPr>
        <w:t xml:space="preserve">. It was on this day specifically, that they were most at risk from “the evil eye”, and in need of protection </w:t>
      </w:r>
      <w:r w:rsidRPr="0090279A">
        <w:rPr>
          <w:rFonts w:ascii="Arial" w:eastAsia="Calibri" w:hAnsi="Arial" w:cs="Arial"/>
          <w:noProof/>
        </w:rPr>
        <w:t>(Redlich, 2020: 791)</w:t>
      </w:r>
      <w:r w:rsidRPr="0090279A">
        <w:rPr>
          <w:rFonts w:ascii="Arial" w:eastAsia="Calibri" w:hAnsi="Arial" w:cs="Arial"/>
        </w:rPr>
        <w:t>. Taking this into cognizance, erodes the notion of a happy birthday celebration, and introduces a deeper significance to Herod’s birthday. Although the majority of scholars argue that the Greek word γενέσια used in Mark 6:21 and Matt 14:6 is translated to mean “birthday celebration”</w:t>
      </w:r>
      <w:r w:rsidRPr="0090279A">
        <w:rPr>
          <w:rFonts w:ascii="Arial" w:eastAsia="Calibri" w:hAnsi="Arial" w:cs="Arial"/>
          <w:vertAlign w:val="superscript"/>
        </w:rPr>
        <w:footnoteReference w:id="27"/>
      </w:r>
      <w:r w:rsidRPr="0090279A">
        <w:rPr>
          <w:rFonts w:ascii="Arial" w:eastAsia="Calibri" w:hAnsi="Arial" w:cs="Arial"/>
        </w:rPr>
        <w:t xml:space="preserve">, in classical Greek, τά γενέσια was translated to mean “a day kept in memory of the dead” </w:t>
      </w:r>
      <w:r w:rsidRPr="0090279A">
        <w:rPr>
          <w:rFonts w:ascii="Arial" w:eastAsia="Calibri" w:hAnsi="Arial" w:cs="Arial"/>
          <w:noProof/>
        </w:rPr>
        <w:t>(Hoehner, 1980: 161)</w:t>
      </w:r>
      <w:r w:rsidRPr="0090279A">
        <w:rPr>
          <w:rFonts w:ascii="Arial" w:eastAsia="Calibri" w:hAnsi="Arial" w:cs="Arial"/>
        </w:rPr>
        <w:t xml:space="preserve">. If we were to adopt this classical translation of the word γενέσια, it could possibly offer new insights into the biblical story. According to ancient Greco-Roman tradition, on this day specifically, the dead were believed to be able to “return to earth and try to invade the domain of the living” </w:t>
      </w:r>
      <w:r w:rsidRPr="0090279A">
        <w:rPr>
          <w:rFonts w:ascii="Arial" w:eastAsia="Calibri" w:hAnsi="Arial" w:cs="Arial"/>
          <w:noProof/>
        </w:rPr>
        <w:t>(Jacoby, 1944: 66)</w:t>
      </w:r>
      <w:r w:rsidRPr="0090279A">
        <w:rPr>
          <w:rFonts w:ascii="Arial" w:eastAsia="Calibri" w:hAnsi="Arial" w:cs="Arial"/>
        </w:rPr>
        <w:t xml:space="preserve">. This could explain why Herod, at the beginning of the biblical story, was so fearful that John the Baptist had been raised from the dead (Mark 6:14; Matt 14:2). Particularly notable with regard to these ceremonies, is the fact that they began “with entertaining” to attempt to appease the dead and ended with the dead being driven out in order to protect “the living from them.” </w:t>
      </w:r>
      <w:r w:rsidRPr="0090279A">
        <w:rPr>
          <w:rFonts w:ascii="Arial" w:eastAsia="Calibri" w:hAnsi="Arial" w:cs="Arial"/>
          <w:noProof/>
        </w:rPr>
        <w:t>(Jacoby, 1944: 66)</w:t>
      </w:r>
      <w:r w:rsidRPr="0090279A">
        <w:rPr>
          <w:rFonts w:ascii="Arial" w:eastAsia="Calibri" w:hAnsi="Arial" w:cs="Arial"/>
        </w:rPr>
        <w:t xml:space="preserve">. The macabre, but supernatural, tone at the beginning of the pericope, combined with the fact that τά γενέσια may refer to “a day kept in memory of the dead” </w:t>
      </w:r>
      <w:r w:rsidRPr="0090279A">
        <w:rPr>
          <w:rFonts w:ascii="Arial" w:eastAsia="Calibri" w:hAnsi="Arial" w:cs="Arial"/>
          <w:noProof/>
        </w:rPr>
        <w:t>(Hoehner, 1980: 161)</w:t>
      </w:r>
      <w:r w:rsidRPr="0090279A">
        <w:rPr>
          <w:rFonts w:ascii="Arial" w:eastAsia="Calibri" w:hAnsi="Arial" w:cs="Arial"/>
        </w:rPr>
        <w:t xml:space="preserve"> allows the doors of interpretation to be thrown open wider than ever before. It steers the conversation away from a sexualised reading </w:t>
      </w:r>
      <w:r w:rsidRPr="0090279A">
        <w:rPr>
          <w:rFonts w:ascii="Arial" w:eastAsia="Calibri" w:hAnsi="Arial" w:cs="Arial"/>
          <w:noProof/>
        </w:rPr>
        <w:t>(Marcus, 2000: 398)</w:t>
      </w:r>
      <w:r w:rsidRPr="0090279A">
        <w:rPr>
          <w:rFonts w:ascii="Arial" w:eastAsia="Calibri" w:hAnsi="Arial" w:cs="Arial"/>
        </w:rPr>
        <w:t xml:space="preserve">, and ultimately reveals the false androcentric belief underpinning dominant translations that a “women’s power is in their ability to please men” in a sexual way </w:t>
      </w:r>
      <w:r w:rsidRPr="0090279A">
        <w:rPr>
          <w:rFonts w:ascii="Arial" w:eastAsia="Calibri" w:hAnsi="Arial" w:cs="Arial"/>
          <w:noProof/>
        </w:rPr>
        <w:t>(Anderson, 1992: 131)</w:t>
      </w:r>
      <w:r w:rsidRPr="0090279A">
        <w:rPr>
          <w:rFonts w:ascii="Arial" w:eastAsia="Calibri" w:hAnsi="Arial" w:cs="Arial"/>
        </w:rPr>
        <w:t xml:space="preserve">. However, by drawing parallels between Herodias’ daughter and Pilate’s wife in Matt 27:19, new possibilities arise with regards to </w:t>
      </w:r>
      <w:r w:rsidRPr="0090279A">
        <w:rPr>
          <w:rFonts w:ascii="Arial" w:eastAsia="Calibri" w:hAnsi="Arial" w:cs="Arial"/>
        </w:rPr>
        <w:lastRenderedPageBreak/>
        <w:t xml:space="preserve">spiritual and supernatural insight, to explain the power behind Herodias’ daughter’s dance. Now that we have framed the biblical story within this context, we can begin to explore the rest of the story that leads up to Herodias’ daughter’s dance. </w:t>
      </w:r>
    </w:p>
    <w:p w14:paraId="19A21F0C" w14:textId="77777777" w:rsidR="007357D8" w:rsidRPr="0090279A" w:rsidRDefault="007357D8" w:rsidP="00B24BEF">
      <w:pPr>
        <w:widowControl w:val="0"/>
        <w:spacing w:after="200"/>
        <w:jc w:val="both"/>
        <w:rPr>
          <w:rFonts w:ascii="Arial" w:eastAsia="Calibri" w:hAnsi="Arial" w:cs="Arial"/>
        </w:rPr>
      </w:pPr>
      <w:r w:rsidRPr="0090279A">
        <w:rPr>
          <w:rFonts w:ascii="Arial" w:eastAsia="Calibri" w:hAnsi="Arial" w:cs="Arial"/>
        </w:rPr>
        <w:t>Verses 17 and 18 of Mark 6, detail the beginning of the chronological events that ultimately culminate in John the Baptist being beheaded in Mark 6:27. In verse 17, the text says: “Herod himself</w:t>
      </w:r>
      <w:r w:rsidRPr="0090279A">
        <w:rPr>
          <w:rFonts w:ascii="Arial" w:eastAsia="Calibri" w:hAnsi="Arial" w:cs="Arial"/>
          <w:i/>
          <w:iCs/>
        </w:rPr>
        <w:t xml:space="preserve"> </w:t>
      </w:r>
      <w:r w:rsidRPr="0090279A">
        <w:rPr>
          <w:rFonts w:ascii="Arial" w:eastAsia="Calibri" w:hAnsi="Arial" w:cs="Arial"/>
        </w:rPr>
        <w:t xml:space="preserve">had sent men who arrested John, bound him, and put him in prison </w:t>
      </w:r>
      <w:r w:rsidRPr="0090279A">
        <w:rPr>
          <w:rFonts w:ascii="Arial" w:eastAsia="Calibri" w:hAnsi="Arial" w:cs="Arial"/>
          <w:i/>
          <w:iCs/>
        </w:rPr>
        <w:t>on account of Herodias</w:t>
      </w:r>
      <w:r w:rsidRPr="0090279A">
        <w:rPr>
          <w:rFonts w:ascii="Arial" w:eastAsia="Calibri" w:hAnsi="Arial" w:cs="Arial"/>
        </w:rPr>
        <w:t xml:space="preserve">, his brother Philip’s wife, because Herod had married her” (Mark 6:17). Apart from revealing a rather questionable and complicated “Herodian family tree” </w:t>
      </w:r>
      <w:r w:rsidRPr="0090279A">
        <w:rPr>
          <w:rFonts w:ascii="Arial" w:eastAsia="Calibri" w:hAnsi="Arial" w:cs="Arial"/>
          <w:noProof/>
        </w:rPr>
        <w:t>(Marcus, 2000: 394)</w:t>
      </w:r>
      <w:r w:rsidRPr="0090279A">
        <w:rPr>
          <w:rFonts w:ascii="Arial" w:eastAsia="Calibri" w:hAnsi="Arial" w:cs="Arial"/>
          <w:vertAlign w:val="superscript"/>
        </w:rPr>
        <w:footnoteReference w:id="28"/>
      </w:r>
      <w:r w:rsidRPr="0090279A">
        <w:rPr>
          <w:rFonts w:ascii="Arial" w:eastAsia="Calibri" w:hAnsi="Arial" w:cs="Arial"/>
        </w:rPr>
        <w:t xml:space="preserve">, this verse reveals the fact that Herodias is in fact the motivation behind the subsequent murder of John the Baptist. Verses 18 and 19 tell us that John the Baptist had been critical of the fact that Herod had married Herodias (Mark 6:18), as “she was still the wife of his brother” </w:t>
      </w:r>
      <w:r w:rsidRPr="0090279A">
        <w:rPr>
          <w:rFonts w:ascii="Arial" w:eastAsia="Calibri" w:hAnsi="Arial" w:cs="Arial"/>
          <w:noProof/>
        </w:rPr>
        <w:t>(Hargreaves, 1965: 100)</w:t>
      </w:r>
      <w:r w:rsidRPr="0090279A">
        <w:rPr>
          <w:rFonts w:ascii="Arial" w:eastAsia="Calibri" w:hAnsi="Arial" w:cs="Arial"/>
        </w:rPr>
        <w:t xml:space="preserve">, and as a result Herodias “wanted to kill him" (Mark 6:19). As Herodias is revealed to be the true motivation behind the beheading of John the Baptist, the mother/daughter family dynamic within this biblical story is key. Whilst Western male scholars have hastily labelled Herodias to be an “arch-villain”, and her daughter to be a “willing accomplice” </w:t>
      </w:r>
      <w:r w:rsidRPr="0090279A">
        <w:rPr>
          <w:rFonts w:ascii="Arial" w:eastAsia="Calibri" w:hAnsi="Arial" w:cs="Arial"/>
          <w:noProof/>
        </w:rPr>
        <w:t>(Painter, 1997: 103)</w:t>
      </w:r>
      <w:r w:rsidRPr="0090279A">
        <w:rPr>
          <w:rFonts w:ascii="Arial" w:eastAsia="Calibri" w:hAnsi="Arial" w:cs="Arial"/>
        </w:rPr>
        <w:t xml:space="preserve">, postcolonial interpreters have highlighted the fact that Herodias and her daughter “evoke multiple examples of the varied male creation of woman as Other, as Difference” </w:t>
      </w:r>
      <w:r w:rsidRPr="0090279A">
        <w:rPr>
          <w:rFonts w:ascii="Arial" w:eastAsia="Calibri" w:hAnsi="Arial" w:cs="Arial"/>
          <w:noProof/>
        </w:rPr>
        <w:t>(Anderson, 1992: 116-117)</w:t>
      </w:r>
      <w:r w:rsidRPr="0090279A">
        <w:rPr>
          <w:rFonts w:ascii="Arial" w:eastAsia="Calibri" w:hAnsi="Arial" w:cs="Arial"/>
        </w:rPr>
        <w:t xml:space="preserve">. This key insight from postcolonial scholarship, introduces the themes of power and colonial gaze into the discussion. Could this form another important aspect of Herodias’ daughter’s </w:t>
      </w:r>
      <w:r w:rsidRPr="0090279A">
        <w:rPr>
          <w:rFonts w:ascii="Arial" w:eastAsia="Calibri" w:hAnsi="Arial" w:cs="Arial"/>
        </w:rPr>
        <w:lastRenderedPageBreak/>
        <w:t xml:space="preserve">dance? The American painter and print maker Romare Howard Bearden, who sought to “present a mythic vision of Black American life” through his art </w:t>
      </w:r>
      <w:r w:rsidRPr="0090279A">
        <w:rPr>
          <w:rFonts w:ascii="Arial" w:eastAsia="Calibri" w:hAnsi="Arial" w:cs="Arial"/>
          <w:noProof/>
        </w:rPr>
        <w:t>(Campbell, 1982: iv)</w:t>
      </w:r>
      <w:r w:rsidRPr="0090279A">
        <w:rPr>
          <w:rFonts w:ascii="Arial" w:eastAsia="Calibri" w:hAnsi="Arial" w:cs="Arial"/>
          <w:vertAlign w:val="superscript"/>
        </w:rPr>
        <w:footnoteReference w:id="29"/>
      </w:r>
      <w:r w:rsidRPr="0090279A">
        <w:rPr>
          <w:rFonts w:ascii="Arial" w:eastAsia="Calibri" w:hAnsi="Arial" w:cs="Arial"/>
        </w:rPr>
        <w:t xml:space="preserve">, depicted Herodias’ daughter as being Black in his painting entitled </w:t>
      </w:r>
      <w:r w:rsidRPr="0090279A">
        <w:rPr>
          <w:rFonts w:ascii="Arial" w:eastAsia="Calibri" w:hAnsi="Arial" w:cs="Arial"/>
          <w:i/>
          <w:iCs/>
        </w:rPr>
        <w:t>Salome - John The Baptist</w:t>
      </w:r>
      <w:r w:rsidRPr="0090279A">
        <w:rPr>
          <w:rFonts w:ascii="Arial" w:eastAsia="Calibri" w:hAnsi="Arial" w:cs="Arial"/>
        </w:rPr>
        <w:t xml:space="preserve"> </w:t>
      </w:r>
      <w:r w:rsidRPr="0090279A">
        <w:rPr>
          <w:rFonts w:ascii="Arial" w:eastAsia="Calibri" w:hAnsi="Arial" w:cs="Arial"/>
          <w:noProof/>
        </w:rPr>
        <w:t>(Bearden, 1974)</w:t>
      </w:r>
      <w:r w:rsidRPr="0090279A">
        <w:rPr>
          <w:rFonts w:ascii="Arial" w:eastAsia="Calibri" w:hAnsi="Arial" w:cs="Arial"/>
        </w:rPr>
        <w:t>. As a man of mixed heritage</w:t>
      </w:r>
      <w:r w:rsidRPr="0090279A">
        <w:rPr>
          <w:rFonts w:ascii="Arial" w:eastAsia="Calibri" w:hAnsi="Arial" w:cs="Arial"/>
          <w:vertAlign w:val="superscript"/>
        </w:rPr>
        <w:footnoteReference w:id="30"/>
      </w:r>
      <w:r w:rsidRPr="0090279A">
        <w:rPr>
          <w:rFonts w:ascii="Arial" w:eastAsia="Calibri" w:hAnsi="Arial" w:cs="Arial"/>
        </w:rPr>
        <w:t xml:space="preserve">, Bearden’s “fair skin allowed him to cross boundaries that restricted most other blacks [sic]” </w:t>
      </w:r>
      <w:r w:rsidRPr="0090279A">
        <w:rPr>
          <w:rFonts w:ascii="Arial" w:eastAsia="Calibri" w:hAnsi="Arial" w:cs="Arial"/>
          <w:noProof/>
        </w:rPr>
        <w:t>(Kinzer, 2002)</w:t>
      </w:r>
      <w:r w:rsidRPr="0090279A">
        <w:rPr>
          <w:rFonts w:ascii="Arial" w:eastAsia="Calibri" w:hAnsi="Arial" w:cs="Arial"/>
        </w:rPr>
        <w:t xml:space="preserve">. His decision to therefore depict Herodias’ daughter as being covertly Black is therefore particularly poignant, as it demonstrates his commitment to identify with his African heritage in order to challenge Euro-North/American hegemony and highlight the “political issues affecting African Americans [sic]” </w:t>
      </w:r>
      <w:r w:rsidRPr="0090279A">
        <w:rPr>
          <w:rFonts w:ascii="Arial" w:eastAsia="Calibri" w:hAnsi="Arial" w:cs="Arial"/>
          <w:noProof/>
        </w:rPr>
        <w:t>(Umma Exchange, 2018-19)</w:t>
      </w:r>
      <w:r w:rsidRPr="0090279A">
        <w:rPr>
          <w:rFonts w:ascii="Arial" w:eastAsia="Calibri" w:hAnsi="Arial" w:cs="Arial"/>
        </w:rPr>
        <w:t>. Bearden’s intention to reclaim his African history is also evidenced by his depiction of “masklike heads” within the painting (Smithsonian American Art Museum, 2023). Depicting the biblical characters in this way is particularly poignant as Bearden intentionally “</w:t>
      </w:r>
      <w:r w:rsidRPr="0090279A">
        <w:rPr>
          <w:rFonts w:ascii="Arial" w:eastAsia="Calibri" w:hAnsi="Arial" w:cs="Arial"/>
          <w:shd w:val="clear" w:color="auto" w:fill="FFFFFF"/>
        </w:rPr>
        <w:t xml:space="preserve">reclaims the stylistic influence of the West African masks from such early modernist artists as Brancusi and Picasso, who appropriated African culture in the early 20th century.” </w:t>
      </w:r>
      <w:r w:rsidRPr="0090279A">
        <w:rPr>
          <w:rFonts w:ascii="Arial" w:eastAsia="Calibri" w:hAnsi="Arial" w:cs="Arial"/>
          <w:noProof/>
          <w:shd w:val="clear" w:color="auto" w:fill="FFFFFF"/>
        </w:rPr>
        <w:t>(Hood Museum of Art, 2023)</w:t>
      </w:r>
      <w:r w:rsidRPr="0090279A">
        <w:rPr>
          <w:rFonts w:ascii="Arial" w:eastAsia="Calibri" w:hAnsi="Arial" w:cs="Arial"/>
          <w:shd w:val="clear" w:color="auto" w:fill="FFFFFF"/>
        </w:rPr>
        <w:t>. The phrase “Prevalence of Ritual” is also attached to his African painting, which in turn invokes themes of “</w:t>
      </w:r>
      <w:r w:rsidRPr="0090279A">
        <w:rPr>
          <w:rFonts w:ascii="Arial" w:eastAsia="Calibri" w:hAnsi="Arial" w:cs="Arial"/>
        </w:rPr>
        <w:t>spirituality” and “religion” into the biblical story for the first time “(</w:t>
      </w:r>
      <w:r w:rsidRPr="0090279A">
        <w:rPr>
          <w:rFonts w:ascii="Arial" w:eastAsia="Calibri" w:hAnsi="Arial" w:cs="Arial"/>
          <w:noProof/>
        </w:rPr>
        <w:t>Umma Exchange, 2018-19)</w:t>
      </w:r>
      <w:r w:rsidRPr="0090279A">
        <w:rPr>
          <w:rFonts w:ascii="Arial" w:eastAsia="Calibri" w:hAnsi="Arial" w:cs="Arial"/>
        </w:rPr>
        <w:t xml:space="preserve">. </w:t>
      </w:r>
      <w:r w:rsidRPr="0090279A">
        <w:rPr>
          <w:rFonts w:ascii="Arial" w:eastAsia="Calibri" w:hAnsi="Arial" w:cs="Arial"/>
          <w:shd w:val="clear" w:color="auto" w:fill="FFFFFF"/>
        </w:rPr>
        <w:t>What new insights could arise from the biblical story if we challenge Euro/North-American hegemonic biblical interpretations and reclaim an African epistemology regarding dance?</w:t>
      </w:r>
    </w:p>
    <w:p w14:paraId="7B8DBF03" w14:textId="77777777" w:rsidR="007357D8" w:rsidRPr="0090279A" w:rsidRDefault="007357D8" w:rsidP="00B24BEF">
      <w:pPr>
        <w:widowControl w:val="0"/>
        <w:spacing w:after="200"/>
        <w:jc w:val="both"/>
        <w:rPr>
          <w:rFonts w:ascii="Arial" w:eastAsia="Calibri" w:hAnsi="Arial" w:cs="Arial"/>
          <w:color w:val="333338"/>
          <w:sz w:val="21"/>
          <w:szCs w:val="21"/>
          <w:shd w:val="clear" w:color="auto" w:fill="FFFFFF"/>
        </w:rPr>
      </w:pPr>
      <w:r w:rsidRPr="0090279A">
        <w:rPr>
          <w:rFonts w:ascii="Arial" w:eastAsia="Calibri" w:hAnsi="Arial" w:cs="Arial"/>
        </w:rPr>
        <w:t xml:space="preserve">Verse 20 contrasts starkly with verse 19 and exposes the “the limits of power for even aristocratic women” </w:t>
      </w:r>
      <w:r w:rsidRPr="0090279A">
        <w:rPr>
          <w:rFonts w:ascii="Arial" w:eastAsia="Calibri" w:hAnsi="Arial" w:cs="Arial"/>
          <w:noProof/>
        </w:rPr>
        <w:t>(Tolbert, 1992: 272)</w:t>
      </w:r>
      <w:r w:rsidRPr="0090279A">
        <w:rPr>
          <w:rFonts w:ascii="Arial" w:eastAsia="Calibri" w:hAnsi="Arial" w:cs="Arial"/>
        </w:rPr>
        <w:t xml:space="preserve">. Despite the fact that Herodias </w:t>
      </w:r>
      <w:r w:rsidRPr="0090279A">
        <w:rPr>
          <w:rFonts w:ascii="Arial" w:eastAsia="Calibri" w:hAnsi="Arial" w:cs="Arial"/>
        </w:rPr>
        <w:lastRenderedPageBreak/>
        <w:t xml:space="preserve">“wanted to kill” John the Baptist (Mark 6:19) in verse 19, verse 20 shows that she was unable to do so because “Herod feared John, knowing that he was a righteous and holy man, and he protected him” (Mark 6:20). Although Herodias’ status was as an elite member of society, her hands were tied, as men were the overall ruling authority at that time. She manages to subvert this male gaze however through the hypervisibility and dance of her daughter in verse 22. We will now closely examine verse 22, in light of themes that have been highlighted so far: spiritual insight, death, colonial and patriarchal gaze, in order to offer new possibilities to explain Herodias’ daughter’s dance. </w:t>
      </w:r>
    </w:p>
    <w:p w14:paraId="07E5C403" w14:textId="77777777" w:rsidR="007357D8" w:rsidRPr="0090279A" w:rsidRDefault="007357D8" w:rsidP="00B24BEF">
      <w:pPr>
        <w:widowControl w:val="0"/>
        <w:spacing w:after="200"/>
        <w:jc w:val="both"/>
        <w:rPr>
          <w:rFonts w:ascii="Arial" w:eastAsia="Calibri" w:hAnsi="Arial" w:cs="Arial"/>
        </w:rPr>
      </w:pPr>
      <w:r w:rsidRPr="0090279A">
        <w:rPr>
          <w:rFonts w:ascii="Arial" w:eastAsia="Calibri" w:hAnsi="Arial" w:cs="Arial"/>
        </w:rPr>
        <w:t xml:space="preserve">Verse 22 starts by saying that Herod’s daughter “came in and danced” (Mark 6:22), in a banqueting hall, that was full of men. This is the first powerful meaning of Herodias’ dance, as she is able to physically “transgress the boundary separating men and women, while her mother waits outside” </w:t>
      </w:r>
      <w:r w:rsidRPr="0090279A">
        <w:rPr>
          <w:rFonts w:ascii="Arial" w:eastAsia="Calibri" w:hAnsi="Arial" w:cs="Arial"/>
          <w:noProof/>
        </w:rPr>
        <w:t>(Miller, 2004: 78)</w:t>
      </w:r>
      <w:r w:rsidRPr="0090279A">
        <w:rPr>
          <w:rFonts w:ascii="Arial" w:eastAsia="Calibri" w:hAnsi="Arial" w:cs="Arial"/>
        </w:rPr>
        <w:t xml:space="preserve">. In a context where the “male body was ruling, and the female body was oppressed” </w:t>
      </w:r>
      <w:r w:rsidRPr="0090279A">
        <w:rPr>
          <w:rFonts w:ascii="Arial" w:eastAsia="Calibri" w:hAnsi="Arial" w:cs="Arial"/>
          <w:noProof/>
        </w:rPr>
        <w:t>(Molopyane, 2020b: 99-100)</w:t>
      </w:r>
      <w:r w:rsidRPr="0090279A">
        <w:rPr>
          <w:rFonts w:ascii="Arial" w:eastAsia="Calibri" w:hAnsi="Arial" w:cs="Arial"/>
        </w:rPr>
        <w:t>, Herodias is able to use her physical body as a form of resistance against the colonial and patriarchal gaze of her day. This is in line with the overall “anti-imperial” and anti-authoritarian theme within the book of Mark (</w:t>
      </w:r>
      <w:r w:rsidRPr="0090279A">
        <w:rPr>
          <w:rFonts w:ascii="Arial" w:eastAsia="Calibri" w:hAnsi="Arial" w:cs="Arial"/>
          <w:noProof/>
        </w:rPr>
        <w:t>Liew, 2009: 110)</w:t>
      </w:r>
      <w:r w:rsidRPr="0090279A">
        <w:rPr>
          <w:rFonts w:ascii="Arial" w:eastAsia="Calibri" w:hAnsi="Arial" w:cs="Arial"/>
        </w:rPr>
        <w:t xml:space="preserve">. In the wider context of Mark, the author is highly critical of the Jewish leaders of the day </w:t>
      </w:r>
      <w:r w:rsidRPr="0090279A">
        <w:rPr>
          <w:rFonts w:ascii="Arial" w:eastAsia="Calibri" w:hAnsi="Arial" w:cs="Arial"/>
          <w:noProof/>
        </w:rPr>
        <w:t>(Kingsbury, 1990: 52)</w:t>
      </w:r>
      <w:r w:rsidRPr="0090279A">
        <w:rPr>
          <w:rFonts w:ascii="Arial" w:eastAsia="Calibri" w:hAnsi="Arial" w:cs="Arial"/>
        </w:rPr>
        <w:t xml:space="preserve">, and offers an “apocalyptic promise of a racially or ethnically inclusive eschatological community” </w:t>
      </w:r>
      <w:r w:rsidRPr="0090279A">
        <w:rPr>
          <w:rFonts w:ascii="Arial" w:eastAsia="Calibri" w:hAnsi="Arial" w:cs="Arial"/>
          <w:noProof/>
        </w:rPr>
        <w:t>(Liew, 2009: 111)</w:t>
      </w:r>
      <w:r w:rsidRPr="0090279A">
        <w:rPr>
          <w:rFonts w:ascii="Arial" w:eastAsia="Calibri" w:hAnsi="Arial" w:cs="Arial"/>
        </w:rPr>
        <w:t xml:space="preserve"> in response. Through her dance, she was able to use her hypervisibility “as a vehicle to acquire honour and power by making Herod and the guests’ slaves to her body” </w:t>
      </w:r>
      <w:r w:rsidRPr="0090279A">
        <w:rPr>
          <w:rFonts w:ascii="Arial" w:eastAsia="Calibri" w:hAnsi="Arial" w:cs="Arial"/>
          <w:noProof/>
        </w:rPr>
        <w:t>(Molopyane, 2020a: 65)</w:t>
      </w:r>
      <w:r w:rsidRPr="0090279A">
        <w:rPr>
          <w:rFonts w:ascii="Arial" w:eastAsia="Calibri" w:hAnsi="Arial" w:cs="Arial"/>
        </w:rPr>
        <w:t xml:space="preserve">. Taking into cognizance the spiritual insight of Pilate’s wife in Matt 27:19, the second possible meaning of her dance could have been a prophetic death ritual for John the </w:t>
      </w:r>
      <w:r w:rsidRPr="0090279A">
        <w:rPr>
          <w:rFonts w:ascii="Arial" w:eastAsia="Calibri" w:hAnsi="Arial" w:cs="Arial"/>
        </w:rPr>
        <w:lastRenderedPageBreak/>
        <w:t xml:space="preserve">Baptist. Rather than her dance being the vehicle behind which Herodias’ daughter subverted patriarchal power in order to murder John the Baptist, perhaps her dance was a response to a death that she had already foreseen? If she had known about John the Baptist’s death through her prophetic, supernatural gifting, then her dance would be able to take on the form of a religious death ritual. In Yorùbá culture “dance always becomes an important part of the rituals” for the deceased </w:t>
      </w:r>
      <w:r w:rsidRPr="0090279A">
        <w:rPr>
          <w:rFonts w:ascii="Arial" w:eastAsia="Calibri" w:hAnsi="Arial" w:cs="Arial"/>
          <w:noProof/>
        </w:rPr>
        <w:t>(Akinsipe, 2018: 225)</w:t>
      </w:r>
      <w:r w:rsidRPr="0090279A">
        <w:rPr>
          <w:rFonts w:ascii="Arial" w:eastAsia="Calibri" w:hAnsi="Arial" w:cs="Arial"/>
        </w:rPr>
        <w:t xml:space="preserve">. This bears resemblance with antiquity, as ritual lament of the dead involved “movement”, “wailing and singing”, which “must have resembled a dance” </w:t>
      </w:r>
      <w:r w:rsidRPr="0090279A">
        <w:rPr>
          <w:rFonts w:ascii="Arial" w:eastAsia="Calibri" w:hAnsi="Arial" w:cs="Arial"/>
          <w:noProof/>
        </w:rPr>
        <w:t>(Alexiou, 2002: 6)</w:t>
      </w:r>
      <w:r w:rsidRPr="0090279A">
        <w:rPr>
          <w:rFonts w:ascii="Arial" w:eastAsia="Calibri" w:hAnsi="Arial" w:cs="Arial"/>
        </w:rPr>
        <w:t xml:space="preserve">. Death rituals in antiquity also served as a “function of release, like the tears that flow unrestrained down the cheeks of the lamenting women” </w:t>
      </w:r>
      <w:r w:rsidRPr="0090279A">
        <w:rPr>
          <w:rFonts w:ascii="Arial" w:eastAsia="Calibri" w:hAnsi="Arial" w:cs="Arial"/>
          <w:noProof/>
        </w:rPr>
        <w:t>(Håland, 2014: 258)</w:t>
      </w:r>
      <w:r w:rsidRPr="0090279A">
        <w:rPr>
          <w:rFonts w:ascii="Arial" w:eastAsia="Calibri" w:hAnsi="Arial" w:cs="Arial"/>
        </w:rPr>
        <w:t xml:space="preserve">. If Herodias’s daughter had the insight found in Mark 6: 14-16, before she conducted her dance in verse 22, she could be prophetically enacting the required death dance ritual for John the Baptist before he had even been killed. </w:t>
      </w:r>
    </w:p>
    <w:p w14:paraId="149D6C8D" w14:textId="77777777" w:rsidR="007357D8" w:rsidRPr="0090279A" w:rsidRDefault="007357D8" w:rsidP="00B24BEF">
      <w:pPr>
        <w:widowControl w:val="0"/>
        <w:spacing w:after="200"/>
        <w:jc w:val="both"/>
        <w:rPr>
          <w:rFonts w:ascii="Arial" w:eastAsia="Calibri" w:hAnsi="Arial" w:cs="Arial"/>
        </w:rPr>
      </w:pPr>
      <w:r w:rsidRPr="0090279A">
        <w:rPr>
          <w:rFonts w:ascii="Arial" w:eastAsia="Calibri" w:hAnsi="Arial" w:cs="Arial"/>
        </w:rPr>
        <w:t xml:space="preserve">The third possible meaning of her dance could be that she was using her dance as a means to communicate with a higher power. It is important to note the fact that within Greco-Roman culture, dance was seldom found without music </w:t>
      </w:r>
      <w:r w:rsidRPr="0090279A">
        <w:rPr>
          <w:rFonts w:ascii="Arial" w:eastAsia="Calibri" w:hAnsi="Arial" w:cs="Arial"/>
          <w:noProof/>
        </w:rPr>
        <w:t>(Choubineh, 2020: 1)</w:t>
      </w:r>
      <w:r w:rsidRPr="0090279A">
        <w:rPr>
          <w:rFonts w:ascii="Arial" w:eastAsia="Calibri" w:hAnsi="Arial" w:cs="Arial"/>
        </w:rPr>
        <w:t>. It would have been hard for her to dance without any instrument accompanying her. In Yorùbá culture, the drums specifically are used to “communicate with those who are gifted or trained to understand the drum verse”</w:t>
      </w:r>
      <w:r w:rsidRPr="0090279A">
        <w:rPr>
          <w:rFonts w:ascii="Arial" w:eastAsia="Calibri" w:hAnsi="Arial" w:cs="Arial"/>
          <w:noProof/>
        </w:rPr>
        <w:t xml:space="preserve"> (Babáwálé, 2016: 108). Drums are particularly important in settings such as “</w:t>
      </w:r>
      <w:r w:rsidRPr="0090279A">
        <w:rPr>
          <w:rFonts w:ascii="Arial" w:eastAsia="Calibri" w:hAnsi="Arial" w:cs="Arial"/>
        </w:rPr>
        <w:t xml:space="preserve">naming ceremonies, funeral parties, weddings and other celebrations” </w:t>
      </w:r>
      <w:r w:rsidRPr="0090279A">
        <w:rPr>
          <w:rFonts w:ascii="Arial" w:eastAsia="Calibri" w:hAnsi="Arial" w:cs="Arial"/>
          <w:noProof/>
        </w:rPr>
        <w:t>(Villepastour, 2010: 72)</w:t>
      </w:r>
      <w:r w:rsidRPr="0090279A">
        <w:rPr>
          <w:rFonts w:ascii="Arial" w:eastAsia="Calibri" w:hAnsi="Arial" w:cs="Arial"/>
        </w:rPr>
        <w:t xml:space="preserve">. Traditionally, drums are a means for Yorùbá people to be in “communication and communism with their God and gods” </w:t>
      </w:r>
      <w:r w:rsidRPr="0090279A">
        <w:rPr>
          <w:rFonts w:ascii="Arial" w:eastAsia="Calibri" w:hAnsi="Arial" w:cs="Arial"/>
          <w:noProof/>
        </w:rPr>
        <w:t>(Adegbite, 1988: 15)</w:t>
      </w:r>
      <w:r w:rsidRPr="0090279A">
        <w:rPr>
          <w:rFonts w:ascii="Arial" w:eastAsia="Calibri" w:hAnsi="Arial" w:cs="Arial"/>
        </w:rPr>
        <w:t xml:space="preserve">. This allies with antiquity as in the Hebrew Bible, “particularly in the Psalms, </w:t>
      </w:r>
      <w:r w:rsidRPr="0090279A">
        <w:rPr>
          <w:rFonts w:ascii="Arial" w:eastAsia="Calibri" w:hAnsi="Arial" w:cs="Arial"/>
        </w:rPr>
        <w:lastRenderedPageBreak/>
        <w:t xml:space="preserve">the frame drum is mentioned in association with religious ritual” </w:t>
      </w:r>
      <w:r w:rsidRPr="0090279A">
        <w:rPr>
          <w:rFonts w:ascii="Arial" w:eastAsia="Calibri" w:hAnsi="Arial" w:cs="Arial"/>
          <w:noProof/>
        </w:rPr>
        <w:t>(Molina, 2014: 67)</w:t>
      </w:r>
      <w:r w:rsidRPr="0090279A">
        <w:rPr>
          <w:rFonts w:ascii="Arial" w:eastAsia="Calibri" w:hAnsi="Arial" w:cs="Arial"/>
        </w:rPr>
        <w:t xml:space="preserve">. In Ancient Egypt, the frame drum was also used as a “ritualistic instrument that enhanced communication” with gods </w:t>
      </w:r>
      <w:r w:rsidRPr="0090279A">
        <w:rPr>
          <w:rFonts w:ascii="Arial" w:eastAsia="Calibri" w:hAnsi="Arial" w:cs="Arial"/>
          <w:noProof/>
        </w:rPr>
        <w:t>(Molina, 2014: 56)</w:t>
      </w:r>
      <w:r w:rsidRPr="0090279A">
        <w:rPr>
          <w:rFonts w:ascii="Arial" w:eastAsia="Calibri" w:hAnsi="Arial" w:cs="Arial"/>
        </w:rPr>
        <w:t xml:space="preserve">. As dance was “an integral part of the way in which people communicated” </w:t>
      </w:r>
      <w:r w:rsidRPr="0090279A">
        <w:rPr>
          <w:rFonts w:ascii="Arial" w:eastAsia="Calibri" w:hAnsi="Arial" w:cs="Arial"/>
          <w:noProof/>
        </w:rPr>
        <w:t>(Naerebout, 2003: 156)</w:t>
      </w:r>
      <w:r w:rsidRPr="0090279A">
        <w:rPr>
          <w:rFonts w:ascii="Arial" w:eastAsia="Calibri" w:hAnsi="Arial" w:cs="Arial"/>
        </w:rPr>
        <w:t xml:space="preserve"> in antiquity, perhaps Herodias’ daughter used her body in collaboration with the music, to communicate to a higher power? In Yorùbá epistemology, dance is also a way for an individual to be “possessed” by a higher deity or god </w:t>
      </w:r>
      <w:r w:rsidRPr="0090279A">
        <w:rPr>
          <w:rFonts w:ascii="Arial" w:eastAsia="Calibri" w:hAnsi="Arial" w:cs="Arial"/>
          <w:noProof/>
        </w:rPr>
        <w:t>(Ajayi-Soyinka, 2010: 273; Drewal, 1992: 183)</w:t>
      </w:r>
      <w:r w:rsidRPr="0090279A">
        <w:rPr>
          <w:rFonts w:ascii="Arial" w:eastAsia="Calibri" w:hAnsi="Arial" w:cs="Arial"/>
        </w:rPr>
        <w:t>. Could something like this have been occurring within the pericope?</w:t>
      </w:r>
    </w:p>
    <w:p w14:paraId="64F5EB6E" w14:textId="53D1849D" w:rsidR="00192824" w:rsidRPr="00B24BEF" w:rsidRDefault="007357D8" w:rsidP="00B24BEF">
      <w:pPr>
        <w:widowControl w:val="0"/>
        <w:spacing w:after="200"/>
        <w:jc w:val="both"/>
        <w:rPr>
          <w:rFonts w:ascii="Arial" w:eastAsia="Calibri" w:hAnsi="Arial" w:cs="Arial"/>
        </w:rPr>
      </w:pPr>
      <w:r w:rsidRPr="0090279A">
        <w:rPr>
          <w:rFonts w:ascii="Arial" w:eastAsia="Calibri" w:hAnsi="Arial" w:cs="Arial"/>
        </w:rPr>
        <w:t xml:space="preserve">The fourth and final possible meaning of Herodias’ daughter’s dance, could be to signal the end of the era of John the Baptist, and to welcome in the era of Jesus. In Yorùbá culture names are highly significant and are sometimes used to “accentuate and situate the significance of an experience” </w:t>
      </w:r>
      <w:r w:rsidRPr="0090279A">
        <w:rPr>
          <w:rFonts w:ascii="Arial" w:eastAsia="Calibri" w:hAnsi="Arial" w:cs="Arial"/>
          <w:noProof/>
        </w:rPr>
        <w:t>(Gbenga, 2006: 52)</w:t>
      </w:r>
      <w:r w:rsidRPr="0090279A">
        <w:rPr>
          <w:rFonts w:ascii="Arial" w:eastAsia="Calibri" w:hAnsi="Arial" w:cs="Arial"/>
          <w:vertAlign w:val="superscript"/>
        </w:rPr>
        <w:footnoteReference w:id="31"/>
      </w:r>
      <w:r w:rsidRPr="0090279A">
        <w:rPr>
          <w:rFonts w:ascii="Arial" w:eastAsia="Calibri" w:hAnsi="Arial" w:cs="Arial"/>
        </w:rPr>
        <w:t xml:space="preserve">. Yorùbá people also celebrate “expansively during a child’s naming ceremony” </w:t>
      </w:r>
      <w:r w:rsidRPr="0090279A">
        <w:rPr>
          <w:rFonts w:ascii="Arial" w:eastAsia="Calibri" w:hAnsi="Arial" w:cs="Arial"/>
          <w:noProof/>
        </w:rPr>
        <w:t>(Sotunsa and Borah, 2020: 127)</w:t>
      </w:r>
      <w:r w:rsidRPr="0090279A">
        <w:rPr>
          <w:rFonts w:ascii="Arial" w:eastAsia="Calibri" w:hAnsi="Arial" w:cs="Arial"/>
        </w:rPr>
        <w:t xml:space="preserve">; even more than at the child’s birth. At the very beginning of the biblical story, in verse Mark 6:14, it specifically says that “Jesus’ </w:t>
      </w:r>
      <w:r w:rsidRPr="0090279A">
        <w:rPr>
          <w:rFonts w:ascii="Arial" w:eastAsia="Calibri" w:hAnsi="Arial" w:cs="Arial"/>
          <w:i/>
          <w:iCs/>
        </w:rPr>
        <w:t xml:space="preserve">name </w:t>
      </w:r>
      <w:r w:rsidRPr="0090279A">
        <w:rPr>
          <w:rFonts w:ascii="Arial" w:eastAsia="Calibri" w:hAnsi="Arial" w:cs="Arial"/>
        </w:rPr>
        <w:t xml:space="preserve">had become known”. This contrasts with Matt 11:11, where it says, “whoever is least in the kingdom of heaven is greater than he (John the Baptist)”. Despite the prominence of Jesus in the New Testament, “John was a much more important figure than is usually supposed” </w:t>
      </w:r>
      <w:r w:rsidRPr="0090279A">
        <w:rPr>
          <w:rFonts w:ascii="Arial" w:eastAsia="Calibri" w:hAnsi="Arial" w:cs="Arial"/>
          <w:noProof/>
        </w:rPr>
        <w:t>(Scobie, 1961: 330)</w:t>
      </w:r>
      <w:r w:rsidRPr="0090279A">
        <w:rPr>
          <w:rFonts w:ascii="Arial" w:eastAsia="Calibri" w:hAnsi="Arial" w:cs="Arial"/>
        </w:rPr>
        <w:t xml:space="preserve">. John the Baptist’s death in chapter 14 therefore is a really defining moment. It marks the end of the John the Baptist era. Perhaps Herodias’ daughter’s dance was a significant way to “commemorate the dead” </w:t>
      </w:r>
      <w:r w:rsidRPr="0090279A">
        <w:rPr>
          <w:rFonts w:ascii="Arial" w:eastAsia="Calibri" w:hAnsi="Arial" w:cs="Arial"/>
          <w:noProof/>
        </w:rPr>
        <w:t>(Hame, 1999: 102)</w:t>
      </w:r>
      <w:r w:rsidRPr="0090279A">
        <w:rPr>
          <w:rFonts w:ascii="Arial" w:eastAsia="Calibri" w:hAnsi="Arial" w:cs="Arial"/>
        </w:rPr>
        <w:t xml:space="preserve"> John the Baptist and usher in </w:t>
      </w:r>
      <w:r w:rsidRPr="0090279A">
        <w:rPr>
          <w:rFonts w:ascii="Arial" w:eastAsia="Calibri" w:hAnsi="Arial" w:cs="Arial"/>
        </w:rPr>
        <w:lastRenderedPageBreak/>
        <w:t xml:space="preserve">Jesus as the new King. </w:t>
      </w:r>
    </w:p>
    <w:p w14:paraId="5F3D82B4" w14:textId="5833606D" w:rsidR="00192824" w:rsidRPr="00B24BEF" w:rsidRDefault="00192824" w:rsidP="00B24BEF">
      <w:pPr>
        <w:pStyle w:val="Heading1"/>
        <w:spacing w:line="480" w:lineRule="auto"/>
        <w:rPr>
          <w:rFonts w:ascii="Arial" w:hAnsi="Arial"/>
        </w:rPr>
      </w:pPr>
      <w:r w:rsidRPr="00B24BEF">
        <w:rPr>
          <w:rFonts w:ascii="Arial" w:hAnsi="Arial"/>
        </w:rPr>
        <w:t>Conclusion</w:t>
      </w:r>
    </w:p>
    <w:p w14:paraId="6EC0A579" w14:textId="3F3D2C08" w:rsidR="00530D17" w:rsidRPr="00CB2C89" w:rsidRDefault="005B137E" w:rsidP="00CB2C89">
      <w:pPr>
        <w:widowControl w:val="0"/>
        <w:spacing w:after="200"/>
        <w:jc w:val="both"/>
        <w:rPr>
          <w:rFonts w:ascii="Arial" w:eastAsia="Calibri" w:hAnsi="Arial" w:cs="Arial"/>
        </w:rPr>
      </w:pPr>
      <w:r w:rsidRPr="0090279A">
        <w:rPr>
          <w:rFonts w:ascii="Arial" w:eastAsia="Calibri" w:hAnsi="Arial" w:cs="Arial"/>
        </w:rPr>
        <w:t>In conclusion, this</w:t>
      </w:r>
      <w:r w:rsidR="003748EF">
        <w:rPr>
          <w:rFonts w:ascii="Arial" w:eastAsia="Calibri" w:hAnsi="Arial" w:cs="Arial"/>
        </w:rPr>
        <w:t xml:space="preserve"> article</w:t>
      </w:r>
      <w:r w:rsidRPr="0090279A">
        <w:rPr>
          <w:rFonts w:ascii="Arial" w:eastAsia="Calibri" w:hAnsi="Arial" w:cs="Arial"/>
        </w:rPr>
        <w:t xml:space="preserve"> has sought to offer a feminist Nigerian/British reading of Herodias’ daughter’s dance in Mark and Matthew by reading it </w:t>
      </w:r>
      <w:r w:rsidRPr="00282537">
        <w:rPr>
          <w:rFonts w:ascii="Arial" w:eastAsia="Calibri" w:hAnsi="Arial" w:cs="Arial"/>
        </w:rPr>
        <w:t xml:space="preserve">alongside </w:t>
      </w:r>
      <w:r w:rsidRPr="0090279A">
        <w:rPr>
          <w:rFonts w:ascii="Arial" w:eastAsia="Calibri" w:hAnsi="Arial" w:cs="Arial"/>
          <w:iCs/>
        </w:rPr>
        <w:t xml:space="preserve">Simi Bedford’s </w:t>
      </w:r>
      <w:r w:rsidRPr="0090279A">
        <w:rPr>
          <w:rFonts w:ascii="Arial" w:eastAsia="Calibri" w:hAnsi="Arial" w:cs="Arial"/>
          <w:i/>
        </w:rPr>
        <w:t>Yorùbá Girl Dancing</w:t>
      </w:r>
      <w:r w:rsidRPr="0090279A">
        <w:rPr>
          <w:rFonts w:ascii="Arial" w:eastAsia="Calibri" w:hAnsi="Arial" w:cs="Arial"/>
          <w:iCs/>
        </w:rPr>
        <w:t xml:space="preserve"> </w:t>
      </w:r>
      <w:r w:rsidRPr="0090279A">
        <w:rPr>
          <w:rFonts w:ascii="Arial" w:eastAsia="Calibri" w:hAnsi="Arial" w:cs="Arial"/>
          <w:iCs/>
          <w:noProof/>
        </w:rPr>
        <w:t>(Bedford, 1994)</w:t>
      </w:r>
      <w:r w:rsidRPr="0090279A">
        <w:rPr>
          <w:rFonts w:ascii="Arial" w:eastAsia="Calibri" w:hAnsi="Arial" w:cs="Arial"/>
        </w:rPr>
        <w:t xml:space="preserve">. By looking closely at the Greek verb </w:t>
      </w:r>
      <w:r w:rsidRPr="0090279A">
        <w:rPr>
          <w:rFonts w:ascii="Arial" w:hAnsi="Arial" w:cs="Arial"/>
        </w:rPr>
        <w:t>ἤρεσεν</w:t>
      </w:r>
      <w:r w:rsidRPr="0090279A">
        <w:rPr>
          <w:rFonts w:ascii="Arial" w:eastAsia="Calibri" w:hAnsi="Arial" w:cs="Arial"/>
        </w:rPr>
        <w:t xml:space="preserve"> (Matt 14:6-7; Mark 6:22-23), I have exposed the fact that the dominant male western interpretation of Herodias’ daughters’ dance as being “erotic” </w:t>
      </w:r>
      <w:r w:rsidRPr="0090279A">
        <w:rPr>
          <w:rFonts w:ascii="Arial" w:eastAsia="Calibri" w:hAnsi="Arial" w:cs="Arial"/>
          <w:noProof/>
        </w:rPr>
        <w:t>(Marcus, 2000: 397)</w:t>
      </w:r>
      <w:r w:rsidRPr="0090279A">
        <w:rPr>
          <w:rFonts w:ascii="Arial" w:eastAsia="Calibri" w:hAnsi="Arial" w:cs="Arial"/>
        </w:rPr>
        <w:t xml:space="preserve"> has no basis, and has in fact been heavily influenced by art history </w:t>
      </w:r>
      <w:r w:rsidRPr="0090279A">
        <w:rPr>
          <w:rFonts w:ascii="Arial" w:eastAsia="Calibri" w:hAnsi="Arial" w:cs="Arial"/>
          <w:noProof/>
        </w:rPr>
        <w:t>(Joynes, 2009: 150)</w:t>
      </w:r>
      <w:r w:rsidRPr="0090279A">
        <w:rPr>
          <w:rFonts w:ascii="Arial" w:eastAsia="Calibri" w:hAnsi="Arial" w:cs="Arial"/>
        </w:rPr>
        <w:t xml:space="preserve">. Considering Afropean epistemological considerations of dance, ritual and embodied knowledge, Herodias’ daughter’s dance is transformed from a one-dimensional sexual encounter, into a multitude of spiritual and ritual alternatives. Taking into the cognizance Ogunyemi’s key insight regarding Bedford’s novel, that Yorùbá dance on British soil “doubles as a public exorcism of European devilry” </w:t>
      </w:r>
      <w:r w:rsidRPr="0090279A">
        <w:rPr>
          <w:rFonts w:ascii="Arial" w:eastAsia="Calibri" w:hAnsi="Arial" w:cs="Arial"/>
          <w:noProof/>
        </w:rPr>
        <w:t>(Ogunyemi, 1996: 325)</w:t>
      </w:r>
      <w:r w:rsidRPr="0090279A">
        <w:rPr>
          <w:rFonts w:ascii="Arial" w:eastAsia="Calibri" w:hAnsi="Arial" w:cs="Arial"/>
        </w:rPr>
        <w:t xml:space="preserve">, combined with the foundational role that dance plays within Yorùbá life and death rituals </w:t>
      </w:r>
      <w:r w:rsidRPr="0090279A">
        <w:rPr>
          <w:rFonts w:ascii="Arial" w:eastAsia="Calibri" w:hAnsi="Arial" w:cs="Arial"/>
          <w:noProof/>
        </w:rPr>
        <w:t>(Ogundipe, 2018: 25)</w:t>
      </w:r>
      <w:r w:rsidRPr="0090279A">
        <w:rPr>
          <w:rFonts w:ascii="Arial" w:eastAsia="Calibri" w:hAnsi="Arial" w:cs="Arial"/>
        </w:rPr>
        <w:t xml:space="preserve"> has allowed four new possible interpretations of Herodias daughter’s dance to arise.  First, in keeping with the overall “anti-imperial” </w:t>
      </w:r>
      <w:r w:rsidRPr="0090279A">
        <w:rPr>
          <w:rFonts w:ascii="Arial" w:eastAsia="Calibri" w:hAnsi="Arial" w:cs="Arial"/>
          <w:noProof/>
        </w:rPr>
        <w:t>(Liew, 2009: 110)</w:t>
      </w:r>
      <w:r w:rsidRPr="0090279A">
        <w:rPr>
          <w:rFonts w:ascii="Arial" w:eastAsia="Calibri" w:hAnsi="Arial" w:cs="Arial"/>
        </w:rPr>
        <w:t xml:space="preserve"> theme of the book of Mark, her dance could be seen as a form of resistance against the colonial and patriarchal dominant gaze of that time. As an ‘othered’ subject, she manages to “displace” the imperial authority of Herod through her hypervisibility and her dance (</w:t>
      </w:r>
      <w:r w:rsidRPr="0090279A">
        <w:rPr>
          <w:rFonts w:ascii="Arial" w:eastAsia="Calibri" w:hAnsi="Arial" w:cs="Arial"/>
          <w:noProof/>
        </w:rPr>
        <w:t>Molopyane, 2020a: 65)</w:t>
      </w:r>
      <w:r w:rsidRPr="0090279A">
        <w:rPr>
          <w:rFonts w:ascii="Arial" w:eastAsia="Calibri" w:hAnsi="Arial" w:cs="Arial"/>
        </w:rPr>
        <w:t xml:space="preserve">. Even though Herodias and her daughter were undoubtedly members of the ruling class </w:t>
      </w:r>
      <w:r w:rsidRPr="0090279A">
        <w:rPr>
          <w:rFonts w:ascii="Arial" w:eastAsia="Calibri" w:hAnsi="Arial" w:cs="Arial"/>
          <w:noProof/>
        </w:rPr>
        <w:t>(Miller, 2004: 73)</w:t>
      </w:r>
      <w:r w:rsidRPr="0090279A">
        <w:rPr>
          <w:rFonts w:ascii="Arial" w:eastAsia="Calibri" w:hAnsi="Arial" w:cs="Arial"/>
        </w:rPr>
        <w:t xml:space="preserve">, because they lived in a patriarchal society, there were “limits of power” upon these women </w:t>
      </w:r>
      <w:r w:rsidRPr="0090279A">
        <w:rPr>
          <w:rFonts w:ascii="Arial" w:eastAsia="Calibri" w:hAnsi="Arial" w:cs="Arial"/>
          <w:noProof/>
        </w:rPr>
        <w:t>(Tolbert, 1992: 272)</w:t>
      </w:r>
      <w:r w:rsidRPr="0090279A">
        <w:rPr>
          <w:rFonts w:ascii="Arial" w:eastAsia="Calibri" w:hAnsi="Arial" w:cs="Arial"/>
        </w:rPr>
        <w:t xml:space="preserve">. Perhaps by being able to physically “transgress the boundary separating men and women” </w:t>
      </w:r>
      <w:r w:rsidRPr="0090279A">
        <w:rPr>
          <w:rFonts w:ascii="Arial" w:eastAsia="Calibri" w:hAnsi="Arial" w:cs="Arial"/>
          <w:noProof/>
        </w:rPr>
        <w:t>(Miller, 2004: 78)</w:t>
      </w:r>
      <w:r w:rsidRPr="0090279A">
        <w:rPr>
          <w:rFonts w:ascii="Arial" w:eastAsia="Calibri" w:hAnsi="Arial" w:cs="Arial"/>
        </w:rPr>
        <w:t xml:space="preserve">, she was </w:t>
      </w:r>
      <w:r w:rsidRPr="0090279A">
        <w:rPr>
          <w:rFonts w:ascii="Arial" w:eastAsia="Calibri" w:hAnsi="Arial" w:cs="Arial"/>
        </w:rPr>
        <w:lastRenderedPageBreak/>
        <w:t xml:space="preserve">able to resist patriarchal domination, and make a stand for female rights. Second, by taking into cognizance the importance of dance within Yorùbá death rituals </w:t>
      </w:r>
      <w:r w:rsidRPr="0090279A">
        <w:rPr>
          <w:rFonts w:ascii="Arial" w:eastAsia="Calibri" w:hAnsi="Arial" w:cs="Arial"/>
          <w:noProof/>
        </w:rPr>
        <w:t>(Peggy, 1969: 286)</w:t>
      </w:r>
      <w:r w:rsidRPr="0090279A">
        <w:rPr>
          <w:rFonts w:ascii="Arial" w:eastAsia="Calibri" w:hAnsi="Arial" w:cs="Arial"/>
        </w:rPr>
        <w:t xml:space="preserve">, Herodias’ daughter’s dance could also be reconfigured to be a prophetic ritual lament of the dead John the Baptist. This bears resemblance with ancient Greco-Roman death rituals in which “ritual dance serves the function of release, like the tears that flow unrestrained…” </w:t>
      </w:r>
      <w:r w:rsidRPr="0090279A">
        <w:rPr>
          <w:rFonts w:ascii="Arial" w:eastAsia="Calibri" w:hAnsi="Arial" w:cs="Arial"/>
          <w:noProof/>
        </w:rPr>
        <w:t>(Håland, 2014: 258)</w:t>
      </w:r>
      <w:r w:rsidRPr="0090279A">
        <w:rPr>
          <w:rFonts w:ascii="Arial" w:eastAsia="Calibri" w:hAnsi="Arial" w:cs="Arial"/>
        </w:rPr>
        <w:t xml:space="preserve">. Third, by taking into consideration the use of drums in Yorùbá </w:t>
      </w:r>
      <w:r w:rsidRPr="0090279A">
        <w:rPr>
          <w:rFonts w:ascii="Arial" w:eastAsia="Calibri" w:hAnsi="Arial" w:cs="Arial"/>
          <w:noProof/>
        </w:rPr>
        <w:t xml:space="preserve">ritual to </w:t>
      </w:r>
      <w:r w:rsidRPr="0090279A">
        <w:rPr>
          <w:rFonts w:ascii="Arial" w:eastAsia="Calibri" w:hAnsi="Arial" w:cs="Arial"/>
        </w:rPr>
        <w:t xml:space="preserve">be in communication “with their God and gods” </w:t>
      </w:r>
      <w:r w:rsidRPr="0090279A">
        <w:rPr>
          <w:rFonts w:ascii="Arial" w:eastAsia="Calibri" w:hAnsi="Arial" w:cs="Arial"/>
          <w:noProof/>
        </w:rPr>
        <w:t>(Adegbite, 1988: 15)</w:t>
      </w:r>
      <w:r w:rsidRPr="0090279A">
        <w:rPr>
          <w:rFonts w:ascii="Arial" w:eastAsia="Calibri" w:hAnsi="Arial" w:cs="Arial"/>
        </w:rPr>
        <w:t xml:space="preserve">, also creates the possibility that the music that played whilst Herodias’ daughter danced was a means to communicate to a higher deity. Taking into consideration Yorùbá culture in which names are significant </w:t>
      </w:r>
      <w:r w:rsidRPr="0090279A">
        <w:rPr>
          <w:rFonts w:ascii="Arial" w:eastAsia="Calibri" w:hAnsi="Arial" w:cs="Arial"/>
          <w:noProof/>
        </w:rPr>
        <w:t>(Gbenga, 2006: 52)</w:t>
      </w:r>
      <w:r w:rsidRPr="0090279A">
        <w:rPr>
          <w:rFonts w:ascii="Arial" w:eastAsia="Calibri" w:hAnsi="Arial" w:cs="Arial"/>
        </w:rPr>
        <w:t xml:space="preserve">, all elucidates that the fourth and final possible meaning behind Herodias’ daughter’s dance, was to mark the end of the John the Baptist era. </w:t>
      </w:r>
    </w:p>
    <w:p w14:paraId="4CB80F52" w14:textId="591A2A3D" w:rsidR="007528DC" w:rsidRPr="007528DC" w:rsidRDefault="005272CC" w:rsidP="007528DC">
      <w:pPr>
        <w:pStyle w:val="Heading1"/>
        <w:spacing w:line="240" w:lineRule="exact"/>
        <w:rPr>
          <w:rFonts w:ascii="Arial" w:hAnsi="Arial"/>
          <w:lang w:bidi="ar-JO"/>
        </w:rPr>
      </w:pPr>
      <w:r w:rsidRPr="00B24BEF">
        <w:rPr>
          <w:rFonts w:ascii="Arial" w:hAnsi="Arial"/>
          <w:lang w:bidi="ar-JO"/>
        </w:rPr>
        <w:t>Notes</w:t>
      </w:r>
      <w:r w:rsidR="00530D17" w:rsidRPr="00B24BEF">
        <w:rPr>
          <w:rFonts w:ascii="Arial" w:hAnsi="Arial"/>
          <w:lang w:bidi="ar-JO"/>
        </w:rPr>
        <w:br/>
      </w:r>
    </w:p>
    <w:p w14:paraId="78123AA3" w14:textId="4059B66B" w:rsidR="001520E3" w:rsidRPr="00B24BEF" w:rsidRDefault="001520E3" w:rsidP="001520E3">
      <w:pPr>
        <w:pStyle w:val="FootnoteText"/>
        <w:widowControl w:val="0"/>
        <w:spacing w:line="360" w:lineRule="auto"/>
        <w:jc w:val="both"/>
        <w:rPr>
          <w:rFonts w:ascii="Arial" w:hAnsi="Arial" w:cs="Arial"/>
          <w:szCs w:val="22"/>
        </w:rPr>
      </w:pPr>
      <w:r w:rsidRPr="00B24BEF">
        <w:rPr>
          <w:rStyle w:val="FootnoteReference"/>
          <w:rFonts w:ascii="Arial" w:hAnsi="Arial" w:cs="Arial"/>
          <w:szCs w:val="22"/>
        </w:rPr>
        <w:footnoteRef/>
      </w:r>
      <w:r w:rsidRPr="00B24BEF">
        <w:rPr>
          <w:rFonts w:ascii="Arial" w:hAnsi="Arial" w:cs="Arial"/>
          <w:szCs w:val="22"/>
        </w:rPr>
        <w:t xml:space="preserve"> See </w:t>
      </w:r>
      <w:r w:rsidRPr="00B24BEF">
        <w:rPr>
          <w:rFonts w:ascii="Arial" w:hAnsi="Arial" w:cs="Arial"/>
          <w:noProof/>
          <w:szCs w:val="22"/>
        </w:rPr>
        <w:t>Marcus, 2000: 397</w:t>
      </w:r>
      <w:r w:rsidRPr="00B24BEF">
        <w:rPr>
          <w:rFonts w:ascii="Arial" w:hAnsi="Arial" w:cs="Arial"/>
          <w:szCs w:val="22"/>
        </w:rPr>
        <w:t>.</w:t>
      </w:r>
    </w:p>
    <w:p w14:paraId="6E608628" w14:textId="77777777" w:rsidR="001520E3" w:rsidRPr="00B24BEF" w:rsidRDefault="001520E3" w:rsidP="001520E3">
      <w:pPr>
        <w:pStyle w:val="FootnoteText"/>
        <w:widowControl w:val="0"/>
        <w:spacing w:line="360" w:lineRule="auto"/>
        <w:jc w:val="both"/>
        <w:rPr>
          <w:rFonts w:ascii="Arial" w:hAnsi="Arial" w:cs="Arial"/>
          <w:szCs w:val="22"/>
        </w:rPr>
      </w:pPr>
    </w:p>
    <w:p w14:paraId="0807B1FB" w14:textId="02D030BB" w:rsidR="001520E3" w:rsidRPr="00B24BEF" w:rsidRDefault="001520E3" w:rsidP="001520E3">
      <w:pPr>
        <w:pStyle w:val="FootnoteText"/>
        <w:widowControl w:val="0"/>
        <w:spacing w:line="360" w:lineRule="auto"/>
        <w:ind w:left="0" w:firstLine="0"/>
        <w:jc w:val="both"/>
        <w:rPr>
          <w:rFonts w:ascii="Arial" w:hAnsi="Arial" w:cs="Arial"/>
          <w:noProof/>
          <w:szCs w:val="22"/>
        </w:rPr>
      </w:pPr>
      <w:r w:rsidRPr="00B24BEF">
        <w:rPr>
          <w:rStyle w:val="FootnoteReference"/>
          <w:rFonts w:ascii="Arial" w:hAnsi="Arial" w:cs="Arial"/>
          <w:szCs w:val="22"/>
        </w:rPr>
        <w:t>2</w:t>
      </w:r>
      <w:r w:rsidRPr="00B24BEF">
        <w:rPr>
          <w:rFonts w:ascii="Arial" w:hAnsi="Arial" w:cs="Arial"/>
          <w:szCs w:val="22"/>
        </w:rPr>
        <w:t xml:space="preserve"> Based on a “Western prejudice about the ‘Orient’” </w:t>
      </w:r>
      <w:r w:rsidRPr="00B24BEF">
        <w:rPr>
          <w:rFonts w:ascii="Arial" w:hAnsi="Arial" w:cs="Arial"/>
          <w:noProof/>
          <w:szCs w:val="22"/>
        </w:rPr>
        <w:t>(Garber, 1997: 340).</w:t>
      </w:r>
    </w:p>
    <w:p w14:paraId="2A43B0FE" w14:textId="77777777" w:rsidR="001520E3" w:rsidRPr="00B24BEF" w:rsidRDefault="001520E3" w:rsidP="001520E3">
      <w:pPr>
        <w:pStyle w:val="FootnoteText"/>
        <w:widowControl w:val="0"/>
        <w:spacing w:line="360" w:lineRule="auto"/>
        <w:jc w:val="both"/>
        <w:rPr>
          <w:rFonts w:ascii="Arial" w:hAnsi="Arial" w:cs="Arial"/>
          <w:szCs w:val="22"/>
        </w:rPr>
      </w:pPr>
    </w:p>
    <w:p w14:paraId="01E9CCB4" w14:textId="23FED914" w:rsidR="001520E3" w:rsidRPr="00B24BEF" w:rsidRDefault="001520E3" w:rsidP="001520E3">
      <w:pPr>
        <w:pStyle w:val="FootnoteText"/>
        <w:widowControl w:val="0"/>
        <w:spacing w:line="360" w:lineRule="auto"/>
        <w:ind w:left="0" w:firstLine="0"/>
        <w:jc w:val="both"/>
        <w:rPr>
          <w:rFonts w:ascii="Arial" w:hAnsi="Arial" w:cs="Arial"/>
          <w:noProof/>
          <w:szCs w:val="22"/>
        </w:rPr>
      </w:pPr>
      <w:r w:rsidRPr="00B24BEF">
        <w:rPr>
          <w:rStyle w:val="FootnoteReference"/>
          <w:rFonts w:ascii="Arial" w:hAnsi="Arial" w:cs="Arial"/>
          <w:szCs w:val="22"/>
        </w:rPr>
        <w:t>3</w:t>
      </w:r>
      <w:r w:rsidRPr="00B24BEF">
        <w:rPr>
          <w:rFonts w:ascii="Arial" w:hAnsi="Arial" w:cs="Arial"/>
          <w:szCs w:val="22"/>
        </w:rPr>
        <w:t xml:space="preserve"> See: </w:t>
      </w:r>
      <w:r w:rsidRPr="00B24BEF">
        <w:rPr>
          <w:rFonts w:ascii="Arial" w:hAnsi="Arial" w:cs="Arial"/>
          <w:noProof/>
          <w:szCs w:val="22"/>
        </w:rPr>
        <w:t>Ajayi-Soyinka, 2010: 273; Karade, 2020: 72; Drewal, 1992: 183.</w:t>
      </w:r>
    </w:p>
    <w:p w14:paraId="015ED35C" w14:textId="77777777" w:rsidR="001520E3" w:rsidRPr="00B24BEF" w:rsidRDefault="001520E3" w:rsidP="001520E3">
      <w:pPr>
        <w:pStyle w:val="FootnoteText"/>
        <w:widowControl w:val="0"/>
        <w:spacing w:line="360" w:lineRule="auto"/>
        <w:jc w:val="both"/>
        <w:rPr>
          <w:rFonts w:ascii="Arial" w:hAnsi="Arial" w:cs="Arial"/>
          <w:szCs w:val="22"/>
        </w:rPr>
      </w:pPr>
    </w:p>
    <w:p w14:paraId="2DDF2C38" w14:textId="14A4B50D" w:rsidR="001520E3" w:rsidRPr="00B24BEF" w:rsidRDefault="001520E3" w:rsidP="001520E3">
      <w:pPr>
        <w:pStyle w:val="FootnoteText"/>
        <w:widowControl w:val="0"/>
        <w:spacing w:line="360" w:lineRule="auto"/>
        <w:ind w:left="0" w:firstLine="0"/>
        <w:jc w:val="both"/>
        <w:rPr>
          <w:rFonts w:ascii="Arial" w:hAnsi="Arial" w:cs="Arial"/>
          <w:noProof/>
          <w:szCs w:val="22"/>
        </w:rPr>
      </w:pPr>
      <w:r w:rsidRPr="00B24BEF">
        <w:rPr>
          <w:rStyle w:val="FootnoteReference"/>
          <w:rFonts w:ascii="Arial" w:hAnsi="Arial" w:cs="Arial"/>
          <w:szCs w:val="22"/>
        </w:rPr>
        <w:t>4</w:t>
      </w:r>
      <w:r w:rsidRPr="00B24BEF">
        <w:rPr>
          <w:rFonts w:ascii="Arial" w:hAnsi="Arial" w:cs="Arial"/>
          <w:szCs w:val="22"/>
        </w:rPr>
        <w:t xml:space="preserve"> There has been a particular Western ethnocentric bias towards African dance in all its forms </w:t>
      </w:r>
      <w:r w:rsidRPr="00B24BEF">
        <w:rPr>
          <w:rFonts w:ascii="Arial" w:hAnsi="Arial" w:cs="Arial"/>
          <w:noProof/>
          <w:szCs w:val="22"/>
        </w:rPr>
        <w:t>(Mills, 1997: 144).</w:t>
      </w:r>
    </w:p>
    <w:p w14:paraId="65B028DE" w14:textId="77777777" w:rsidR="001520E3" w:rsidRPr="00B24BEF" w:rsidRDefault="001520E3" w:rsidP="001520E3">
      <w:pPr>
        <w:pStyle w:val="FootnoteText"/>
        <w:widowControl w:val="0"/>
        <w:spacing w:line="360" w:lineRule="auto"/>
        <w:jc w:val="both"/>
        <w:rPr>
          <w:rFonts w:ascii="Arial" w:hAnsi="Arial" w:cs="Arial"/>
          <w:szCs w:val="22"/>
        </w:rPr>
      </w:pPr>
    </w:p>
    <w:p w14:paraId="321CB31D" w14:textId="26EF72F2" w:rsidR="001520E3" w:rsidRPr="00B24BEF" w:rsidRDefault="001520E3" w:rsidP="001520E3">
      <w:pPr>
        <w:pStyle w:val="FootnoteText"/>
        <w:widowControl w:val="0"/>
        <w:spacing w:line="360" w:lineRule="auto"/>
        <w:ind w:left="0" w:firstLine="0"/>
        <w:jc w:val="both"/>
        <w:rPr>
          <w:rFonts w:ascii="Arial" w:hAnsi="Arial" w:cs="Arial"/>
          <w:noProof/>
          <w:szCs w:val="22"/>
        </w:rPr>
      </w:pPr>
      <w:r w:rsidRPr="00B24BEF">
        <w:rPr>
          <w:rStyle w:val="FootnoteReference"/>
          <w:rFonts w:ascii="Arial" w:hAnsi="Arial" w:cs="Arial"/>
          <w:szCs w:val="22"/>
        </w:rPr>
        <w:t>5</w:t>
      </w:r>
      <w:r w:rsidRPr="00B24BEF">
        <w:rPr>
          <w:rFonts w:ascii="Arial" w:hAnsi="Arial" w:cs="Arial"/>
          <w:szCs w:val="22"/>
        </w:rPr>
        <w:t xml:space="preserve"> See </w:t>
      </w:r>
      <w:r w:rsidRPr="00B24BEF">
        <w:rPr>
          <w:rFonts w:ascii="Arial" w:hAnsi="Arial" w:cs="Arial"/>
          <w:noProof/>
          <w:szCs w:val="22"/>
        </w:rPr>
        <w:t>Johnson, 2015: 2.</w:t>
      </w:r>
    </w:p>
    <w:p w14:paraId="12103542" w14:textId="77777777" w:rsidR="001520E3" w:rsidRPr="00B24BEF" w:rsidRDefault="001520E3" w:rsidP="001520E3">
      <w:pPr>
        <w:pStyle w:val="FootnoteText"/>
        <w:widowControl w:val="0"/>
        <w:spacing w:line="360" w:lineRule="auto"/>
        <w:jc w:val="both"/>
        <w:rPr>
          <w:rFonts w:ascii="Arial" w:hAnsi="Arial" w:cs="Arial"/>
          <w:szCs w:val="22"/>
        </w:rPr>
      </w:pPr>
    </w:p>
    <w:p w14:paraId="12D7D0AA" w14:textId="272794F6" w:rsidR="001520E3" w:rsidRPr="00B24BEF" w:rsidRDefault="00B24BEF" w:rsidP="00B24BEF">
      <w:pPr>
        <w:pStyle w:val="FootnoteText"/>
        <w:widowControl w:val="0"/>
        <w:spacing w:line="360" w:lineRule="auto"/>
        <w:ind w:left="0" w:firstLine="0"/>
        <w:jc w:val="both"/>
        <w:rPr>
          <w:rFonts w:ascii="Arial" w:hAnsi="Arial" w:cs="Arial"/>
          <w:szCs w:val="22"/>
        </w:rPr>
      </w:pPr>
      <w:r>
        <w:rPr>
          <w:rStyle w:val="FootnoteReference"/>
          <w:rFonts w:ascii="Arial" w:hAnsi="Arial" w:cs="Arial"/>
          <w:szCs w:val="22"/>
        </w:rPr>
        <w:t>6</w:t>
      </w:r>
      <w:r w:rsidR="001520E3" w:rsidRPr="00B24BEF">
        <w:rPr>
          <w:rFonts w:ascii="Arial" w:hAnsi="Arial" w:cs="Arial"/>
          <w:szCs w:val="22"/>
        </w:rPr>
        <w:t xml:space="preserve">  See: Joynes, 2009: 144; Owsley, 2014; Nesbit, 2020; Rutka, 2010; Hospodar, 1953.</w:t>
      </w:r>
    </w:p>
    <w:p w14:paraId="7C6CB942" w14:textId="77777777" w:rsidR="001520E3" w:rsidRPr="00B24BEF" w:rsidRDefault="001520E3" w:rsidP="001520E3">
      <w:pPr>
        <w:pStyle w:val="FootnoteText"/>
        <w:widowControl w:val="0"/>
        <w:spacing w:line="360" w:lineRule="auto"/>
        <w:jc w:val="both"/>
        <w:rPr>
          <w:rFonts w:ascii="Arial" w:hAnsi="Arial" w:cs="Arial"/>
          <w:szCs w:val="22"/>
        </w:rPr>
      </w:pPr>
    </w:p>
    <w:p w14:paraId="720C1F52" w14:textId="29522646" w:rsidR="001520E3" w:rsidRDefault="00B24BEF" w:rsidP="001520E3">
      <w:pPr>
        <w:widowControl w:val="0"/>
        <w:spacing w:line="360" w:lineRule="auto"/>
        <w:jc w:val="both"/>
        <w:rPr>
          <w:rFonts w:ascii="Arial" w:hAnsi="Arial" w:cs="Arial"/>
          <w:noProof/>
          <w:sz w:val="22"/>
        </w:rPr>
      </w:pPr>
      <w:r>
        <w:rPr>
          <w:rStyle w:val="FootnoteReference"/>
          <w:rFonts w:ascii="Arial" w:hAnsi="Arial" w:cs="Arial"/>
          <w:sz w:val="22"/>
        </w:rPr>
        <w:t>7</w:t>
      </w:r>
      <w:r w:rsidR="001520E3" w:rsidRPr="00B24BEF">
        <w:rPr>
          <w:rFonts w:ascii="Arial" w:hAnsi="Arial" w:cs="Arial"/>
          <w:sz w:val="22"/>
        </w:rPr>
        <w:t xml:space="preserve"> See: </w:t>
      </w:r>
      <w:r w:rsidR="001520E3" w:rsidRPr="00B24BEF">
        <w:rPr>
          <w:rFonts w:ascii="Arial" w:hAnsi="Arial" w:cs="Arial"/>
          <w:noProof/>
          <w:sz w:val="22"/>
        </w:rPr>
        <w:t>Beardsley, 1893; Redon, 1840-1916; Pell, 1890; Berruguete, 1517; Regnault, 1870; Caravaggio, 1571-1610; Klimt, 1909.</w:t>
      </w:r>
    </w:p>
    <w:p w14:paraId="56E7C954" w14:textId="77777777" w:rsidR="00B24BEF" w:rsidRPr="00B24BEF" w:rsidRDefault="00B24BEF" w:rsidP="001520E3">
      <w:pPr>
        <w:widowControl w:val="0"/>
        <w:spacing w:line="360" w:lineRule="auto"/>
        <w:jc w:val="both"/>
        <w:rPr>
          <w:rFonts w:ascii="Arial" w:hAnsi="Arial" w:cs="Arial"/>
          <w:sz w:val="22"/>
        </w:rPr>
      </w:pPr>
    </w:p>
    <w:p w14:paraId="561A80DA" w14:textId="53E33F4F" w:rsidR="001520E3" w:rsidRPr="00B24BEF" w:rsidRDefault="007528DC" w:rsidP="007528DC">
      <w:pPr>
        <w:pStyle w:val="FootnoteText"/>
        <w:widowControl w:val="0"/>
        <w:spacing w:line="360" w:lineRule="auto"/>
        <w:ind w:left="0" w:firstLine="0"/>
        <w:jc w:val="both"/>
        <w:rPr>
          <w:rFonts w:ascii="Arial" w:hAnsi="Arial" w:cs="Arial"/>
          <w:szCs w:val="22"/>
        </w:rPr>
      </w:pPr>
      <w:r>
        <w:rPr>
          <w:rStyle w:val="FootnoteReference"/>
          <w:rFonts w:ascii="Arial" w:hAnsi="Arial" w:cs="Arial"/>
          <w:szCs w:val="22"/>
        </w:rPr>
        <w:t>8</w:t>
      </w:r>
      <w:r w:rsidR="001520E3" w:rsidRPr="00B24BEF">
        <w:rPr>
          <w:rFonts w:ascii="Arial" w:hAnsi="Arial" w:cs="Arial"/>
          <w:szCs w:val="22"/>
        </w:rPr>
        <w:t xml:space="preserve"> See </w:t>
      </w:r>
      <w:r w:rsidR="001520E3" w:rsidRPr="00B24BEF">
        <w:rPr>
          <w:rFonts w:ascii="Arial" w:hAnsi="Arial" w:cs="Arial"/>
          <w:noProof/>
          <w:szCs w:val="22"/>
        </w:rPr>
        <w:t xml:space="preserve">Boxall, 2018: 227-231 </w:t>
      </w:r>
      <w:r w:rsidR="001520E3" w:rsidRPr="00B24BEF">
        <w:rPr>
          <w:rFonts w:ascii="Arial" w:hAnsi="Arial" w:cs="Arial"/>
          <w:szCs w:val="22"/>
        </w:rPr>
        <w:t>for a reception history of Herodias’ Daughter through the centuries.</w:t>
      </w:r>
    </w:p>
    <w:p w14:paraId="51CE12F8" w14:textId="77777777" w:rsidR="001520E3" w:rsidRPr="00B24BEF" w:rsidRDefault="001520E3" w:rsidP="001520E3">
      <w:pPr>
        <w:pStyle w:val="FootnoteText"/>
        <w:widowControl w:val="0"/>
        <w:spacing w:line="360" w:lineRule="auto"/>
        <w:jc w:val="both"/>
        <w:rPr>
          <w:rFonts w:ascii="Arial" w:hAnsi="Arial" w:cs="Arial"/>
          <w:szCs w:val="22"/>
        </w:rPr>
      </w:pPr>
    </w:p>
    <w:p w14:paraId="69BAA3E2" w14:textId="2F6D7BB8" w:rsidR="001520E3" w:rsidRPr="00B24BEF" w:rsidRDefault="007528DC" w:rsidP="007528DC">
      <w:pPr>
        <w:pStyle w:val="FootnoteText"/>
        <w:widowControl w:val="0"/>
        <w:spacing w:line="360" w:lineRule="auto"/>
        <w:ind w:left="0" w:firstLine="0"/>
        <w:jc w:val="both"/>
        <w:rPr>
          <w:rFonts w:ascii="Arial" w:hAnsi="Arial" w:cs="Arial"/>
          <w:noProof/>
          <w:szCs w:val="22"/>
        </w:rPr>
      </w:pPr>
      <w:r>
        <w:rPr>
          <w:rStyle w:val="FootnoteReference"/>
          <w:rFonts w:ascii="Arial" w:hAnsi="Arial" w:cs="Arial"/>
          <w:szCs w:val="22"/>
        </w:rPr>
        <w:t>9</w:t>
      </w:r>
      <w:r w:rsidR="001520E3" w:rsidRPr="00B24BEF">
        <w:rPr>
          <w:rFonts w:ascii="Arial" w:hAnsi="Arial" w:cs="Arial"/>
          <w:szCs w:val="22"/>
        </w:rPr>
        <w:t xml:space="preserve"> See: </w:t>
      </w:r>
      <w:r w:rsidR="001520E3" w:rsidRPr="00B24BEF">
        <w:rPr>
          <w:rFonts w:ascii="Arial" w:hAnsi="Arial" w:cs="Arial"/>
          <w:noProof/>
          <w:szCs w:val="22"/>
        </w:rPr>
        <w:t xml:space="preserve">Taylor, 1959: 315; Tuckett, 2013: 898; Wood, 1975: 688; Madvig and Schweizer, 1971: 133. </w:t>
      </w:r>
    </w:p>
    <w:p w14:paraId="382E159B" w14:textId="77777777" w:rsidR="001520E3" w:rsidRPr="00B24BEF" w:rsidRDefault="001520E3" w:rsidP="001520E3">
      <w:pPr>
        <w:pStyle w:val="FootnoteText"/>
        <w:widowControl w:val="0"/>
        <w:spacing w:line="360" w:lineRule="auto"/>
        <w:jc w:val="both"/>
        <w:rPr>
          <w:rFonts w:ascii="Arial" w:hAnsi="Arial" w:cs="Arial"/>
          <w:szCs w:val="22"/>
        </w:rPr>
      </w:pPr>
    </w:p>
    <w:p w14:paraId="5AFFA27D" w14:textId="3417933B" w:rsidR="001520E3" w:rsidRPr="00B24BEF" w:rsidRDefault="007528DC" w:rsidP="007528DC">
      <w:pPr>
        <w:pStyle w:val="FootnoteText"/>
        <w:widowControl w:val="0"/>
        <w:spacing w:line="360" w:lineRule="auto"/>
        <w:ind w:left="0" w:firstLine="0"/>
        <w:jc w:val="both"/>
        <w:rPr>
          <w:rFonts w:ascii="Arial" w:hAnsi="Arial" w:cs="Arial"/>
          <w:noProof/>
          <w:szCs w:val="22"/>
        </w:rPr>
      </w:pPr>
      <w:r>
        <w:rPr>
          <w:rStyle w:val="FootnoteReference"/>
          <w:rFonts w:ascii="Arial" w:hAnsi="Arial" w:cs="Arial"/>
          <w:szCs w:val="22"/>
        </w:rPr>
        <w:t>10</w:t>
      </w:r>
      <w:r w:rsidR="001520E3" w:rsidRPr="00B24BEF">
        <w:rPr>
          <w:rFonts w:ascii="Arial" w:hAnsi="Arial" w:cs="Arial"/>
          <w:szCs w:val="22"/>
        </w:rPr>
        <w:t xml:space="preserve"> S</w:t>
      </w:r>
      <w:r>
        <w:rPr>
          <w:rFonts w:ascii="Arial" w:hAnsi="Arial" w:cs="Arial"/>
          <w:szCs w:val="22"/>
        </w:rPr>
        <w:t xml:space="preserve">ee: </w:t>
      </w:r>
      <w:r w:rsidR="001520E3" w:rsidRPr="00B24BEF">
        <w:rPr>
          <w:rFonts w:ascii="Arial" w:hAnsi="Arial" w:cs="Arial"/>
          <w:noProof/>
          <w:szCs w:val="22"/>
        </w:rPr>
        <w:t>Guelich, 1989: 332; Marcus, 2000: 397.</w:t>
      </w:r>
    </w:p>
    <w:p w14:paraId="1C0984AE" w14:textId="77777777" w:rsidR="001520E3" w:rsidRPr="00B24BEF" w:rsidRDefault="001520E3" w:rsidP="001520E3">
      <w:pPr>
        <w:pStyle w:val="FootnoteText"/>
        <w:widowControl w:val="0"/>
        <w:spacing w:line="360" w:lineRule="auto"/>
        <w:jc w:val="both"/>
        <w:rPr>
          <w:rFonts w:ascii="Arial" w:hAnsi="Arial" w:cs="Arial"/>
          <w:szCs w:val="22"/>
        </w:rPr>
      </w:pPr>
    </w:p>
    <w:p w14:paraId="3433D6F0" w14:textId="18C658F5" w:rsidR="001520E3" w:rsidRPr="00B24BEF" w:rsidRDefault="007528DC" w:rsidP="007528DC">
      <w:pPr>
        <w:pStyle w:val="FootnoteText"/>
        <w:widowControl w:val="0"/>
        <w:spacing w:line="360" w:lineRule="auto"/>
        <w:ind w:left="0" w:firstLine="0"/>
        <w:jc w:val="both"/>
        <w:rPr>
          <w:rFonts w:ascii="Arial" w:hAnsi="Arial" w:cs="Arial"/>
          <w:noProof/>
          <w:szCs w:val="22"/>
        </w:rPr>
      </w:pPr>
      <w:r>
        <w:rPr>
          <w:rStyle w:val="FootnoteReference"/>
          <w:rFonts w:ascii="Arial" w:hAnsi="Arial" w:cs="Arial"/>
          <w:szCs w:val="22"/>
        </w:rPr>
        <w:t>11</w:t>
      </w:r>
      <w:r w:rsidR="001520E3" w:rsidRPr="00B24BEF">
        <w:rPr>
          <w:rFonts w:ascii="Arial" w:hAnsi="Arial" w:cs="Arial"/>
          <w:szCs w:val="22"/>
        </w:rPr>
        <w:t xml:space="preserve"> See </w:t>
      </w:r>
      <w:r w:rsidR="001520E3" w:rsidRPr="00B24BEF">
        <w:rPr>
          <w:rFonts w:ascii="Arial" w:hAnsi="Arial" w:cs="Arial"/>
          <w:noProof/>
          <w:szCs w:val="22"/>
        </w:rPr>
        <w:t>Kirk-Duggan, 2004: 220.</w:t>
      </w:r>
    </w:p>
    <w:p w14:paraId="43C972DB" w14:textId="77777777" w:rsidR="001520E3" w:rsidRPr="00B24BEF" w:rsidRDefault="001520E3" w:rsidP="001520E3">
      <w:pPr>
        <w:pStyle w:val="FootnoteText"/>
        <w:widowControl w:val="0"/>
        <w:spacing w:line="360" w:lineRule="auto"/>
        <w:jc w:val="both"/>
        <w:rPr>
          <w:rFonts w:ascii="Arial" w:hAnsi="Arial" w:cs="Arial"/>
          <w:szCs w:val="22"/>
        </w:rPr>
      </w:pPr>
    </w:p>
    <w:p w14:paraId="224801D8" w14:textId="0DB59E4B" w:rsidR="001520E3" w:rsidRPr="00B24BEF" w:rsidRDefault="007528DC" w:rsidP="007528DC">
      <w:pPr>
        <w:pStyle w:val="FootnoteText"/>
        <w:widowControl w:val="0"/>
        <w:spacing w:line="360" w:lineRule="auto"/>
        <w:ind w:left="0" w:firstLine="0"/>
        <w:jc w:val="both"/>
        <w:rPr>
          <w:rFonts w:ascii="Arial" w:hAnsi="Arial" w:cs="Arial"/>
          <w:noProof/>
          <w:szCs w:val="22"/>
        </w:rPr>
      </w:pPr>
      <w:r>
        <w:rPr>
          <w:rStyle w:val="FootnoteReference"/>
          <w:rFonts w:ascii="Arial" w:hAnsi="Arial" w:cs="Arial"/>
          <w:szCs w:val="22"/>
        </w:rPr>
        <w:t>12</w:t>
      </w:r>
      <w:r w:rsidR="001520E3" w:rsidRPr="00B24BEF">
        <w:rPr>
          <w:rFonts w:ascii="Arial" w:hAnsi="Arial" w:cs="Arial"/>
          <w:szCs w:val="22"/>
        </w:rPr>
        <w:t xml:space="preserve"> See </w:t>
      </w:r>
      <w:r w:rsidR="001520E3" w:rsidRPr="00B24BEF">
        <w:rPr>
          <w:rFonts w:ascii="Arial" w:hAnsi="Arial" w:cs="Arial"/>
          <w:noProof/>
          <w:szCs w:val="22"/>
        </w:rPr>
        <w:t>Miller, 2004: 81.</w:t>
      </w:r>
    </w:p>
    <w:p w14:paraId="3F7B7D7B" w14:textId="77777777" w:rsidR="001520E3" w:rsidRPr="00B24BEF" w:rsidRDefault="001520E3" w:rsidP="001520E3">
      <w:pPr>
        <w:pStyle w:val="FootnoteText"/>
        <w:widowControl w:val="0"/>
        <w:spacing w:line="360" w:lineRule="auto"/>
        <w:jc w:val="both"/>
        <w:rPr>
          <w:rFonts w:ascii="Arial" w:hAnsi="Arial" w:cs="Arial"/>
          <w:szCs w:val="22"/>
        </w:rPr>
      </w:pPr>
    </w:p>
    <w:p w14:paraId="7F89B27E" w14:textId="2515DB34" w:rsidR="001520E3" w:rsidRPr="00B24BEF" w:rsidRDefault="007528DC" w:rsidP="007528DC">
      <w:pPr>
        <w:pStyle w:val="FootnoteText"/>
        <w:widowControl w:val="0"/>
        <w:spacing w:line="360" w:lineRule="auto"/>
        <w:ind w:left="0" w:firstLine="0"/>
        <w:jc w:val="both"/>
        <w:rPr>
          <w:rFonts w:ascii="Arial" w:hAnsi="Arial" w:cs="Arial"/>
          <w:szCs w:val="22"/>
        </w:rPr>
      </w:pPr>
      <w:r>
        <w:rPr>
          <w:rStyle w:val="FootnoteReference"/>
          <w:rFonts w:ascii="Arial" w:hAnsi="Arial" w:cs="Arial"/>
          <w:szCs w:val="22"/>
        </w:rPr>
        <w:t>13</w:t>
      </w:r>
      <w:r w:rsidR="001520E3" w:rsidRPr="00B24BEF">
        <w:rPr>
          <w:rFonts w:ascii="Arial" w:hAnsi="Arial" w:cs="Arial"/>
          <w:szCs w:val="22"/>
        </w:rPr>
        <w:t xml:space="preserve"> See also Galatians 1:10.</w:t>
      </w:r>
    </w:p>
    <w:p w14:paraId="609191AB" w14:textId="77777777" w:rsidR="001520E3" w:rsidRPr="00B24BEF" w:rsidRDefault="001520E3" w:rsidP="001520E3">
      <w:pPr>
        <w:pStyle w:val="FootnoteText"/>
        <w:widowControl w:val="0"/>
        <w:spacing w:line="360" w:lineRule="auto"/>
        <w:jc w:val="both"/>
        <w:rPr>
          <w:rFonts w:ascii="Arial" w:hAnsi="Arial" w:cs="Arial"/>
          <w:szCs w:val="22"/>
        </w:rPr>
      </w:pPr>
    </w:p>
    <w:p w14:paraId="4B8E3DBD" w14:textId="4EA7133B" w:rsidR="001520E3" w:rsidRPr="00B24BEF" w:rsidRDefault="007528DC" w:rsidP="001520E3">
      <w:pPr>
        <w:pStyle w:val="FootnoteText"/>
        <w:widowControl w:val="0"/>
        <w:spacing w:line="360" w:lineRule="auto"/>
        <w:jc w:val="both"/>
        <w:rPr>
          <w:rFonts w:ascii="Arial" w:hAnsi="Arial" w:cs="Arial"/>
          <w:szCs w:val="22"/>
        </w:rPr>
      </w:pPr>
      <w:r>
        <w:rPr>
          <w:rStyle w:val="FootnoteReference"/>
          <w:rFonts w:ascii="Arial" w:hAnsi="Arial" w:cs="Arial"/>
          <w:szCs w:val="22"/>
        </w:rPr>
        <w:t>14</w:t>
      </w:r>
      <w:r w:rsidR="001520E3" w:rsidRPr="00B24BEF">
        <w:rPr>
          <w:rFonts w:ascii="Arial" w:hAnsi="Arial" w:cs="Arial"/>
          <w:szCs w:val="22"/>
        </w:rPr>
        <w:t xml:space="preserve"> Romans 15:1, 1 Corinthians 7:33, 34.</w:t>
      </w:r>
    </w:p>
    <w:p w14:paraId="2AE355BA" w14:textId="77777777" w:rsidR="001520E3" w:rsidRPr="00B24BEF" w:rsidRDefault="001520E3" w:rsidP="001520E3">
      <w:pPr>
        <w:pStyle w:val="FootnoteText"/>
        <w:widowControl w:val="0"/>
        <w:spacing w:line="360" w:lineRule="auto"/>
        <w:jc w:val="both"/>
        <w:rPr>
          <w:rFonts w:ascii="Arial" w:hAnsi="Arial" w:cs="Arial"/>
          <w:szCs w:val="22"/>
        </w:rPr>
      </w:pPr>
    </w:p>
    <w:p w14:paraId="6E5C80C8" w14:textId="43ACC752" w:rsidR="001520E3" w:rsidRPr="00B24BEF" w:rsidRDefault="007528DC" w:rsidP="001520E3">
      <w:pPr>
        <w:pStyle w:val="FootnoteText"/>
        <w:widowControl w:val="0"/>
        <w:spacing w:line="360" w:lineRule="auto"/>
        <w:jc w:val="both"/>
        <w:rPr>
          <w:rFonts w:ascii="Arial" w:hAnsi="Arial" w:cs="Arial"/>
          <w:szCs w:val="22"/>
        </w:rPr>
      </w:pPr>
      <w:r>
        <w:rPr>
          <w:rStyle w:val="FootnoteReference"/>
          <w:rFonts w:ascii="Arial" w:hAnsi="Arial" w:cs="Arial"/>
          <w:szCs w:val="22"/>
        </w:rPr>
        <w:t>15</w:t>
      </w:r>
      <w:r w:rsidR="001520E3" w:rsidRPr="00B24BEF">
        <w:rPr>
          <w:rFonts w:ascii="Arial" w:hAnsi="Arial" w:cs="Arial"/>
          <w:szCs w:val="22"/>
        </w:rPr>
        <w:t xml:space="preserve"> See also: Matthew 16:24-26, Luke 9:60.</w:t>
      </w:r>
    </w:p>
    <w:p w14:paraId="6DC56C0B" w14:textId="77777777" w:rsidR="001520E3" w:rsidRPr="00B24BEF" w:rsidRDefault="001520E3" w:rsidP="001520E3">
      <w:pPr>
        <w:pStyle w:val="FootnoteText"/>
        <w:widowControl w:val="0"/>
        <w:spacing w:line="360" w:lineRule="auto"/>
        <w:jc w:val="both"/>
        <w:rPr>
          <w:rFonts w:ascii="Arial" w:hAnsi="Arial" w:cs="Arial"/>
          <w:szCs w:val="22"/>
        </w:rPr>
      </w:pPr>
    </w:p>
    <w:p w14:paraId="49CED7B5" w14:textId="44BFBF4D" w:rsidR="001520E3" w:rsidRDefault="007528DC" w:rsidP="001520E3">
      <w:pPr>
        <w:widowControl w:val="0"/>
        <w:spacing w:line="360" w:lineRule="auto"/>
        <w:jc w:val="both"/>
        <w:rPr>
          <w:rFonts w:ascii="Arial" w:hAnsi="Arial" w:cs="Arial"/>
          <w:sz w:val="22"/>
        </w:rPr>
      </w:pPr>
      <w:r>
        <w:rPr>
          <w:rStyle w:val="FootnoteReference"/>
          <w:rFonts w:ascii="Arial" w:hAnsi="Arial" w:cs="Arial"/>
          <w:szCs w:val="22"/>
        </w:rPr>
        <w:t xml:space="preserve">16 </w:t>
      </w:r>
      <w:r w:rsidR="001520E3" w:rsidRPr="00B24BEF">
        <w:rPr>
          <w:rFonts w:ascii="Arial" w:hAnsi="Arial" w:cs="Arial"/>
          <w:sz w:val="22"/>
        </w:rPr>
        <w:t>See: Romans 8:8, 1 Corinthians 7:32, 1 Thessalonians 4:1, 2 Timothy 2:4.</w:t>
      </w:r>
    </w:p>
    <w:p w14:paraId="1AEB6686" w14:textId="77777777" w:rsidR="007528DC" w:rsidRPr="00B24BEF" w:rsidRDefault="007528DC" w:rsidP="001520E3">
      <w:pPr>
        <w:widowControl w:val="0"/>
        <w:spacing w:line="360" w:lineRule="auto"/>
        <w:jc w:val="both"/>
        <w:rPr>
          <w:rFonts w:ascii="Arial" w:hAnsi="Arial" w:cs="Arial"/>
          <w:sz w:val="22"/>
        </w:rPr>
      </w:pPr>
    </w:p>
    <w:p w14:paraId="1F362262" w14:textId="7C7A5233" w:rsidR="001520E3" w:rsidRPr="00B24BEF" w:rsidRDefault="007528DC" w:rsidP="007528DC">
      <w:pPr>
        <w:pStyle w:val="FootnoteText"/>
        <w:widowControl w:val="0"/>
        <w:spacing w:line="360" w:lineRule="auto"/>
        <w:ind w:left="0" w:firstLine="0"/>
        <w:jc w:val="both"/>
        <w:rPr>
          <w:rFonts w:ascii="Arial" w:hAnsi="Arial" w:cs="Arial"/>
          <w:szCs w:val="22"/>
        </w:rPr>
      </w:pPr>
      <w:r>
        <w:rPr>
          <w:rStyle w:val="FootnoteReference"/>
          <w:rFonts w:ascii="Arial" w:hAnsi="Arial" w:cs="Arial"/>
          <w:szCs w:val="22"/>
        </w:rPr>
        <w:t>17</w:t>
      </w:r>
      <w:r w:rsidR="001520E3" w:rsidRPr="00B24BEF">
        <w:rPr>
          <w:rFonts w:ascii="Arial" w:hAnsi="Arial" w:cs="Arial"/>
          <w:szCs w:val="22"/>
        </w:rPr>
        <w:t xml:space="preserve"> See: Matthew 14:6, Mark 6:22, Matthew 11:17 and Luke 7:32.</w:t>
      </w:r>
    </w:p>
    <w:p w14:paraId="7AD1C517" w14:textId="77777777" w:rsidR="001520E3" w:rsidRPr="00B24BEF" w:rsidRDefault="001520E3" w:rsidP="001520E3">
      <w:pPr>
        <w:pStyle w:val="FootnoteText"/>
        <w:widowControl w:val="0"/>
        <w:spacing w:line="360" w:lineRule="auto"/>
        <w:jc w:val="both"/>
        <w:rPr>
          <w:rFonts w:ascii="Arial" w:hAnsi="Arial" w:cs="Arial"/>
          <w:szCs w:val="22"/>
        </w:rPr>
      </w:pPr>
    </w:p>
    <w:p w14:paraId="5C830C19" w14:textId="4552D324" w:rsidR="001520E3" w:rsidRPr="00B24BEF" w:rsidRDefault="007528DC" w:rsidP="007528DC">
      <w:pPr>
        <w:pStyle w:val="FootnoteText"/>
        <w:widowControl w:val="0"/>
        <w:spacing w:line="360" w:lineRule="auto"/>
        <w:ind w:left="0" w:firstLine="0"/>
        <w:jc w:val="both"/>
        <w:rPr>
          <w:rFonts w:ascii="Arial" w:hAnsi="Arial" w:cs="Arial"/>
          <w:szCs w:val="22"/>
        </w:rPr>
      </w:pPr>
      <w:r>
        <w:rPr>
          <w:rStyle w:val="FootnoteReference"/>
          <w:rFonts w:ascii="Arial" w:hAnsi="Arial" w:cs="Arial"/>
          <w:szCs w:val="22"/>
        </w:rPr>
        <w:t>18</w:t>
      </w:r>
      <w:r w:rsidR="001520E3" w:rsidRPr="00B24BEF">
        <w:rPr>
          <w:rFonts w:ascii="Arial" w:hAnsi="Arial" w:cs="Arial"/>
          <w:szCs w:val="22"/>
        </w:rPr>
        <w:t xml:space="preserve"> 2 Samuel 6:16-21, Chronicles 15:29, Ecclesiastes 3:4 and Isaiah 13:21.</w:t>
      </w:r>
    </w:p>
    <w:p w14:paraId="2A7407F4" w14:textId="77777777" w:rsidR="001520E3" w:rsidRPr="00B24BEF" w:rsidRDefault="001520E3" w:rsidP="001520E3">
      <w:pPr>
        <w:pStyle w:val="FootnoteText"/>
        <w:widowControl w:val="0"/>
        <w:spacing w:line="360" w:lineRule="auto"/>
        <w:jc w:val="both"/>
        <w:rPr>
          <w:rFonts w:ascii="Arial" w:hAnsi="Arial" w:cs="Arial"/>
          <w:szCs w:val="22"/>
        </w:rPr>
      </w:pPr>
    </w:p>
    <w:p w14:paraId="4061F28F" w14:textId="4015296C" w:rsidR="001520E3" w:rsidRPr="00B24BEF" w:rsidRDefault="007528DC" w:rsidP="007528DC">
      <w:pPr>
        <w:pStyle w:val="FootnoteText"/>
        <w:widowControl w:val="0"/>
        <w:spacing w:line="360" w:lineRule="auto"/>
        <w:ind w:left="0" w:firstLine="0"/>
        <w:jc w:val="both"/>
        <w:rPr>
          <w:rFonts w:ascii="Arial" w:hAnsi="Arial" w:cs="Arial"/>
          <w:szCs w:val="22"/>
        </w:rPr>
      </w:pPr>
      <w:r>
        <w:rPr>
          <w:rStyle w:val="FootnoteReference"/>
          <w:rFonts w:ascii="Arial" w:hAnsi="Arial" w:cs="Arial"/>
          <w:szCs w:val="22"/>
        </w:rPr>
        <w:t>19</w:t>
      </w:r>
      <w:r w:rsidR="001520E3" w:rsidRPr="00B24BEF">
        <w:rPr>
          <w:rFonts w:ascii="Arial" w:hAnsi="Arial" w:cs="Arial"/>
          <w:szCs w:val="22"/>
        </w:rPr>
        <w:t xml:space="preserve"> This seems coherent with Mark’s anti-imperial” </w:t>
      </w:r>
      <w:r w:rsidR="001520E3" w:rsidRPr="00B24BEF">
        <w:rPr>
          <w:rFonts w:ascii="Arial" w:hAnsi="Arial" w:cs="Arial"/>
          <w:noProof/>
          <w:szCs w:val="22"/>
        </w:rPr>
        <w:t>(Liew, 2009: 110)</w:t>
      </w:r>
      <w:r w:rsidR="001520E3" w:rsidRPr="00B24BEF">
        <w:rPr>
          <w:rFonts w:ascii="Arial" w:hAnsi="Arial" w:cs="Arial"/>
          <w:szCs w:val="22"/>
        </w:rPr>
        <w:t xml:space="preserve"> and “anti-authority” </w:t>
      </w:r>
      <w:r w:rsidR="001520E3" w:rsidRPr="00B24BEF">
        <w:rPr>
          <w:rFonts w:ascii="Arial" w:hAnsi="Arial" w:cs="Arial"/>
          <w:noProof/>
          <w:szCs w:val="22"/>
        </w:rPr>
        <w:t>(Liew, 2009: 111)</w:t>
      </w:r>
      <w:r w:rsidR="001520E3" w:rsidRPr="00B24BEF">
        <w:rPr>
          <w:rFonts w:ascii="Arial" w:hAnsi="Arial" w:cs="Arial"/>
          <w:szCs w:val="22"/>
        </w:rPr>
        <w:t xml:space="preserve"> ideology.</w:t>
      </w:r>
    </w:p>
    <w:p w14:paraId="08A32667" w14:textId="77777777" w:rsidR="001520E3" w:rsidRPr="00B24BEF" w:rsidRDefault="001520E3" w:rsidP="001520E3">
      <w:pPr>
        <w:pStyle w:val="FootnoteText"/>
        <w:widowControl w:val="0"/>
        <w:spacing w:line="360" w:lineRule="auto"/>
        <w:jc w:val="both"/>
        <w:rPr>
          <w:rFonts w:ascii="Arial" w:hAnsi="Arial" w:cs="Arial"/>
          <w:szCs w:val="22"/>
        </w:rPr>
      </w:pPr>
    </w:p>
    <w:p w14:paraId="7604F7B6" w14:textId="3F3BD2AB" w:rsidR="001520E3" w:rsidRPr="00B24BEF" w:rsidRDefault="007528DC" w:rsidP="001520E3">
      <w:pPr>
        <w:pStyle w:val="FootnoteText"/>
        <w:widowControl w:val="0"/>
        <w:spacing w:line="360" w:lineRule="auto"/>
        <w:jc w:val="both"/>
        <w:rPr>
          <w:rFonts w:ascii="Arial" w:hAnsi="Arial" w:cs="Arial"/>
          <w:noProof/>
          <w:szCs w:val="22"/>
        </w:rPr>
      </w:pPr>
      <w:r>
        <w:rPr>
          <w:rStyle w:val="FootnoteReference"/>
          <w:rFonts w:ascii="Arial" w:hAnsi="Arial" w:cs="Arial"/>
          <w:szCs w:val="22"/>
        </w:rPr>
        <w:t>20</w:t>
      </w:r>
      <w:r w:rsidR="001520E3" w:rsidRPr="00B24BEF">
        <w:rPr>
          <w:rFonts w:ascii="Arial" w:hAnsi="Arial" w:cs="Arial"/>
          <w:szCs w:val="22"/>
        </w:rPr>
        <w:t xml:space="preserve"> See: </w:t>
      </w:r>
      <w:r w:rsidR="001520E3" w:rsidRPr="00B24BEF">
        <w:rPr>
          <w:rFonts w:ascii="Arial" w:hAnsi="Arial" w:cs="Arial"/>
          <w:noProof/>
          <w:szCs w:val="22"/>
        </w:rPr>
        <w:t>Guelich, 1989: 332; Marcus, 2000: 397.</w:t>
      </w:r>
    </w:p>
    <w:p w14:paraId="379FE718" w14:textId="77777777" w:rsidR="001520E3" w:rsidRPr="00B24BEF" w:rsidRDefault="001520E3" w:rsidP="001520E3">
      <w:pPr>
        <w:pStyle w:val="FootnoteText"/>
        <w:widowControl w:val="0"/>
        <w:spacing w:line="360" w:lineRule="auto"/>
        <w:jc w:val="both"/>
        <w:rPr>
          <w:rFonts w:ascii="Arial" w:hAnsi="Arial" w:cs="Arial"/>
          <w:szCs w:val="22"/>
        </w:rPr>
      </w:pPr>
    </w:p>
    <w:p w14:paraId="0C7165CE" w14:textId="7A559BFE" w:rsidR="001520E3" w:rsidRPr="00B24BEF" w:rsidRDefault="007528DC" w:rsidP="001520E3">
      <w:pPr>
        <w:pStyle w:val="FootnoteText"/>
        <w:widowControl w:val="0"/>
        <w:spacing w:line="360" w:lineRule="auto"/>
        <w:jc w:val="both"/>
        <w:rPr>
          <w:rFonts w:ascii="Arial" w:hAnsi="Arial" w:cs="Arial"/>
          <w:noProof/>
          <w:szCs w:val="22"/>
        </w:rPr>
      </w:pPr>
      <w:r>
        <w:rPr>
          <w:rStyle w:val="FootnoteReference"/>
          <w:rFonts w:ascii="Arial" w:hAnsi="Arial" w:cs="Arial"/>
          <w:szCs w:val="22"/>
        </w:rPr>
        <w:t>21</w:t>
      </w:r>
      <w:r w:rsidR="001520E3" w:rsidRPr="00B24BEF">
        <w:rPr>
          <w:rFonts w:ascii="Arial" w:hAnsi="Arial" w:cs="Arial"/>
          <w:szCs w:val="22"/>
        </w:rPr>
        <w:t xml:space="preserve"> See: </w:t>
      </w:r>
      <w:r w:rsidR="001520E3" w:rsidRPr="00B24BEF">
        <w:rPr>
          <w:rFonts w:ascii="Arial" w:hAnsi="Arial" w:cs="Arial"/>
          <w:noProof/>
          <w:szCs w:val="22"/>
        </w:rPr>
        <w:t>Miller, 2004: 81.</w:t>
      </w:r>
    </w:p>
    <w:p w14:paraId="755B3A64" w14:textId="77777777" w:rsidR="001520E3" w:rsidRPr="00B24BEF" w:rsidRDefault="001520E3" w:rsidP="001520E3">
      <w:pPr>
        <w:pStyle w:val="FootnoteText"/>
        <w:widowControl w:val="0"/>
        <w:spacing w:line="360" w:lineRule="auto"/>
        <w:jc w:val="both"/>
        <w:rPr>
          <w:rFonts w:ascii="Arial" w:hAnsi="Arial" w:cs="Arial"/>
          <w:szCs w:val="22"/>
        </w:rPr>
      </w:pPr>
    </w:p>
    <w:p w14:paraId="47DC1520" w14:textId="799E500E" w:rsidR="001520E3" w:rsidRPr="00B24BEF" w:rsidRDefault="007528DC" w:rsidP="001520E3">
      <w:pPr>
        <w:pStyle w:val="FootnoteText"/>
        <w:widowControl w:val="0"/>
        <w:spacing w:line="360" w:lineRule="auto"/>
        <w:jc w:val="both"/>
        <w:rPr>
          <w:rFonts w:ascii="Arial" w:hAnsi="Arial" w:cs="Arial"/>
          <w:noProof/>
          <w:szCs w:val="22"/>
        </w:rPr>
      </w:pPr>
      <w:r>
        <w:rPr>
          <w:rStyle w:val="FootnoteReference"/>
          <w:rFonts w:ascii="Arial" w:hAnsi="Arial" w:cs="Arial"/>
          <w:szCs w:val="22"/>
        </w:rPr>
        <w:t>22</w:t>
      </w:r>
      <w:r w:rsidR="001520E3" w:rsidRPr="00B24BEF">
        <w:rPr>
          <w:rFonts w:ascii="Arial" w:hAnsi="Arial" w:cs="Arial"/>
          <w:szCs w:val="22"/>
        </w:rPr>
        <w:t xml:space="preserve"> See: </w:t>
      </w:r>
      <w:r w:rsidR="001520E3" w:rsidRPr="00B24BEF">
        <w:rPr>
          <w:rFonts w:ascii="Arial" w:hAnsi="Arial" w:cs="Arial"/>
          <w:noProof/>
          <w:szCs w:val="22"/>
        </w:rPr>
        <w:t>Kirk-Duggan, 2004: 220.</w:t>
      </w:r>
    </w:p>
    <w:p w14:paraId="61233DC5" w14:textId="77777777" w:rsidR="001520E3" w:rsidRPr="00B24BEF" w:rsidRDefault="001520E3" w:rsidP="001520E3">
      <w:pPr>
        <w:pStyle w:val="FootnoteText"/>
        <w:widowControl w:val="0"/>
        <w:spacing w:line="360" w:lineRule="auto"/>
        <w:jc w:val="both"/>
        <w:rPr>
          <w:rFonts w:ascii="Arial" w:hAnsi="Arial" w:cs="Arial"/>
          <w:szCs w:val="22"/>
        </w:rPr>
      </w:pPr>
    </w:p>
    <w:p w14:paraId="2005A3E8" w14:textId="1E86BFC9" w:rsidR="001520E3" w:rsidRPr="00B24BEF" w:rsidRDefault="007528DC" w:rsidP="007528DC">
      <w:pPr>
        <w:pStyle w:val="FootnoteText"/>
        <w:widowControl w:val="0"/>
        <w:spacing w:line="360" w:lineRule="auto"/>
        <w:ind w:left="0" w:firstLine="0"/>
        <w:jc w:val="both"/>
        <w:rPr>
          <w:rFonts w:ascii="Arial" w:hAnsi="Arial" w:cs="Arial"/>
          <w:noProof/>
          <w:szCs w:val="22"/>
        </w:rPr>
      </w:pPr>
      <w:r>
        <w:rPr>
          <w:rStyle w:val="FootnoteReference"/>
          <w:rFonts w:ascii="Arial" w:hAnsi="Arial" w:cs="Arial"/>
          <w:szCs w:val="22"/>
        </w:rPr>
        <w:t>23</w:t>
      </w:r>
      <w:r w:rsidR="001520E3" w:rsidRPr="00B24BEF">
        <w:rPr>
          <w:rFonts w:ascii="Arial" w:hAnsi="Arial" w:cs="Arial"/>
          <w:szCs w:val="22"/>
        </w:rPr>
        <w:t xml:space="preserve"> See: </w:t>
      </w:r>
      <w:r w:rsidR="001520E3" w:rsidRPr="00B24BEF">
        <w:rPr>
          <w:rFonts w:ascii="Arial" w:hAnsi="Arial" w:cs="Arial"/>
          <w:noProof/>
          <w:szCs w:val="22"/>
        </w:rPr>
        <w:t>Cole, 2010: 1208; Kapolyo, 2010: 1166.</w:t>
      </w:r>
    </w:p>
    <w:p w14:paraId="136DBFFE" w14:textId="77777777" w:rsidR="001520E3" w:rsidRPr="00B24BEF" w:rsidRDefault="001520E3" w:rsidP="001520E3">
      <w:pPr>
        <w:pStyle w:val="FootnoteText"/>
        <w:widowControl w:val="0"/>
        <w:spacing w:line="360" w:lineRule="auto"/>
        <w:jc w:val="both"/>
        <w:rPr>
          <w:rFonts w:ascii="Arial" w:hAnsi="Arial" w:cs="Arial"/>
          <w:szCs w:val="22"/>
        </w:rPr>
      </w:pPr>
    </w:p>
    <w:p w14:paraId="746B3C67" w14:textId="531C127A" w:rsidR="001520E3" w:rsidRPr="00B24BEF" w:rsidRDefault="007528DC" w:rsidP="007528DC">
      <w:pPr>
        <w:pStyle w:val="FootnoteText"/>
        <w:widowControl w:val="0"/>
        <w:spacing w:line="360" w:lineRule="auto"/>
        <w:ind w:left="0" w:firstLine="0"/>
        <w:jc w:val="both"/>
        <w:rPr>
          <w:rFonts w:ascii="Arial" w:hAnsi="Arial" w:cs="Arial"/>
          <w:noProof/>
          <w:szCs w:val="22"/>
        </w:rPr>
      </w:pPr>
      <w:r>
        <w:rPr>
          <w:rStyle w:val="FootnoteReference"/>
          <w:rFonts w:ascii="Arial" w:hAnsi="Arial" w:cs="Arial"/>
          <w:szCs w:val="22"/>
        </w:rPr>
        <w:t>24</w:t>
      </w:r>
      <w:r w:rsidR="001520E3" w:rsidRPr="00B24BEF">
        <w:rPr>
          <w:rFonts w:ascii="Arial" w:hAnsi="Arial" w:cs="Arial"/>
          <w:szCs w:val="22"/>
        </w:rPr>
        <w:t xml:space="preserve"> See </w:t>
      </w:r>
      <w:r w:rsidR="001520E3" w:rsidRPr="00B24BEF">
        <w:rPr>
          <w:rFonts w:ascii="Arial" w:hAnsi="Arial" w:cs="Arial"/>
          <w:noProof/>
          <w:szCs w:val="22"/>
        </w:rPr>
        <w:t>Stickley et al., 2015: 74.</w:t>
      </w:r>
    </w:p>
    <w:p w14:paraId="50F9200C" w14:textId="77777777" w:rsidR="001520E3" w:rsidRPr="00B24BEF" w:rsidRDefault="001520E3" w:rsidP="001520E3">
      <w:pPr>
        <w:pStyle w:val="FootnoteText"/>
        <w:widowControl w:val="0"/>
        <w:spacing w:line="360" w:lineRule="auto"/>
        <w:jc w:val="both"/>
        <w:rPr>
          <w:rFonts w:ascii="Arial" w:hAnsi="Arial" w:cs="Arial"/>
          <w:szCs w:val="22"/>
        </w:rPr>
      </w:pPr>
    </w:p>
    <w:p w14:paraId="004F441B" w14:textId="7CEAFDDE" w:rsidR="001520E3" w:rsidRPr="00B24BEF" w:rsidRDefault="007528DC" w:rsidP="007528DC">
      <w:pPr>
        <w:pStyle w:val="FootnoteText"/>
        <w:widowControl w:val="0"/>
        <w:spacing w:line="360" w:lineRule="auto"/>
        <w:ind w:left="0" w:firstLine="0"/>
        <w:jc w:val="both"/>
        <w:rPr>
          <w:rFonts w:ascii="Arial" w:hAnsi="Arial" w:cs="Arial"/>
          <w:noProof/>
          <w:szCs w:val="22"/>
        </w:rPr>
      </w:pPr>
      <w:r>
        <w:rPr>
          <w:rStyle w:val="FootnoteReference"/>
          <w:rFonts w:ascii="Arial" w:hAnsi="Arial" w:cs="Arial"/>
          <w:szCs w:val="22"/>
        </w:rPr>
        <w:t xml:space="preserve">25 </w:t>
      </w:r>
      <w:r w:rsidR="001520E3" w:rsidRPr="00B24BEF">
        <w:rPr>
          <w:rFonts w:ascii="Arial" w:hAnsi="Arial" w:cs="Arial"/>
          <w:szCs w:val="22"/>
        </w:rPr>
        <w:t xml:space="preserve">See </w:t>
      </w:r>
      <w:r w:rsidR="001520E3" w:rsidRPr="00B24BEF">
        <w:rPr>
          <w:rFonts w:ascii="Arial" w:hAnsi="Arial" w:cs="Arial"/>
          <w:noProof/>
          <w:szCs w:val="22"/>
        </w:rPr>
        <w:t>Bremer, 2007: 166.</w:t>
      </w:r>
    </w:p>
    <w:p w14:paraId="7BF467D1" w14:textId="77777777" w:rsidR="001520E3" w:rsidRPr="00B24BEF" w:rsidRDefault="001520E3" w:rsidP="001520E3">
      <w:pPr>
        <w:pStyle w:val="FootnoteText"/>
        <w:widowControl w:val="0"/>
        <w:spacing w:line="360" w:lineRule="auto"/>
        <w:jc w:val="both"/>
        <w:rPr>
          <w:rFonts w:ascii="Arial" w:hAnsi="Arial" w:cs="Arial"/>
          <w:szCs w:val="22"/>
        </w:rPr>
      </w:pPr>
    </w:p>
    <w:p w14:paraId="6A3FBCFA" w14:textId="317138A7" w:rsidR="001520E3" w:rsidRDefault="007528DC" w:rsidP="007528DC">
      <w:pPr>
        <w:pStyle w:val="FootnoteText"/>
        <w:widowControl w:val="0"/>
        <w:spacing w:line="360" w:lineRule="auto"/>
        <w:ind w:left="0" w:firstLine="0"/>
        <w:jc w:val="both"/>
        <w:rPr>
          <w:rFonts w:ascii="Arial" w:hAnsi="Arial" w:cs="Arial"/>
          <w:szCs w:val="22"/>
        </w:rPr>
      </w:pPr>
      <w:r>
        <w:rPr>
          <w:rStyle w:val="FootnoteReference"/>
          <w:rFonts w:ascii="Arial" w:hAnsi="Arial" w:cs="Arial"/>
          <w:szCs w:val="22"/>
        </w:rPr>
        <w:t>26</w:t>
      </w:r>
      <w:r>
        <w:rPr>
          <w:rFonts w:ascii="Arial" w:hAnsi="Arial" w:cs="Arial"/>
          <w:szCs w:val="22"/>
        </w:rPr>
        <w:t xml:space="preserve"> </w:t>
      </w:r>
      <w:r w:rsidR="001520E3" w:rsidRPr="00B24BEF">
        <w:rPr>
          <w:rFonts w:ascii="Arial" w:hAnsi="Arial" w:cs="Arial"/>
          <w:szCs w:val="22"/>
        </w:rPr>
        <w:t>This is the experience of my father who was born in a poor village called Abababubu in Ondo State, Nigeria. He was completely unaware of his exact date and year of birth, and so when he came to the UK, he picked the 1</w:t>
      </w:r>
      <w:r w:rsidR="001520E3" w:rsidRPr="00B24BEF">
        <w:rPr>
          <w:rFonts w:ascii="Arial" w:hAnsi="Arial" w:cs="Arial"/>
          <w:szCs w:val="22"/>
          <w:vertAlign w:val="superscript"/>
        </w:rPr>
        <w:t xml:space="preserve">st  </w:t>
      </w:r>
      <w:r w:rsidR="001520E3" w:rsidRPr="00B24BEF">
        <w:rPr>
          <w:rFonts w:ascii="Arial" w:hAnsi="Arial" w:cs="Arial"/>
          <w:szCs w:val="22"/>
        </w:rPr>
        <w:t xml:space="preserve">October as it is Nigerian Independence Day. Thankfully, he had a rich friend in Nigeria who he knew was born 3 days after him and had his birthday recorded. As an adult, my father was able to contact him and finally learn his exact date of birth. Now he has two birthdays – just like royalty! </w:t>
      </w:r>
    </w:p>
    <w:p w14:paraId="43BC4ECD" w14:textId="77777777" w:rsidR="007528DC" w:rsidRPr="00B24BEF" w:rsidRDefault="007528DC" w:rsidP="007528DC">
      <w:pPr>
        <w:pStyle w:val="FootnoteText"/>
        <w:widowControl w:val="0"/>
        <w:spacing w:line="360" w:lineRule="auto"/>
        <w:ind w:left="0" w:firstLine="0"/>
        <w:jc w:val="both"/>
        <w:rPr>
          <w:rFonts w:ascii="Arial" w:hAnsi="Arial" w:cs="Arial"/>
          <w:szCs w:val="22"/>
        </w:rPr>
      </w:pPr>
    </w:p>
    <w:p w14:paraId="2A41BB62" w14:textId="37FAD83A" w:rsidR="001520E3" w:rsidRPr="00B24BEF" w:rsidRDefault="007528DC" w:rsidP="007528DC">
      <w:pPr>
        <w:pStyle w:val="FootnoteText"/>
        <w:widowControl w:val="0"/>
        <w:spacing w:line="360" w:lineRule="auto"/>
        <w:ind w:left="0" w:firstLine="0"/>
        <w:jc w:val="both"/>
        <w:rPr>
          <w:rFonts w:ascii="Arial" w:hAnsi="Arial" w:cs="Arial"/>
          <w:noProof/>
          <w:szCs w:val="22"/>
        </w:rPr>
      </w:pPr>
      <w:r>
        <w:rPr>
          <w:rStyle w:val="FootnoteReference"/>
          <w:rFonts w:ascii="Arial" w:hAnsi="Arial" w:cs="Arial"/>
          <w:szCs w:val="22"/>
        </w:rPr>
        <w:t>27</w:t>
      </w:r>
      <w:r w:rsidR="001520E3" w:rsidRPr="00B24BEF">
        <w:rPr>
          <w:rFonts w:ascii="Arial" w:hAnsi="Arial" w:cs="Arial"/>
          <w:szCs w:val="22"/>
        </w:rPr>
        <w:t xml:space="preserve"> See: </w:t>
      </w:r>
      <w:r w:rsidR="001520E3" w:rsidRPr="00B24BEF">
        <w:rPr>
          <w:rFonts w:ascii="Arial" w:hAnsi="Arial" w:cs="Arial"/>
          <w:noProof/>
          <w:szCs w:val="22"/>
        </w:rPr>
        <w:t>Collins and Attridge, 2007: 308; Marcus, 2000: 401; Rawlinson, 1956: 82; Hooker, 1991: 161; Lane, 1974: 220.</w:t>
      </w:r>
    </w:p>
    <w:p w14:paraId="36BE5C0B" w14:textId="77777777" w:rsidR="001520E3" w:rsidRPr="00B24BEF" w:rsidRDefault="001520E3" w:rsidP="001520E3">
      <w:pPr>
        <w:pStyle w:val="FootnoteText"/>
        <w:widowControl w:val="0"/>
        <w:spacing w:line="360" w:lineRule="auto"/>
        <w:jc w:val="both"/>
        <w:rPr>
          <w:rFonts w:ascii="Arial" w:hAnsi="Arial" w:cs="Arial"/>
          <w:szCs w:val="22"/>
        </w:rPr>
      </w:pPr>
    </w:p>
    <w:p w14:paraId="3FDDE9BD" w14:textId="3CC8789C" w:rsidR="001520E3" w:rsidRPr="00B24BEF" w:rsidRDefault="007528DC" w:rsidP="007528DC">
      <w:pPr>
        <w:pStyle w:val="FootnoteText"/>
        <w:widowControl w:val="0"/>
        <w:spacing w:line="360" w:lineRule="auto"/>
        <w:ind w:left="0" w:firstLine="0"/>
        <w:jc w:val="both"/>
        <w:rPr>
          <w:rFonts w:ascii="Arial" w:hAnsi="Arial" w:cs="Arial"/>
          <w:noProof/>
          <w:szCs w:val="22"/>
        </w:rPr>
      </w:pPr>
      <w:r>
        <w:rPr>
          <w:rStyle w:val="FootnoteReference"/>
          <w:rFonts w:ascii="Arial" w:hAnsi="Arial" w:cs="Arial"/>
          <w:szCs w:val="22"/>
        </w:rPr>
        <w:t>28</w:t>
      </w:r>
      <w:r w:rsidR="001520E3" w:rsidRPr="00B24BEF">
        <w:rPr>
          <w:rFonts w:ascii="Arial" w:hAnsi="Arial" w:cs="Arial"/>
          <w:szCs w:val="22"/>
        </w:rPr>
        <w:t xml:space="preserve"> See also </w:t>
      </w:r>
      <w:r w:rsidR="001520E3" w:rsidRPr="00B24BEF">
        <w:rPr>
          <w:rFonts w:ascii="Arial" w:hAnsi="Arial" w:cs="Arial"/>
          <w:noProof/>
          <w:szCs w:val="22"/>
        </w:rPr>
        <w:t>Painter, 1997: 102.</w:t>
      </w:r>
    </w:p>
    <w:p w14:paraId="3F5CC609" w14:textId="77777777" w:rsidR="001520E3" w:rsidRPr="00B24BEF" w:rsidRDefault="001520E3" w:rsidP="001520E3">
      <w:pPr>
        <w:pStyle w:val="FootnoteText"/>
        <w:widowControl w:val="0"/>
        <w:spacing w:line="360" w:lineRule="auto"/>
        <w:jc w:val="both"/>
        <w:rPr>
          <w:rFonts w:ascii="Arial" w:hAnsi="Arial" w:cs="Arial"/>
          <w:szCs w:val="22"/>
        </w:rPr>
      </w:pPr>
    </w:p>
    <w:p w14:paraId="652620F5" w14:textId="4E879EB8" w:rsidR="001520E3" w:rsidRPr="00B24BEF" w:rsidRDefault="00D876F5" w:rsidP="001520E3">
      <w:pPr>
        <w:widowControl w:val="0"/>
        <w:spacing w:line="360" w:lineRule="auto"/>
        <w:jc w:val="both"/>
        <w:rPr>
          <w:rFonts w:ascii="Arial" w:hAnsi="Arial" w:cs="Arial"/>
          <w:sz w:val="22"/>
        </w:rPr>
      </w:pPr>
      <w:r>
        <w:rPr>
          <w:rStyle w:val="FootnoteReference"/>
          <w:rFonts w:ascii="Arial" w:hAnsi="Arial" w:cs="Arial"/>
          <w:sz w:val="22"/>
        </w:rPr>
        <w:t>29</w:t>
      </w:r>
      <w:r w:rsidR="001520E3" w:rsidRPr="00B24BEF">
        <w:rPr>
          <w:rFonts w:ascii="Arial" w:hAnsi="Arial" w:cs="Arial"/>
          <w:sz w:val="22"/>
        </w:rPr>
        <w:t xml:space="preserve"> His art aimed to recover the Africa-American experience during a time when “a massive movement for social justice burst upon the American scene” </w:t>
      </w:r>
      <w:r w:rsidR="001520E3" w:rsidRPr="00B24BEF">
        <w:rPr>
          <w:rFonts w:ascii="Arial" w:hAnsi="Arial" w:cs="Arial"/>
          <w:noProof/>
          <w:sz w:val="22"/>
        </w:rPr>
        <w:t>(Greene, 1971: 4)</w:t>
      </w:r>
      <w:r w:rsidR="001520E3" w:rsidRPr="00B24BEF">
        <w:rPr>
          <w:rFonts w:ascii="Arial" w:hAnsi="Arial" w:cs="Arial"/>
          <w:sz w:val="22"/>
        </w:rPr>
        <w:t>.</w:t>
      </w:r>
      <w:r>
        <w:rPr>
          <w:rFonts w:ascii="Arial" w:hAnsi="Arial" w:cs="Arial"/>
          <w:sz w:val="22"/>
        </w:rPr>
        <w:br/>
      </w:r>
    </w:p>
    <w:p w14:paraId="02CB411B" w14:textId="6F4FFEE6" w:rsidR="001520E3" w:rsidRPr="00B24BEF" w:rsidRDefault="00D876F5" w:rsidP="00D876F5">
      <w:pPr>
        <w:pStyle w:val="FootnoteText"/>
        <w:widowControl w:val="0"/>
        <w:spacing w:line="360" w:lineRule="auto"/>
        <w:ind w:left="0" w:firstLine="0"/>
        <w:jc w:val="both"/>
        <w:rPr>
          <w:rFonts w:ascii="Arial" w:hAnsi="Arial" w:cs="Arial"/>
          <w:noProof/>
          <w:szCs w:val="22"/>
        </w:rPr>
      </w:pPr>
      <w:r>
        <w:rPr>
          <w:rStyle w:val="FootnoteReference"/>
          <w:rFonts w:ascii="Arial" w:hAnsi="Arial" w:cs="Arial"/>
          <w:szCs w:val="22"/>
        </w:rPr>
        <w:t>30</w:t>
      </w:r>
      <w:r w:rsidR="001520E3" w:rsidRPr="00B24BEF">
        <w:rPr>
          <w:rFonts w:ascii="Arial" w:hAnsi="Arial" w:cs="Arial"/>
          <w:szCs w:val="22"/>
        </w:rPr>
        <w:t xml:space="preserve"> He had “Cherokee and Italian as well as African ancestry” </w:t>
      </w:r>
      <w:r w:rsidR="001520E3" w:rsidRPr="00B24BEF">
        <w:rPr>
          <w:rFonts w:ascii="Arial" w:hAnsi="Arial" w:cs="Arial"/>
          <w:noProof/>
          <w:szCs w:val="22"/>
        </w:rPr>
        <w:t>(Kinzer, 2002).</w:t>
      </w:r>
    </w:p>
    <w:p w14:paraId="4A8D6414" w14:textId="77777777" w:rsidR="001520E3" w:rsidRPr="00B24BEF" w:rsidRDefault="001520E3" w:rsidP="001520E3">
      <w:pPr>
        <w:pStyle w:val="FootnoteText"/>
        <w:widowControl w:val="0"/>
        <w:spacing w:line="360" w:lineRule="auto"/>
        <w:jc w:val="both"/>
        <w:rPr>
          <w:rFonts w:ascii="Arial" w:hAnsi="Arial" w:cs="Arial"/>
          <w:szCs w:val="22"/>
        </w:rPr>
      </w:pPr>
    </w:p>
    <w:p w14:paraId="2D4520BF" w14:textId="3D8A3261" w:rsidR="001520E3" w:rsidRPr="00B24BEF" w:rsidRDefault="00D876F5" w:rsidP="00D876F5">
      <w:pPr>
        <w:pStyle w:val="FootnoteText"/>
        <w:widowControl w:val="0"/>
        <w:spacing w:line="360" w:lineRule="auto"/>
        <w:ind w:left="0" w:firstLine="0"/>
        <w:jc w:val="both"/>
        <w:rPr>
          <w:rFonts w:ascii="Arial" w:hAnsi="Arial" w:cs="Arial"/>
          <w:szCs w:val="22"/>
        </w:rPr>
      </w:pPr>
      <w:r>
        <w:rPr>
          <w:rStyle w:val="FootnoteReference"/>
          <w:rFonts w:ascii="Arial" w:hAnsi="Arial" w:cs="Arial"/>
          <w:szCs w:val="22"/>
        </w:rPr>
        <w:t>31</w:t>
      </w:r>
      <w:r w:rsidR="001520E3" w:rsidRPr="00B24BEF">
        <w:rPr>
          <w:rFonts w:ascii="Arial" w:hAnsi="Arial" w:cs="Arial"/>
          <w:szCs w:val="22"/>
        </w:rPr>
        <w:t xml:space="preserve"> “In the first name, the parents have little role to play. The name is chosen by the circumstances of birth” </w:t>
      </w:r>
      <w:r w:rsidR="001520E3" w:rsidRPr="00B24BEF">
        <w:rPr>
          <w:rFonts w:ascii="Arial" w:hAnsi="Arial" w:cs="Arial"/>
          <w:noProof/>
          <w:szCs w:val="22"/>
        </w:rPr>
        <w:t>(Sotunsa and Borah, 2020: 127)</w:t>
      </w:r>
      <w:r w:rsidR="001520E3" w:rsidRPr="00B24BEF">
        <w:rPr>
          <w:rFonts w:ascii="Arial" w:hAnsi="Arial" w:cs="Arial"/>
          <w:szCs w:val="22"/>
        </w:rPr>
        <w:t>.</w:t>
      </w:r>
    </w:p>
    <w:p w14:paraId="0B7DE6F7" w14:textId="77777777" w:rsidR="001520E3" w:rsidRPr="00B24BEF" w:rsidRDefault="001520E3" w:rsidP="00D270EA">
      <w:pPr>
        <w:pStyle w:val="Newparagraph"/>
        <w:rPr>
          <w:rFonts w:ascii="Arial" w:hAnsi="Arial" w:cs="Arial"/>
          <w:lang w:bidi="ar-JO"/>
        </w:rPr>
      </w:pPr>
    </w:p>
    <w:p w14:paraId="20391B72" w14:textId="30C28F75" w:rsidR="001C4205" w:rsidRPr="00B24BEF" w:rsidRDefault="0044593E" w:rsidP="00D270EA">
      <w:pPr>
        <w:pStyle w:val="Heading1"/>
        <w:rPr>
          <w:rFonts w:ascii="Arial" w:hAnsi="Arial"/>
        </w:rPr>
      </w:pPr>
      <w:r w:rsidRPr="00B24BEF">
        <w:rPr>
          <w:rFonts w:ascii="Arial" w:hAnsi="Arial"/>
        </w:rPr>
        <w:t>References</w:t>
      </w:r>
    </w:p>
    <w:p w14:paraId="37BA5572"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Abimbọla W And Miller I (1997) </w:t>
      </w:r>
      <w:r w:rsidRPr="00DC0BAA">
        <w:rPr>
          <w:rFonts w:ascii="Arial" w:eastAsia="Aptos" w:hAnsi="Arial" w:cs="Arial"/>
          <w:i/>
          <w:noProof/>
          <w:lang w:val="en-US" w:eastAsia="en-US"/>
        </w:rPr>
        <w:t>Ifá Will Mend Our Broken World: Thoughts On Yoruba Religion And Culture In Africa And The Diaspora.</w:t>
      </w:r>
      <w:r w:rsidRPr="00DC0BAA">
        <w:rPr>
          <w:rFonts w:ascii="Arial" w:eastAsia="Aptos" w:hAnsi="Arial" w:cs="Arial"/>
          <w:noProof/>
          <w:lang w:val="en-US" w:eastAsia="en-US"/>
        </w:rPr>
        <w:t xml:space="preserve"> Roxbury, Mass: Aim Books</w:t>
      </w:r>
    </w:p>
    <w:p w14:paraId="026CC8FD"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Adegbite A (1988) The Drum And Its Role In Yoruba Religion. </w:t>
      </w:r>
      <w:r w:rsidRPr="00DC0BAA">
        <w:rPr>
          <w:rFonts w:ascii="Arial" w:eastAsia="Aptos" w:hAnsi="Arial" w:cs="Arial"/>
          <w:i/>
          <w:noProof/>
          <w:lang w:val="en-US" w:eastAsia="en-US"/>
        </w:rPr>
        <w:t>Journal Of Religion In Africa/Religion En Afrique</w:t>
      </w:r>
      <w:r w:rsidRPr="00DC0BAA">
        <w:rPr>
          <w:rFonts w:ascii="Arial" w:eastAsia="Aptos" w:hAnsi="Arial" w:cs="Arial"/>
          <w:noProof/>
          <w:lang w:val="en-US" w:eastAsia="en-US"/>
        </w:rPr>
        <w:t xml:space="preserve"> 18(1):15.</w:t>
      </w:r>
    </w:p>
    <w:p w14:paraId="22674BD5"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Ajayi-Soyinka O (2010) ‘Dance’. In: Irele A And Jeyifo B (Eds) </w:t>
      </w:r>
      <w:r w:rsidRPr="00DC0BAA">
        <w:rPr>
          <w:rFonts w:ascii="Arial" w:eastAsia="Aptos" w:hAnsi="Arial" w:cs="Arial"/>
          <w:i/>
          <w:noProof/>
          <w:lang w:val="en-US" w:eastAsia="en-US"/>
        </w:rPr>
        <w:t>The Oxford Encyclopedia Of African Thought</w:t>
      </w:r>
      <w:r w:rsidRPr="00DC0BAA">
        <w:rPr>
          <w:rFonts w:ascii="Arial" w:eastAsia="Aptos" w:hAnsi="Arial" w:cs="Arial"/>
          <w:noProof/>
          <w:lang w:val="en-US" w:eastAsia="en-US"/>
        </w:rPr>
        <w:t>. New York: Oxford University Press.</w:t>
      </w:r>
    </w:p>
    <w:p w14:paraId="6FD4ED84"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Akena FA (2012) ‘Critical Analysis Of The Production Of Western Knowledge And </w:t>
      </w:r>
      <w:r w:rsidRPr="00DC0BAA">
        <w:rPr>
          <w:rFonts w:ascii="Arial" w:eastAsia="Aptos" w:hAnsi="Arial" w:cs="Arial"/>
          <w:noProof/>
          <w:lang w:val="en-US" w:eastAsia="en-US"/>
        </w:rPr>
        <w:lastRenderedPageBreak/>
        <w:t xml:space="preserve">Its Implications For Indigenous Knowledge And Decolonization’. </w:t>
      </w:r>
      <w:r w:rsidRPr="00DC0BAA">
        <w:rPr>
          <w:rFonts w:ascii="Arial" w:eastAsia="Aptos" w:hAnsi="Arial" w:cs="Arial"/>
          <w:i/>
          <w:noProof/>
          <w:lang w:val="en-US" w:eastAsia="en-US"/>
        </w:rPr>
        <w:t>Journal Of Black Studies</w:t>
      </w:r>
      <w:r w:rsidRPr="00DC0BAA">
        <w:rPr>
          <w:rFonts w:ascii="Arial" w:eastAsia="Aptos" w:hAnsi="Arial" w:cs="Arial"/>
          <w:noProof/>
          <w:lang w:val="en-US" w:eastAsia="en-US"/>
        </w:rPr>
        <w:t xml:space="preserve"> 43(6): 599-619.</w:t>
      </w:r>
    </w:p>
    <w:p w14:paraId="56A8C834"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Akinsipe FA (2018) ‘Dance In The Yoriba Family Rites Of Birth, Marriage And Death’. </w:t>
      </w:r>
      <w:r w:rsidRPr="00DC0BAA">
        <w:rPr>
          <w:rFonts w:ascii="Arial" w:eastAsia="Aptos" w:hAnsi="Arial" w:cs="Arial"/>
          <w:i/>
          <w:noProof/>
          <w:lang w:val="en-US" w:eastAsia="en-US"/>
        </w:rPr>
        <w:t>Lwati: A Journal Of Contemporary Research</w:t>
      </w:r>
      <w:r w:rsidRPr="00DC0BAA">
        <w:rPr>
          <w:rFonts w:ascii="Arial" w:eastAsia="Aptos" w:hAnsi="Arial" w:cs="Arial"/>
          <w:noProof/>
          <w:lang w:val="en-US" w:eastAsia="en-US"/>
        </w:rPr>
        <w:t xml:space="preserve"> 15(2): 214-226.</w:t>
      </w:r>
    </w:p>
    <w:p w14:paraId="2415586C"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Akíntúndé F (2019) ‘The Socio-Cultural Relevance Of The Hunters’ Performance’ In Yorùbá Land. </w:t>
      </w:r>
      <w:r w:rsidRPr="00DC0BAA">
        <w:rPr>
          <w:rFonts w:ascii="Arial" w:eastAsia="Aptos" w:hAnsi="Arial" w:cs="Arial"/>
          <w:i/>
          <w:noProof/>
          <w:lang w:val="en-US" w:eastAsia="en-US"/>
        </w:rPr>
        <w:t>Bahria University Journal Of Humanities &amp; Social Sciences</w:t>
      </w:r>
      <w:r w:rsidRPr="00DC0BAA">
        <w:rPr>
          <w:rFonts w:ascii="Arial" w:eastAsia="Aptos" w:hAnsi="Arial" w:cs="Arial"/>
          <w:noProof/>
          <w:lang w:val="en-US" w:eastAsia="en-US"/>
        </w:rPr>
        <w:t xml:space="preserve"> 2(2): 17-17.</w:t>
      </w:r>
    </w:p>
    <w:p w14:paraId="61EDDF6E"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Alexiou M (2002) </w:t>
      </w:r>
      <w:r w:rsidRPr="00DC0BAA">
        <w:rPr>
          <w:rFonts w:ascii="Arial" w:eastAsia="Aptos" w:hAnsi="Arial" w:cs="Arial"/>
          <w:i/>
          <w:noProof/>
          <w:lang w:val="en-US" w:eastAsia="en-US"/>
        </w:rPr>
        <w:t xml:space="preserve">The Ritual Lament In Greek Tradition. </w:t>
      </w:r>
      <w:r w:rsidRPr="00DC0BAA">
        <w:rPr>
          <w:rFonts w:ascii="Arial" w:eastAsia="Aptos" w:hAnsi="Arial" w:cs="Arial"/>
          <w:noProof/>
          <w:lang w:val="en-US" w:eastAsia="en-US"/>
        </w:rPr>
        <w:t>Oxford, England: Rowman &amp; Littlefield.</w:t>
      </w:r>
    </w:p>
    <w:p w14:paraId="7DA161A3"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Allison DC (2013) ‘Matthew’. In: Barton J And Muddiman J (Eds) </w:t>
      </w:r>
      <w:r w:rsidRPr="00DC0BAA">
        <w:rPr>
          <w:rFonts w:ascii="Arial" w:eastAsia="Aptos" w:hAnsi="Arial" w:cs="Arial"/>
          <w:i/>
          <w:noProof/>
          <w:lang w:val="en-US" w:eastAsia="en-US"/>
        </w:rPr>
        <w:t>The Oxford Bible Commentary</w:t>
      </w:r>
      <w:r w:rsidRPr="00DC0BAA">
        <w:rPr>
          <w:rFonts w:ascii="Arial" w:eastAsia="Aptos" w:hAnsi="Arial" w:cs="Arial"/>
          <w:noProof/>
          <w:lang w:val="en-US" w:eastAsia="en-US"/>
        </w:rPr>
        <w:t>. Oxford, United Kingdom: Oxford University Press.</w:t>
      </w:r>
    </w:p>
    <w:p w14:paraId="332BB2E3"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Aluede C, Aiyejina D And Ekewenu B (2007) African Dance in The ‘Nigerian Christian Church’: An Appraisal. </w:t>
      </w:r>
      <w:r w:rsidRPr="00DC0BAA">
        <w:rPr>
          <w:rFonts w:ascii="Arial" w:eastAsia="Aptos" w:hAnsi="Arial" w:cs="Arial"/>
          <w:i/>
          <w:noProof/>
          <w:lang w:val="en-US" w:eastAsia="en-US"/>
        </w:rPr>
        <w:t>African Musicology On-Line</w:t>
      </w:r>
      <w:r w:rsidRPr="00DC0BAA">
        <w:rPr>
          <w:rFonts w:ascii="Arial" w:eastAsia="Aptos" w:hAnsi="Arial" w:cs="Arial"/>
          <w:noProof/>
          <w:lang w:val="en-US" w:eastAsia="en-US"/>
        </w:rPr>
        <w:t>. 77.</w:t>
      </w:r>
    </w:p>
    <w:p w14:paraId="2E7A6DEE"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Anderson CJ (1992) Feminist Criticism: The Dancing Daughter. In: Anderson CJM, D. Stephen (Ed) </w:t>
      </w:r>
      <w:r w:rsidRPr="00DC0BAA">
        <w:rPr>
          <w:rFonts w:ascii="Arial" w:eastAsia="Aptos" w:hAnsi="Arial" w:cs="Arial"/>
          <w:i/>
          <w:noProof/>
          <w:lang w:val="en-US" w:eastAsia="en-US"/>
        </w:rPr>
        <w:t>Mark And Method: New Approaches In Biblical Studies</w:t>
      </w:r>
      <w:r w:rsidRPr="00DC0BAA">
        <w:rPr>
          <w:rFonts w:ascii="Arial" w:eastAsia="Aptos" w:hAnsi="Arial" w:cs="Arial"/>
          <w:noProof/>
          <w:lang w:val="en-US" w:eastAsia="en-US"/>
        </w:rPr>
        <w:t>. Minneapolis: Fortress Press.</w:t>
      </w:r>
    </w:p>
    <w:p w14:paraId="29D81788"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Arndt W, Bauer W, Danker FW, et al. (2000) </w:t>
      </w:r>
      <w:r w:rsidRPr="00DC0BAA">
        <w:rPr>
          <w:rFonts w:ascii="Arial" w:eastAsia="Aptos" w:hAnsi="Arial" w:cs="Arial"/>
          <w:i/>
          <w:noProof/>
          <w:lang w:val="en-US" w:eastAsia="en-US"/>
        </w:rPr>
        <w:t>A Greek-English Lexicon Of The New Testament And Other Early Christian Literature.</w:t>
      </w:r>
      <w:r w:rsidRPr="00DC0BAA">
        <w:rPr>
          <w:rFonts w:ascii="Arial" w:eastAsia="Aptos" w:hAnsi="Arial" w:cs="Arial"/>
          <w:noProof/>
          <w:lang w:val="en-US" w:eastAsia="en-US"/>
        </w:rPr>
        <w:t xml:space="preserve"> Chicago: University Of Chicago Press.</w:t>
      </w:r>
    </w:p>
    <w:p w14:paraId="620B8E9A"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Babáwálé T (2016) ‘Drums’. In: Fálọlá T And Akínyẹmí A (Eds) </w:t>
      </w:r>
      <w:r w:rsidRPr="00DC0BAA">
        <w:rPr>
          <w:rFonts w:ascii="Arial" w:eastAsia="Aptos" w:hAnsi="Arial" w:cs="Arial"/>
          <w:i/>
          <w:noProof/>
          <w:lang w:val="en-US" w:eastAsia="en-US"/>
        </w:rPr>
        <w:t>Encyclopedia Of The Yoruba</w:t>
      </w:r>
      <w:r w:rsidRPr="00DC0BAA">
        <w:rPr>
          <w:rFonts w:ascii="Arial" w:eastAsia="Aptos" w:hAnsi="Arial" w:cs="Arial"/>
          <w:noProof/>
          <w:lang w:val="en-US" w:eastAsia="en-US"/>
        </w:rPr>
        <w:t>. Bloomington: Indiana University Press, Pp.108-109.</w:t>
      </w:r>
    </w:p>
    <w:p w14:paraId="706A8DBF"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Bearden RH (1974) Salome - John The Baptist.  Available at: </w:t>
      </w:r>
      <w:hyperlink r:id="rId11" w:history="1">
        <w:r w:rsidRPr="00DC0BAA">
          <w:rPr>
            <w:rFonts w:ascii="Arial" w:eastAsia="Aptos" w:hAnsi="Arial" w:cs="Arial"/>
            <w:noProof/>
            <w:color w:val="467886"/>
            <w:u w:val="single"/>
            <w:lang w:eastAsia="en-US"/>
          </w:rPr>
          <w:t>Romare Bearden - Modern &amp; Contempor... Lot 72 November 2010 | Phillips</w:t>
        </w:r>
      </w:hyperlink>
      <w:r w:rsidRPr="00DC0BAA">
        <w:rPr>
          <w:rFonts w:ascii="Arial" w:eastAsia="Aptos" w:hAnsi="Arial" w:cs="Arial"/>
          <w:noProof/>
          <w:lang w:val="en-US" w:eastAsia="en-US"/>
        </w:rPr>
        <w:t xml:space="preserve"> (Accessed 19/09/2023).</w:t>
      </w:r>
    </w:p>
    <w:p w14:paraId="42CCD67E"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Beardsley A (1893) Salome. In: 1872-1898 (Ed) </w:t>
      </w:r>
      <w:r w:rsidRPr="00DC0BAA">
        <w:rPr>
          <w:rFonts w:ascii="Arial" w:eastAsia="Aptos" w:hAnsi="Arial" w:cs="Arial"/>
          <w:i/>
          <w:noProof/>
          <w:lang w:val="en-US" w:eastAsia="en-US"/>
        </w:rPr>
        <w:t xml:space="preserve">Pen, India Ink And Green </w:t>
      </w:r>
      <w:r w:rsidRPr="00DC0BAA">
        <w:rPr>
          <w:rFonts w:ascii="Arial" w:eastAsia="Aptos" w:hAnsi="Arial" w:cs="Arial"/>
          <w:i/>
          <w:noProof/>
          <w:lang w:val="en-US" w:eastAsia="en-US"/>
        </w:rPr>
        <w:lastRenderedPageBreak/>
        <w:t xml:space="preserve">Watercolor. </w:t>
      </w:r>
      <w:r w:rsidRPr="00DC0BAA">
        <w:rPr>
          <w:rFonts w:ascii="Arial" w:eastAsia="Aptos" w:hAnsi="Arial" w:cs="Arial"/>
          <w:iCs/>
          <w:noProof/>
          <w:lang w:val="en-US" w:eastAsia="en-US"/>
        </w:rPr>
        <w:t xml:space="preserve">Available at: </w:t>
      </w:r>
      <w:hyperlink r:id="rId12" w:history="1">
        <w:r w:rsidRPr="00DC0BAA">
          <w:rPr>
            <w:rFonts w:ascii="Arial" w:eastAsia="Aptos" w:hAnsi="Arial" w:cs="Arial"/>
            <w:iCs/>
            <w:noProof/>
            <w:color w:val="467886"/>
            <w:u w:val="single"/>
            <w:lang w:eastAsia="en-US"/>
          </w:rPr>
          <w:t>Aubrey Beardsley illustrations for Salome by Oscar Wilde | The British Library (bl.uk)</w:t>
        </w:r>
      </w:hyperlink>
      <w:r w:rsidRPr="00DC0BAA">
        <w:rPr>
          <w:rFonts w:ascii="Arial" w:eastAsia="Aptos" w:hAnsi="Arial" w:cs="Arial"/>
          <w:iCs/>
          <w:noProof/>
          <w:lang w:val="en-US" w:eastAsia="en-US"/>
        </w:rPr>
        <w:t xml:space="preserve"> </w:t>
      </w:r>
      <w:r w:rsidRPr="00DC0BAA">
        <w:rPr>
          <w:rFonts w:ascii="Arial" w:eastAsia="Aptos" w:hAnsi="Arial" w:cs="Arial"/>
          <w:noProof/>
          <w:lang w:val="en-US" w:eastAsia="en-US"/>
        </w:rPr>
        <w:t>(Accessed 19/09/2023).</w:t>
      </w:r>
    </w:p>
    <w:p w14:paraId="474D6E39"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Bedford S (1994) </w:t>
      </w:r>
      <w:r w:rsidRPr="00DC0BAA">
        <w:rPr>
          <w:rFonts w:ascii="Arial" w:eastAsia="Aptos" w:hAnsi="Arial" w:cs="Arial"/>
          <w:i/>
          <w:noProof/>
          <w:lang w:val="en-US" w:eastAsia="en-US"/>
        </w:rPr>
        <w:t>Yoruba Girl Dancing.</w:t>
      </w:r>
      <w:r w:rsidRPr="00DC0BAA">
        <w:rPr>
          <w:rFonts w:ascii="Arial" w:eastAsia="Aptos" w:hAnsi="Arial" w:cs="Arial"/>
          <w:noProof/>
          <w:lang w:val="en-US" w:eastAsia="en-US"/>
        </w:rPr>
        <w:t xml:space="preserve"> London: Penguin Books.</w:t>
      </w:r>
    </w:p>
    <w:p w14:paraId="008A615E" w14:textId="77777777" w:rsidR="00DC0BAA" w:rsidRPr="00DC0BAA" w:rsidRDefault="00DC0BAA" w:rsidP="00DC0BAA">
      <w:pPr>
        <w:widowControl w:val="0"/>
        <w:ind w:left="720" w:hanging="720"/>
        <w:jc w:val="both"/>
        <w:rPr>
          <w:rFonts w:ascii="Arial" w:eastAsia="Aptos" w:hAnsi="Arial" w:cs="Arial"/>
          <w:iCs/>
          <w:noProof/>
          <w:lang w:val="en-US" w:eastAsia="en-US"/>
        </w:rPr>
      </w:pPr>
      <w:r w:rsidRPr="00DC0BAA">
        <w:rPr>
          <w:rFonts w:ascii="Arial" w:eastAsia="Aptos" w:hAnsi="Arial" w:cs="Arial"/>
          <w:noProof/>
          <w:lang w:val="en-US" w:eastAsia="en-US"/>
        </w:rPr>
        <w:t xml:space="preserve">Berruguete A (1517) ‘Salome’. In: 1480-1561. (Ed) </w:t>
      </w:r>
      <w:r w:rsidRPr="00DC0BAA">
        <w:rPr>
          <w:rFonts w:ascii="Arial" w:eastAsia="Aptos" w:hAnsi="Arial" w:cs="Arial"/>
          <w:i/>
          <w:noProof/>
          <w:lang w:val="en-US" w:eastAsia="en-US"/>
        </w:rPr>
        <w:t>Galleria Degli Uffizi.</w:t>
      </w:r>
      <w:r w:rsidRPr="00DC0BAA">
        <w:rPr>
          <w:rFonts w:ascii="Arial" w:eastAsia="Aptos" w:hAnsi="Arial" w:cs="Arial"/>
          <w:iCs/>
          <w:noProof/>
          <w:lang w:val="en-US" w:eastAsia="en-US"/>
        </w:rPr>
        <w:t xml:space="preserve"> Available at: </w:t>
      </w:r>
      <w:hyperlink r:id="rId13" w:history="1">
        <w:r w:rsidRPr="00DC0BAA">
          <w:rPr>
            <w:rFonts w:ascii="Arial" w:eastAsia="Aptos" w:hAnsi="Arial" w:cs="Arial"/>
            <w:iCs/>
            <w:noProof/>
            <w:color w:val="467886"/>
            <w:u w:val="single"/>
            <w:lang w:eastAsia="en-US"/>
          </w:rPr>
          <w:t>Salome by Alonso Berruguete | Artworks | Uffizi Galleries</w:t>
        </w:r>
      </w:hyperlink>
      <w:r w:rsidRPr="00DC0BAA">
        <w:rPr>
          <w:rFonts w:ascii="Arial" w:eastAsia="Aptos" w:hAnsi="Arial" w:cs="Arial"/>
          <w:iCs/>
          <w:noProof/>
          <w:lang w:val="en-US" w:eastAsia="en-US"/>
        </w:rPr>
        <w:t xml:space="preserve"> </w:t>
      </w:r>
      <w:r w:rsidRPr="00DC0BAA">
        <w:rPr>
          <w:rFonts w:ascii="Arial" w:eastAsia="Aptos" w:hAnsi="Arial" w:cs="Arial"/>
          <w:noProof/>
          <w:lang w:val="en-US" w:eastAsia="en-US"/>
        </w:rPr>
        <w:t>(Accessed 19/09/2023).</w:t>
      </w:r>
    </w:p>
    <w:p w14:paraId="57C612C3"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Boxall I (2018) </w:t>
      </w:r>
      <w:r w:rsidRPr="00DC0BAA">
        <w:rPr>
          <w:rFonts w:ascii="Arial" w:eastAsia="Aptos" w:hAnsi="Arial" w:cs="Arial"/>
          <w:i/>
          <w:noProof/>
          <w:lang w:val="en-US" w:eastAsia="en-US"/>
        </w:rPr>
        <w:t>Matthew Through The Centuries.</w:t>
      </w:r>
      <w:r w:rsidRPr="00DC0BAA">
        <w:rPr>
          <w:rFonts w:ascii="Arial" w:eastAsia="Aptos" w:hAnsi="Arial" w:cs="Arial"/>
          <w:noProof/>
          <w:lang w:val="en-US" w:eastAsia="en-US"/>
        </w:rPr>
        <w:t xml:space="preserve"> Hoboken, USA: John Wiley &amp; Sons.</w:t>
      </w:r>
    </w:p>
    <w:p w14:paraId="64CAA4D8"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Campbell MS (1982) </w:t>
      </w:r>
      <w:r w:rsidRPr="00DC0BAA">
        <w:rPr>
          <w:rFonts w:ascii="Arial" w:eastAsia="Aptos" w:hAnsi="Arial" w:cs="Arial"/>
          <w:i/>
          <w:noProof/>
          <w:lang w:val="en-US" w:eastAsia="en-US"/>
        </w:rPr>
        <w:t>Romare Bearden: A Creative Mythology</w:t>
      </w:r>
      <w:r w:rsidRPr="00DC0BAA">
        <w:rPr>
          <w:rFonts w:ascii="Arial" w:eastAsia="Aptos" w:hAnsi="Arial" w:cs="Arial"/>
          <w:noProof/>
          <w:lang w:val="en-US" w:eastAsia="en-US"/>
        </w:rPr>
        <w:t>. Ph.D., Syracuse University, United States: New York.</w:t>
      </w:r>
    </w:p>
    <w:p w14:paraId="4D22EE40" w14:textId="77777777" w:rsidR="00DC0BAA" w:rsidRPr="00DC0BAA" w:rsidRDefault="00DC0BAA" w:rsidP="00DC0BAA">
      <w:pPr>
        <w:widowControl w:val="0"/>
        <w:ind w:left="720" w:hanging="720"/>
        <w:jc w:val="both"/>
        <w:rPr>
          <w:rFonts w:ascii="Arial" w:eastAsia="Aptos" w:hAnsi="Arial" w:cs="Arial"/>
          <w:iCs/>
          <w:noProof/>
          <w:lang w:val="en-US" w:eastAsia="en-US"/>
        </w:rPr>
      </w:pPr>
      <w:r w:rsidRPr="00DC0BAA">
        <w:rPr>
          <w:rFonts w:ascii="Arial" w:eastAsia="Aptos" w:hAnsi="Arial" w:cs="Arial"/>
          <w:noProof/>
          <w:lang w:val="en-US" w:eastAsia="en-US"/>
        </w:rPr>
        <w:t xml:space="preserve">Caravaggio MMD (1571-1610) Salome Receives The Head Of John The Baptist. In: Oil On Canvas Xc (Ed) </w:t>
      </w:r>
      <w:r w:rsidRPr="00DC0BAA">
        <w:rPr>
          <w:rFonts w:ascii="Arial" w:eastAsia="Aptos" w:hAnsi="Arial" w:cs="Arial"/>
          <w:i/>
          <w:noProof/>
          <w:lang w:val="en-US" w:eastAsia="en-US"/>
        </w:rPr>
        <w:t xml:space="preserve">The National Gallery, London. </w:t>
      </w:r>
      <w:r w:rsidRPr="00DC0BAA">
        <w:rPr>
          <w:rFonts w:ascii="Arial" w:eastAsia="Aptos" w:hAnsi="Arial" w:cs="Arial"/>
          <w:iCs/>
          <w:noProof/>
          <w:lang w:val="en-US" w:eastAsia="en-US"/>
        </w:rPr>
        <w:t xml:space="preserve">Available at: </w:t>
      </w:r>
      <w:hyperlink r:id="rId14" w:history="1">
        <w:r w:rsidRPr="00DC0BAA">
          <w:rPr>
            <w:rFonts w:ascii="Arial" w:eastAsia="Aptos" w:hAnsi="Arial" w:cs="Arial"/>
            <w:iCs/>
            <w:noProof/>
            <w:color w:val="467886"/>
            <w:u w:val="single"/>
            <w:lang w:eastAsia="en-US"/>
          </w:rPr>
          <w:t>Michelangelo Merisi da Caravaggio | Salome receives the Head of John the Baptist | NG6389 | National Gallery, London</w:t>
        </w:r>
      </w:hyperlink>
      <w:r w:rsidRPr="00DC0BAA">
        <w:rPr>
          <w:rFonts w:ascii="Arial" w:eastAsia="Aptos" w:hAnsi="Arial" w:cs="Arial"/>
          <w:iCs/>
          <w:noProof/>
          <w:lang w:val="en-US" w:eastAsia="en-US"/>
        </w:rPr>
        <w:t xml:space="preserve"> (Accessed 19/09/23) </w:t>
      </w:r>
    </w:p>
    <w:p w14:paraId="501AE9C9"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Choubineh N (2020) Ancient Greek Dance. </w:t>
      </w:r>
      <w:r w:rsidRPr="00DC0BAA">
        <w:rPr>
          <w:rFonts w:ascii="Arial" w:eastAsia="Aptos" w:hAnsi="Arial" w:cs="Arial"/>
          <w:i/>
          <w:noProof/>
          <w:lang w:val="en-US" w:eastAsia="en-US"/>
        </w:rPr>
        <w:t>World History Encyclopedia</w:t>
      </w:r>
      <w:r w:rsidRPr="00DC0BAA">
        <w:rPr>
          <w:rFonts w:ascii="Arial" w:eastAsia="Aptos" w:hAnsi="Arial" w:cs="Arial"/>
          <w:noProof/>
          <w:lang w:val="en-US" w:eastAsia="en-US"/>
        </w:rPr>
        <w:t xml:space="preserve">. Available at: </w:t>
      </w:r>
      <w:hyperlink r:id="rId15" w:history="1">
        <w:r w:rsidRPr="00DC0BAA">
          <w:rPr>
            <w:rFonts w:ascii="Arial" w:eastAsia="Aptos" w:hAnsi="Arial" w:cs="Arial"/>
            <w:noProof/>
            <w:color w:val="467886"/>
            <w:u w:val="single"/>
            <w:lang w:eastAsia="en-US"/>
          </w:rPr>
          <w:t>Ancient Greek Dance - World History Encyclopedia</w:t>
        </w:r>
      </w:hyperlink>
      <w:r w:rsidRPr="00DC0BAA">
        <w:rPr>
          <w:rFonts w:ascii="Arial" w:eastAsia="Aptos" w:hAnsi="Arial" w:cs="Arial"/>
          <w:noProof/>
          <w:lang w:val="en-US" w:eastAsia="en-US"/>
        </w:rPr>
        <w:t xml:space="preserve"> (Accessed 19.09.23).</w:t>
      </w:r>
    </w:p>
    <w:p w14:paraId="3387AA5F"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Coetzee MH (2018) Embodied Knowledge(S), Embodied Pedagogies And Performance. </w:t>
      </w:r>
      <w:r w:rsidRPr="00DC0BAA">
        <w:rPr>
          <w:rFonts w:ascii="Arial" w:eastAsia="Aptos" w:hAnsi="Arial" w:cs="Arial"/>
          <w:i/>
          <w:noProof/>
          <w:lang w:val="en-US" w:eastAsia="en-US"/>
        </w:rPr>
        <w:t>South African Theatre Journal</w:t>
      </w:r>
      <w:r w:rsidRPr="00DC0BAA">
        <w:rPr>
          <w:rFonts w:ascii="Arial" w:eastAsia="Aptos" w:hAnsi="Arial" w:cs="Arial"/>
          <w:noProof/>
          <w:lang w:val="en-US" w:eastAsia="en-US"/>
        </w:rPr>
        <w:t xml:space="preserve"> 31(1): 1-4.</w:t>
      </w:r>
    </w:p>
    <w:p w14:paraId="769FDCFE"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Cole VB (2010) ‘Mark’. In: Adeyemo T (Ed) </w:t>
      </w:r>
      <w:r w:rsidRPr="00DC0BAA">
        <w:rPr>
          <w:rFonts w:ascii="Arial" w:eastAsia="Aptos" w:hAnsi="Arial" w:cs="Arial"/>
          <w:i/>
          <w:noProof/>
          <w:lang w:val="en-US" w:eastAsia="en-US"/>
        </w:rPr>
        <w:t xml:space="preserve">Africa Bible Commentary. </w:t>
      </w:r>
      <w:r w:rsidRPr="00DC0BAA">
        <w:rPr>
          <w:rFonts w:ascii="Arial" w:eastAsia="Aptos" w:hAnsi="Arial" w:cs="Arial"/>
          <w:noProof/>
          <w:lang w:val="en-US" w:eastAsia="en-US"/>
        </w:rPr>
        <w:t xml:space="preserve">Grand Rapids, Mich: Zondervan. </w:t>
      </w:r>
    </w:p>
    <w:p w14:paraId="6DEDFE59"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Collins AY and Attridge HW (2007) </w:t>
      </w:r>
      <w:r w:rsidRPr="00DC0BAA">
        <w:rPr>
          <w:rFonts w:ascii="Arial" w:eastAsia="Aptos" w:hAnsi="Arial" w:cs="Arial"/>
          <w:i/>
          <w:noProof/>
          <w:lang w:val="en-US" w:eastAsia="en-US"/>
        </w:rPr>
        <w:t>Mark: A Commentary.</w:t>
      </w:r>
      <w:r w:rsidRPr="00DC0BAA">
        <w:rPr>
          <w:rFonts w:ascii="Arial" w:eastAsia="Aptos" w:hAnsi="Arial" w:cs="Arial"/>
          <w:noProof/>
          <w:lang w:val="en-US" w:eastAsia="en-US"/>
        </w:rPr>
        <w:t xml:space="preserve"> Minneapolis: Fortress Press.</w:t>
      </w:r>
    </w:p>
    <w:p w14:paraId="5E4382C2"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Cooper B (2003) ‘Yoruba Girl Dancing, Simi Bedford’ In: </w:t>
      </w:r>
      <w:r w:rsidRPr="00DC0BAA">
        <w:rPr>
          <w:rFonts w:ascii="Arial" w:eastAsia="Aptos" w:hAnsi="Arial" w:cs="Arial"/>
          <w:i/>
          <w:noProof/>
          <w:lang w:val="en-US" w:eastAsia="en-US"/>
        </w:rPr>
        <w:t>Stories Fly: A Collection Of African Fiction Written In Europe and The USA</w:t>
      </w:r>
      <w:r w:rsidRPr="00DC0BAA">
        <w:rPr>
          <w:rFonts w:ascii="Arial" w:eastAsia="Aptos" w:hAnsi="Arial" w:cs="Arial"/>
          <w:noProof/>
          <w:lang w:val="en-US" w:eastAsia="en-US"/>
        </w:rPr>
        <w:t xml:space="preserve">. Capetown: Global. </w:t>
      </w:r>
    </w:p>
    <w:p w14:paraId="5EFC3201" w14:textId="77777777" w:rsidR="00DC0BAA" w:rsidRPr="00DC0BAA" w:rsidRDefault="00DC0BAA" w:rsidP="00DC0BAA">
      <w:pPr>
        <w:widowControl w:val="0"/>
        <w:ind w:left="720" w:hanging="720"/>
        <w:jc w:val="both"/>
        <w:rPr>
          <w:rFonts w:ascii="Arial" w:eastAsia="Aptos" w:hAnsi="Arial" w:cs="Arial"/>
          <w:noProof/>
          <w:lang w:eastAsia="en-US"/>
        </w:rPr>
      </w:pPr>
      <w:r w:rsidRPr="00DC0BAA">
        <w:rPr>
          <w:rFonts w:ascii="Arial" w:eastAsia="Aptos" w:hAnsi="Arial" w:cs="Arial"/>
          <w:noProof/>
          <w:lang w:val="en-US" w:eastAsia="en-US"/>
        </w:rPr>
        <w:lastRenderedPageBreak/>
        <w:t xml:space="preserve">Crawford C, Dearden L And Meghir C (2010) </w:t>
      </w:r>
      <w:r w:rsidRPr="00DC0BAA">
        <w:rPr>
          <w:rFonts w:ascii="Arial" w:eastAsia="Aptos" w:hAnsi="Arial" w:cs="Arial"/>
          <w:noProof/>
          <w:lang w:eastAsia="en-US"/>
        </w:rPr>
        <w:t> </w:t>
      </w:r>
      <w:r w:rsidRPr="00DC0BAA">
        <w:rPr>
          <w:rFonts w:ascii="Arial" w:eastAsia="Aptos" w:hAnsi="Arial" w:cs="Arial"/>
          <w:i/>
          <w:iCs/>
          <w:noProof/>
          <w:lang w:eastAsia="en-US"/>
        </w:rPr>
        <w:t>When You Are Born Matters: The Impact of Date of Birth on Educational Outcomes In England</w:t>
      </w:r>
      <w:r w:rsidRPr="00DC0BAA">
        <w:rPr>
          <w:rFonts w:ascii="Arial" w:eastAsia="Aptos" w:hAnsi="Arial" w:cs="Arial"/>
          <w:noProof/>
          <w:lang w:eastAsia="en-US"/>
        </w:rPr>
        <w:t>. London: IFS. Available at: </w:t>
      </w:r>
      <w:hyperlink r:id="rId16" w:history="1">
        <w:r w:rsidRPr="00DC0BAA">
          <w:rPr>
            <w:rFonts w:ascii="Arial" w:eastAsia="Aptos" w:hAnsi="Arial" w:cs="Arial"/>
            <w:noProof/>
            <w:color w:val="467886"/>
            <w:u w:val="single"/>
            <w:lang w:eastAsia="en-US"/>
          </w:rPr>
          <w:t>https://ifs.org.uk/publications/when-you-are-born-matters-impact-date-birth-educational-outcomes-england</w:t>
        </w:r>
      </w:hyperlink>
      <w:r w:rsidRPr="00DC0BAA">
        <w:rPr>
          <w:rFonts w:ascii="Arial" w:eastAsia="Aptos" w:hAnsi="Arial" w:cs="Arial"/>
          <w:noProof/>
          <w:lang w:eastAsia="en-US"/>
        </w:rPr>
        <w:t xml:space="preserve"> (Accessed 20.09.23).</w:t>
      </w:r>
    </w:p>
    <w:p w14:paraId="0C172EED"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Dalby A (2003) </w:t>
      </w:r>
      <w:r w:rsidRPr="00DC0BAA">
        <w:rPr>
          <w:rFonts w:ascii="Arial" w:eastAsia="Aptos" w:hAnsi="Arial" w:cs="Arial"/>
          <w:i/>
          <w:noProof/>
          <w:lang w:val="en-US" w:eastAsia="en-US"/>
        </w:rPr>
        <w:t>Food In The Ancient World From A To Z.</w:t>
      </w:r>
      <w:r w:rsidRPr="00DC0BAA">
        <w:rPr>
          <w:rFonts w:ascii="Arial" w:eastAsia="Aptos" w:hAnsi="Arial" w:cs="Arial"/>
          <w:noProof/>
          <w:lang w:val="en-US" w:eastAsia="en-US"/>
        </w:rPr>
        <w:t xml:space="preserve"> London: Routledge.</w:t>
      </w:r>
    </w:p>
    <w:p w14:paraId="706FF66A"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Davies WD And Allison DC  (2004) </w:t>
      </w:r>
      <w:r w:rsidRPr="00DC0BAA">
        <w:rPr>
          <w:rFonts w:ascii="Arial" w:eastAsia="Aptos" w:hAnsi="Arial" w:cs="Arial"/>
          <w:i/>
          <w:noProof/>
          <w:lang w:val="en-US" w:eastAsia="en-US"/>
        </w:rPr>
        <w:t xml:space="preserve">Matthew: A Shorter Commentary. </w:t>
      </w:r>
      <w:r w:rsidRPr="00DC0BAA">
        <w:rPr>
          <w:rFonts w:ascii="Arial" w:eastAsia="Aptos" w:hAnsi="Arial" w:cs="Arial"/>
          <w:noProof/>
          <w:lang w:val="en-US" w:eastAsia="en-US"/>
        </w:rPr>
        <w:t>London: T&amp;T Clark International.</w:t>
      </w:r>
    </w:p>
    <w:p w14:paraId="124D22D1"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Davies WD and Allison DC (1991) </w:t>
      </w:r>
      <w:r w:rsidRPr="00DC0BAA">
        <w:rPr>
          <w:rFonts w:ascii="Arial" w:eastAsia="Aptos" w:hAnsi="Arial" w:cs="Arial"/>
          <w:i/>
          <w:noProof/>
          <w:lang w:val="en-US" w:eastAsia="en-US"/>
        </w:rPr>
        <w:t>A Critical And Exegetical Commentary On The Gospel According To Saint Matthew. Vol. 2: Matthew 8-18.</w:t>
      </w:r>
      <w:r w:rsidRPr="00DC0BAA">
        <w:rPr>
          <w:rFonts w:ascii="Arial" w:eastAsia="Aptos" w:hAnsi="Arial" w:cs="Arial"/>
          <w:noProof/>
          <w:lang w:val="en-US" w:eastAsia="en-US"/>
        </w:rPr>
        <w:t xml:space="preserve"> Edinburgh: T&amp;T Clark.</w:t>
      </w:r>
    </w:p>
    <w:p w14:paraId="343D6B64"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Drewal MT (1992) </w:t>
      </w:r>
      <w:r w:rsidRPr="00DC0BAA">
        <w:rPr>
          <w:rFonts w:ascii="Arial" w:eastAsia="Aptos" w:hAnsi="Arial" w:cs="Arial"/>
          <w:i/>
          <w:noProof/>
          <w:lang w:val="en-US" w:eastAsia="en-US"/>
        </w:rPr>
        <w:t>Yoruba Ritual: Performers, Play, Agency.</w:t>
      </w:r>
      <w:r w:rsidRPr="00DC0BAA">
        <w:rPr>
          <w:rFonts w:ascii="Arial" w:eastAsia="Aptos" w:hAnsi="Arial" w:cs="Arial"/>
          <w:noProof/>
          <w:lang w:val="en-US" w:eastAsia="en-US"/>
        </w:rPr>
        <w:t xml:space="preserve"> Bloomington: Indiana University Press.</w:t>
      </w:r>
    </w:p>
    <w:p w14:paraId="334DAF66" w14:textId="77777777" w:rsidR="00DC0BAA" w:rsidRPr="00DC0BAA" w:rsidRDefault="00DC0BAA" w:rsidP="00DC0BAA">
      <w:pPr>
        <w:widowControl w:val="0"/>
        <w:jc w:val="both"/>
        <w:rPr>
          <w:rFonts w:ascii="Arial" w:eastAsia="Aptos" w:hAnsi="Arial" w:cs="Arial"/>
          <w:noProof/>
          <w:lang w:val="en-US" w:eastAsia="en-US"/>
        </w:rPr>
      </w:pPr>
      <w:r w:rsidRPr="00DC0BAA">
        <w:rPr>
          <w:rFonts w:ascii="Arial" w:eastAsia="Aptos" w:hAnsi="Arial" w:cs="Arial"/>
          <w:noProof/>
          <w:lang w:val="en-US" w:eastAsia="en-US"/>
        </w:rPr>
        <w:t xml:space="preserve">Fenton JC (1963) </w:t>
      </w:r>
      <w:r w:rsidRPr="00DC0BAA">
        <w:rPr>
          <w:rFonts w:ascii="Arial" w:eastAsia="Aptos" w:hAnsi="Arial" w:cs="Arial"/>
          <w:i/>
          <w:noProof/>
          <w:lang w:val="en-US" w:eastAsia="en-US"/>
        </w:rPr>
        <w:t>The Gospel Of St. Matthew.</w:t>
      </w:r>
      <w:r w:rsidRPr="00DC0BAA">
        <w:rPr>
          <w:rFonts w:ascii="Arial" w:eastAsia="Aptos" w:hAnsi="Arial" w:cs="Arial"/>
          <w:noProof/>
          <w:lang w:val="en-US" w:eastAsia="en-US"/>
        </w:rPr>
        <w:t xml:space="preserve"> [S.l.]: Penguin Books.</w:t>
      </w:r>
    </w:p>
    <w:p w14:paraId="464EAE40"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Garber MB (1997) </w:t>
      </w:r>
      <w:r w:rsidRPr="00DC0BAA">
        <w:rPr>
          <w:rFonts w:ascii="Arial" w:eastAsia="Aptos" w:hAnsi="Arial" w:cs="Arial"/>
          <w:i/>
          <w:noProof/>
          <w:lang w:val="en-US" w:eastAsia="en-US"/>
        </w:rPr>
        <w:t>Vested Interests: Cross-Dressing And Cultural Anxiety.</w:t>
      </w:r>
      <w:r w:rsidRPr="00DC0BAA">
        <w:rPr>
          <w:rFonts w:ascii="Arial" w:eastAsia="Aptos" w:hAnsi="Arial" w:cs="Arial"/>
          <w:noProof/>
          <w:lang w:val="en-US" w:eastAsia="en-US"/>
        </w:rPr>
        <w:t xml:space="preserve"> USA: Routledge.</w:t>
      </w:r>
    </w:p>
    <w:p w14:paraId="537FB10E"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Gaunt KD (2021) ‘Is Twerking African?: Dancing And Diaspora As Embodied Knowledge On Youtube’. </w:t>
      </w:r>
      <w:r w:rsidRPr="00DC0BAA">
        <w:rPr>
          <w:rFonts w:ascii="Arial" w:eastAsia="Aptos" w:hAnsi="Arial" w:cs="Arial"/>
          <w:i/>
          <w:noProof/>
          <w:lang w:val="en-US" w:eastAsia="en-US"/>
        </w:rPr>
        <w:t>The Routledge Companion To Black Women’s Cultural Histories</w:t>
      </w:r>
      <w:r w:rsidRPr="00DC0BAA">
        <w:rPr>
          <w:rFonts w:ascii="Arial" w:eastAsia="Aptos" w:hAnsi="Arial" w:cs="Arial"/>
          <w:noProof/>
          <w:lang w:val="en-US" w:eastAsia="en-US"/>
        </w:rPr>
        <w:t>. London: Routledge, Pp.310-320.</w:t>
      </w:r>
    </w:p>
    <w:p w14:paraId="64B83DD3"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Gbenga F (2006) ‘Yoruba Proverbs, Names And Consciousness’. </w:t>
      </w:r>
      <w:r w:rsidRPr="00DC0BAA">
        <w:rPr>
          <w:rFonts w:ascii="Arial" w:eastAsia="Aptos" w:hAnsi="Arial" w:cs="Arial"/>
          <w:i/>
          <w:noProof/>
          <w:lang w:val="en-US" w:eastAsia="en-US"/>
        </w:rPr>
        <w:t>Journal Of Pan African Studies</w:t>
      </w:r>
      <w:r w:rsidRPr="00DC0BAA">
        <w:rPr>
          <w:rFonts w:ascii="Arial" w:eastAsia="Aptos" w:hAnsi="Arial" w:cs="Arial"/>
          <w:noProof/>
          <w:lang w:val="en-US" w:eastAsia="en-US"/>
        </w:rPr>
        <w:t xml:space="preserve"> 1(4).</w:t>
      </w:r>
    </w:p>
    <w:p w14:paraId="0B28BC65"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Gillman FM (2003) </w:t>
      </w:r>
      <w:r w:rsidRPr="00DC0BAA">
        <w:rPr>
          <w:rFonts w:ascii="Arial" w:eastAsia="Aptos" w:hAnsi="Arial" w:cs="Arial"/>
          <w:i/>
          <w:noProof/>
          <w:lang w:val="en-US" w:eastAsia="en-US"/>
        </w:rPr>
        <w:t>Herodias: At Home In That Fox's Den.</w:t>
      </w:r>
      <w:r w:rsidRPr="00DC0BAA">
        <w:rPr>
          <w:rFonts w:ascii="Arial" w:eastAsia="Aptos" w:hAnsi="Arial" w:cs="Arial"/>
          <w:noProof/>
          <w:lang w:val="en-US" w:eastAsia="en-US"/>
        </w:rPr>
        <w:t xml:space="preserve"> Colleville, Minnesota: Liturgical Press.</w:t>
      </w:r>
    </w:p>
    <w:p w14:paraId="34D02205"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Girard R (1984) ‘Scandal And The Dance: Salome In The Gospel Of Mark’. </w:t>
      </w:r>
      <w:r w:rsidRPr="00DC0BAA">
        <w:rPr>
          <w:rFonts w:ascii="Arial" w:eastAsia="Aptos" w:hAnsi="Arial" w:cs="Arial"/>
          <w:i/>
          <w:noProof/>
          <w:lang w:val="en-US" w:eastAsia="en-US"/>
        </w:rPr>
        <w:t>New Literary History</w:t>
      </w:r>
      <w:r w:rsidRPr="00DC0BAA">
        <w:rPr>
          <w:rFonts w:ascii="Arial" w:eastAsia="Aptos" w:hAnsi="Arial" w:cs="Arial"/>
          <w:noProof/>
          <w:lang w:val="en-US" w:eastAsia="en-US"/>
        </w:rPr>
        <w:t xml:space="preserve"> 15(2): 311.</w:t>
      </w:r>
    </w:p>
    <w:p w14:paraId="2FB5DD8E"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Glancy JA (1994) Unveiling Masculinity. </w:t>
      </w:r>
      <w:r w:rsidRPr="00DC0BAA">
        <w:rPr>
          <w:rFonts w:ascii="Arial" w:eastAsia="Aptos" w:hAnsi="Arial" w:cs="Arial"/>
          <w:i/>
          <w:noProof/>
          <w:lang w:val="en-US" w:eastAsia="en-US"/>
        </w:rPr>
        <w:t>Biblical Interpretation</w:t>
      </w:r>
      <w:r w:rsidRPr="00DC0BAA">
        <w:rPr>
          <w:rFonts w:ascii="Arial" w:eastAsia="Aptos" w:hAnsi="Arial" w:cs="Arial"/>
          <w:noProof/>
          <w:lang w:val="en-US" w:eastAsia="en-US"/>
        </w:rPr>
        <w:t xml:space="preserve"> 2(1): 34-50.</w:t>
      </w:r>
    </w:p>
    <w:p w14:paraId="6F014BDA"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lastRenderedPageBreak/>
        <w:t xml:space="preserve">Greene C (1971) </w:t>
      </w:r>
      <w:r w:rsidRPr="00DC0BAA">
        <w:rPr>
          <w:rFonts w:ascii="Arial" w:eastAsia="Aptos" w:hAnsi="Arial" w:cs="Arial"/>
          <w:i/>
          <w:noProof/>
          <w:lang w:val="en-US" w:eastAsia="en-US"/>
        </w:rPr>
        <w:t>Romare Bearden: The Prevalence Of Ritual.</w:t>
      </w:r>
      <w:r w:rsidRPr="00DC0BAA">
        <w:rPr>
          <w:rFonts w:ascii="Arial" w:eastAsia="Aptos" w:hAnsi="Arial" w:cs="Arial"/>
          <w:noProof/>
          <w:lang w:val="en-US" w:eastAsia="en-US"/>
        </w:rPr>
        <w:t xml:space="preserve"> Museum Of Modern Art. Available at: </w:t>
      </w:r>
      <w:hyperlink r:id="rId17" w:history="1">
        <w:r w:rsidRPr="00DC0BAA">
          <w:rPr>
            <w:rFonts w:ascii="Arial" w:eastAsia="Aptos" w:hAnsi="Arial" w:cs="Arial"/>
            <w:noProof/>
            <w:color w:val="467886"/>
            <w:u w:val="single"/>
            <w:lang w:eastAsia="en-US"/>
          </w:rPr>
          <w:t>Romare Bearden: the prevalence of ritual (moma.org)</w:t>
        </w:r>
      </w:hyperlink>
      <w:r w:rsidRPr="00DC0BAA">
        <w:rPr>
          <w:rFonts w:ascii="Arial" w:eastAsia="Aptos" w:hAnsi="Arial" w:cs="Arial"/>
          <w:noProof/>
          <w:lang w:val="en-US" w:eastAsia="en-US"/>
        </w:rPr>
        <w:t xml:space="preserve"> (Accessed 20.09.23).</w:t>
      </w:r>
    </w:p>
    <w:p w14:paraId="1FC7DE09"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Griswold W (2000) ‘The Nigerian Fiction Complex’. </w:t>
      </w:r>
      <w:r w:rsidRPr="00DC0BAA">
        <w:rPr>
          <w:rFonts w:ascii="Arial" w:eastAsia="Aptos" w:hAnsi="Arial" w:cs="Arial"/>
          <w:i/>
          <w:noProof/>
          <w:lang w:val="en-US" w:eastAsia="en-US"/>
        </w:rPr>
        <w:t>Bearing Witness</w:t>
      </w:r>
      <w:r w:rsidRPr="00DC0BAA">
        <w:rPr>
          <w:rFonts w:ascii="Arial" w:eastAsia="Aptos" w:hAnsi="Arial" w:cs="Arial"/>
          <w:noProof/>
          <w:lang w:val="en-US" w:eastAsia="en-US"/>
        </w:rPr>
        <w:t>. Princeton: Princeton University Press, Pp.26-119.</w:t>
      </w:r>
    </w:p>
    <w:p w14:paraId="519DD237"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Guelich R (1989) </w:t>
      </w:r>
      <w:r w:rsidRPr="00DC0BAA">
        <w:rPr>
          <w:rFonts w:ascii="Arial" w:eastAsia="Aptos" w:hAnsi="Arial" w:cs="Arial"/>
          <w:iCs/>
          <w:noProof/>
          <w:lang w:val="en-US" w:eastAsia="en-US"/>
        </w:rPr>
        <w:t>Mark 1-8:26:</w:t>
      </w:r>
      <w:r w:rsidRPr="00DC0BAA">
        <w:rPr>
          <w:rFonts w:ascii="Arial" w:eastAsia="Aptos" w:hAnsi="Arial" w:cs="Arial"/>
          <w:i/>
          <w:noProof/>
          <w:lang w:val="en-US" w:eastAsia="en-US"/>
        </w:rPr>
        <w:t xml:space="preserve"> 34A Word Biblical Commentary. </w:t>
      </w:r>
      <w:r w:rsidRPr="00DC0BAA">
        <w:rPr>
          <w:rFonts w:ascii="Arial" w:eastAsia="Aptos" w:hAnsi="Arial" w:cs="Arial"/>
          <w:iCs/>
          <w:noProof/>
          <w:lang w:val="en-US" w:eastAsia="en-US"/>
        </w:rPr>
        <w:t>Grand Rapids, Michigan: Zondervan.</w:t>
      </w:r>
    </w:p>
    <w:p w14:paraId="2E9664BE"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Håland EJ (2014) </w:t>
      </w:r>
      <w:r w:rsidRPr="00DC0BAA">
        <w:rPr>
          <w:rFonts w:ascii="Arial" w:eastAsia="Aptos" w:hAnsi="Arial" w:cs="Arial"/>
          <w:i/>
          <w:noProof/>
          <w:lang w:val="en-US" w:eastAsia="en-US"/>
        </w:rPr>
        <w:t>Rituals Of Death And Dying In Modern And Ancient Greece: Writing History From A Female Perspective.</w:t>
      </w:r>
      <w:r w:rsidRPr="00DC0BAA">
        <w:rPr>
          <w:rFonts w:ascii="Arial" w:eastAsia="Aptos" w:hAnsi="Arial" w:cs="Arial"/>
          <w:noProof/>
          <w:lang w:val="en-US" w:eastAsia="en-US"/>
        </w:rPr>
        <w:t xml:space="preserve"> Newcastle upon Tyne: Cambridge Scholars Publishing.</w:t>
      </w:r>
    </w:p>
    <w:p w14:paraId="5AA3A1EA"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Hame Kj (1999) </w:t>
      </w:r>
      <w:r w:rsidRPr="00DC0BAA">
        <w:rPr>
          <w:rFonts w:ascii="Arial" w:eastAsia="Aptos" w:hAnsi="Arial" w:cs="Arial"/>
          <w:i/>
          <w:noProof/>
          <w:lang w:val="en-US" w:eastAsia="en-US"/>
        </w:rPr>
        <w:t>Ta Nomizomena: Private Greek Death-Ritual In The Historical Sources And Tragedy</w:t>
      </w:r>
      <w:r w:rsidRPr="00DC0BAA">
        <w:rPr>
          <w:rFonts w:ascii="Arial" w:eastAsia="Aptos" w:hAnsi="Arial" w:cs="Arial"/>
          <w:noProof/>
          <w:lang w:val="en-US" w:eastAsia="en-US"/>
        </w:rPr>
        <w:t>. Ph.D., Bryn Mawr College.</w:t>
      </w:r>
    </w:p>
    <w:p w14:paraId="5287867E"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Hargreaves J (1965) </w:t>
      </w:r>
      <w:r w:rsidRPr="00DC0BAA">
        <w:rPr>
          <w:rFonts w:ascii="Arial" w:eastAsia="Aptos" w:hAnsi="Arial" w:cs="Arial"/>
          <w:i/>
          <w:noProof/>
          <w:lang w:val="en-US" w:eastAsia="en-US"/>
        </w:rPr>
        <w:t xml:space="preserve">A Guide To St Mark’s Gospel. </w:t>
      </w:r>
      <w:r w:rsidRPr="00DC0BAA">
        <w:rPr>
          <w:rFonts w:ascii="Arial" w:eastAsia="Aptos" w:hAnsi="Arial" w:cs="Arial"/>
          <w:noProof/>
          <w:lang w:val="en-US" w:eastAsia="en-US"/>
        </w:rPr>
        <w:t>London: SPCK.</w:t>
      </w:r>
    </w:p>
    <w:p w14:paraId="343F6C9C"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Harrington DJ (1991) </w:t>
      </w:r>
      <w:r w:rsidRPr="00DC0BAA">
        <w:rPr>
          <w:rFonts w:ascii="Arial" w:eastAsia="Aptos" w:hAnsi="Arial" w:cs="Arial"/>
          <w:i/>
          <w:noProof/>
          <w:lang w:val="en-US" w:eastAsia="en-US"/>
        </w:rPr>
        <w:t xml:space="preserve">The Gospel Of Matthew. </w:t>
      </w:r>
      <w:r w:rsidRPr="00DC0BAA">
        <w:rPr>
          <w:rFonts w:ascii="Arial" w:eastAsia="Aptos" w:hAnsi="Arial" w:cs="Arial"/>
          <w:noProof/>
          <w:lang w:val="en-US" w:eastAsia="en-US"/>
        </w:rPr>
        <w:t>Collegeville, Minn: Liturgical Press.</w:t>
      </w:r>
    </w:p>
    <w:p w14:paraId="0036788A"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Hoehner HE (1980) </w:t>
      </w:r>
      <w:r w:rsidRPr="00DC0BAA">
        <w:rPr>
          <w:rFonts w:ascii="Arial" w:eastAsia="Aptos" w:hAnsi="Arial" w:cs="Arial"/>
          <w:i/>
          <w:noProof/>
          <w:lang w:val="en-US" w:eastAsia="en-US"/>
        </w:rPr>
        <w:t>Herod Antipas.</w:t>
      </w:r>
      <w:r w:rsidRPr="00DC0BAA">
        <w:rPr>
          <w:rFonts w:ascii="Arial" w:eastAsia="Aptos" w:hAnsi="Arial" w:cs="Arial"/>
          <w:noProof/>
          <w:lang w:val="en-US" w:eastAsia="en-US"/>
        </w:rPr>
        <w:t xml:space="preserve"> Grandrapids, Michigan: Academic Books. </w:t>
      </w:r>
    </w:p>
    <w:p w14:paraId="44BAEDC5"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Hood Museum Of Art (2023) </w:t>
      </w:r>
      <w:r w:rsidRPr="00DC0BAA">
        <w:rPr>
          <w:rFonts w:ascii="Arial" w:eastAsia="Aptos" w:hAnsi="Arial" w:cs="Arial"/>
          <w:i/>
          <w:noProof/>
          <w:lang w:val="en-US" w:eastAsia="en-US"/>
        </w:rPr>
        <w:t>Salome, From The Portfolio Prevalence Of Ritual</w:t>
      </w:r>
      <w:r w:rsidRPr="00DC0BAA">
        <w:rPr>
          <w:rFonts w:ascii="Arial" w:eastAsia="Aptos" w:hAnsi="Arial" w:cs="Arial"/>
          <w:noProof/>
          <w:lang w:val="en-US" w:eastAsia="en-US"/>
        </w:rPr>
        <w:t xml:space="preserve">. Available At: </w:t>
      </w:r>
      <w:hyperlink r:id="rId18" w:history="1">
        <w:r w:rsidRPr="00DC0BAA">
          <w:rPr>
            <w:rFonts w:ascii="Arial" w:eastAsia="Aptos" w:hAnsi="Arial" w:cs="Arial"/>
            <w:noProof/>
            <w:color w:val="467886"/>
            <w:u w:val="single"/>
            <w:lang w:val="en-US" w:eastAsia="en-US"/>
          </w:rPr>
          <w:t>Https://Hoodmuseum.Dartmouth.Edu/Objects/Pr.975.58.3</w:t>
        </w:r>
      </w:hyperlink>
      <w:r w:rsidRPr="00DC0BAA">
        <w:rPr>
          <w:rFonts w:ascii="Arial" w:eastAsia="Aptos" w:hAnsi="Arial" w:cs="Arial"/>
          <w:noProof/>
          <w:lang w:val="en-US" w:eastAsia="en-US"/>
        </w:rPr>
        <w:t xml:space="preserve"> (Accessed 20.09.23). </w:t>
      </w:r>
    </w:p>
    <w:p w14:paraId="52407BC7"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Hooker MD (1991) </w:t>
      </w:r>
      <w:r w:rsidRPr="00DC0BAA">
        <w:rPr>
          <w:rFonts w:ascii="Arial" w:eastAsia="Aptos" w:hAnsi="Arial" w:cs="Arial"/>
          <w:i/>
          <w:noProof/>
          <w:lang w:val="en-US" w:eastAsia="en-US"/>
        </w:rPr>
        <w:t>A Commentary On The Gospel According To St Mark.</w:t>
      </w:r>
      <w:r w:rsidRPr="00DC0BAA">
        <w:rPr>
          <w:rFonts w:ascii="Arial" w:eastAsia="Aptos" w:hAnsi="Arial" w:cs="Arial"/>
          <w:noProof/>
          <w:lang w:val="en-US" w:eastAsia="en-US"/>
        </w:rPr>
        <w:t xml:space="preserve"> A&amp;C Black.</w:t>
      </w:r>
    </w:p>
    <w:p w14:paraId="0ED96806"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Hospodar B (1953) </w:t>
      </w:r>
      <w:r w:rsidRPr="00DC0BAA">
        <w:rPr>
          <w:rFonts w:ascii="Arial" w:eastAsia="Aptos" w:hAnsi="Arial" w:cs="Arial"/>
          <w:i/>
          <w:noProof/>
          <w:lang w:val="en-US" w:eastAsia="en-US"/>
        </w:rPr>
        <w:t xml:space="preserve">Salome: Virgin Or Prostitute? </w:t>
      </w:r>
      <w:r w:rsidRPr="00DC0BAA">
        <w:rPr>
          <w:rFonts w:ascii="Arial" w:eastAsia="Aptos" w:hAnsi="Arial" w:cs="Arial"/>
          <w:noProof/>
          <w:lang w:val="en-US" w:eastAsia="en-US"/>
        </w:rPr>
        <w:t>New York: Pageant Press.</w:t>
      </w:r>
    </w:p>
    <w:p w14:paraId="457862C8"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Hubbard DA, Barker GW, Martin RP, et al. (1995) </w:t>
      </w:r>
      <w:r w:rsidRPr="00DC0BAA">
        <w:rPr>
          <w:rFonts w:ascii="Arial" w:eastAsia="Aptos" w:hAnsi="Arial" w:cs="Arial"/>
          <w:i/>
          <w:noProof/>
          <w:lang w:val="en-US" w:eastAsia="en-US"/>
        </w:rPr>
        <w:t>Word Biblical Commentary.</w:t>
      </w:r>
      <w:r w:rsidRPr="00DC0BAA">
        <w:rPr>
          <w:rFonts w:ascii="Arial" w:eastAsia="Aptos" w:hAnsi="Arial" w:cs="Arial"/>
          <w:noProof/>
          <w:lang w:val="en-US" w:eastAsia="en-US"/>
        </w:rPr>
        <w:t xml:space="preserve"> Waco, Texas: Word Books.</w:t>
      </w:r>
    </w:p>
    <w:p w14:paraId="367259C4"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Hubbard DA, Barker GW, Martin RP, et al. (1995) </w:t>
      </w:r>
      <w:r w:rsidRPr="00DC0BAA">
        <w:rPr>
          <w:rFonts w:ascii="Arial" w:eastAsia="Aptos" w:hAnsi="Arial" w:cs="Arial"/>
          <w:i/>
          <w:noProof/>
          <w:lang w:val="en-US" w:eastAsia="en-US"/>
        </w:rPr>
        <w:t>Word Biblical Commentary.</w:t>
      </w:r>
      <w:r w:rsidRPr="00DC0BAA">
        <w:rPr>
          <w:rFonts w:ascii="Arial" w:eastAsia="Aptos" w:hAnsi="Arial" w:cs="Arial"/>
          <w:noProof/>
          <w:lang w:val="en-US" w:eastAsia="en-US"/>
        </w:rPr>
        <w:t xml:space="preserve"> </w:t>
      </w:r>
      <w:r w:rsidRPr="00DC0BAA">
        <w:rPr>
          <w:rFonts w:ascii="Arial" w:eastAsia="Aptos" w:hAnsi="Arial" w:cs="Arial"/>
          <w:noProof/>
          <w:lang w:val="en-US" w:eastAsia="en-US"/>
        </w:rPr>
        <w:lastRenderedPageBreak/>
        <w:t>Waco, Texas: Word Books.</w:t>
      </w:r>
    </w:p>
    <w:p w14:paraId="5BEA7623"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Iliffe J (2011) </w:t>
      </w:r>
      <w:r w:rsidRPr="00DC0BAA">
        <w:rPr>
          <w:rFonts w:ascii="Arial" w:eastAsia="Aptos" w:hAnsi="Arial" w:cs="Arial"/>
          <w:i/>
          <w:noProof/>
          <w:lang w:val="en-US" w:eastAsia="en-US"/>
        </w:rPr>
        <w:t>Obasanjo, Nigeria And The World.</w:t>
      </w:r>
      <w:r w:rsidRPr="00DC0BAA">
        <w:rPr>
          <w:rFonts w:ascii="Arial" w:eastAsia="Aptos" w:hAnsi="Arial" w:cs="Arial"/>
          <w:noProof/>
          <w:lang w:val="en-US" w:eastAsia="en-US"/>
        </w:rPr>
        <w:t xml:space="preserve"> Woodbridge: James Currey.</w:t>
      </w:r>
    </w:p>
    <w:p w14:paraId="4CC316EC"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Jacoby F (1944) Γενεσια A Forgotten Festival Of The Dead. </w:t>
      </w:r>
      <w:r w:rsidRPr="00DC0BAA">
        <w:rPr>
          <w:rFonts w:ascii="Arial" w:eastAsia="Aptos" w:hAnsi="Arial" w:cs="Arial"/>
          <w:i/>
          <w:noProof/>
          <w:lang w:val="en-US" w:eastAsia="en-US"/>
        </w:rPr>
        <w:t>The Classical Quarterly</w:t>
      </w:r>
      <w:r w:rsidRPr="00DC0BAA">
        <w:rPr>
          <w:rFonts w:ascii="Arial" w:eastAsia="Aptos" w:hAnsi="Arial" w:cs="Arial"/>
          <w:noProof/>
          <w:lang w:val="en-US" w:eastAsia="en-US"/>
        </w:rPr>
        <w:t xml:space="preserve"> 38(3-4): 65-75.</w:t>
      </w:r>
    </w:p>
    <w:p w14:paraId="73533F63"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Johnson D (1999) Who Belongs To Whom?: Assimilation And Deracination In Simi Bedford's Yoruba Girl Dancing. </w:t>
      </w:r>
      <w:r w:rsidRPr="00DC0BAA">
        <w:rPr>
          <w:rFonts w:ascii="Arial" w:eastAsia="Aptos" w:hAnsi="Arial" w:cs="Arial"/>
          <w:i/>
          <w:noProof/>
          <w:lang w:val="en-US" w:eastAsia="en-US"/>
        </w:rPr>
        <w:t>Bookbird</w:t>
      </w:r>
      <w:r w:rsidRPr="00DC0BAA">
        <w:rPr>
          <w:rFonts w:ascii="Arial" w:eastAsia="Aptos" w:hAnsi="Arial" w:cs="Arial"/>
          <w:noProof/>
          <w:lang w:val="en-US" w:eastAsia="en-US"/>
        </w:rPr>
        <w:t xml:space="preserve"> 37(2): 6.</w:t>
      </w:r>
    </w:p>
    <w:p w14:paraId="5BB3A922"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Johnson M (2015) Embodied Understanding. </w:t>
      </w:r>
      <w:r w:rsidRPr="00DC0BAA">
        <w:rPr>
          <w:rFonts w:ascii="Arial" w:eastAsia="Aptos" w:hAnsi="Arial" w:cs="Arial"/>
          <w:i/>
          <w:noProof/>
          <w:lang w:val="en-US" w:eastAsia="en-US"/>
        </w:rPr>
        <w:t>Frontiers In Psychology</w:t>
      </w:r>
      <w:r w:rsidRPr="00DC0BAA">
        <w:rPr>
          <w:rFonts w:ascii="Arial" w:eastAsia="Aptos" w:hAnsi="Arial" w:cs="Arial"/>
          <w:noProof/>
          <w:lang w:val="en-US" w:eastAsia="en-US"/>
        </w:rPr>
        <w:t xml:space="preserve"> 6. Available at: </w:t>
      </w:r>
      <w:hyperlink r:id="rId19" w:history="1">
        <w:r w:rsidRPr="00DC0BAA">
          <w:rPr>
            <w:rFonts w:ascii="Arial" w:eastAsia="Aptos" w:hAnsi="Arial" w:cs="Arial"/>
            <w:noProof/>
            <w:color w:val="467886"/>
            <w:u w:val="single"/>
            <w:lang w:eastAsia="en-US"/>
          </w:rPr>
          <w:t>https://doi.org/10.3389/fpsyg.2015.00875</w:t>
        </w:r>
      </w:hyperlink>
      <w:r w:rsidRPr="00DC0BAA">
        <w:rPr>
          <w:rFonts w:ascii="Arial" w:eastAsia="Aptos" w:hAnsi="Arial" w:cs="Arial"/>
          <w:noProof/>
          <w:lang w:val="en-US" w:eastAsia="en-US"/>
        </w:rPr>
        <w:t xml:space="preserve"> (Accessed 20.09.23). </w:t>
      </w:r>
    </w:p>
    <w:p w14:paraId="166C540C"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Jones J (2002) ‘Performance Ethnography: The Role Of Embodiment In Cultural Authenticity’. </w:t>
      </w:r>
      <w:r w:rsidRPr="00DC0BAA">
        <w:rPr>
          <w:rFonts w:ascii="Arial" w:eastAsia="Aptos" w:hAnsi="Arial" w:cs="Arial"/>
          <w:i/>
          <w:noProof/>
          <w:lang w:val="en-US" w:eastAsia="en-US"/>
        </w:rPr>
        <w:t>Theatre Topics</w:t>
      </w:r>
      <w:r w:rsidRPr="00DC0BAA">
        <w:rPr>
          <w:rFonts w:ascii="Arial" w:eastAsia="Aptos" w:hAnsi="Arial" w:cs="Arial"/>
          <w:noProof/>
          <w:lang w:val="en-US" w:eastAsia="en-US"/>
        </w:rPr>
        <w:t xml:space="preserve"> 12: 1-15.</w:t>
      </w:r>
    </w:p>
    <w:p w14:paraId="54E109E7"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Joynes CE (2009) ‘Visualizing Salome’s Dance of Death: The Contribution Of Art To Biblical Exegesis’. In: Exum JC And Nutu E (Eds) </w:t>
      </w:r>
      <w:r w:rsidRPr="00DC0BAA">
        <w:rPr>
          <w:rFonts w:ascii="Arial" w:eastAsia="Aptos" w:hAnsi="Arial" w:cs="Arial"/>
          <w:i/>
          <w:noProof/>
          <w:lang w:val="en-US" w:eastAsia="en-US"/>
        </w:rPr>
        <w:t>Between The Text And The Canvas: The Bible And Art In Dialogue</w:t>
      </w:r>
      <w:r w:rsidRPr="00DC0BAA">
        <w:rPr>
          <w:rFonts w:ascii="Arial" w:eastAsia="Aptos" w:hAnsi="Arial" w:cs="Arial"/>
          <w:noProof/>
          <w:lang w:val="en-US" w:eastAsia="en-US"/>
        </w:rPr>
        <w:t>. Sheffield: Sheffield Phoenix Press.</w:t>
      </w:r>
    </w:p>
    <w:p w14:paraId="5845CFF0"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Kapolyo J (2010) ‘Matthew’. In: Adeyemo T (Ed) </w:t>
      </w:r>
      <w:r w:rsidRPr="00DC0BAA">
        <w:rPr>
          <w:rFonts w:ascii="Arial" w:eastAsia="Aptos" w:hAnsi="Arial" w:cs="Arial"/>
          <w:i/>
          <w:noProof/>
          <w:lang w:val="en-US" w:eastAsia="en-US"/>
        </w:rPr>
        <w:t xml:space="preserve">Africa Bible Commentary. </w:t>
      </w:r>
      <w:r w:rsidRPr="00DC0BAA">
        <w:rPr>
          <w:rFonts w:ascii="Arial" w:eastAsia="Aptos" w:hAnsi="Arial" w:cs="Arial"/>
          <w:iCs/>
          <w:noProof/>
          <w:lang w:val="en-US" w:eastAsia="en-US"/>
        </w:rPr>
        <w:t>General Editor, Tokunboh Adeyemo; Theological Editors, Soloman Andria et al ; Theological Advisors, Kwame Bediako, Isabel Apawo Phiri, Yusufu Turaki. Grand Rapids, Mich: Zondervan.</w:t>
      </w:r>
    </w:p>
    <w:p w14:paraId="09470F0B"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Karade BI (2020) </w:t>
      </w:r>
      <w:r w:rsidRPr="00DC0BAA">
        <w:rPr>
          <w:rFonts w:ascii="Arial" w:eastAsia="Aptos" w:hAnsi="Arial" w:cs="Arial"/>
          <w:i/>
          <w:noProof/>
          <w:lang w:val="en-US" w:eastAsia="en-US"/>
        </w:rPr>
        <w:t>The Handbook Of Yoruba Religious Concepts.</w:t>
      </w:r>
      <w:r w:rsidRPr="00DC0BAA">
        <w:rPr>
          <w:rFonts w:ascii="Arial" w:eastAsia="Aptos" w:hAnsi="Arial" w:cs="Arial"/>
          <w:noProof/>
          <w:lang w:val="en-US" w:eastAsia="en-US"/>
        </w:rPr>
        <w:t xml:space="preserve"> Canada: Red Wheel Weiser</w:t>
      </w:r>
    </w:p>
    <w:p w14:paraId="0618DF35"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Kazeem FA (2016) Time In Yorùbá Culture. </w:t>
      </w:r>
      <w:r w:rsidRPr="00DC0BAA">
        <w:rPr>
          <w:rFonts w:ascii="Arial" w:eastAsia="Aptos" w:hAnsi="Arial" w:cs="Arial"/>
          <w:i/>
          <w:noProof/>
          <w:lang w:val="en-US" w:eastAsia="en-US"/>
        </w:rPr>
        <w:t>Al-Hikmat</w:t>
      </w:r>
      <w:r w:rsidRPr="00DC0BAA">
        <w:rPr>
          <w:rFonts w:ascii="Arial" w:eastAsia="Aptos" w:hAnsi="Arial" w:cs="Arial"/>
          <w:noProof/>
          <w:lang w:val="en-US" w:eastAsia="en-US"/>
        </w:rPr>
        <w:t xml:space="preserve"> 36: 27-41.</w:t>
      </w:r>
    </w:p>
    <w:p w14:paraId="0337AF4D" w14:textId="77777777" w:rsidR="00DC0BAA" w:rsidRPr="00DC0BAA" w:rsidRDefault="00DC0BAA" w:rsidP="00DC0BAA">
      <w:pPr>
        <w:widowControl w:val="0"/>
        <w:spacing w:line="360" w:lineRule="auto"/>
        <w:ind w:left="720" w:hanging="720"/>
        <w:rPr>
          <w:rFonts w:ascii="Arial" w:eastAsia="Calibri" w:hAnsi="Arial" w:cs="Arial"/>
          <w:noProof/>
          <w:lang w:val="en-US" w:eastAsia="en-US"/>
        </w:rPr>
      </w:pPr>
      <w:r w:rsidRPr="00DC0BAA">
        <w:rPr>
          <w:rFonts w:ascii="Arial" w:eastAsia="Calibri" w:hAnsi="Arial" w:cs="Arial"/>
          <w:noProof/>
          <w:lang w:val="en-US" w:eastAsia="en-US"/>
        </w:rPr>
        <w:t xml:space="preserve">Kingsbury JD (1990) The Religious Authorities in the Gospel of Mark. </w:t>
      </w:r>
      <w:r w:rsidRPr="00DC0BAA">
        <w:rPr>
          <w:rFonts w:ascii="Arial" w:eastAsia="Calibri" w:hAnsi="Arial" w:cs="Arial"/>
          <w:i/>
          <w:noProof/>
          <w:lang w:val="en-US" w:eastAsia="en-US"/>
        </w:rPr>
        <w:t>New Testament Studies</w:t>
      </w:r>
      <w:r w:rsidRPr="00DC0BAA">
        <w:rPr>
          <w:rFonts w:ascii="Arial" w:eastAsia="Calibri" w:hAnsi="Arial" w:cs="Arial"/>
          <w:noProof/>
          <w:lang w:val="en-US" w:eastAsia="en-US"/>
        </w:rPr>
        <w:t xml:space="preserve"> 36(1): 42-65.</w:t>
      </w:r>
    </w:p>
    <w:p w14:paraId="0A4CD58C"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Kinzer S (2002) Arts In America; Charlotte Acclaims Romare Bearden As A Native Son. </w:t>
      </w:r>
      <w:r w:rsidRPr="00DC0BAA">
        <w:rPr>
          <w:rFonts w:ascii="Arial" w:eastAsia="Aptos" w:hAnsi="Arial" w:cs="Arial"/>
          <w:i/>
          <w:iCs/>
          <w:noProof/>
          <w:lang w:val="en-US" w:eastAsia="en-US"/>
        </w:rPr>
        <w:t>The New York Times</w:t>
      </w:r>
      <w:r w:rsidRPr="00DC0BAA">
        <w:rPr>
          <w:rFonts w:ascii="Arial" w:eastAsia="Aptos" w:hAnsi="Arial" w:cs="Arial"/>
          <w:noProof/>
          <w:lang w:val="en-US" w:eastAsia="en-US"/>
        </w:rPr>
        <w:t xml:space="preserve">. Available at: </w:t>
      </w:r>
      <w:hyperlink r:id="rId20" w:history="1">
        <w:r w:rsidRPr="00DC0BAA">
          <w:rPr>
            <w:rFonts w:ascii="Arial" w:eastAsia="Aptos" w:hAnsi="Arial" w:cs="Arial"/>
            <w:noProof/>
            <w:color w:val="467886"/>
            <w:u w:val="single"/>
            <w:lang w:eastAsia="en-US"/>
          </w:rPr>
          <w:t xml:space="preserve">ARTS IN AMERICA; </w:t>
        </w:r>
        <w:r w:rsidRPr="00DC0BAA">
          <w:rPr>
            <w:rFonts w:ascii="Arial" w:eastAsia="Aptos" w:hAnsi="Arial" w:cs="Arial"/>
            <w:noProof/>
            <w:color w:val="467886"/>
            <w:u w:val="single"/>
            <w:lang w:eastAsia="en-US"/>
          </w:rPr>
          <w:lastRenderedPageBreak/>
          <w:t>Charlotte Acclaims Romare Bearden as a Native Son - The New York Times (nytimes.com)</w:t>
        </w:r>
      </w:hyperlink>
      <w:r w:rsidRPr="00DC0BAA">
        <w:rPr>
          <w:rFonts w:ascii="Arial" w:eastAsia="Aptos" w:hAnsi="Arial" w:cs="Arial"/>
          <w:noProof/>
          <w:lang w:val="en-US" w:eastAsia="en-US"/>
        </w:rPr>
        <w:t>.</w:t>
      </w:r>
    </w:p>
    <w:p w14:paraId="40A914A8"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Kirk-Duggan CA (2004) ‘Salome’s Veiled Dance And David’s Full Monty: A Womanist Reading On The Black Erotic In Blues, Rap, R&amp;B, And Gospel Blues’. In: Pinn AB and Hopkins Dn (Eds) </w:t>
      </w:r>
      <w:r w:rsidRPr="00DC0BAA">
        <w:rPr>
          <w:rFonts w:ascii="Arial" w:eastAsia="Aptos" w:hAnsi="Arial" w:cs="Arial"/>
          <w:i/>
          <w:noProof/>
          <w:lang w:val="en-US" w:eastAsia="en-US"/>
        </w:rPr>
        <w:t>Loving The Body: Black Religious Studies And The Erotic</w:t>
      </w:r>
      <w:r w:rsidRPr="00DC0BAA">
        <w:rPr>
          <w:rFonts w:ascii="Arial" w:eastAsia="Aptos" w:hAnsi="Arial" w:cs="Arial"/>
          <w:noProof/>
          <w:lang w:val="en-US" w:eastAsia="en-US"/>
        </w:rPr>
        <w:t>. New York: Palgrave Macmillan, Pp.217-233.</w:t>
      </w:r>
    </w:p>
    <w:p w14:paraId="318A55BA"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Kittel G, Bromiley GW And Friedrich G (1964) </w:t>
      </w:r>
      <w:r w:rsidRPr="00DC0BAA">
        <w:rPr>
          <w:rFonts w:ascii="Arial" w:eastAsia="Aptos" w:hAnsi="Arial" w:cs="Arial"/>
          <w:i/>
          <w:noProof/>
          <w:lang w:val="en-US" w:eastAsia="en-US"/>
        </w:rPr>
        <w:t xml:space="preserve">Theological Dictionary of The New Testament. </w:t>
      </w:r>
      <w:r w:rsidRPr="00DC0BAA">
        <w:rPr>
          <w:rFonts w:ascii="Arial" w:eastAsia="Aptos" w:hAnsi="Arial" w:cs="Arial"/>
          <w:iCs/>
          <w:noProof/>
          <w:lang w:val="en-US" w:eastAsia="en-US"/>
        </w:rPr>
        <w:t>Grand Rapids, Michigan: WM B</w:t>
      </w:r>
      <w:r w:rsidRPr="00DC0BAA">
        <w:rPr>
          <w:rFonts w:ascii="Arial" w:eastAsia="Aptos" w:hAnsi="Arial" w:cs="Arial"/>
          <w:noProof/>
          <w:lang w:val="en-US" w:eastAsia="en-US"/>
        </w:rPr>
        <w:t xml:space="preserve"> Eerdmans.</w:t>
      </w:r>
    </w:p>
    <w:p w14:paraId="23078FEC"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Klimt G (1909) Salome. Available at: </w:t>
      </w:r>
      <w:hyperlink r:id="rId21" w:history="1">
        <w:r w:rsidRPr="00DC0BAA">
          <w:rPr>
            <w:rFonts w:ascii="Arial" w:eastAsia="Aptos" w:hAnsi="Arial" w:cs="Arial"/>
            <w:noProof/>
            <w:color w:val="467886"/>
            <w:u w:val="single"/>
            <w:lang w:eastAsia="en-US"/>
          </w:rPr>
          <w:t>Gustav Klimt: Judith II (Salome) (artbible.info)</w:t>
        </w:r>
      </w:hyperlink>
      <w:r w:rsidRPr="00DC0BAA">
        <w:rPr>
          <w:rFonts w:ascii="Arial" w:eastAsia="Aptos" w:hAnsi="Arial" w:cs="Arial"/>
          <w:noProof/>
          <w:lang w:val="en-US" w:eastAsia="en-US"/>
        </w:rPr>
        <w:t xml:space="preserve"> (Accessed: 20.09.23). </w:t>
      </w:r>
    </w:p>
    <w:p w14:paraId="742911EB"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Lane Wl (1974) </w:t>
      </w:r>
      <w:r w:rsidRPr="00DC0BAA">
        <w:rPr>
          <w:rFonts w:ascii="Arial" w:eastAsia="Aptos" w:hAnsi="Arial" w:cs="Arial"/>
          <w:i/>
          <w:noProof/>
          <w:lang w:val="en-US" w:eastAsia="en-US"/>
        </w:rPr>
        <w:t>The Gospel According To Mark: The English Text With Introduction, Exposition, And Notes.</w:t>
      </w:r>
      <w:r w:rsidRPr="00DC0BAA">
        <w:rPr>
          <w:rFonts w:ascii="Arial" w:eastAsia="Aptos" w:hAnsi="Arial" w:cs="Arial"/>
          <w:noProof/>
          <w:lang w:val="en-US" w:eastAsia="en-US"/>
        </w:rPr>
        <w:t xml:space="preserve"> London: Marshall, Morgan &amp; Scott.</w:t>
      </w:r>
    </w:p>
    <w:p w14:paraId="66A1659F"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Lawler LB (1947) The Dance In Ancient Greece. </w:t>
      </w:r>
      <w:r w:rsidRPr="00DC0BAA">
        <w:rPr>
          <w:rFonts w:ascii="Arial" w:eastAsia="Aptos" w:hAnsi="Arial" w:cs="Arial"/>
          <w:i/>
          <w:noProof/>
          <w:lang w:val="en-US" w:eastAsia="en-US"/>
        </w:rPr>
        <w:t>The Classical Journal</w:t>
      </w:r>
      <w:r w:rsidRPr="00DC0BAA">
        <w:rPr>
          <w:rFonts w:ascii="Arial" w:eastAsia="Aptos" w:hAnsi="Arial" w:cs="Arial"/>
          <w:noProof/>
          <w:lang w:val="en-US" w:eastAsia="en-US"/>
        </w:rPr>
        <w:t xml:space="preserve"> 42(6): 343-349.</w:t>
      </w:r>
    </w:p>
    <w:p w14:paraId="58C46B56"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Lee JW And Kim LK (2014) Female Ambivalence Of Colonial Imitation. </w:t>
      </w:r>
      <w:r w:rsidRPr="00DC0BAA">
        <w:rPr>
          <w:rFonts w:ascii="Arial" w:eastAsia="Aptos" w:hAnsi="Arial" w:cs="Arial"/>
          <w:i/>
          <w:noProof/>
          <w:lang w:val="en-US" w:eastAsia="en-US"/>
        </w:rPr>
        <w:t>Proceedings Of The Korea Contents Association Conference.</w:t>
      </w:r>
      <w:r w:rsidRPr="00DC0BAA">
        <w:rPr>
          <w:rFonts w:ascii="Arial" w:eastAsia="Aptos" w:hAnsi="Arial" w:cs="Arial"/>
          <w:noProof/>
          <w:lang w:val="en-US" w:eastAsia="en-US"/>
        </w:rPr>
        <w:t xml:space="preserve"> The Korea Contents Association, 125-126.</w:t>
      </w:r>
    </w:p>
    <w:p w14:paraId="0256B5A3"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Liddell HG And Scott R (1890) </w:t>
      </w:r>
      <w:r w:rsidRPr="00DC0BAA">
        <w:rPr>
          <w:rFonts w:ascii="Arial" w:eastAsia="Aptos" w:hAnsi="Arial" w:cs="Arial"/>
          <w:i/>
          <w:noProof/>
          <w:lang w:val="en-US" w:eastAsia="en-US"/>
        </w:rPr>
        <w:t xml:space="preserve">Greek-English Lexicon. </w:t>
      </w:r>
      <w:r w:rsidRPr="00DC0BAA">
        <w:rPr>
          <w:rFonts w:ascii="Arial" w:eastAsia="Aptos" w:hAnsi="Arial" w:cs="Arial"/>
          <w:noProof/>
          <w:lang w:val="en-US" w:eastAsia="en-US"/>
        </w:rPr>
        <w:t>Oxford: Clarendon Press.</w:t>
      </w:r>
    </w:p>
    <w:p w14:paraId="5382D733"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Liew TSB (2009) The Gospel Of Mark In: Segovia Ff And Sugirtharajah Rs (Eds) </w:t>
      </w:r>
      <w:r w:rsidRPr="00DC0BAA">
        <w:rPr>
          <w:rFonts w:ascii="Arial" w:eastAsia="Aptos" w:hAnsi="Arial" w:cs="Arial"/>
          <w:i/>
          <w:noProof/>
          <w:lang w:val="en-US" w:eastAsia="en-US"/>
        </w:rPr>
        <w:t>A Postcolonial Commentary On The New Testament Writings</w:t>
      </w:r>
      <w:r w:rsidRPr="00DC0BAA">
        <w:rPr>
          <w:rFonts w:ascii="Arial" w:eastAsia="Aptos" w:hAnsi="Arial" w:cs="Arial"/>
          <w:noProof/>
          <w:lang w:val="en-US" w:eastAsia="en-US"/>
        </w:rPr>
        <w:t>. London: Bloomsbury T&amp;T Clark.</w:t>
      </w:r>
    </w:p>
    <w:p w14:paraId="5D86A714"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Lock H (1999) ‘Yoruba Girl Dancing And The Post-War Transition To An English Multi-Ethnic Society’. </w:t>
      </w:r>
      <w:r w:rsidRPr="00DC0BAA">
        <w:rPr>
          <w:rFonts w:ascii="Arial" w:eastAsia="Aptos" w:hAnsi="Arial" w:cs="Arial"/>
          <w:i/>
          <w:noProof/>
          <w:lang w:val="en-US" w:eastAsia="en-US"/>
        </w:rPr>
        <w:t>Ethnic Studies Review</w:t>
      </w:r>
      <w:r w:rsidRPr="00DC0BAA">
        <w:rPr>
          <w:rFonts w:ascii="Arial" w:eastAsia="Aptos" w:hAnsi="Arial" w:cs="Arial"/>
          <w:noProof/>
          <w:lang w:val="en-US" w:eastAsia="en-US"/>
        </w:rPr>
        <w:t xml:space="preserve"> 22(1): 112-121.</w:t>
      </w:r>
    </w:p>
    <w:p w14:paraId="11C49C29"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Luz U And Crouch JE (2001) </w:t>
      </w:r>
      <w:r w:rsidRPr="00DC0BAA">
        <w:rPr>
          <w:rFonts w:ascii="Arial" w:eastAsia="Aptos" w:hAnsi="Arial" w:cs="Arial"/>
          <w:i/>
          <w:noProof/>
          <w:lang w:val="en-US" w:eastAsia="en-US"/>
        </w:rPr>
        <w:t xml:space="preserve">Matthew: 8-20. </w:t>
      </w:r>
      <w:r w:rsidRPr="00DC0BAA">
        <w:rPr>
          <w:rFonts w:ascii="Arial" w:eastAsia="Aptos" w:hAnsi="Arial" w:cs="Arial"/>
          <w:noProof/>
          <w:lang w:val="en-US" w:eastAsia="en-US"/>
        </w:rPr>
        <w:t>Minneapolis: Fortress.</w:t>
      </w:r>
    </w:p>
    <w:p w14:paraId="3EA787F8"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lastRenderedPageBreak/>
        <w:t xml:space="preserve">Madvig DH and Schweizer E (1971) </w:t>
      </w:r>
      <w:r w:rsidRPr="00DC0BAA">
        <w:rPr>
          <w:rFonts w:ascii="Arial" w:eastAsia="Aptos" w:hAnsi="Arial" w:cs="Arial"/>
          <w:i/>
          <w:noProof/>
          <w:lang w:val="en-US" w:eastAsia="en-US"/>
        </w:rPr>
        <w:t xml:space="preserve">The Good News According To Mark. A Commentary On The Gospel By Eduard Schweizer. Translated By Donald H. Madvig. </w:t>
      </w:r>
      <w:r w:rsidRPr="00DC0BAA">
        <w:rPr>
          <w:rFonts w:ascii="Arial" w:eastAsia="Aptos" w:hAnsi="Arial" w:cs="Arial"/>
          <w:noProof/>
          <w:lang w:val="en-US" w:eastAsia="en-US"/>
        </w:rPr>
        <w:t>London: S.P.C.K</w:t>
      </w:r>
    </w:p>
    <w:p w14:paraId="3C17FBFA"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Marcus J (2000) </w:t>
      </w:r>
      <w:r w:rsidRPr="00DC0BAA">
        <w:rPr>
          <w:rFonts w:ascii="Arial" w:eastAsia="Aptos" w:hAnsi="Arial" w:cs="Arial"/>
          <w:i/>
          <w:noProof/>
          <w:lang w:val="en-US" w:eastAsia="en-US"/>
        </w:rPr>
        <w:t>Mark 1-8: A New Translation With Introduction And Commentary.</w:t>
      </w:r>
      <w:r w:rsidRPr="00DC0BAA">
        <w:rPr>
          <w:rFonts w:ascii="Arial" w:eastAsia="Aptos" w:hAnsi="Arial" w:cs="Arial"/>
          <w:noProof/>
          <w:lang w:val="en-US" w:eastAsia="en-US"/>
        </w:rPr>
        <w:t xml:space="preserve"> New Haven, Conn: Yale University Press.</w:t>
      </w:r>
    </w:p>
    <w:p w14:paraId="7F2A7936"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Miller S (2004) </w:t>
      </w:r>
      <w:r w:rsidRPr="00DC0BAA">
        <w:rPr>
          <w:rFonts w:ascii="Arial" w:eastAsia="Aptos" w:hAnsi="Arial" w:cs="Arial"/>
          <w:i/>
          <w:noProof/>
          <w:lang w:val="en-US" w:eastAsia="en-US"/>
        </w:rPr>
        <w:t>Women In Mark’s Gospel</w:t>
      </w:r>
      <w:r w:rsidRPr="00DC0BAA">
        <w:rPr>
          <w:rFonts w:ascii="Arial" w:eastAsia="Aptos" w:hAnsi="Arial" w:cs="Arial"/>
          <w:noProof/>
          <w:lang w:val="en-US" w:eastAsia="en-US"/>
        </w:rPr>
        <w:t>: London : T&amp;T Clark International.</w:t>
      </w:r>
    </w:p>
    <w:p w14:paraId="1B791331"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Mills Gy (1997) Is It Is Or Is It Ain't: The Impact Of Selective Perception On The Image Making Of Traditional African Dance. </w:t>
      </w:r>
      <w:r w:rsidRPr="00DC0BAA">
        <w:rPr>
          <w:rFonts w:ascii="Arial" w:eastAsia="Aptos" w:hAnsi="Arial" w:cs="Arial"/>
          <w:i/>
          <w:noProof/>
          <w:lang w:val="en-US" w:eastAsia="en-US"/>
        </w:rPr>
        <w:t>Journal Of Black Studies</w:t>
      </w:r>
      <w:r w:rsidRPr="00DC0BAA">
        <w:rPr>
          <w:rFonts w:ascii="Arial" w:eastAsia="Aptos" w:hAnsi="Arial" w:cs="Arial"/>
          <w:noProof/>
          <w:lang w:val="en-US" w:eastAsia="en-US"/>
        </w:rPr>
        <w:t xml:space="preserve"> 28(2): 139-156.</w:t>
      </w:r>
    </w:p>
    <w:p w14:paraId="0EE1FAF9"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Molina M (2014) Tympanum Tuum Cybele: Pagan Use And Christian Transformation Of A Cultic Greco-Roman Percussion Instrument. </w:t>
      </w:r>
      <w:r w:rsidRPr="00DC0BAA">
        <w:rPr>
          <w:rFonts w:ascii="Arial" w:eastAsia="Aptos" w:hAnsi="Arial" w:cs="Arial"/>
          <w:i/>
          <w:noProof/>
          <w:lang w:val="en-US" w:eastAsia="en-US"/>
        </w:rPr>
        <w:t>Moysiké= Musica En El Món Antic I El Món Antic En La Música</w:t>
      </w:r>
      <w:r w:rsidRPr="00DC0BAA">
        <w:rPr>
          <w:rFonts w:ascii="Arial" w:eastAsia="Aptos" w:hAnsi="Arial" w:cs="Arial"/>
          <w:noProof/>
          <w:lang w:val="en-US" w:eastAsia="en-US"/>
        </w:rPr>
        <w:t>. 51-69.</w:t>
      </w:r>
    </w:p>
    <w:p w14:paraId="0E65D077"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Molopyane Lm (2020a) </w:t>
      </w:r>
      <w:r w:rsidRPr="00DC0BAA">
        <w:rPr>
          <w:rFonts w:ascii="Arial" w:eastAsia="Aptos" w:hAnsi="Arial" w:cs="Arial"/>
          <w:i/>
          <w:noProof/>
          <w:lang w:val="en-US" w:eastAsia="en-US"/>
        </w:rPr>
        <w:t>Displacing Power From The Dance Floor: A Postcolonial Gendered Reading Of Mark 6: 14-29</w:t>
      </w:r>
      <w:r w:rsidRPr="00DC0BAA">
        <w:rPr>
          <w:rFonts w:ascii="Arial" w:eastAsia="Aptos" w:hAnsi="Arial" w:cs="Arial"/>
          <w:noProof/>
          <w:lang w:val="en-US" w:eastAsia="en-US"/>
        </w:rPr>
        <w:t>. University Of Pretoria.</w:t>
      </w:r>
    </w:p>
    <w:p w14:paraId="72FB2CEF"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Molopyane Lm (2020b) ‘The Female Body On The Dance Floor’. </w:t>
      </w:r>
      <w:r w:rsidRPr="00DC0BAA">
        <w:rPr>
          <w:rFonts w:ascii="Arial" w:eastAsia="Aptos" w:hAnsi="Arial" w:cs="Arial"/>
          <w:i/>
          <w:noProof/>
          <w:lang w:val="en-US" w:eastAsia="en-US"/>
        </w:rPr>
        <w:t>STJ Stellenbosch Theological Journal</w:t>
      </w:r>
      <w:r w:rsidRPr="00DC0BAA">
        <w:rPr>
          <w:rFonts w:ascii="Arial" w:eastAsia="Aptos" w:hAnsi="Arial" w:cs="Arial"/>
          <w:noProof/>
          <w:lang w:val="en-US" w:eastAsia="en-US"/>
        </w:rPr>
        <w:t xml:space="preserve"> 6(1).</w:t>
      </w:r>
    </w:p>
    <w:p w14:paraId="28F7C682"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Mulvey L (1975) Visual Pleasure And Narrative Cinema. </w:t>
      </w:r>
      <w:r w:rsidRPr="00DC0BAA">
        <w:rPr>
          <w:rFonts w:ascii="Arial" w:eastAsia="Aptos" w:hAnsi="Arial" w:cs="Arial"/>
          <w:i/>
          <w:noProof/>
          <w:lang w:val="en-US" w:eastAsia="en-US"/>
        </w:rPr>
        <w:t>Screen</w:t>
      </w:r>
      <w:r w:rsidRPr="00DC0BAA">
        <w:rPr>
          <w:rFonts w:ascii="Arial" w:eastAsia="Aptos" w:hAnsi="Arial" w:cs="Arial"/>
          <w:noProof/>
          <w:lang w:val="en-US" w:eastAsia="en-US"/>
        </w:rPr>
        <w:t xml:space="preserve"> 16(3): 6-18.</w:t>
      </w:r>
    </w:p>
    <w:p w14:paraId="44874277"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Nesbit E (2020) </w:t>
      </w:r>
      <w:r w:rsidRPr="00DC0BAA">
        <w:rPr>
          <w:rFonts w:ascii="Arial" w:eastAsia="Aptos" w:hAnsi="Arial" w:cs="Arial"/>
          <w:i/>
          <w:noProof/>
          <w:lang w:val="en-US" w:eastAsia="en-US"/>
        </w:rPr>
        <w:t>Salome And The Head.</w:t>
      </w:r>
      <w:r w:rsidRPr="00DC0BAA">
        <w:rPr>
          <w:rFonts w:ascii="Arial" w:eastAsia="Aptos" w:hAnsi="Arial" w:cs="Arial"/>
          <w:noProof/>
          <w:lang w:val="en-US" w:eastAsia="en-US"/>
        </w:rPr>
        <w:t xml:space="preserve"> Florida: Good Press.</w:t>
      </w:r>
    </w:p>
    <w:p w14:paraId="140DB5E3"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Nolland J (2005) </w:t>
      </w:r>
      <w:r w:rsidRPr="00DC0BAA">
        <w:rPr>
          <w:rFonts w:ascii="Arial" w:eastAsia="Aptos" w:hAnsi="Arial" w:cs="Arial"/>
          <w:i/>
          <w:noProof/>
          <w:lang w:val="en-US" w:eastAsia="en-US"/>
        </w:rPr>
        <w:t xml:space="preserve">The Gospel Of Matthew : A Commentary On The Greek Text. </w:t>
      </w:r>
      <w:r w:rsidRPr="00DC0BAA">
        <w:rPr>
          <w:rFonts w:ascii="Arial" w:eastAsia="Aptos" w:hAnsi="Arial" w:cs="Arial"/>
          <w:noProof/>
          <w:lang w:val="en-US" w:eastAsia="en-US"/>
        </w:rPr>
        <w:t>Grand Rapids, Mich: W.B. Eerdmans.</w:t>
      </w:r>
    </w:p>
    <w:p w14:paraId="6D077318"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Ogundipe A (2018) </w:t>
      </w:r>
      <w:r w:rsidRPr="00DC0BAA">
        <w:rPr>
          <w:rFonts w:ascii="Arial" w:eastAsia="Aptos" w:hAnsi="Arial" w:cs="Arial"/>
          <w:i/>
          <w:noProof/>
          <w:lang w:val="en-US" w:eastAsia="en-US"/>
        </w:rPr>
        <w:t>Èșù Elegbára: Change, Chance, Uncertainty In Yorùbá Mythology.</w:t>
      </w:r>
      <w:r w:rsidRPr="00DC0BAA">
        <w:rPr>
          <w:rFonts w:ascii="Arial" w:eastAsia="Aptos" w:hAnsi="Arial" w:cs="Arial"/>
          <w:noProof/>
          <w:lang w:val="en-US" w:eastAsia="en-US"/>
        </w:rPr>
        <w:t xml:space="preserve"> Ilorin, Kwara State: Kwara State University Press.</w:t>
      </w:r>
    </w:p>
    <w:p w14:paraId="51D7514F"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Ogunyemi CO (1996) </w:t>
      </w:r>
      <w:r w:rsidRPr="00DC0BAA">
        <w:rPr>
          <w:rFonts w:ascii="Arial" w:eastAsia="Aptos" w:hAnsi="Arial" w:cs="Arial"/>
          <w:i/>
          <w:noProof/>
          <w:lang w:val="en-US" w:eastAsia="en-US"/>
        </w:rPr>
        <w:t>Africa Wo/Man Palava: The Nigerian Novel By Women.</w:t>
      </w:r>
      <w:r w:rsidRPr="00DC0BAA">
        <w:rPr>
          <w:rFonts w:ascii="Arial" w:eastAsia="Aptos" w:hAnsi="Arial" w:cs="Arial"/>
          <w:noProof/>
          <w:lang w:val="en-US" w:eastAsia="en-US"/>
        </w:rPr>
        <w:t xml:space="preserve"> Chicago: University Of Chicago Press.</w:t>
      </w:r>
    </w:p>
    <w:p w14:paraId="4C572BA0"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Oripeloye H And Omigbule Mb (2019) ‘The Yoruba Of Nigeria And The Ontology </w:t>
      </w:r>
      <w:r w:rsidRPr="00DC0BAA">
        <w:rPr>
          <w:rFonts w:ascii="Arial" w:eastAsia="Aptos" w:hAnsi="Arial" w:cs="Arial"/>
          <w:noProof/>
          <w:lang w:val="en-US" w:eastAsia="en-US"/>
        </w:rPr>
        <w:lastRenderedPageBreak/>
        <w:t xml:space="preserve">Of Death And Burial’. In: Selin Hr, Robert, M (Ed) </w:t>
      </w:r>
      <w:r w:rsidRPr="00DC0BAA">
        <w:rPr>
          <w:rFonts w:ascii="Arial" w:eastAsia="Aptos" w:hAnsi="Arial" w:cs="Arial"/>
          <w:i/>
          <w:noProof/>
          <w:lang w:val="en-US" w:eastAsia="en-US"/>
        </w:rPr>
        <w:t>Death Across Cultures: Death And Dying In Non-Western Cultures</w:t>
      </w:r>
      <w:r w:rsidRPr="00DC0BAA">
        <w:rPr>
          <w:rFonts w:ascii="Arial" w:eastAsia="Aptos" w:hAnsi="Arial" w:cs="Arial"/>
          <w:noProof/>
          <w:lang w:val="en-US" w:eastAsia="en-US"/>
        </w:rPr>
        <w:t>. Cham, Switzerland: Springer International Publishing, Pp.193-205.</w:t>
      </w:r>
    </w:p>
    <w:p w14:paraId="4731707E"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Owsley DF (2014) </w:t>
      </w:r>
      <w:r w:rsidRPr="00DC0BAA">
        <w:rPr>
          <w:rFonts w:ascii="Arial" w:eastAsia="Aptos" w:hAnsi="Arial" w:cs="Arial"/>
          <w:i/>
          <w:noProof/>
          <w:lang w:val="en-US" w:eastAsia="en-US"/>
        </w:rPr>
        <w:t>Salome's Dance Of The Seven Veils.</w:t>
      </w:r>
      <w:r w:rsidRPr="00DC0BAA">
        <w:rPr>
          <w:rFonts w:ascii="Arial" w:eastAsia="Aptos" w:hAnsi="Arial" w:cs="Arial"/>
          <w:noProof/>
          <w:lang w:val="en-US" w:eastAsia="en-US"/>
        </w:rPr>
        <w:t xml:space="preserve"> Bloomington: Booktango.</w:t>
      </w:r>
    </w:p>
    <w:p w14:paraId="4EB563AB"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Painter J (1997) </w:t>
      </w:r>
      <w:r w:rsidRPr="00DC0BAA">
        <w:rPr>
          <w:rFonts w:ascii="Arial" w:eastAsia="Aptos" w:hAnsi="Arial" w:cs="Arial"/>
          <w:i/>
          <w:noProof/>
          <w:lang w:val="en-US" w:eastAsia="en-US"/>
        </w:rPr>
        <w:t xml:space="preserve">Mark's Gospel: Worlds In Conflict. </w:t>
      </w:r>
      <w:r w:rsidRPr="00DC0BAA">
        <w:rPr>
          <w:rFonts w:ascii="Arial" w:eastAsia="Aptos" w:hAnsi="Arial" w:cs="Arial"/>
          <w:iCs/>
          <w:noProof/>
          <w:lang w:val="en-US" w:eastAsia="en-US"/>
        </w:rPr>
        <w:t>London:</w:t>
      </w:r>
      <w:r w:rsidRPr="00DC0BAA">
        <w:rPr>
          <w:rFonts w:ascii="Arial" w:eastAsia="Aptos" w:hAnsi="Arial" w:cs="Arial"/>
          <w:noProof/>
          <w:lang w:val="en-US" w:eastAsia="en-US"/>
        </w:rPr>
        <w:t xml:space="preserve"> Routledge.</w:t>
      </w:r>
    </w:p>
    <w:p w14:paraId="1FBD856B" w14:textId="77777777" w:rsidR="00DC0BAA" w:rsidRPr="00DC0BAA" w:rsidRDefault="00DC0BAA" w:rsidP="00DC0BAA">
      <w:pPr>
        <w:widowControl w:val="0"/>
        <w:ind w:left="720" w:hanging="720"/>
        <w:jc w:val="both"/>
        <w:rPr>
          <w:rFonts w:ascii="Arial" w:eastAsia="Aptos" w:hAnsi="Arial" w:cs="Arial"/>
          <w:iCs/>
          <w:noProof/>
          <w:lang w:val="en-US" w:eastAsia="en-US"/>
        </w:rPr>
      </w:pPr>
      <w:r w:rsidRPr="00DC0BAA">
        <w:rPr>
          <w:rFonts w:ascii="Arial" w:eastAsia="Aptos" w:hAnsi="Arial" w:cs="Arial"/>
          <w:noProof/>
          <w:lang w:val="en-US" w:eastAsia="en-US"/>
        </w:rPr>
        <w:t xml:space="preserve">Patte D (1987) </w:t>
      </w:r>
      <w:r w:rsidRPr="00DC0BAA">
        <w:rPr>
          <w:rFonts w:ascii="Arial" w:eastAsia="Aptos" w:hAnsi="Arial" w:cs="Arial"/>
          <w:i/>
          <w:noProof/>
          <w:lang w:val="en-US" w:eastAsia="en-US"/>
        </w:rPr>
        <w:t>The Gospel According To Matthew: A Structural Commentary On Matthew's Faith. P</w:t>
      </w:r>
      <w:r w:rsidRPr="00DC0BAA">
        <w:rPr>
          <w:rFonts w:ascii="Arial" w:eastAsia="Aptos" w:hAnsi="Arial" w:cs="Arial"/>
          <w:iCs/>
          <w:noProof/>
          <w:lang w:val="en-US" w:eastAsia="en-US"/>
        </w:rPr>
        <w:t>hiladelphia, PA: Fortress Press.</w:t>
      </w:r>
    </w:p>
    <w:p w14:paraId="44B41BBC"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Peggy H (1969) ‘Dance In Nigeria’. </w:t>
      </w:r>
      <w:r w:rsidRPr="00DC0BAA">
        <w:rPr>
          <w:rFonts w:ascii="Arial" w:eastAsia="Aptos" w:hAnsi="Arial" w:cs="Arial"/>
          <w:i/>
          <w:noProof/>
          <w:lang w:val="en-US" w:eastAsia="en-US"/>
        </w:rPr>
        <w:t>Ethnomusicology</w:t>
      </w:r>
      <w:r w:rsidRPr="00DC0BAA">
        <w:rPr>
          <w:rFonts w:ascii="Arial" w:eastAsia="Aptos" w:hAnsi="Arial" w:cs="Arial"/>
          <w:noProof/>
          <w:lang w:val="en-US" w:eastAsia="en-US"/>
        </w:rPr>
        <w:t xml:space="preserve"> 13(2): 280-295.</w:t>
      </w:r>
    </w:p>
    <w:p w14:paraId="4C98C82C" w14:textId="77777777" w:rsidR="00DC0BAA" w:rsidRPr="00DC0BAA" w:rsidRDefault="00DC0BAA" w:rsidP="00DC0BAA">
      <w:pPr>
        <w:widowControl w:val="0"/>
        <w:ind w:left="720" w:hanging="720"/>
        <w:jc w:val="both"/>
        <w:rPr>
          <w:rFonts w:ascii="Arial" w:eastAsia="Aptos" w:hAnsi="Arial" w:cs="Arial"/>
          <w:iCs/>
          <w:noProof/>
          <w:lang w:val="en-US" w:eastAsia="en-US"/>
        </w:rPr>
      </w:pPr>
      <w:r w:rsidRPr="00DC0BAA">
        <w:rPr>
          <w:rFonts w:ascii="Arial" w:eastAsia="Aptos" w:hAnsi="Arial" w:cs="Arial"/>
          <w:noProof/>
          <w:lang w:val="en-US" w:eastAsia="en-US"/>
        </w:rPr>
        <w:t xml:space="preserve">Pell EF (1890) ‘Salome’. In: Canvas OO (Ed) </w:t>
      </w:r>
      <w:r w:rsidRPr="00DC0BAA">
        <w:rPr>
          <w:rFonts w:ascii="Arial" w:eastAsia="Aptos" w:hAnsi="Arial" w:cs="Arial"/>
          <w:i/>
          <w:noProof/>
          <w:lang w:val="en-US" w:eastAsia="en-US"/>
        </w:rPr>
        <w:t xml:space="preserve">131.5 X 86.4. </w:t>
      </w:r>
      <w:r w:rsidRPr="00DC0BAA">
        <w:rPr>
          <w:rFonts w:ascii="Arial" w:eastAsia="Aptos" w:hAnsi="Arial" w:cs="Arial"/>
          <w:iCs/>
          <w:noProof/>
          <w:lang w:val="en-US" w:eastAsia="en-US"/>
        </w:rPr>
        <w:t xml:space="preserve">Available at: </w:t>
      </w:r>
      <w:hyperlink r:id="rId22" w:history="1">
        <w:r w:rsidRPr="00DC0BAA">
          <w:rPr>
            <w:rFonts w:ascii="Arial" w:eastAsia="Aptos" w:hAnsi="Arial" w:cs="Arial"/>
            <w:iCs/>
            <w:noProof/>
            <w:color w:val="467886"/>
            <w:u w:val="single"/>
            <w:lang w:val="en-US" w:eastAsia="en-US"/>
          </w:rPr>
          <w:t>https://www.crockerart.org/collections/scheherazade-and-her-sisters/artworks/salome-1890</w:t>
        </w:r>
      </w:hyperlink>
      <w:r w:rsidRPr="00DC0BAA">
        <w:rPr>
          <w:rFonts w:ascii="Arial" w:eastAsia="Aptos" w:hAnsi="Arial" w:cs="Arial"/>
          <w:iCs/>
          <w:noProof/>
          <w:lang w:val="en-US" w:eastAsia="en-US"/>
        </w:rPr>
        <w:t xml:space="preserve"> </w:t>
      </w:r>
      <w:r w:rsidRPr="00DC0BAA">
        <w:rPr>
          <w:rFonts w:ascii="Arial" w:eastAsia="Aptos" w:hAnsi="Arial" w:cs="Arial"/>
          <w:noProof/>
          <w:lang w:val="en-US" w:eastAsia="en-US"/>
        </w:rPr>
        <w:t>(Accessed 19.09.2023).</w:t>
      </w:r>
    </w:p>
    <w:p w14:paraId="1C4427C3"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Rawlinson Aej (1956) </w:t>
      </w:r>
      <w:r w:rsidRPr="00DC0BAA">
        <w:rPr>
          <w:rFonts w:ascii="Arial" w:eastAsia="Aptos" w:hAnsi="Arial" w:cs="Arial"/>
          <w:i/>
          <w:noProof/>
          <w:lang w:val="en-US" w:eastAsia="en-US"/>
        </w:rPr>
        <w:t xml:space="preserve">Westminister Commentaries The Gospel According To St. Mark. </w:t>
      </w:r>
      <w:r w:rsidRPr="00DC0BAA">
        <w:rPr>
          <w:rFonts w:ascii="Arial" w:eastAsia="Aptos" w:hAnsi="Arial" w:cs="Arial"/>
          <w:noProof/>
          <w:lang w:val="en-US" w:eastAsia="en-US"/>
        </w:rPr>
        <w:t>London: Methuen &amp; Co.</w:t>
      </w:r>
    </w:p>
    <w:p w14:paraId="7DB62D44"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Redlich O (2020) ‘The Concept Of Birthday- A Theoretical, Historical, And Social Overview’ – In Judaism And Other Cultures. </w:t>
      </w:r>
      <w:r w:rsidRPr="00DC0BAA">
        <w:rPr>
          <w:rFonts w:ascii="Arial" w:eastAsia="Aptos" w:hAnsi="Arial" w:cs="Arial"/>
          <w:i/>
          <w:noProof/>
          <w:lang w:val="en-US" w:eastAsia="en-US"/>
        </w:rPr>
        <w:t>Journal Of Humanities And Social Sciences</w:t>
      </w:r>
      <w:r w:rsidRPr="00DC0BAA">
        <w:rPr>
          <w:rFonts w:ascii="Arial" w:eastAsia="Aptos" w:hAnsi="Arial" w:cs="Arial"/>
          <w:noProof/>
          <w:lang w:val="en-US" w:eastAsia="en-US"/>
        </w:rPr>
        <w:t xml:space="preserve"> 14: 791.</w:t>
      </w:r>
    </w:p>
    <w:p w14:paraId="50F38A34"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Redon O (1840-1916) Salome. Available at: </w:t>
      </w:r>
      <w:hyperlink r:id="rId23" w:history="1">
        <w:r w:rsidRPr="00DC0BAA">
          <w:rPr>
            <w:rFonts w:ascii="Arial" w:eastAsia="Aptos" w:hAnsi="Arial" w:cs="Arial"/>
            <w:noProof/>
            <w:color w:val="467886"/>
            <w:u w:val="single"/>
            <w:lang w:eastAsia="en-US"/>
          </w:rPr>
          <w:t>Salomé with the Head of Saint John the Baptist – Works – The Nelson-Atkins Museum of Art</w:t>
        </w:r>
      </w:hyperlink>
      <w:r w:rsidRPr="00DC0BAA">
        <w:rPr>
          <w:rFonts w:ascii="Arial" w:eastAsia="Aptos" w:hAnsi="Arial" w:cs="Arial"/>
          <w:noProof/>
          <w:lang w:eastAsia="en-US"/>
        </w:rPr>
        <w:t xml:space="preserve"> </w:t>
      </w:r>
      <w:r w:rsidRPr="00DC0BAA">
        <w:rPr>
          <w:rFonts w:ascii="Arial" w:eastAsia="Aptos" w:hAnsi="Arial" w:cs="Arial"/>
          <w:noProof/>
          <w:lang w:val="en-US" w:eastAsia="en-US"/>
        </w:rPr>
        <w:t>(Accessed 19.09.2023).</w:t>
      </w:r>
    </w:p>
    <w:p w14:paraId="2A09DA83"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Regnault H ( 1870) ‘Salome’. In: 1843-1871. (Ed) </w:t>
      </w:r>
      <w:r w:rsidRPr="00DC0BAA">
        <w:rPr>
          <w:rFonts w:ascii="Arial" w:eastAsia="Aptos" w:hAnsi="Arial" w:cs="Arial"/>
          <w:i/>
          <w:noProof/>
          <w:lang w:val="en-US" w:eastAsia="en-US"/>
        </w:rPr>
        <w:t>Metropolitan Museum Of Art.</w:t>
      </w:r>
      <w:r w:rsidRPr="00DC0BAA">
        <w:rPr>
          <w:rFonts w:ascii="Arial" w:eastAsia="Aptos" w:hAnsi="Arial" w:cs="Arial"/>
          <w:noProof/>
          <w:lang w:val="en-US" w:eastAsia="en-US"/>
        </w:rPr>
        <w:t xml:space="preserve"> (New York, N.Y.). Available at: </w:t>
      </w:r>
      <w:hyperlink r:id="rId24" w:history="1">
        <w:r w:rsidRPr="00DC0BAA">
          <w:rPr>
            <w:rFonts w:ascii="Arial" w:eastAsia="Aptos" w:hAnsi="Arial" w:cs="Arial"/>
            <w:noProof/>
            <w:color w:val="467886"/>
            <w:u w:val="single"/>
            <w:lang w:eastAsia="en-US"/>
          </w:rPr>
          <w:t>Henri Regnault | Salome | The Metropolitan Museum of Art (metmuseum.org)</w:t>
        </w:r>
      </w:hyperlink>
      <w:r w:rsidRPr="00DC0BAA">
        <w:rPr>
          <w:rFonts w:ascii="Arial" w:eastAsia="Aptos" w:hAnsi="Arial" w:cs="Arial"/>
          <w:noProof/>
          <w:lang w:eastAsia="en-US"/>
        </w:rPr>
        <w:t xml:space="preserve"> </w:t>
      </w:r>
      <w:r w:rsidRPr="00DC0BAA">
        <w:rPr>
          <w:rFonts w:ascii="Arial" w:eastAsia="Aptos" w:hAnsi="Arial" w:cs="Arial"/>
          <w:noProof/>
          <w:lang w:val="en-US" w:eastAsia="en-US"/>
        </w:rPr>
        <w:t>(Accessed 19.09.2023).</w:t>
      </w:r>
    </w:p>
    <w:p w14:paraId="5710A376"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Rúdólfsdóttir Ag And Morgan P (2009) ‘Alcohol Is My Friend’: Young Middle Class Women Discuss Their Relationship With Alcohol. </w:t>
      </w:r>
      <w:r w:rsidRPr="00DC0BAA">
        <w:rPr>
          <w:rFonts w:ascii="Arial" w:eastAsia="Aptos" w:hAnsi="Arial" w:cs="Arial"/>
          <w:i/>
          <w:noProof/>
          <w:lang w:val="en-US" w:eastAsia="en-US"/>
        </w:rPr>
        <w:t xml:space="preserve">Journal Of Community </w:t>
      </w:r>
      <w:r w:rsidRPr="00DC0BAA">
        <w:rPr>
          <w:rFonts w:ascii="Arial" w:eastAsia="Aptos" w:hAnsi="Arial" w:cs="Arial"/>
          <w:i/>
          <w:noProof/>
          <w:lang w:val="en-US" w:eastAsia="en-US"/>
        </w:rPr>
        <w:lastRenderedPageBreak/>
        <w:t>&amp; Applied Social Psychology</w:t>
      </w:r>
      <w:r w:rsidRPr="00DC0BAA">
        <w:rPr>
          <w:rFonts w:ascii="Arial" w:eastAsia="Aptos" w:hAnsi="Arial" w:cs="Arial"/>
          <w:noProof/>
          <w:lang w:val="en-US" w:eastAsia="en-US"/>
        </w:rPr>
        <w:t xml:space="preserve"> 19(6): 492-505.</w:t>
      </w:r>
    </w:p>
    <w:p w14:paraId="345BD7D6"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Rutka P (2010) </w:t>
      </w:r>
      <w:r w:rsidRPr="00DC0BAA">
        <w:rPr>
          <w:rFonts w:ascii="Arial" w:eastAsia="Aptos" w:hAnsi="Arial" w:cs="Arial"/>
          <w:i/>
          <w:noProof/>
          <w:lang w:val="en-US" w:eastAsia="en-US"/>
        </w:rPr>
        <w:t>Salome: A Novel.</w:t>
      </w:r>
      <w:r w:rsidRPr="00DC0BAA">
        <w:rPr>
          <w:rFonts w:ascii="Arial" w:eastAsia="Aptos" w:hAnsi="Arial" w:cs="Arial"/>
          <w:noProof/>
          <w:lang w:val="en-US" w:eastAsia="en-US"/>
        </w:rPr>
        <w:t xml:space="preserve"> Eugene, OR: Wipf &amp; Stock Publishers.</w:t>
      </w:r>
    </w:p>
    <w:p w14:paraId="4273EAC8"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Scobie CHH (1961) </w:t>
      </w:r>
      <w:r w:rsidRPr="00DC0BAA">
        <w:rPr>
          <w:rFonts w:ascii="Arial" w:eastAsia="Aptos" w:hAnsi="Arial" w:cs="Arial"/>
          <w:i/>
          <w:noProof/>
          <w:lang w:val="en-US" w:eastAsia="en-US"/>
        </w:rPr>
        <w:t>John The Baptist</w:t>
      </w:r>
      <w:r w:rsidRPr="00DC0BAA">
        <w:rPr>
          <w:rFonts w:ascii="Arial" w:eastAsia="Aptos" w:hAnsi="Arial" w:cs="Arial"/>
          <w:noProof/>
          <w:lang w:val="en-US" w:eastAsia="en-US"/>
        </w:rPr>
        <w:t>. Ph.D., University Of Glasgow (United Kingdom), Ann Arbor.</w:t>
      </w:r>
    </w:p>
    <w:p w14:paraId="7402E3C7"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Sharpley Td (1994) </w:t>
      </w:r>
      <w:r w:rsidRPr="00DC0BAA">
        <w:rPr>
          <w:rFonts w:ascii="Arial" w:eastAsia="Aptos" w:hAnsi="Arial" w:cs="Arial"/>
          <w:i/>
          <w:noProof/>
          <w:lang w:val="en-US" w:eastAsia="en-US"/>
        </w:rPr>
        <w:t>Through The White Male Gaze: Black Venus</w:t>
      </w:r>
      <w:r w:rsidRPr="00DC0BAA">
        <w:rPr>
          <w:rFonts w:ascii="Arial" w:eastAsia="Aptos" w:hAnsi="Arial" w:cs="Arial"/>
          <w:noProof/>
          <w:lang w:val="en-US" w:eastAsia="en-US"/>
        </w:rPr>
        <w:t>. Ph.D., Brown University, Ann Arbor.</w:t>
      </w:r>
    </w:p>
    <w:p w14:paraId="2DE9436D"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Smithsonian American Art Museum (2023) </w:t>
      </w:r>
      <w:r w:rsidRPr="00DC0BAA">
        <w:rPr>
          <w:rFonts w:ascii="Arial" w:eastAsia="Aptos" w:hAnsi="Arial" w:cs="Arial"/>
          <w:i/>
          <w:noProof/>
          <w:lang w:val="en-US" w:eastAsia="en-US"/>
        </w:rPr>
        <w:t>John The Baptist From The Prevalence Of Ritual Suite</w:t>
      </w:r>
      <w:r w:rsidRPr="00DC0BAA">
        <w:rPr>
          <w:rFonts w:ascii="Arial" w:eastAsia="Aptos" w:hAnsi="Arial" w:cs="Arial"/>
          <w:noProof/>
          <w:lang w:val="en-US" w:eastAsia="en-US"/>
        </w:rPr>
        <w:t xml:space="preserve">. Available At: </w:t>
      </w:r>
      <w:hyperlink r:id="rId25" w:history="1">
        <w:r w:rsidRPr="00DC0BAA">
          <w:rPr>
            <w:rFonts w:ascii="Arial" w:eastAsia="Aptos" w:hAnsi="Arial" w:cs="Arial"/>
            <w:noProof/>
            <w:color w:val="467886"/>
            <w:u w:val="single"/>
            <w:lang w:val="en-US" w:eastAsia="en-US"/>
          </w:rPr>
          <w:t>Https://Americanart.Si.Edu/Artwork/John-Baptist-Prevalence-Ritual-Suite-78166</w:t>
        </w:r>
      </w:hyperlink>
      <w:r w:rsidRPr="00DC0BAA">
        <w:rPr>
          <w:rFonts w:ascii="Arial" w:eastAsia="Aptos" w:hAnsi="Arial" w:cs="Arial"/>
          <w:noProof/>
          <w:lang w:val="en-US" w:eastAsia="en-US"/>
        </w:rPr>
        <w:t xml:space="preserve"> (Accessed 19.09.2023).</w:t>
      </w:r>
    </w:p>
    <w:p w14:paraId="68CC896F"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Sotunsa Me And Borah A (2020) </w:t>
      </w:r>
      <w:r w:rsidRPr="00DC0BAA">
        <w:rPr>
          <w:rFonts w:ascii="Arial" w:eastAsia="Aptos" w:hAnsi="Arial" w:cs="Arial"/>
          <w:i/>
          <w:noProof/>
          <w:lang w:val="en-US" w:eastAsia="en-US"/>
        </w:rPr>
        <w:t>Imagining Vernacular Histories: Essays In Honor Of Toyin Falola.</w:t>
      </w:r>
      <w:r w:rsidRPr="00DC0BAA">
        <w:rPr>
          <w:rFonts w:ascii="Arial" w:eastAsia="Aptos" w:hAnsi="Arial" w:cs="Arial"/>
          <w:noProof/>
          <w:lang w:val="en-US" w:eastAsia="en-US"/>
        </w:rPr>
        <w:t xml:space="preserve"> Lanham: Rowman &amp; Littlefield Publishers.</w:t>
      </w:r>
    </w:p>
    <w:p w14:paraId="09C14331"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Stendahl K (1975) ‘Matthew’. In: Peake As (Ed) </w:t>
      </w:r>
      <w:r w:rsidRPr="00DC0BAA">
        <w:rPr>
          <w:rFonts w:ascii="Arial" w:eastAsia="Aptos" w:hAnsi="Arial" w:cs="Arial"/>
          <w:i/>
          <w:noProof/>
          <w:lang w:val="en-US" w:eastAsia="en-US"/>
        </w:rPr>
        <w:t xml:space="preserve">Peake's Commentary On The Bible. </w:t>
      </w:r>
      <w:r w:rsidRPr="00DC0BAA">
        <w:rPr>
          <w:rFonts w:ascii="Arial" w:eastAsia="Aptos" w:hAnsi="Arial" w:cs="Arial"/>
          <w:noProof/>
          <w:lang w:val="en-US" w:eastAsia="en-US"/>
        </w:rPr>
        <w:t>[S.L.] : Nelson.</w:t>
      </w:r>
    </w:p>
    <w:p w14:paraId="563B5670" w14:textId="77777777" w:rsidR="00DC0BAA" w:rsidRPr="00DC0BAA" w:rsidRDefault="00DC0BAA" w:rsidP="00DC0BAA">
      <w:pPr>
        <w:widowControl w:val="0"/>
        <w:jc w:val="both"/>
        <w:rPr>
          <w:rFonts w:ascii="Arial" w:eastAsia="Aptos" w:hAnsi="Arial" w:cs="Arial"/>
          <w:noProof/>
          <w:lang w:val="en-US" w:eastAsia="en-US"/>
        </w:rPr>
      </w:pPr>
      <w:r w:rsidRPr="00DC0BAA">
        <w:rPr>
          <w:rFonts w:ascii="Arial" w:eastAsia="Aptos" w:hAnsi="Arial" w:cs="Arial"/>
          <w:noProof/>
          <w:lang w:val="en-US" w:eastAsia="en-US"/>
        </w:rPr>
        <w:t>Strauss R (1907) ‘Salome. Dance Of The Seven Veils’. In: Strauss R (Ed).</w:t>
      </w:r>
    </w:p>
    <w:p w14:paraId="3D6FE3E6"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Tanaka S (2011) The Notion Of Embodied Knowledge. </w:t>
      </w:r>
      <w:r w:rsidRPr="00DC0BAA">
        <w:rPr>
          <w:rFonts w:ascii="Arial" w:eastAsia="Aptos" w:hAnsi="Arial" w:cs="Arial"/>
          <w:i/>
          <w:noProof/>
          <w:lang w:val="en-US" w:eastAsia="en-US"/>
        </w:rPr>
        <w:t>Theoretical Psychology: Global Transformations And Challenges</w:t>
      </w:r>
      <w:r w:rsidRPr="00DC0BAA">
        <w:rPr>
          <w:rFonts w:ascii="Arial" w:eastAsia="Aptos" w:hAnsi="Arial" w:cs="Arial"/>
          <w:noProof/>
          <w:lang w:val="en-US" w:eastAsia="en-US"/>
        </w:rPr>
        <w:t>. 149-157.</w:t>
      </w:r>
    </w:p>
    <w:p w14:paraId="0886C6E6"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Taylor V (1959) </w:t>
      </w:r>
      <w:r w:rsidRPr="00DC0BAA">
        <w:rPr>
          <w:rFonts w:ascii="Arial" w:eastAsia="Aptos" w:hAnsi="Arial" w:cs="Arial"/>
          <w:i/>
          <w:noProof/>
          <w:lang w:val="en-US" w:eastAsia="en-US"/>
        </w:rPr>
        <w:t xml:space="preserve">The Gospel According To St. Mark. The Greek Text With Introduction, Notes And Indexes. </w:t>
      </w:r>
      <w:r w:rsidRPr="00DC0BAA">
        <w:rPr>
          <w:rFonts w:ascii="Arial" w:eastAsia="Aptos" w:hAnsi="Arial" w:cs="Arial"/>
          <w:noProof/>
          <w:lang w:val="en-US" w:eastAsia="en-US"/>
        </w:rPr>
        <w:t>London: Macmillan &amp; Co.</w:t>
      </w:r>
    </w:p>
    <w:p w14:paraId="35891EF3"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Throckmorton Bh (1992) </w:t>
      </w:r>
      <w:r w:rsidRPr="00DC0BAA">
        <w:rPr>
          <w:rFonts w:ascii="Arial" w:eastAsia="Aptos" w:hAnsi="Arial" w:cs="Arial"/>
          <w:i/>
          <w:noProof/>
          <w:lang w:val="en-US" w:eastAsia="en-US"/>
        </w:rPr>
        <w:t xml:space="preserve">Gospel Parallels : A Comparison Of The Synoptic Gospels: With Alternative Readings From The Manuscripts And Noncanonical Parallels. </w:t>
      </w:r>
      <w:r w:rsidRPr="00DC0BAA">
        <w:rPr>
          <w:rFonts w:ascii="Arial" w:eastAsia="Aptos" w:hAnsi="Arial" w:cs="Arial"/>
          <w:noProof/>
          <w:lang w:val="en-US" w:eastAsia="en-US"/>
        </w:rPr>
        <w:t>London : Thomas Nelson.</w:t>
      </w:r>
    </w:p>
    <w:p w14:paraId="68752F5C"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Tolbert Ma (1992) ‘Mark’. In: Newsom Ca And Ringe Sh (Eds) </w:t>
      </w:r>
      <w:r w:rsidRPr="00DC0BAA">
        <w:rPr>
          <w:rFonts w:ascii="Arial" w:eastAsia="Aptos" w:hAnsi="Arial" w:cs="Arial"/>
          <w:i/>
          <w:noProof/>
          <w:lang w:val="en-US" w:eastAsia="en-US"/>
        </w:rPr>
        <w:t>The Women’s Bible Commentary</w:t>
      </w:r>
      <w:r w:rsidRPr="00DC0BAA">
        <w:rPr>
          <w:rFonts w:ascii="Arial" w:eastAsia="Aptos" w:hAnsi="Arial" w:cs="Arial"/>
          <w:noProof/>
          <w:lang w:val="en-US" w:eastAsia="en-US"/>
        </w:rPr>
        <w:t>. London: SPCK.</w:t>
      </w:r>
    </w:p>
    <w:p w14:paraId="72A6C984"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Tuckett Cm (2013) ‘Mark’. In: Barton J And Muddiman J (Eds) </w:t>
      </w:r>
      <w:r w:rsidRPr="00DC0BAA">
        <w:rPr>
          <w:rFonts w:ascii="Arial" w:eastAsia="Aptos" w:hAnsi="Arial" w:cs="Arial"/>
          <w:i/>
          <w:noProof/>
          <w:lang w:val="en-US" w:eastAsia="en-US"/>
        </w:rPr>
        <w:t xml:space="preserve">The Oxford Bible </w:t>
      </w:r>
      <w:r w:rsidRPr="00DC0BAA">
        <w:rPr>
          <w:rFonts w:ascii="Arial" w:eastAsia="Aptos" w:hAnsi="Arial" w:cs="Arial"/>
          <w:i/>
          <w:noProof/>
          <w:lang w:val="en-US" w:eastAsia="en-US"/>
        </w:rPr>
        <w:lastRenderedPageBreak/>
        <w:t>Commentary</w:t>
      </w:r>
      <w:r w:rsidRPr="00DC0BAA">
        <w:rPr>
          <w:rFonts w:ascii="Arial" w:eastAsia="Aptos" w:hAnsi="Arial" w:cs="Arial"/>
          <w:noProof/>
          <w:lang w:val="en-US" w:eastAsia="en-US"/>
        </w:rPr>
        <w:t>. Oxford, United Kingdom: Oxford University Press.</w:t>
      </w:r>
    </w:p>
    <w:p w14:paraId="038DB8C7"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Umma Exchange (2018-19) </w:t>
      </w:r>
      <w:r w:rsidRPr="00DC0BAA">
        <w:rPr>
          <w:rFonts w:ascii="Arial" w:eastAsia="Aptos" w:hAnsi="Arial" w:cs="Arial"/>
          <w:i/>
          <w:noProof/>
          <w:lang w:val="en-US" w:eastAsia="en-US"/>
        </w:rPr>
        <w:t>Salome (John The Baptist)</w:t>
      </w:r>
      <w:r w:rsidRPr="00DC0BAA">
        <w:rPr>
          <w:rFonts w:ascii="Arial" w:eastAsia="Aptos" w:hAnsi="Arial" w:cs="Arial"/>
          <w:noProof/>
          <w:lang w:val="en-US" w:eastAsia="en-US"/>
        </w:rPr>
        <w:t>. Available At: Https://Exchange.Umma.Umich.Edu/Resources/41075/View.</w:t>
      </w:r>
    </w:p>
    <w:p w14:paraId="6EF66C74"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Villepastour A (2010) </w:t>
      </w:r>
      <w:r w:rsidRPr="00DC0BAA">
        <w:rPr>
          <w:rFonts w:ascii="Arial" w:eastAsia="Aptos" w:hAnsi="Arial" w:cs="Arial"/>
          <w:i/>
          <w:noProof/>
          <w:lang w:val="en-US" w:eastAsia="en-US"/>
        </w:rPr>
        <w:t>Ancient Text Messages Of The Yorùbá Bàtá Drum: Cracking The Code.</w:t>
      </w:r>
      <w:r w:rsidRPr="00DC0BAA">
        <w:rPr>
          <w:rFonts w:ascii="Arial" w:eastAsia="Aptos" w:hAnsi="Arial" w:cs="Arial"/>
          <w:noProof/>
          <w:lang w:val="en-US" w:eastAsia="en-US"/>
        </w:rPr>
        <w:t xml:space="preserve"> Farnham: Ashgate.</w:t>
      </w:r>
    </w:p>
    <w:p w14:paraId="7EAB86E3" w14:textId="77777777" w:rsidR="00DC0BAA" w:rsidRPr="00DC0BAA" w:rsidRDefault="00DC0BAA" w:rsidP="00DC0BAA">
      <w:pPr>
        <w:widowControl w:val="0"/>
        <w:ind w:left="720" w:hanging="720"/>
        <w:jc w:val="both"/>
        <w:rPr>
          <w:rFonts w:ascii="Arial" w:eastAsia="Aptos" w:hAnsi="Arial" w:cs="Arial"/>
          <w:noProof/>
          <w:lang w:val="en-US" w:eastAsia="en-US"/>
        </w:rPr>
      </w:pPr>
      <w:r w:rsidRPr="00DC0BAA">
        <w:rPr>
          <w:rFonts w:ascii="Arial" w:eastAsia="Aptos" w:hAnsi="Arial" w:cs="Arial"/>
          <w:noProof/>
          <w:lang w:val="en-US" w:eastAsia="en-US"/>
        </w:rPr>
        <w:t xml:space="preserve">West Ml (1992) </w:t>
      </w:r>
      <w:r w:rsidRPr="00DC0BAA">
        <w:rPr>
          <w:rFonts w:ascii="Arial" w:eastAsia="Aptos" w:hAnsi="Arial" w:cs="Arial"/>
          <w:i/>
          <w:noProof/>
          <w:lang w:val="en-US" w:eastAsia="en-US"/>
        </w:rPr>
        <w:t>Ancient Greek Music.</w:t>
      </w:r>
      <w:r w:rsidRPr="00DC0BAA">
        <w:rPr>
          <w:rFonts w:ascii="Arial" w:eastAsia="Aptos" w:hAnsi="Arial" w:cs="Arial"/>
          <w:noProof/>
          <w:lang w:val="en-US" w:eastAsia="en-US"/>
        </w:rPr>
        <w:t xml:space="preserve"> Oxford: Clarendon Press.</w:t>
      </w:r>
    </w:p>
    <w:p w14:paraId="65762B4D" w14:textId="1562B046" w:rsidR="003F5E28" w:rsidRPr="00B24BEF" w:rsidRDefault="00DC0BAA" w:rsidP="00DC0BAA">
      <w:pPr>
        <w:rPr>
          <w:rFonts w:ascii="Arial" w:hAnsi="Arial" w:cs="Arial"/>
        </w:rPr>
      </w:pPr>
      <w:r w:rsidRPr="00B24BEF">
        <w:rPr>
          <w:rFonts w:ascii="Arial" w:eastAsia="Aptos" w:hAnsi="Arial" w:cs="Arial"/>
          <w:kern w:val="2"/>
          <w:lang w:eastAsia="en-US"/>
          <w14:ligatures w14:val="standardContextual"/>
        </w:rPr>
        <w:t xml:space="preserve">Wood GH (1975) ‘Mark’. In: Peake AS (Ed) </w:t>
      </w:r>
      <w:r w:rsidRPr="00B24BEF">
        <w:rPr>
          <w:rFonts w:ascii="Arial" w:eastAsia="Aptos" w:hAnsi="Arial" w:cs="Arial"/>
          <w:i/>
          <w:kern w:val="2"/>
          <w:lang w:eastAsia="en-US"/>
          <w14:ligatures w14:val="standardContextual"/>
        </w:rPr>
        <w:t>Peake's Commentary On The Bible / Ed. Black And Rowley</w:t>
      </w:r>
      <w:r w:rsidRPr="00B24BEF">
        <w:rPr>
          <w:rFonts w:ascii="Arial" w:eastAsia="Aptos" w:hAnsi="Arial" w:cs="Arial"/>
          <w:kern w:val="2"/>
          <w:lang w:eastAsia="en-US"/>
          <w14:ligatures w14:val="standardContextual"/>
        </w:rPr>
        <w:t>. S.I: Nels</w:t>
      </w:r>
    </w:p>
    <w:p w14:paraId="01764404" w14:textId="77777777" w:rsidR="003F5E28" w:rsidRPr="00B24BEF" w:rsidRDefault="003F5E28" w:rsidP="003F5E28">
      <w:pPr>
        <w:rPr>
          <w:rFonts w:ascii="Arial" w:hAnsi="Arial" w:cs="Arial"/>
        </w:rPr>
      </w:pPr>
    </w:p>
    <w:sectPr w:rsidR="003F5E28" w:rsidRPr="00B24BEF" w:rsidSect="007E0134">
      <w:endnotePr>
        <w:numFmt w:val="decimal"/>
      </w:endnotePr>
      <w:type w:val="continuous"/>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68EC4" w14:textId="77777777" w:rsidR="007E0134" w:rsidRDefault="007E0134" w:rsidP="00733F97">
      <w:pPr>
        <w:spacing w:line="240" w:lineRule="auto"/>
      </w:pPr>
      <w:r>
        <w:separator/>
      </w:r>
    </w:p>
  </w:endnote>
  <w:endnote w:type="continuationSeparator" w:id="0">
    <w:p w14:paraId="1881B3ED" w14:textId="77777777" w:rsidR="007E0134" w:rsidRDefault="007E0134" w:rsidP="00733F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1C72D" w14:textId="77777777" w:rsidR="007E0134" w:rsidRDefault="007E0134" w:rsidP="00733F97">
      <w:pPr>
        <w:spacing w:line="240" w:lineRule="auto"/>
      </w:pPr>
    </w:p>
  </w:footnote>
  <w:footnote w:type="continuationSeparator" w:id="0">
    <w:p w14:paraId="35027505" w14:textId="77777777" w:rsidR="007E0134" w:rsidRDefault="007E0134" w:rsidP="00733F97">
      <w:pPr>
        <w:spacing w:line="240" w:lineRule="auto"/>
      </w:pPr>
      <w:r>
        <w:continuationSeparator/>
      </w:r>
    </w:p>
  </w:footnote>
  <w:footnote w:id="1">
    <w:p w14:paraId="0C82D3E1" w14:textId="77777777" w:rsidR="001C782A" w:rsidRPr="000022F6" w:rsidRDefault="001C782A" w:rsidP="00ED3F17">
      <w:pPr>
        <w:pStyle w:val="FootnoteText"/>
        <w:widowControl w:val="0"/>
        <w:spacing w:line="360" w:lineRule="auto"/>
        <w:ind w:left="0" w:firstLine="0"/>
        <w:jc w:val="both"/>
        <w:rPr>
          <w:rFonts w:ascii="Arial" w:hAnsi="Arial" w:cs="Arial"/>
          <w:szCs w:val="22"/>
        </w:rPr>
      </w:pPr>
    </w:p>
  </w:footnote>
  <w:footnote w:id="2">
    <w:p w14:paraId="3475181A" w14:textId="77777777" w:rsidR="001C782A" w:rsidRPr="000022F6" w:rsidRDefault="001C782A" w:rsidP="00ED3F17">
      <w:pPr>
        <w:pStyle w:val="FootnoteText"/>
        <w:widowControl w:val="0"/>
        <w:spacing w:line="360" w:lineRule="auto"/>
        <w:ind w:left="0" w:firstLine="0"/>
        <w:jc w:val="both"/>
        <w:rPr>
          <w:rFonts w:ascii="Arial" w:hAnsi="Arial" w:cs="Arial"/>
          <w:szCs w:val="22"/>
        </w:rPr>
      </w:pPr>
    </w:p>
  </w:footnote>
  <w:footnote w:id="3">
    <w:p w14:paraId="7574511B" w14:textId="77777777" w:rsidR="001C782A" w:rsidRPr="000022F6" w:rsidRDefault="001C782A" w:rsidP="001C782A">
      <w:pPr>
        <w:pStyle w:val="FootnoteText"/>
        <w:widowControl w:val="0"/>
        <w:spacing w:line="360" w:lineRule="auto"/>
        <w:jc w:val="both"/>
        <w:rPr>
          <w:rFonts w:ascii="Arial" w:hAnsi="Arial" w:cs="Arial"/>
          <w:szCs w:val="22"/>
        </w:rPr>
      </w:pPr>
    </w:p>
  </w:footnote>
  <w:footnote w:id="4">
    <w:p w14:paraId="7C7558DF" w14:textId="77777777" w:rsidR="001C782A" w:rsidRPr="000022F6" w:rsidRDefault="001C782A" w:rsidP="001C782A">
      <w:pPr>
        <w:pStyle w:val="FootnoteText"/>
        <w:widowControl w:val="0"/>
        <w:spacing w:line="360" w:lineRule="auto"/>
        <w:jc w:val="both"/>
        <w:rPr>
          <w:rFonts w:ascii="Arial" w:hAnsi="Arial" w:cs="Arial"/>
          <w:szCs w:val="22"/>
        </w:rPr>
      </w:pPr>
    </w:p>
  </w:footnote>
  <w:footnote w:id="5">
    <w:p w14:paraId="60A62A09" w14:textId="77777777" w:rsidR="001C782A" w:rsidRPr="000022F6" w:rsidRDefault="001C782A" w:rsidP="001C782A">
      <w:pPr>
        <w:pStyle w:val="FootnoteText"/>
        <w:widowControl w:val="0"/>
        <w:spacing w:line="360" w:lineRule="auto"/>
        <w:jc w:val="both"/>
        <w:rPr>
          <w:rFonts w:ascii="Arial" w:hAnsi="Arial" w:cs="Arial"/>
          <w:szCs w:val="22"/>
        </w:rPr>
      </w:pPr>
    </w:p>
  </w:footnote>
  <w:footnote w:id="6">
    <w:p w14:paraId="3FA2B991" w14:textId="77777777" w:rsidR="008D2F74" w:rsidRPr="000022F6" w:rsidRDefault="008D2F74" w:rsidP="008D2F74">
      <w:pPr>
        <w:pStyle w:val="FootnoteText"/>
        <w:widowControl w:val="0"/>
        <w:spacing w:line="360" w:lineRule="auto"/>
        <w:jc w:val="both"/>
        <w:rPr>
          <w:rFonts w:ascii="Arial" w:hAnsi="Arial" w:cs="Arial"/>
          <w:szCs w:val="22"/>
        </w:rPr>
      </w:pPr>
    </w:p>
  </w:footnote>
  <w:footnote w:id="7">
    <w:p w14:paraId="60B5C7A4" w14:textId="1027C968" w:rsidR="008D2F74" w:rsidRPr="000022F6" w:rsidRDefault="008D2F74" w:rsidP="008D2F74">
      <w:pPr>
        <w:widowControl w:val="0"/>
        <w:spacing w:line="360" w:lineRule="auto"/>
        <w:jc w:val="both"/>
        <w:rPr>
          <w:rFonts w:ascii="Arial" w:hAnsi="Arial" w:cs="Arial"/>
          <w:sz w:val="22"/>
        </w:rPr>
      </w:pPr>
      <w:r w:rsidRPr="000022F6">
        <w:rPr>
          <w:rFonts w:ascii="Arial" w:hAnsi="Arial" w:cs="Arial"/>
          <w:noProof/>
          <w:sz w:val="22"/>
        </w:rPr>
        <w:t>.</w:t>
      </w:r>
    </w:p>
  </w:footnote>
  <w:footnote w:id="8">
    <w:p w14:paraId="22F1E240" w14:textId="77777777" w:rsidR="008D2F74" w:rsidRPr="000022F6" w:rsidRDefault="008D2F74" w:rsidP="008D2F74">
      <w:pPr>
        <w:pStyle w:val="FootnoteText"/>
        <w:widowControl w:val="0"/>
        <w:spacing w:line="360" w:lineRule="auto"/>
        <w:jc w:val="both"/>
        <w:rPr>
          <w:rFonts w:ascii="Arial" w:hAnsi="Arial" w:cs="Arial"/>
          <w:szCs w:val="22"/>
        </w:rPr>
      </w:pPr>
    </w:p>
  </w:footnote>
  <w:footnote w:id="9">
    <w:p w14:paraId="659CE73D" w14:textId="77777777" w:rsidR="008D2F74" w:rsidRPr="000022F6" w:rsidRDefault="008D2F74" w:rsidP="008D2F74">
      <w:pPr>
        <w:pStyle w:val="FootnoteText"/>
        <w:widowControl w:val="0"/>
        <w:spacing w:line="360" w:lineRule="auto"/>
        <w:jc w:val="both"/>
        <w:rPr>
          <w:rFonts w:ascii="Arial" w:hAnsi="Arial" w:cs="Arial"/>
          <w:szCs w:val="22"/>
        </w:rPr>
      </w:pPr>
    </w:p>
  </w:footnote>
  <w:footnote w:id="10">
    <w:p w14:paraId="2DDC3247" w14:textId="77777777" w:rsidR="008D2F74" w:rsidRPr="000022F6" w:rsidRDefault="008D2F74" w:rsidP="008D2F74">
      <w:pPr>
        <w:pStyle w:val="FootnoteText"/>
        <w:widowControl w:val="0"/>
        <w:spacing w:line="360" w:lineRule="auto"/>
        <w:jc w:val="both"/>
        <w:rPr>
          <w:rFonts w:ascii="Arial" w:hAnsi="Arial" w:cs="Arial"/>
          <w:szCs w:val="22"/>
        </w:rPr>
      </w:pPr>
    </w:p>
  </w:footnote>
  <w:footnote w:id="11">
    <w:p w14:paraId="4C376F7E" w14:textId="77777777" w:rsidR="008D2F74" w:rsidRPr="000022F6" w:rsidRDefault="008D2F74" w:rsidP="008D2F74">
      <w:pPr>
        <w:pStyle w:val="FootnoteText"/>
        <w:widowControl w:val="0"/>
        <w:spacing w:line="360" w:lineRule="auto"/>
        <w:jc w:val="both"/>
        <w:rPr>
          <w:rFonts w:ascii="Arial" w:hAnsi="Arial" w:cs="Arial"/>
          <w:szCs w:val="22"/>
        </w:rPr>
      </w:pPr>
    </w:p>
  </w:footnote>
  <w:footnote w:id="12">
    <w:p w14:paraId="43DD4C91" w14:textId="77777777" w:rsidR="008D2F74" w:rsidRPr="000022F6" w:rsidRDefault="008D2F74" w:rsidP="008D2F74">
      <w:pPr>
        <w:pStyle w:val="FootnoteText"/>
        <w:widowControl w:val="0"/>
        <w:spacing w:line="360" w:lineRule="auto"/>
        <w:jc w:val="both"/>
        <w:rPr>
          <w:rFonts w:ascii="Arial" w:hAnsi="Arial" w:cs="Arial"/>
          <w:szCs w:val="22"/>
        </w:rPr>
      </w:pPr>
    </w:p>
  </w:footnote>
  <w:footnote w:id="13">
    <w:p w14:paraId="7462E232" w14:textId="77777777" w:rsidR="008D2F74" w:rsidRPr="000022F6" w:rsidRDefault="008D2F74" w:rsidP="008D2F74">
      <w:pPr>
        <w:pStyle w:val="FootnoteText"/>
        <w:widowControl w:val="0"/>
        <w:spacing w:line="360" w:lineRule="auto"/>
        <w:jc w:val="both"/>
        <w:rPr>
          <w:rFonts w:ascii="Arial" w:hAnsi="Arial" w:cs="Arial"/>
          <w:szCs w:val="22"/>
        </w:rPr>
      </w:pPr>
    </w:p>
  </w:footnote>
  <w:footnote w:id="14">
    <w:p w14:paraId="7948C7B9" w14:textId="77777777" w:rsidR="008D2F74" w:rsidRPr="000022F6" w:rsidRDefault="008D2F74" w:rsidP="00DE18AE">
      <w:pPr>
        <w:pStyle w:val="FootnoteText"/>
        <w:widowControl w:val="0"/>
        <w:spacing w:line="360" w:lineRule="auto"/>
        <w:ind w:left="0" w:firstLine="0"/>
        <w:jc w:val="both"/>
        <w:rPr>
          <w:rFonts w:ascii="Arial" w:hAnsi="Arial" w:cs="Arial"/>
          <w:szCs w:val="22"/>
        </w:rPr>
      </w:pPr>
    </w:p>
  </w:footnote>
  <w:footnote w:id="15">
    <w:p w14:paraId="78230E39" w14:textId="39E10C5F" w:rsidR="008D2F74" w:rsidRPr="000022F6" w:rsidRDefault="008D2F74" w:rsidP="00ED3F17">
      <w:pPr>
        <w:pStyle w:val="FootnoteText"/>
        <w:widowControl w:val="0"/>
        <w:spacing w:line="360" w:lineRule="auto"/>
        <w:ind w:left="0" w:firstLine="0"/>
        <w:jc w:val="both"/>
        <w:rPr>
          <w:rFonts w:ascii="Arial" w:hAnsi="Arial" w:cs="Arial"/>
          <w:szCs w:val="22"/>
        </w:rPr>
      </w:pPr>
    </w:p>
    <w:p w14:paraId="73E59106" w14:textId="77777777" w:rsidR="008D2F74" w:rsidRPr="000022F6" w:rsidRDefault="008D2F74" w:rsidP="008D2F74">
      <w:pPr>
        <w:pStyle w:val="FootnoteText"/>
        <w:widowControl w:val="0"/>
        <w:spacing w:line="360" w:lineRule="auto"/>
        <w:jc w:val="both"/>
        <w:rPr>
          <w:rFonts w:ascii="Arial" w:hAnsi="Arial" w:cs="Arial"/>
          <w:szCs w:val="22"/>
        </w:rPr>
      </w:pPr>
    </w:p>
  </w:footnote>
  <w:footnote w:id="16">
    <w:p w14:paraId="48F977CF" w14:textId="0C476593" w:rsidR="008D2F74" w:rsidRPr="000022F6" w:rsidRDefault="008D2F74" w:rsidP="008D2F74">
      <w:pPr>
        <w:widowControl w:val="0"/>
        <w:spacing w:line="360" w:lineRule="auto"/>
        <w:jc w:val="both"/>
        <w:rPr>
          <w:rFonts w:ascii="Arial" w:hAnsi="Arial" w:cs="Arial"/>
          <w:sz w:val="22"/>
        </w:rPr>
      </w:pPr>
    </w:p>
  </w:footnote>
  <w:footnote w:id="17">
    <w:p w14:paraId="257617F1" w14:textId="11AF471A" w:rsidR="008D2F74" w:rsidRPr="000022F6" w:rsidRDefault="008D2F74" w:rsidP="008D2F74">
      <w:pPr>
        <w:pStyle w:val="FootnoteText"/>
        <w:widowControl w:val="0"/>
        <w:spacing w:line="360" w:lineRule="auto"/>
        <w:jc w:val="both"/>
        <w:rPr>
          <w:rFonts w:ascii="Arial" w:hAnsi="Arial" w:cs="Arial"/>
          <w:szCs w:val="22"/>
        </w:rPr>
      </w:pPr>
    </w:p>
    <w:p w14:paraId="3E8146ED" w14:textId="77777777" w:rsidR="008D2F74" w:rsidRPr="000022F6" w:rsidRDefault="008D2F74" w:rsidP="008D2F74">
      <w:pPr>
        <w:pStyle w:val="FootnoteText"/>
        <w:widowControl w:val="0"/>
        <w:spacing w:line="360" w:lineRule="auto"/>
        <w:jc w:val="both"/>
        <w:rPr>
          <w:rFonts w:ascii="Arial" w:hAnsi="Arial" w:cs="Arial"/>
          <w:szCs w:val="22"/>
        </w:rPr>
      </w:pPr>
    </w:p>
  </w:footnote>
  <w:footnote w:id="18">
    <w:p w14:paraId="67B8C81E" w14:textId="77777777" w:rsidR="008D2F74" w:rsidRPr="000022F6" w:rsidRDefault="008D2F74" w:rsidP="008D2F74">
      <w:pPr>
        <w:pStyle w:val="FootnoteText"/>
        <w:widowControl w:val="0"/>
        <w:spacing w:line="360" w:lineRule="auto"/>
        <w:jc w:val="both"/>
        <w:rPr>
          <w:rFonts w:ascii="Arial" w:hAnsi="Arial" w:cs="Arial"/>
          <w:szCs w:val="22"/>
        </w:rPr>
      </w:pPr>
    </w:p>
  </w:footnote>
  <w:footnote w:id="19">
    <w:p w14:paraId="36E20888" w14:textId="0DB573AC" w:rsidR="008D2F74" w:rsidRPr="000022F6" w:rsidRDefault="008D2F74" w:rsidP="00ED3F17">
      <w:pPr>
        <w:pStyle w:val="FootnoteText"/>
        <w:widowControl w:val="0"/>
        <w:spacing w:line="360" w:lineRule="auto"/>
        <w:ind w:left="0" w:firstLine="0"/>
        <w:jc w:val="both"/>
        <w:rPr>
          <w:rFonts w:ascii="Arial" w:hAnsi="Arial" w:cs="Arial"/>
          <w:szCs w:val="22"/>
        </w:rPr>
      </w:pPr>
    </w:p>
    <w:p w14:paraId="186E2259" w14:textId="77777777" w:rsidR="008D2F74" w:rsidRPr="000022F6" w:rsidRDefault="008D2F74" w:rsidP="008D2F74">
      <w:pPr>
        <w:pStyle w:val="FootnoteText"/>
        <w:widowControl w:val="0"/>
        <w:spacing w:line="360" w:lineRule="auto"/>
        <w:jc w:val="both"/>
        <w:rPr>
          <w:rFonts w:ascii="Arial" w:hAnsi="Arial" w:cs="Arial"/>
          <w:szCs w:val="22"/>
        </w:rPr>
      </w:pPr>
    </w:p>
  </w:footnote>
  <w:footnote w:id="20">
    <w:p w14:paraId="3007C5A7" w14:textId="77777777" w:rsidR="008D2F74" w:rsidRPr="000022F6" w:rsidRDefault="008D2F74" w:rsidP="008D2F74">
      <w:pPr>
        <w:pStyle w:val="FootnoteText"/>
        <w:widowControl w:val="0"/>
        <w:spacing w:line="360" w:lineRule="auto"/>
        <w:jc w:val="both"/>
        <w:rPr>
          <w:rFonts w:ascii="Arial" w:hAnsi="Arial" w:cs="Arial"/>
          <w:szCs w:val="22"/>
        </w:rPr>
      </w:pPr>
    </w:p>
  </w:footnote>
  <w:footnote w:id="21">
    <w:p w14:paraId="024355B5" w14:textId="77777777" w:rsidR="008D2F74" w:rsidRPr="000022F6" w:rsidRDefault="008D2F74" w:rsidP="00DE18AE">
      <w:pPr>
        <w:pStyle w:val="FootnoteText"/>
        <w:widowControl w:val="0"/>
        <w:spacing w:line="360" w:lineRule="auto"/>
        <w:ind w:left="0" w:firstLine="0"/>
        <w:jc w:val="both"/>
        <w:rPr>
          <w:rFonts w:ascii="Arial" w:hAnsi="Arial" w:cs="Arial"/>
          <w:szCs w:val="22"/>
        </w:rPr>
      </w:pPr>
    </w:p>
  </w:footnote>
  <w:footnote w:id="22">
    <w:p w14:paraId="6C3BB773" w14:textId="6D5B911C" w:rsidR="008D2F74" w:rsidRPr="000022F6" w:rsidRDefault="008D2F74" w:rsidP="00ED3F17">
      <w:pPr>
        <w:pStyle w:val="FootnoteText"/>
        <w:widowControl w:val="0"/>
        <w:spacing w:line="360" w:lineRule="auto"/>
        <w:ind w:left="0" w:firstLine="0"/>
        <w:jc w:val="both"/>
        <w:rPr>
          <w:rFonts w:ascii="Arial" w:hAnsi="Arial" w:cs="Arial"/>
          <w:noProof/>
          <w:szCs w:val="22"/>
        </w:rPr>
      </w:pPr>
    </w:p>
    <w:p w14:paraId="49F9A78C" w14:textId="77777777" w:rsidR="008D2F74" w:rsidRPr="000022F6" w:rsidRDefault="008D2F74" w:rsidP="008D2F74">
      <w:pPr>
        <w:pStyle w:val="FootnoteText"/>
        <w:widowControl w:val="0"/>
        <w:spacing w:line="360" w:lineRule="auto"/>
        <w:jc w:val="both"/>
        <w:rPr>
          <w:rFonts w:ascii="Arial" w:hAnsi="Arial" w:cs="Arial"/>
          <w:szCs w:val="22"/>
        </w:rPr>
      </w:pPr>
    </w:p>
  </w:footnote>
  <w:footnote w:id="23">
    <w:p w14:paraId="099D7E81" w14:textId="6D600DB0" w:rsidR="008D2F74" w:rsidRPr="000022F6" w:rsidRDefault="008D2F74" w:rsidP="00ED3F17">
      <w:pPr>
        <w:pStyle w:val="FootnoteText"/>
        <w:widowControl w:val="0"/>
        <w:spacing w:line="360" w:lineRule="auto"/>
        <w:ind w:left="0" w:firstLine="0"/>
        <w:jc w:val="both"/>
        <w:rPr>
          <w:rFonts w:ascii="Arial" w:hAnsi="Arial" w:cs="Arial"/>
          <w:noProof/>
          <w:szCs w:val="22"/>
        </w:rPr>
      </w:pPr>
    </w:p>
    <w:p w14:paraId="7A0AC9C4" w14:textId="77777777" w:rsidR="008D2F74" w:rsidRPr="000022F6" w:rsidRDefault="008D2F74" w:rsidP="008D2F74">
      <w:pPr>
        <w:pStyle w:val="FootnoteText"/>
        <w:widowControl w:val="0"/>
        <w:spacing w:line="360" w:lineRule="auto"/>
        <w:jc w:val="both"/>
        <w:rPr>
          <w:rFonts w:ascii="Arial" w:hAnsi="Arial" w:cs="Arial"/>
          <w:szCs w:val="22"/>
        </w:rPr>
      </w:pPr>
    </w:p>
  </w:footnote>
  <w:footnote w:id="24">
    <w:p w14:paraId="4A314F29" w14:textId="72037BF2" w:rsidR="00F03107" w:rsidRPr="000022F6" w:rsidRDefault="00F03107" w:rsidP="00ED3F17">
      <w:pPr>
        <w:pStyle w:val="FootnoteText"/>
        <w:widowControl w:val="0"/>
        <w:spacing w:line="360" w:lineRule="auto"/>
        <w:ind w:left="0" w:firstLine="0"/>
        <w:jc w:val="both"/>
        <w:rPr>
          <w:rFonts w:ascii="Arial" w:hAnsi="Arial" w:cs="Arial"/>
          <w:noProof/>
          <w:szCs w:val="22"/>
        </w:rPr>
      </w:pPr>
    </w:p>
    <w:p w14:paraId="60B6A19F" w14:textId="77777777" w:rsidR="00F03107" w:rsidRPr="000022F6" w:rsidRDefault="00F03107" w:rsidP="00F03107">
      <w:pPr>
        <w:pStyle w:val="FootnoteText"/>
        <w:widowControl w:val="0"/>
        <w:spacing w:line="360" w:lineRule="auto"/>
        <w:jc w:val="both"/>
        <w:rPr>
          <w:rFonts w:ascii="Arial" w:hAnsi="Arial" w:cs="Arial"/>
          <w:szCs w:val="22"/>
        </w:rPr>
      </w:pPr>
    </w:p>
  </w:footnote>
  <w:footnote w:id="25">
    <w:p w14:paraId="596346C6" w14:textId="2E6250DF" w:rsidR="00F03107" w:rsidRPr="000022F6" w:rsidRDefault="00F03107" w:rsidP="00ED3F17">
      <w:pPr>
        <w:pStyle w:val="FootnoteText"/>
        <w:widowControl w:val="0"/>
        <w:spacing w:line="360" w:lineRule="auto"/>
        <w:ind w:left="0" w:firstLine="0"/>
        <w:jc w:val="both"/>
        <w:rPr>
          <w:rFonts w:ascii="Arial" w:hAnsi="Arial" w:cs="Arial"/>
          <w:noProof/>
          <w:szCs w:val="22"/>
        </w:rPr>
      </w:pPr>
    </w:p>
    <w:p w14:paraId="509EF6FD" w14:textId="77777777" w:rsidR="00F03107" w:rsidRPr="000022F6" w:rsidRDefault="00F03107" w:rsidP="00F03107">
      <w:pPr>
        <w:pStyle w:val="FootnoteText"/>
        <w:widowControl w:val="0"/>
        <w:spacing w:line="360" w:lineRule="auto"/>
        <w:jc w:val="both"/>
        <w:rPr>
          <w:rFonts w:ascii="Arial" w:hAnsi="Arial" w:cs="Arial"/>
          <w:szCs w:val="22"/>
        </w:rPr>
      </w:pPr>
    </w:p>
  </w:footnote>
  <w:footnote w:id="26">
    <w:p w14:paraId="7A6FFB7A" w14:textId="4C0DEBFA" w:rsidR="007357D8" w:rsidRPr="000022F6" w:rsidRDefault="007357D8" w:rsidP="00ED3F17">
      <w:pPr>
        <w:pStyle w:val="FootnoteText"/>
        <w:widowControl w:val="0"/>
        <w:spacing w:line="360" w:lineRule="auto"/>
        <w:ind w:left="0" w:firstLine="0"/>
        <w:jc w:val="both"/>
        <w:rPr>
          <w:rFonts w:ascii="Arial" w:hAnsi="Arial" w:cs="Arial"/>
          <w:szCs w:val="22"/>
        </w:rPr>
      </w:pPr>
    </w:p>
  </w:footnote>
  <w:footnote w:id="27">
    <w:p w14:paraId="2DA85E95" w14:textId="77777777" w:rsidR="007357D8" w:rsidRPr="000022F6" w:rsidRDefault="007357D8" w:rsidP="007357D8">
      <w:pPr>
        <w:pStyle w:val="FootnoteText"/>
        <w:widowControl w:val="0"/>
        <w:spacing w:line="360" w:lineRule="auto"/>
        <w:jc w:val="both"/>
        <w:rPr>
          <w:rFonts w:ascii="Arial" w:hAnsi="Arial" w:cs="Arial"/>
          <w:szCs w:val="22"/>
        </w:rPr>
      </w:pPr>
    </w:p>
  </w:footnote>
  <w:footnote w:id="28">
    <w:p w14:paraId="2F414C8D" w14:textId="7301447B" w:rsidR="007357D8" w:rsidRPr="000022F6" w:rsidRDefault="007357D8" w:rsidP="00ED3F17">
      <w:pPr>
        <w:pStyle w:val="FootnoteText"/>
        <w:widowControl w:val="0"/>
        <w:spacing w:line="360" w:lineRule="auto"/>
        <w:ind w:left="0" w:firstLine="0"/>
        <w:jc w:val="both"/>
        <w:rPr>
          <w:rFonts w:ascii="Arial" w:hAnsi="Arial" w:cs="Arial"/>
          <w:noProof/>
          <w:szCs w:val="22"/>
        </w:rPr>
      </w:pPr>
    </w:p>
    <w:p w14:paraId="77228F91" w14:textId="77777777" w:rsidR="007357D8" w:rsidRPr="000022F6" w:rsidRDefault="007357D8" w:rsidP="007357D8">
      <w:pPr>
        <w:pStyle w:val="FootnoteText"/>
        <w:widowControl w:val="0"/>
        <w:spacing w:line="360" w:lineRule="auto"/>
        <w:jc w:val="both"/>
        <w:rPr>
          <w:rFonts w:ascii="Arial" w:hAnsi="Arial" w:cs="Arial"/>
          <w:szCs w:val="22"/>
        </w:rPr>
      </w:pPr>
    </w:p>
  </w:footnote>
  <w:footnote w:id="29">
    <w:p w14:paraId="03EA9F6C" w14:textId="59DB28AD" w:rsidR="007357D8" w:rsidRPr="000022F6" w:rsidRDefault="007357D8" w:rsidP="007357D8">
      <w:pPr>
        <w:widowControl w:val="0"/>
        <w:spacing w:line="360" w:lineRule="auto"/>
        <w:jc w:val="both"/>
        <w:rPr>
          <w:rFonts w:ascii="Arial" w:hAnsi="Arial" w:cs="Arial"/>
          <w:sz w:val="22"/>
        </w:rPr>
      </w:pPr>
    </w:p>
  </w:footnote>
  <w:footnote w:id="30">
    <w:p w14:paraId="28451A61" w14:textId="77777777" w:rsidR="007357D8" w:rsidRPr="000022F6" w:rsidRDefault="007357D8" w:rsidP="00ED3F17">
      <w:pPr>
        <w:pStyle w:val="FootnoteText"/>
        <w:widowControl w:val="0"/>
        <w:spacing w:line="360" w:lineRule="auto"/>
        <w:ind w:left="0" w:firstLine="0"/>
        <w:jc w:val="both"/>
        <w:rPr>
          <w:rFonts w:ascii="Arial" w:hAnsi="Arial" w:cs="Arial"/>
          <w:szCs w:val="22"/>
        </w:rPr>
      </w:pPr>
    </w:p>
  </w:footnote>
  <w:footnote w:id="31">
    <w:p w14:paraId="7E11C5A3" w14:textId="63281194" w:rsidR="007357D8" w:rsidRPr="0028564A" w:rsidRDefault="007357D8" w:rsidP="007357D8">
      <w:pPr>
        <w:pStyle w:val="FootnoteText"/>
        <w:widowControl w:val="0"/>
        <w:spacing w:line="360" w:lineRule="auto"/>
        <w:jc w:val="both"/>
        <w:rPr>
          <w:rFonts w:ascii="Arial" w:hAnsi="Arial" w:cs="Arial"/>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2B3B52"/>
    <w:multiLevelType w:val="multilevel"/>
    <w:tmpl w:val="EC54D246"/>
    <w:lvl w:ilvl="0">
      <w:start w:val="1"/>
      <w:numFmt w:val="decimal"/>
      <w:suff w:val="space"/>
      <w:lvlText w:val="Chapter %1:"/>
      <w:lvlJc w:val="left"/>
      <w:pPr>
        <w:ind w:left="0" w:firstLine="0"/>
      </w:pPr>
      <w:rPr>
        <w:rFonts w:ascii="Calibri" w:hAnsi="Calibri" w:hint="default"/>
        <w:b/>
        <w:i w:val="0"/>
        <w:sz w:val="32"/>
      </w:rPr>
    </w:lvl>
    <w:lvl w:ilvl="1">
      <w:start w:val="1"/>
      <w:numFmt w:val="decimal"/>
      <w:lvlRestart w:val="0"/>
      <w:suff w:val="space"/>
      <w:lvlText w:val="%1.%2"/>
      <w:lvlJc w:val="center"/>
      <w:pPr>
        <w:ind w:left="0" w:firstLine="288"/>
      </w:pPr>
      <w:rPr>
        <w:rFonts w:ascii="Calibri" w:hAnsi="Calibri" w:hint="default"/>
        <w:b/>
        <w:i w:val="0"/>
        <w:sz w:val="28"/>
      </w:rPr>
    </w:lvl>
    <w:lvl w:ilvl="2">
      <w:start w:val="1"/>
      <w:numFmt w:val="decimal"/>
      <w:lvlRestart w:val="0"/>
      <w:suff w:val="space"/>
      <w:lvlText w:val="%1%2%3"/>
      <w:lvlJc w:val="left"/>
      <w:pPr>
        <w:ind w:left="568"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463727F"/>
    <w:multiLevelType w:val="hybridMultilevel"/>
    <w:tmpl w:val="8CA63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5E139A6"/>
    <w:multiLevelType w:val="multilevel"/>
    <w:tmpl w:val="8AE2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7475A5"/>
    <w:multiLevelType w:val="hybridMultilevel"/>
    <w:tmpl w:val="D88887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D534A3F"/>
    <w:multiLevelType w:val="multilevel"/>
    <w:tmpl w:val="520A9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DC583E"/>
    <w:multiLevelType w:val="multilevel"/>
    <w:tmpl w:val="0078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B52D89"/>
    <w:multiLevelType w:val="multilevel"/>
    <w:tmpl w:val="136C5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2E0E06"/>
    <w:multiLevelType w:val="multilevel"/>
    <w:tmpl w:val="78D8974C"/>
    <w:lvl w:ilvl="0">
      <w:start w:val="1"/>
      <w:numFmt w:val="decimal"/>
      <w:lvlText w:val="%1."/>
      <w:lvlJc w:val="left"/>
      <w:pPr>
        <w:ind w:left="360" w:hanging="360"/>
      </w:p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6D73BD5"/>
    <w:multiLevelType w:val="hybridMultilevel"/>
    <w:tmpl w:val="9A3C88DA"/>
    <w:lvl w:ilvl="0" w:tplc="804A0B4A">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4"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295445DC"/>
    <w:multiLevelType w:val="hybridMultilevel"/>
    <w:tmpl w:val="945865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2ACF77AB"/>
    <w:multiLevelType w:val="multilevel"/>
    <w:tmpl w:val="EC54D246"/>
    <w:lvl w:ilvl="0">
      <w:start w:val="1"/>
      <w:numFmt w:val="decimal"/>
      <w:suff w:val="space"/>
      <w:lvlText w:val="Chapter %1:"/>
      <w:lvlJc w:val="left"/>
      <w:pPr>
        <w:ind w:left="0" w:firstLine="0"/>
      </w:pPr>
      <w:rPr>
        <w:rFonts w:ascii="Calibri" w:hAnsi="Calibri" w:hint="default"/>
        <w:b/>
        <w:i w:val="0"/>
        <w:sz w:val="32"/>
      </w:rPr>
    </w:lvl>
    <w:lvl w:ilvl="1">
      <w:start w:val="1"/>
      <w:numFmt w:val="decimal"/>
      <w:lvlRestart w:val="0"/>
      <w:suff w:val="space"/>
      <w:lvlText w:val="%1.%2"/>
      <w:lvlJc w:val="center"/>
      <w:pPr>
        <w:ind w:left="0" w:firstLine="288"/>
      </w:pPr>
      <w:rPr>
        <w:rFonts w:ascii="Calibri" w:hAnsi="Calibri" w:hint="default"/>
        <w:b/>
        <w:i w:val="0"/>
        <w:sz w:val="28"/>
      </w:rPr>
    </w:lvl>
    <w:lvl w:ilvl="2">
      <w:start w:val="1"/>
      <w:numFmt w:val="decimal"/>
      <w:lvlRestart w:val="0"/>
      <w:suff w:val="space"/>
      <w:lvlText w:val="%1%2%3"/>
      <w:lvlJc w:val="left"/>
      <w:pPr>
        <w:ind w:left="568"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00869ED"/>
    <w:multiLevelType w:val="multilevel"/>
    <w:tmpl w:val="768EC028"/>
    <w:lvl w:ilvl="0">
      <w:start w:val="1"/>
      <w:numFmt w:val="none"/>
      <w:lvlText w:val="Chapter 3: "/>
      <w:lvlJc w:val="left"/>
      <w:pPr>
        <w:ind w:left="360" w:hanging="360"/>
      </w:pPr>
      <w:rPr>
        <w:rFonts w:ascii="Calibri" w:hAnsi="Calibri" w:hint="default"/>
        <w:b/>
        <w:i w:val="0"/>
        <w:color w:val="000000" w:themeColor="text1"/>
        <w:sz w:val="32"/>
      </w:rPr>
    </w:lvl>
    <w:lvl w:ilvl="1">
      <w:start w:val="1"/>
      <w:numFmt w:val="none"/>
      <w:lvlText w:val="3.1 "/>
      <w:lvlJc w:val="left"/>
      <w:pPr>
        <w:ind w:left="720" w:hanging="360"/>
      </w:pPr>
      <w:rPr>
        <w:rFonts w:ascii="Calibri" w:hAnsi="Calibri" w:hint="default"/>
        <w:b/>
        <w:i w:val="0"/>
        <w:sz w:val="28"/>
      </w:rPr>
    </w:lvl>
    <w:lvl w:ilvl="2">
      <w:start w:val="1"/>
      <w:numFmt w:val="none"/>
      <w:lvlText w:val="3.1.1"/>
      <w:lvlJc w:val="left"/>
      <w:pPr>
        <w:ind w:left="1080" w:hanging="360"/>
      </w:pPr>
      <w:rPr>
        <w:rFonts w:ascii="Calibri" w:hAnsi="Calibri"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6E65839"/>
    <w:multiLevelType w:val="hybridMultilevel"/>
    <w:tmpl w:val="ACF81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C87464"/>
    <w:multiLevelType w:val="hybridMultilevel"/>
    <w:tmpl w:val="857A1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543DCE"/>
    <w:multiLevelType w:val="multilevel"/>
    <w:tmpl w:val="7968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915702"/>
    <w:multiLevelType w:val="hybridMultilevel"/>
    <w:tmpl w:val="76C84336"/>
    <w:lvl w:ilvl="0" w:tplc="857C8BD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9504DB"/>
    <w:multiLevelType w:val="multilevel"/>
    <w:tmpl w:val="EC54D246"/>
    <w:lvl w:ilvl="0">
      <w:start w:val="1"/>
      <w:numFmt w:val="decimal"/>
      <w:suff w:val="space"/>
      <w:lvlText w:val="Chapter %1:"/>
      <w:lvlJc w:val="left"/>
      <w:pPr>
        <w:ind w:left="0" w:firstLine="0"/>
      </w:pPr>
      <w:rPr>
        <w:rFonts w:ascii="Calibri" w:hAnsi="Calibri" w:hint="default"/>
        <w:b/>
        <w:i w:val="0"/>
        <w:sz w:val="32"/>
      </w:rPr>
    </w:lvl>
    <w:lvl w:ilvl="1">
      <w:start w:val="1"/>
      <w:numFmt w:val="decimal"/>
      <w:lvlRestart w:val="0"/>
      <w:suff w:val="space"/>
      <w:lvlText w:val="%1.%2"/>
      <w:lvlJc w:val="center"/>
      <w:pPr>
        <w:ind w:left="0" w:firstLine="288"/>
      </w:pPr>
      <w:rPr>
        <w:rFonts w:ascii="Calibri" w:hAnsi="Calibri" w:hint="default"/>
        <w:b/>
        <w:i w:val="0"/>
        <w:sz w:val="28"/>
      </w:rPr>
    </w:lvl>
    <w:lvl w:ilvl="2">
      <w:start w:val="1"/>
      <w:numFmt w:val="decimal"/>
      <w:lvlRestart w:val="0"/>
      <w:suff w:val="space"/>
      <w:lvlText w:val="%1%2%3"/>
      <w:lvlJc w:val="left"/>
      <w:pPr>
        <w:ind w:left="568"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7724855"/>
    <w:multiLevelType w:val="multilevel"/>
    <w:tmpl w:val="6180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E3150A"/>
    <w:multiLevelType w:val="hybridMultilevel"/>
    <w:tmpl w:val="DBAC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A835A2"/>
    <w:multiLevelType w:val="hybridMultilevel"/>
    <w:tmpl w:val="ACF81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9372786">
    <w:abstractNumId w:val="43"/>
  </w:num>
  <w:num w:numId="2" w16cid:durableId="988292069">
    <w:abstractNumId w:val="28"/>
  </w:num>
  <w:num w:numId="3" w16cid:durableId="2402600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9961861">
    <w:abstractNumId w:val="11"/>
  </w:num>
  <w:num w:numId="5" w16cid:durableId="1384714765">
    <w:abstractNumId w:val="27"/>
  </w:num>
  <w:num w:numId="6" w16cid:durableId="4675549">
    <w:abstractNumId w:val="25"/>
  </w:num>
  <w:num w:numId="7" w16cid:durableId="384259987">
    <w:abstractNumId w:val="42"/>
  </w:num>
  <w:num w:numId="8" w16cid:durableId="1862543640">
    <w:abstractNumId w:val="12"/>
  </w:num>
  <w:num w:numId="9" w16cid:durableId="1368794451">
    <w:abstractNumId w:val="38"/>
  </w:num>
  <w:num w:numId="10" w16cid:durableId="5256281">
    <w:abstractNumId w:val="26"/>
  </w:num>
  <w:num w:numId="11" w16cid:durableId="1547377280">
    <w:abstractNumId w:val="23"/>
  </w:num>
  <w:num w:numId="12" w16cid:durableId="1069579093">
    <w:abstractNumId w:val="15"/>
  </w:num>
  <w:num w:numId="13" w16cid:durableId="835729362">
    <w:abstractNumId w:val="24"/>
  </w:num>
  <w:num w:numId="14" w16cid:durableId="2048673322">
    <w:abstractNumId w:val="32"/>
  </w:num>
  <w:num w:numId="15" w16cid:durableId="1000625054">
    <w:abstractNumId w:val="1"/>
  </w:num>
  <w:num w:numId="16" w16cid:durableId="1318339401">
    <w:abstractNumId w:val="2"/>
  </w:num>
  <w:num w:numId="17" w16cid:durableId="170419262">
    <w:abstractNumId w:val="3"/>
  </w:num>
  <w:num w:numId="18" w16cid:durableId="1577786938">
    <w:abstractNumId w:val="4"/>
  </w:num>
  <w:num w:numId="19" w16cid:durableId="1141000381">
    <w:abstractNumId w:val="9"/>
  </w:num>
  <w:num w:numId="20" w16cid:durableId="1639797738">
    <w:abstractNumId w:val="5"/>
  </w:num>
  <w:num w:numId="21" w16cid:durableId="1748066097">
    <w:abstractNumId w:val="7"/>
  </w:num>
  <w:num w:numId="22" w16cid:durableId="346831383">
    <w:abstractNumId w:val="6"/>
  </w:num>
  <w:num w:numId="23" w16cid:durableId="1831366121">
    <w:abstractNumId w:val="10"/>
  </w:num>
  <w:num w:numId="24" w16cid:durableId="1310524828">
    <w:abstractNumId w:val="8"/>
  </w:num>
  <w:num w:numId="25" w16cid:durableId="324554809">
    <w:abstractNumId w:val="30"/>
  </w:num>
  <w:num w:numId="26" w16cid:durableId="639270025">
    <w:abstractNumId w:val="34"/>
  </w:num>
  <w:num w:numId="27" w16cid:durableId="88239310">
    <w:abstractNumId w:val="21"/>
  </w:num>
  <w:num w:numId="28" w16cid:durableId="1889605079">
    <w:abstractNumId w:val="29"/>
  </w:num>
  <w:num w:numId="29" w16cid:durableId="854348447">
    <w:abstractNumId w:val="13"/>
  </w:num>
  <w:num w:numId="30" w16cid:durableId="461773328">
    <w:abstractNumId w:val="0"/>
  </w:num>
  <w:num w:numId="31" w16cid:durableId="1412774378">
    <w:abstractNumId w:val="16"/>
  </w:num>
  <w:num w:numId="32" w16cid:durableId="2004508891">
    <w:abstractNumId w:val="31"/>
  </w:num>
  <w:num w:numId="33" w16cid:durableId="901797764">
    <w:abstractNumId w:val="35"/>
  </w:num>
  <w:num w:numId="34" w16cid:durableId="977304156">
    <w:abstractNumId w:val="36"/>
  </w:num>
  <w:num w:numId="35" w16cid:durableId="1748918945">
    <w:abstractNumId w:val="20"/>
  </w:num>
  <w:num w:numId="36" w16cid:durableId="572356357">
    <w:abstractNumId w:val="41"/>
  </w:num>
  <w:num w:numId="37" w16cid:durableId="889421723">
    <w:abstractNumId w:val="22"/>
  </w:num>
  <w:num w:numId="38" w16cid:durableId="885411932">
    <w:abstractNumId w:val="17"/>
  </w:num>
  <w:num w:numId="39" w16cid:durableId="1891918549">
    <w:abstractNumId w:val="19"/>
  </w:num>
  <w:num w:numId="40" w16cid:durableId="571235072">
    <w:abstractNumId w:val="37"/>
  </w:num>
  <w:num w:numId="41" w16cid:durableId="1182934731">
    <w:abstractNumId w:val="14"/>
  </w:num>
  <w:num w:numId="42" w16cid:durableId="24673174">
    <w:abstractNumId w:val="40"/>
  </w:num>
  <w:num w:numId="43" w16cid:durableId="1563564037">
    <w:abstractNumId w:val="18"/>
  </w:num>
  <w:num w:numId="44" w16cid:durableId="63329668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linkStyles/>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TF-Standard Chicago AD (2)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5s00fwabzr094efesqpwxsdeedp9wvpfap9&quot;&gt;African Feminism&lt;record-ids&gt;&lt;item&gt;389&lt;/item&gt;&lt;item&gt;398&lt;/item&gt;&lt;item&gt;508&lt;/item&gt;&lt;item&gt;779&lt;/item&gt;&lt;item&gt;795&lt;/item&gt;&lt;item&gt;802&lt;/item&gt;&lt;item&gt;862&lt;/item&gt;&lt;item&gt;878&lt;/item&gt;&lt;item&gt;998&lt;/item&gt;&lt;item&gt;1001&lt;/item&gt;&lt;item&gt;1002&lt;/item&gt;&lt;item&gt;1003&lt;/item&gt;&lt;item&gt;1008&lt;/item&gt;&lt;item&gt;1009&lt;/item&gt;&lt;item&gt;1010&lt;/item&gt;&lt;item&gt;1014&lt;/item&gt;&lt;item&gt;1019&lt;/item&gt;&lt;item&gt;1023&lt;/item&gt;&lt;item&gt;1025&lt;/item&gt;&lt;item&gt;1029&lt;/item&gt;&lt;item&gt;1033&lt;/item&gt;&lt;item&gt;1073&lt;/item&gt;&lt;item&gt;1084&lt;/item&gt;&lt;item&gt;1099&lt;/item&gt;&lt;item&gt;1100&lt;/item&gt;&lt;item&gt;1101&lt;/item&gt;&lt;item&gt;1102&lt;/item&gt;&lt;item&gt;1126&lt;/item&gt;&lt;item&gt;1127&lt;/item&gt;&lt;item&gt;1147&lt;/item&gt;&lt;item&gt;1148&lt;/item&gt;&lt;item&gt;1149&lt;/item&gt;&lt;item&gt;1150&lt;/item&gt;&lt;item&gt;1154&lt;/item&gt;&lt;item&gt;1156&lt;/item&gt;&lt;item&gt;1157&lt;/item&gt;&lt;item&gt;1159&lt;/item&gt;&lt;item&gt;1160&lt;/item&gt;&lt;item&gt;1164&lt;/item&gt;&lt;item&gt;1166&lt;/item&gt;&lt;item&gt;1167&lt;/item&gt;&lt;item&gt;1168&lt;/item&gt;&lt;item&gt;1171&lt;/item&gt;&lt;item&gt;1172&lt;/item&gt;&lt;item&gt;1173&lt;/item&gt;&lt;item&gt;1174&lt;/item&gt;&lt;item&gt;1176&lt;/item&gt;&lt;item&gt;1178&lt;/item&gt;&lt;item&gt;1183&lt;/item&gt;&lt;item&gt;1184&lt;/item&gt;&lt;item&gt;1185&lt;/item&gt;&lt;item&gt;1186&lt;/item&gt;&lt;item&gt;1188&lt;/item&gt;&lt;/record-ids&gt;&lt;/item&gt;&lt;/Libraries&gt;"/>
  </w:docVars>
  <w:rsids>
    <w:rsidRoot w:val="00F94603"/>
    <w:rsid w:val="00000190"/>
    <w:rsid w:val="0000122E"/>
    <w:rsid w:val="00002247"/>
    <w:rsid w:val="00002C59"/>
    <w:rsid w:val="00004AA9"/>
    <w:rsid w:val="000056C5"/>
    <w:rsid w:val="00005929"/>
    <w:rsid w:val="000059A7"/>
    <w:rsid w:val="00005C0B"/>
    <w:rsid w:val="00005E78"/>
    <w:rsid w:val="000064B3"/>
    <w:rsid w:val="0000659E"/>
    <w:rsid w:val="0000740D"/>
    <w:rsid w:val="00010726"/>
    <w:rsid w:val="0001108A"/>
    <w:rsid w:val="00011CFF"/>
    <w:rsid w:val="00012712"/>
    <w:rsid w:val="00012E51"/>
    <w:rsid w:val="00013059"/>
    <w:rsid w:val="000135EB"/>
    <w:rsid w:val="00013F3F"/>
    <w:rsid w:val="00014687"/>
    <w:rsid w:val="0001468A"/>
    <w:rsid w:val="000151C2"/>
    <w:rsid w:val="00015E0B"/>
    <w:rsid w:val="000163D3"/>
    <w:rsid w:val="0001665F"/>
    <w:rsid w:val="00016D8D"/>
    <w:rsid w:val="00017213"/>
    <w:rsid w:val="000176AF"/>
    <w:rsid w:val="00020ED2"/>
    <w:rsid w:val="000211B6"/>
    <w:rsid w:val="00021240"/>
    <w:rsid w:val="0002143A"/>
    <w:rsid w:val="00021945"/>
    <w:rsid w:val="0002242A"/>
    <w:rsid w:val="00022901"/>
    <w:rsid w:val="00022BD5"/>
    <w:rsid w:val="00022E1D"/>
    <w:rsid w:val="0002309C"/>
    <w:rsid w:val="0002406B"/>
    <w:rsid w:val="0002409D"/>
    <w:rsid w:val="0002557C"/>
    <w:rsid w:val="00025812"/>
    <w:rsid w:val="000272C4"/>
    <w:rsid w:val="00030171"/>
    <w:rsid w:val="00031214"/>
    <w:rsid w:val="000312F9"/>
    <w:rsid w:val="00032301"/>
    <w:rsid w:val="00033978"/>
    <w:rsid w:val="00035475"/>
    <w:rsid w:val="00035643"/>
    <w:rsid w:val="00035874"/>
    <w:rsid w:val="00035F09"/>
    <w:rsid w:val="00036488"/>
    <w:rsid w:val="0003747E"/>
    <w:rsid w:val="00037AAF"/>
    <w:rsid w:val="00040FCD"/>
    <w:rsid w:val="00041489"/>
    <w:rsid w:val="000422AE"/>
    <w:rsid w:val="0004258D"/>
    <w:rsid w:val="00042907"/>
    <w:rsid w:val="000437A6"/>
    <w:rsid w:val="00043BE8"/>
    <w:rsid w:val="00044AC6"/>
    <w:rsid w:val="00044D86"/>
    <w:rsid w:val="00045496"/>
    <w:rsid w:val="000457D0"/>
    <w:rsid w:val="000466CA"/>
    <w:rsid w:val="00046CA3"/>
    <w:rsid w:val="0004743A"/>
    <w:rsid w:val="0005129A"/>
    <w:rsid w:val="0005197A"/>
    <w:rsid w:val="0005249E"/>
    <w:rsid w:val="000524CC"/>
    <w:rsid w:val="0005427A"/>
    <w:rsid w:val="0005440F"/>
    <w:rsid w:val="0005490F"/>
    <w:rsid w:val="00055A55"/>
    <w:rsid w:val="000561C8"/>
    <w:rsid w:val="000562C8"/>
    <w:rsid w:val="00056791"/>
    <w:rsid w:val="00057D3B"/>
    <w:rsid w:val="00061251"/>
    <w:rsid w:val="0006195C"/>
    <w:rsid w:val="00061A70"/>
    <w:rsid w:val="00062573"/>
    <w:rsid w:val="00062757"/>
    <w:rsid w:val="00062901"/>
    <w:rsid w:val="00062F82"/>
    <w:rsid w:val="000642DA"/>
    <w:rsid w:val="000651C6"/>
    <w:rsid w:val="00065A66"/>
    <w:rsid w:val="00065CB3"/>
    <w:rsid w:val="00065EF2"/>
    <w:rsid w:val="000674D8"/>
    <w:rsid w:val="00070A5A"/>
    <w:rsid w:val="00070D42"/>
    <w:rsid w:val="000720DF"/>
    <w:rsid w:val="00072403"/>
    <w:rsid w:val="00072E16"/>
    <w:rsid w:val="00073121"/>
    <w:rsid w:val="00073964"/>
    <w:rsid w:val="00073EE8"/>
    <w:rsid w:val="0007511C"/>
    <w:rsid w:val="00075250"/>
    <w:rsid w:val="00075804"/>
    <w:rsid w:val="00077D7B"/>
    <w:rsid w:val="00080047"/>
    <w:rsid w:val="00080232"/>
    <w:rsid w:val="00081B60"/>
    <w:rsid w:val="00082421"/>
    <w:rsid w:val="0008263E"/>
    <w:rsid w:val="0008267C"/>
    <w:rsid w:val="00083263"/>
    <w:rsid w:val="00083601"/>
    <w:rsid w:val="0008361C"/>
    <w:rsid w:val="000838DE"/>
    <w:rsid w:val="00083CCB"/>
    <w:rsid w:val="00083D64"/>
    <w:rsid w:val="00084323"/>
    <w:rsid w:val="00084F9C"/>
    <w:rsid w:val="00084FBC"/>
    <w:rsid w:val="000855EF"/>
    <w:rsid w:val="00085F19"/>
    <w:rsid w:val="0008728E"/>
    <w:rsid w:val="00087D1E"/>
    <w:rsid w:val="0009014E"/>
    <w:rsid w:val="0009016A"/>
    <w:rsid w:val="000904C6"/>
    <w:rsid w:val="00090662"/>
    <w:rsid w:val="00090E5F"/>
    <w:rsid w:val="00090FDD"/>
    <w:rsid w:val="000910DE"/>
    <w:rsid w:val="000914E1"/>
    <w:rsid w:val="000915D5"/>
    <w:rsid w:val="00091B1D"/>
    <w:rsid w:val="00092843"/>
    <w:rsid w:val="00092DA5"/>
    <w:rsid w:val="00092F5A"/>
    <w:rsid w:val="0009572B"/>
    <w:rsid w:val="00095D5B"/>
    <w:rsid w:val="00096932"/>
    <w:rsid w:val="00096B7C"/>
    <w:rsid w:val="00097ED0"/>
    <w:rsid w:val="000A00BE"/>
    <w:rsid w:val="000A01E6"/>
    <w:rsid w:val="000A0557"/>
    <w:rsid w:val="000A0A45"/>
    <w:rsid w:val="000A0CC1"/>
    <w:rsid w:val="000A18FB"/>
    <w:rsid w:val="000A23D9"/>
    <w:rsid w:val="000A290A"/>
    <w:rsid w:val="000A30A5"/>
    <w:rsid w:val="000A3487"/>
    <w:rsid w:val="000A348F"/>
    <w:rsid w:val="000A43FF"/>
    <w:rsid w:val="000A44EE"/>
    <w:rsid w:val="000A4C5C"/>
    <w:rsid w:val="000A5757"/>
    <w:rsid w:val="000A5C23"/>
    <w:rsid w:val="000A5E2A"/>
    <w:rsid w:val="000A6343"/>
    <w:rsid w:val="000A65E1"/>
    <w:rsid w:val="000A684B"/>
    <w:rsid w:val="000A6D26"/>
    <w:rsid w:val="000A721B"/>
    <w:rsid w:val="000A7378"/>
    <w:rsid w:val="000B0580"/>
    <w:rsid w:val="000B0C09"/>
    <w:rsid w:val="000B0D15"/>
    <w:rsid w:val="000B1453"/>
    <w:rsid w:val="000B1547"/>
    <w:rsid w:val="000B17BD"/>
    <w:rsid w:val="000B1E52"/>
    <w:rsid w:val="000B2AA1"/>
    <w:rsid w:val="000B3477"/>
    <w:rsid w:val="000B386C"/>
    <w:rsid w:val="000B3945"/>
    <w:rsid w:val="000B40AE"/>
    <w:rsid w:val="000B4C13"/>
    <w:rsid w:val="000B5345"/>
    <w:rsid w:val="000B5396"/>
    <w:rsid w:val="000B57AC"/>
    <w:rsid w:val="000B5803"/>
    <w:rsid w:val="000B654E"/>
    <w:rsid w:val="000B6BB6"/>
    <w:rsid w:val="000B6F00"/>
    <w:rsid w:val="000B7354"/>
    <w:rsid w:val="000C028B"/>
    <w:rsid w:val="000C0892"/>
    <w:rsid w:val="000C1FC6"/>
    <w:rsid w:val="000C231C"/>
    <w:rsid w:val="000C2EA1"/>
    <w:rsid w:val="000C2EAB"/>
    <w:rsid w:val="000C369F"/>
    <w:rsid w:val="000C3871"/>
    <w:rsid w:val="000C392C"/>
    <w:rsid w:val="000C3F15"/>
    <w:rsid w:val="000C4669"/>
    <w:rsid w:val="000C473B"/>
    <w:rsid w:val="000C51D2"/>
    <w:rsid w:val="000C525C"/>
    <w:rsid w:val="000C5322"/>
    <w:rsid w:val="000C6F0A"/>
    <w:rsid w:val="000D0B99"/>
    <w:rsid w:val="000D0F17"/>
    <w:rsid w:val="000D151F"/>
    <w:rsid w:val="000D1CF2"/>
    <w:rsid w:val="000D2FEA"/>
    <w:rsid w:val="000D3923"/>
    <w:rsid w:val="000D3F1E"/>
    <w:rsid w:val="000D437B"/>
    <w:rsid w:val="000D4A66"/>
    <w:rsid w:val="000D533D"/>
    <w:rsid w:val="000D671B"/>
    <w:rsid w:val="000D6B28"/>
    <w:rsid w:val="000D6C32"/>
    <w:rsid w:val="000D6F90"/>
    <w:rsid w:val="000D7C45"/>
    <w:rsid w:val="000D7EB1"/>
    <w:rsid w:val="000E07DE"/>
    <w:rsid w:val="000E0D08"/>
    <w:rsid w:val="000E0E88"/>
    <w:rsid w:val="000E0EA6"/>
    <w:rsid w:val="000E1E5F"/>
    <w:rsid w:val="000E200C"/>
    <w:rsid w:val="000E2A60"/>
    <w:rsid w:val="000E388C"/>
    <w:rsid w:val="000E7818"/>
    <w:rsid w:val="000E7F4C"/>
    <w:rsid w:val="000F2520"/>
    <w:rsid w:val="000F3498"/>
    <w:rsid w:val="000F48DD"/>
    <w:rsid w:val="000F5615"/>
    <w:rsid w:val="000F7693"/>
    <w:rsid w:val="000F769C"/>
    <w:rsid w:val="000F7754"/>
    <w:rsid w:val="000F7B8E"/>
    <w:rsid w:val="00100629"/>
    <w:rsid w:val="00100BCD"/>
    <w:rsid w:val="00101326"/>
    <w:rsid w:val="00101908"/>
    <w:rsid w:val="00101B12"/>
    <w:rsid w:val="00101E81"/>
    <w:rsid w:val="00105ED1"/>
    <w:rsid w:val="001067F4"/>
    <w:rsid w:val="00106825"/>
    <w:rsid w:val="00106B31"/>
    <w:rsid w:val="00106B52"/>
    <w:rsid w:val="001072A8"/>
    <w:rsid w:val="001079D4"/>
    <w:rsid w:val="00110FEF"/>
    <w:rsid w:val="001138BA"/>
    <w:rsid w:val="0011510C"/>
    <w:rsid w:val="0011549D"/>
    <w:rsid w:val="001156F2"/>
    <w:rsid w:val="00117694"/>
    <w:rsid w:val="0011787C"/>
    <w:rsid w:val="0011791C"/>
    <w:rsid w:val="0012049C"/>
    <w:rsid w:val="00120C99"/>
    <w:rsid w:val="00120E7F"/>
    <w:rsid w:val="00122389"/>
    <w:rsid w:val="001234AC"/>
    <w:rsid w:val="00123B81"/>
    <w:rsid w:val="001248E0"/>
    <w:rsid w:val="00124B5B"/>
    <w:rsid w:val="00125171"/>
    <w:rsid w:val="0012781C"/>
    <w:rsid w:val="0012791A"/>
    <w:rsid w:val="00127949"/>
    <w:rsid w:val="001302B9"/>
    <w:rsid w:val="00131623"/>
    <w:rsid w:val="00132782"/>
    <w:rsid w:val="00133453"/>
    <w:rsid w:val="0013370C"/>
    <w:rsid w:val="00133A57"/>
    <w:rsid w:val="001343E4"/>
    <w:rsid w:val="001345C3"/>
    <w:rsid w:val="00134E6E"/>
    <w:rsid w:val="00135A55"/>
    <w:rsid w:val="00135D88"/>
    <w:rsid w:val="0013626B"/>
    <w:rsid w:val="0013668C"/>
    <w:rsid w:val="001367A4"/>
    <w:rsid w:val="001368F6"/>
    <w:rsid w:val="0013798C"/>
    <w:rsid w:val="00141267"/>
    <w:rsid w:val="00141E01"/>
    <w:rsid w:val="00142929"/>
    <w:rsid w:val="00143EB5"/>
    <w:rsid w:val="00144860"/>
    <w:rsid w:val="00144923"/>
    <w:rsid w:val="00146BFF"/>
    <w:rsid w:val="00146D84"/>
    <w:rsid w:val="00147C2B"/>
    <w:rsid w:val="00150CCA"/>
    <w:rsid w:val="001520E3"/>
    <w:rsid w:val="001525F7"/>
    <w:rsid w:val="001529F7"/>
    <w:rsid w:val="00152CE1"/>
    <w:rsid w:val="00152E76"/>
    <w:rsid w:val="00154CCF"/>
    <w:rsid w:val="00155A84"/>
    <w:rsid w:val="00155E13"/>
    <w:rsid w:val="001569B4"/>
    <w:rsid w:val="00157078"/>
    <w:rsid w:val="00161989"/>
    <w:rsid w:val="00162092"/>
    <w:rsid w:val="001633FB"/>
    <w:rsid w:val="00163826"/>
    <w:rsid w:val="00163B30"/>
    <w:rsid w:val="00164004"/>
    <w:rsid w:val="001642F3"/>
    <w:rsid w:val="001646A2"/>
    <w:rsid w:val="00164953"/>
    <w:rsid w:val="001651FB"/>
    <w:rsid w:val="0016727A"/>
    <w:rsid w:val="00167ECB"/>
    <w:rsid w:val="00170ADC"/>
    <w:rsid w:val="001712AF"/>
    <w:rsid w:val="001718F9"/>
    <w:rsid w:val="001726BC"/>
    <w:rsid w:val="00172921"/>
    <w:rsid w:val="00173624"/>
    <w:rsid w:val="00174087"/>
    <w:rsid w:val="001745B2"/>
    <w:rsid w:val="00174E1A"/>
    <w:rsid w:val="0017568B"/>
    <w:rsid w:val="001763AF"/>
    <w:rsid w:val="001766C8"/>
    <w:rsid w:val="00176CB0"/>
    <w:rsid w:val="00176DF7"/>
    <w:rsid w:val="00177000"/>
    <w:rsid w:val="00177255"/>
    <w:rsid w:val="0018079D"/>
    <w:rsid w:val="00180F2C"/>
    <w:rsid w:val="00181C36"/>
    <w:rsid w:val="00181ED7"/>
    <w:rsid w:val="00183465"/>
    <w:rsid w:val="00183C5D"/>
    <w:rsid w:val="00184182"/>
    <w:rsid w:val="00185049"/>
    <w:rsid w:val="00185E03"/>
    <w:rsid w:val="001876F9"/>
    <w:rsid w:val="00191AB3"/>
    <w:rsid w:val="00191F23"/>
    <w:rsid w:val="00192824"/>
    <w:rsid w:val="00192D75"/>
    <w:rsid w:val="00194FF7"/>
    <w:rsid w:val="001952BF"/>
    <w:rsid w:val="001955DE"/>
    <w:rsid w:val="00196778"/>
    <w:rsid w:val="00196912"/>
    <w:rsid w:val="001972FF"/>
    <w:rsid w:val="001974C8"/>
    <w:rsid w:val="00197594"/>
    <w:rsid w:val="00197B1C"/>
    <w:rsid w:val="00197BEB"/>
    <w:rsid w:val="001A1EC9"/>
    <w:rsid w:val="001A1F19"/>
    <w:rsid w:val="001A25A5"/>
    <w:rsid w:val="001A27CA"/>
    <w:rsid w:val="001A2BEE"/>
    <w:rsid w:val="001A2D8D"/>
    <w:rsid w:val="001A36DB"/>
    <w:rsid w:val="001A3A8A"/>
    <w:rsid w:val="001A55EF"/>
    <w:rsid w:val="001A5BE0"/>
    <w:rsid w:val="001A65B4"/>
    <w:rsid w:val="001A6606"/>
    <w:rsid w:val="001A6E53"/>
    <w:rsid w:val="001B08D2"/>
    <w:rsid w:val="001B0C30"/>
    <w:rsid w:val="001B10BE"/>
    <w:rsid w:val="001B1F9C"/>
    <w:rsid w:val="001B30BF"/>
    <w:rsid w:val="001B3FB2"/>
    <w:rsid w:val="001B4176"/>
    <w:rsid w:val="001B5AF3"/>
    <w:rsid w:val="001B6013"/>
    <w:rsid w:val="001B6DE0"/>
    <w:rsid w:val="001B7F6C"/>
    <w:rsid w:val="001C084D"/>
    <w:rsid w:val="001C0D2F"/>
    <w:rsid w:val="001C1D48"/>
    <w:rsid w:val="001C21E6"/>
    <w:rsid w:val="001C2F49"/>
    <w:rsid w:val="001C37E6"/>
    <w:rsid w:val="001C38AC"/>
    <w:rsid w:val="001C3D34"/>
    <w:rsid w:val="001C3F72"/>
    <w:rsid w:val="001C4205"/>
    <w:rsid w:val="001C4890"/>
    <w:rsid w:val="001C525A"/>
    <w:rsid w:val="001C5844"/>
    <w:rsid w:val="001C5904"/>
    <w:rsid w:val="001C59F3"/>
    <w:rsid w:val="001C6E37"/>
    <w:rsid w:val="001C782A"/>
    <w:rsid w:val="001D016D"/>
    <w:rsid w:val="001D0F06"/>
    <w:rsid w:val="001D184B"/>
    <w:rsid w:val="001D1D63"/>
    <w:rsid w:val="001D2889"/>
    <w:rsid w:val="001D2CB6"/>
    <w:rsid w:val="001D30AA"/>
    <w:rsid w:val="001D3658"/>
    <w:rsid w:val="001D4810"/>
    <w:rsid w:val="001D5758"/>
    <w:rsid w:val="001D7B07"/>
    <w:rsid w:val="001E0630"/>
    <w:rsid w:val="001E1055"/>
    <w:rsid w:val="001E11D4"/>
    <w:rsid w:val="001E1EA1"/>
    <w:rsid w:val="001E298D"/>
    <w:rsid w:val="001E34EF"/>
    <w:rsid w:val="001E3C67"/>
    <w:rsid w:val="001E4CA2"/>
    <w:rsid w:val="001E4EB9"/>
    <w:rsid w:val="001E627D"/>
    <w:rsid w:val="001E62E0"/>
    <w:rsid w:val="001E63F6"/>
    <w:rsid w:val="001E6731"/>
    <w:rsid w:val="001E6A6A"/>
    <w:rsid w:val="001E6B16"/>
    <w:rsid w:val="001E7146"/>
    <w:rsid w:val="001E73DD"/>
    <w:rsid w:val="001E7E56"/>
    <w:rsid w:val="001E7E86"/>
    <w:rsid w:val="001F1197"/>
    <w:rsid w:val="001F189B"/>
    <w:rsid w:val="001F19E2"/>
    <w:rsid w:val="001F1A2D"/>
    <w:rsid w:val="001F25F1"/>
    <w:rsid w:val="001F315C"/>
    <w:rsid w:val="001F330E"/>
    <w:rsid w:val="001F3822"/>
    <w:rsid w:val="001F3CC4"/>
    <w:rsid w:val="001F3E45"/>
    <w:rsid w:val="001F4136"/>
    <w:rsid w:val="001F48DE"/>
    <w:rsid w:val="001F4C2E"/>
    <w:rsid w:val="001F4D3C"/>
    <w:rsid w:val="001F4FD3"/>
    <w:rsid w:val="001F5325"/>
    <w:rsid w:val="001F5866"/>
    <w:rsid w:val="001F7A90"/>
    <w:rsid w:val="0020066F"/>
    <w:rsid w:val="0020152B"/>
    <w:rsid w:val="002018F7"/>
    <w:rsid w:val="00201ADE"/>
    <w:rsid w:val="00201C33"/>
    <w:rsid w:val="0020202B"/>
    <w:rsid w:val="002021F4"/>
    <w:rsid w:val="00202807"/>
    <w:rsid w:val="00202835"/>
    <w:rsid w:val="00202A0C"/>
    <w:rsid w:val="002033B2"/>
    <w:rsid w:val="002041B4"/>
    <w:rsid w:val="002041F3"/>
    <w:rsid w:val="0020439E"/>
    <w:rsid w:val="0020454D"/>
    <w:rsid w:val="002048E5"/>
    <w:rsid w:val="00204CB4"/>
    <w:rsid w:val="002060D9"/>
    <w:rsid w:val="002066B8"/>
    <w:rsid w:val="00206B71"/>
    <w:rsid w:val="00210B15"/>
    <w:rsid w:val="0021123C"/>
    <w:rsid w:val="0021148F"/>
    <w:rsid w:val="00211705"/>
    <w:rsid w:val="00211CEF"/>
    <w:rsid w:val="002121C7"/>
    <w:rsid w:val="002125DC"/>
    <w:rsid w:val="00212E6F"/>
    <w:rsid w:val="00212F14"/>
    <w:rsid w:val="00212FE6"/>
    <w:rsid w:val="0021484B"/>
    <w:rsid w:val="002148E0"/>
    <w:rsid w:val="0021543F"/>
    <w:rsid w:val="002158B0"/>
    <w:rsid w:val="00215B49"/>
    <w:rsid w:val="0021633F"/>
    <w:rsid w:val="002167D4"/>
    <w:rsid w:val="00216D3D"/>
    <w:rsid w:val="00220DB3"/>
    <w:rsid w:val="00220FD9"/>
    <w:rsid w:val="00220FE0"/>
    <w:rsid w:val="00221022"/>
    <w:rsid w:val="002215DA"/>
    <w:rsid w:val="002219BE"/>
    <w:rsid w:val="00221A2E"/>
    <w:rsid w:val="00221A2F"/>
    <w:rsid w:val="00222246"/>
    <w:rsid w:val="00223488"/>
    <w:rsid w:val="00223D8F"/>
    <w:rsid w:val="00225169"/>
    <w:rsid w:val="0022653C"/>
    <w:rsid w:val="002265B9"/>
    <w:rsid w:val="002265D0"/>
    <w:rsid w:val="00227B02"/>
    <w:rsid w:val="00227C55"/>
    <w:rsid w:val="0023045D"/>
    <w:rsid w:val="00230A0C"/>
    <w:rsid w:val="00230A86"/>
    <w:rsid w:val="00230D5B"/>
    <w:rsid w:val="00233130"/>
    <w:rsid w:val="002338BF"/>
    <w:rsid w:val="0023540B"/>
    <w:rsid w:val="00235430"/>
    <w:rsid w:val="0023592D"/>
    <w:rsid w:val="00236222"/>
    <w:rsid w:val="00236D8C"/>
    <w:rsid w:val="00237102"/>
    <w:rsid w:val="00237714"/>
    <w:rsid w:val="00240EE8"/>
    <w:rsid w:val="002412E5"/>
    <w:rsid w:val="00241400"/>
    <w:rsid w:val="00241D9C"/>
    <w:rsid w:val="0024223D"/>
    <w:rsid w:val="00243196"/>
    <w:rsid w:val="00244AA5"/>
    <w:rsid w:val="00245971"/>
    <w:rsid w:val="002459A8"/>
    <w:rsid w:val="00246AA2"/>
    <w:rsid w:val="00250297"/>
    <w:rsid w:val="002505DA"/>
    <w:rsid w:val="0025121F"/>
    <w:rsid w:val="00251220"/>
    <w:rsid w:val="00252510"/>
    <w:rsid w:val="00252F04"/>
    <w:rsid w:val="00252FED"/>
    <w:rsid w:val="002536BA"/>
    <w:rsid w:val="00254DAC"/>
    <w:rsid w:val="00255A12"/>
    <w:rsid w:val="00256264"/>
    <w:rsid w:val="002562D6"/>
    <w:rsid w:val="00256E22"/>
    <w:rsid w:val="00256F04"/>
    <w:rsid w:val="00256F7D"/>
    <w:rsid w:val="002574C6"/>
    <w:rsid w:val="00257739"/>
    <w:rsid w:val="00257BB2"/>
    <w:rsid w:val="002607DE"/>
    <w:rsid w:val="0026099A"/>
    <w:rsid w:val="002614EB"/>
    <w:rsid w:val="002616FF"/>
    <w:rsid w:val="00261A0B"/>
    <w:rsid w:val="0026225C"/>
    <w:rsid w:val="00262875"/>
    <w:rsid w:val="00262D31"/>
    <w:rsid w:val="002635D4"/>
    <w:rsid w:val="002644BC"/>
    <w:rsid w:val="002650D9"/>
    <w:rsid w:val="00265ABB"/>
    <w:rsid w:val="00265EA3"/>
    <w:rsid w:val="00266AD0"/>
    <w:rsid w:val="00267041"/>
    <w:rsid w:val="0026750B"/>
    <w:rsid w:val="00267C31"/>
    <w:rsid w:val="002707F5"/>
    <w:rsid w:val="0027097A"/>
    <w:rsid w:val="00271ADC"/>
    <w:rsid w:val="00272213"/>
    <w:rsid w:val="0027377A"/>
    <w:rsid w:val="00274A50"/>
    <w:rsid w:val="002752F1"/>
    <w:rsid w:val="00275D63"/>
    <w:rsid w:val="002763E2"/>
    <w:rsid w:val="00277ED6"/>
    <w:rsid w:val="002806D8"/>
    <w:rsid w:val="002806D9"/>
    <w:rsid w:val="0028086A"/>
    <w:rsid w:val="00280960"/>
    <w:rsid w:val="00280D6F"/>
    <w:rsid w:val="00281673"/>
    <w:rsid w:val="00282537"/>
    <w:rsid w:val="002825E7"/>
    <w:rsid w:val="00282967"/>
    <w:rsid w:val="00284073"/>
    <w:rsid w:val="002841B5"/>
    <w:rsid w:val="0028464A"/>
    <w:rsid w:val="00285156"/>
    <w:rsid w:val="00286A20"/>
    <w:rsid w:val="00286F64"/>
    <w:rsid w:val="00286FB7"/>
    <w:rsid w:val="00287365"/>
    <w:rsid w:val="00287D1F"/>
    <w:rsid w:val="00291B79"/>
    <w:rsid w:val="00292513"/>
    <w:rsid w:val="00292839"/>
    <w:rsid w:val="0029308C"/>
    <w:rsid w:val="00293977"/>
    <w:rsid w:val="0029512D"/>
    <w:rsid w:val="002953BE"/>
    <w:rsid w:val="00295745"/>
    <w:rsid w:val="00297224"/>
    <w:rsid w:val="0029749A"/>
    <w:rsid w:val="002974E3"/>
    <w:rsid w:val="002A042D"/>
    <w:rsid w:val="002A0B8C"/>
    <w:rsid w:val="002A1205"/>
    <w:rsid w:val="002A1439"/>
    <w:rsid w:val="002A16B3"/>
    <w:rsid w:val="002A1E6D"/>
    <w:rsid w:val="002A1F63"/>
    <w:rsid w:val="002A369C"/>
    <w:rsid w:val="002A3E35"/>
    <w:rsid w:val="002A5336"/>
    <w:rsid w:val="002A5AF8"/>
    <w:rsid w:val="002A77F8"/>
    <w:rsid w:val="002A7859"/>
    <w:rsid w:val="002B0C73"/>
    <w:rsid w:val="002B1442"/>
    <w:rsid w:val="002B1DF3"/>
    <w:rsid w:val="002B25A5"/>
    <w:rsid w:val="002B3A2B"/>
    <w:rsid w:val="002B43BA"/>
    <w:rsid w:val="002B47A7"/>
    <w:rsid w:val="002B486F"/>
    <w:rsid w:val="002B4EA3"/>
    <w:rsid w:val="002B5762"/>
    <w:rsid w:val="002B5C57"/>
    <w:rsid w:val="002B7693"/>
    <w:rsid w:val="002B777A"/>
    <w:rsid w:val="002C13BB"/>
    <w:rsid w:val="002C1FCB"/>
    <w:rsid w:val="002C20C3"/>
    <w:rsid w:val="002C2834"/>
    <w:rsid w:val="002C28A0"/>
    <w:rsid w:val="002C2D99"/>
    <w:rsid w:val="002C2F76"/>
    <w:rsid w:val="002C3115"/>
    <w:rsid w:val="002C319C"/>
    <w:rsid w:val="002C31DB"/>
    <w:rsid w:val="002C4A51"/>
    <w:rsid w:val="002C5890"/>
    <w:rsid w:val="002C5927"/>
    <w:rsid w:val="002C5F4B"/>
    <w:rsid w:val="002C60D9"/>
    <w:rsid w:val="002C666F"/>
    <w:rsid w:val="002C77D1"/>
    <w:rsid w:val="002C7CCF"/>
    <w:rsid w:val="002C7D41"/>
    <w:rsid w:val="002D049A"/>
    <w:rsid w:val="002D05FF"/>
    <w:rsid w:val="002D0CAA"/>
    <w:rsid w:val="002D1A46"/>
    <w:rsid w:val="002D1BE8"/>
    <w:rsid w:val="002D31F3"/>
    <w:rsid w:val="002D36E1"/>
    <w:rsid w:val="002D453A"/>
    <w:rsid w:val="002D4706"/>
    <w:rsid w:val="002D57AE"/>
    <w:rsid w:val="002D6839"/>
    <w:rsid w:val="002D6B64"/>
    <w:rsid w:val="002D6C48"/>
    <w:rsid w:val="002D73D8"/>
    <w:rsid w:val="002D76D9"/>
    <w:rsid w:val="002D7894"/>
    <w:rsid w:val="002D7956"/>
    <w:rsid w:val="002D7D5A"/>
    <w:rsid w:val="002E10B1"/>
    <w:rsid w:val="002E15E0"/>
    <w:rsid w:val="002E166B"/>
    <w:rsid w:val="002E1DC1"/>
    <w:rsid w:val="002E1E6B"/>
    <w:rsid w:val="002E25A3"/>
    <w:rsid w:val="002E3024"/>
    <w:rsid w:val="002E39D9"/>
    <w:rsid w:val="002E3AA0"/>
    <w:rsid w:val="002E4003"/>
    <w:rsid w:val="002E41DC"/>
    <w:rsid w:val="002E51B8"/>
    <w:rsid w:val="002E5F6E"/>
    <w:rsid w:val="002E60EB"/>
    <w:rsid w:val="002E68D6"/>
    <w:rsid w:val="002E6CA0"/>
    <w:rsid w:val="002E7655"/>
    <w:rsid w:val="002F019F"/>
    <w:rsid w:val="002F1EEF"/>
    <w:rsid w:val="002F27BC"/>
    <w:rsid w:val="002F56F3"/>
    <w:rsid w:val="002F5E80"/>
    <w:rsid w:val="002F6F7C"/>
    <w:rsid w:val="003004D4"/>
    <w:rsid w:val="0030070C"/>
    <w:rsid w:val="003011BF"/>
    <w:rsid w:val="00301F59"/>
    <w:rsid w:val="003022D1"/>
    <w:rsid w:val="00302B0F"/>
    <w:rsid w:val="00303419"/>
    <w:rsid w:val="0030363A"/>
    <w:rsid w:val="003038C9"/>
    <w:rsid w:val="00303B01"/>
    <w:rsid w:val="00304311"/>
    <w:rsid w:val="003046AF"/>
    <w:rsid w:val="00304FC1"/>
    <w:rsid w:val="0030611B"/>
    <w:rsid w:val="0030619D"/>
    <w:rsid w:val="003063A5"/>
    <w:rsid w:val="00306D3E"/>
    <w:rsid w:val="00310B5E"/>
    <w:rsid w:val="003110E0"/>
    <w:rsid w:val="0031283B"/>
    <w:rsid w:val="00312C2C"/>
    <w:rsid w:val="00313809"/>
    <w:rsid w:val="003153FE"/>
    <w:rsid w:val="00317682"/>
    <w:rsid w:val="00320A3C"/>
    <w:rsid w:val="00321A1F"/>
    <w:rsid w:val="00321F00"/>
    <w:rsid w:val="00321F6F"/>
    <w:rsid w:val="00322388"/>
    <w:rsid w:val="003248B4"/>
    <w:rsid w:val="00325140"/>
    <w:rsid w:val="00326454"/>
    <w:rsid w:val="0032781A"/>
    <w:rsid w:val="003279E3"/>
    <w:rsid w:val="00327E92"/>
    <w:rsid w:val="003300AD"/>
    <w:rsid w:val="0033072F"/>
    <w:rsid w:val="003318DC"/>
    <w:rsid w:val="00332004"/>
    <w:rsid w:val="00332981"/>
    <w:rsid w:val="00332B43"/>
    <w:rsid w:val="0033331C"/>
    <w:rsid w:val="0033351E"/>
    <w:rsid w:val="003338E3"/>
    <w:rsid w:val="00334C15"/>
    <w:rsid w:val="003359F0"/>
    <w:rsid w:val="00335A8F"/>
    <w:rsid w:val="00335FB1"/>
    <w:rsid w:val="0033651C"/>
    <w:rsid w:val="00340550"/>
    <w:rsid w:val="003405E4"/>
    <w:rsid w:val="00340E26"/>
    <w:rsid w:val="0034125D"/>
    <w:rsid w:val="00342852"/>
    <w:rsid w:val="00342EDA"/>
    <w:rsid w:val="00343057"/>
    <w:rsid w:val="003437D3"/>
    <w:rsid w:val="00343E65"/>
    <w:rsid w:val="003441AC"/>
    <w:rsid w:val="00344B56"/>
    <w:rsid w:val="00344F79"/>
    <w:rsid w:val="003458E5"/>
    <w:rsid w:val="003461CE"/>
    <w:rsid w:val="00347055"/>
    <w:rsid w:val="00347C42"/>
    <w:rsid w:val="0035020F"/>
    <w:rsid w:val="00351151"/>
    <w:rsid w:val="00351ADC"/>
    <w:rsid w:val="00352369"/>
    <w:rsid w:val="00352576"/>
    <w:rsid w:val="003527F8"/>
    <w:rsid w:val="00352A04"/>
    <w:rsid w:val="0035398A"/>
    <w:rsid w:val="00353A8A"/>
    <w:rsid w:val="0035417E"/>
    <w:rsid w:val="00355165"/>
    <w:rsid w:val="00355764"/>
    <w:rsid w:val="00355D61"/>
    <w:rsid w:val="00355FFA"/>
    <w:rsid w:val="003577F1"/>
    <w:rsid w:val="00357A0F"/>
    <w:rsid w:val="00357E4B"/>
    <w:rsid w:val="00357EE8"/>
    <w:rsid w:val="0036051D"/>
    <w:rsid w:val="00360C7E"/>
    <w:rsid w:val="00360EDC"/>
    <w:rsid w:val="0036206C"/>
    <w:rsid w:val="00362237"/>
    <w:rsid w:val="0036299C"/>
    <w:rsid w:val="00362F9B"/>
    <w:rsid w:val="003631B2"/>
    <w:rsid w:val="003634E5"/>
    <w:rsid w:val="003637B8"/>
    <w:rsid w:val="00365B9F"/>
    <w:rsid w:val="00365DDA"/>
    <w:rsid w:val="00365F72"/>
    <w:rsid w:val="00366DA5"/>
    <w:rsid w:val="00366DE5"/>
    <w:rsid w:val="00367323"/>
    <w:rsid w:val="0036734C"/>
    <w:rsid w:val="0037097A"/>
    <w:rsid w:val="00371084"/>
    <w:rsid w:val="003716B5"/>
    <w:rsid w:val="0037171C"/>
    <w:rsid w:val="003720AC"/>
    <w:rsid w:val="00372476"/>
    <w:rsid w:val="00372DD0"/>
    <w:rsid w:val="003735C7"/>
    <w:rsid w:val="003736D9"/>
    <w:rsid w:val="00373EFF"/>
    <w:rsid w:val="00374517"/>
    <w:rsid w:val="003748EF"/>
    <w:rsid w:val="0037499A"/>
    <w:rsid w:val="00374BE4"/>
    <w:rsid w:val="00375305"/>
    <w:rsid w:val="00375419"/>
    <w:rsid w:val="003756CF"/>
    <w:rsid w:val="00375F32"/>
    <w:rsid w:val="00376318"/>
    <w:rsid w:val="00376B16"/>
    <w:rsid w:val="00380E49"/>
    <w:rsid w:val="00383A07"/>
    <w:rsid w:val="003841F0"/>
    <w:rsid w:val="00384834"/>
    <w:rsid w:val="00385312"/>
    <w:rsid w:val="00385950"/>
    <w:rsid w:val="00385F81"/>
    <w:rsid w:val="0038617A"/>
    <w:rsid w:val="003869BC"/>
    <w:rsid w:val="00387249"/>
    <w:rsid w:val="00387C2F"/>
    <w:rsid w:val="0039017D"/>
    <w:rsid w:val="003903A4"/>
    <w:rsid w:val="003906B2"/>
    <w:rsid w:val="003912C1"/>
    <w:rsid w:val="003928D5"/>
    <w:rsid w:val="003934B4"/>
    <w:rsid w:val="00394A04"/>
    <w:rsid w:val="00394AFD"/>
    <w:rsid w:val="00394C55"/>
    <w:rsid w:val="00395641"/>
    <w:rsid w:val="003957D8"/>
    <w:rsid w:val="00395D09"/>
    <w:rsid w:val="003960F8"/>
    <w:rsid w:val="003970F3"/>
    <w:rsid w:val="003975A8"/>
    <w:rsid w:val="003977C2"/>
    <w:rsid w:val="003A17C6"/>
    <w:rsid w:val="003A1D16"/>
    <w:rsid w:val="003A3E2F"/>
    <w:rsid w:val="003A4A64"/>
    <w:rsid w:val="003A4F45"/>
    <w:rsid w:val="003A59BE"/>
    <w:rsid w:val="003A658E"/>
    <w:rsid w:val="003A66C1"/>
    <w:rsid w:val="003A6792"/>
    <w:rsid w:val="003A7256"/>
    <w:rsid w:val="003A7348"/>
    <w:rsid w:val="003A7EA9"/>
    <w:rsid w:val="003B02A1"/>
    <w:rsid w:val="003B085D"/>
    <w:rsid w:val="003B0CC3"/>
    <w:rsid w:val="003B0D7F"/>
    <w:rsid w:val="003B136D"/>
    <w:rsid w:val="003B18FD"/>
    <w:rsid w:val="003B1B80"/>
    <w:rsid w:val="003B1D78"/>
    <w:rsid w:val="003B365F"/>
    <w:rsid w:val="003B36BC"/>
    <w:rsid w:val="003B4468"/>
    <w:rsid w:val="003B4CD7"/>
    <w:rsid w:val="003B4FB4"/>
    <w:rsid w:val="003B554A"/>
    <w:rsid w:val="003B5714"/>
    <w:rsid w:val="003B5D6A"/>
    <w:rsid w:val="003B5FB6"/>
    <w:rsid w:val="003B6C02"/>
    <w:rsid w:val="003B6EEE"/>
    <w:rsid w:val="003B6FB1"/>
    <w:rsid w:val="003C0C5A"/>
    <w:rsid w:val="003C113C"/>
    <w:rsid w:val="003C1B35"/>
    <w:rsid w:val="003C220B"/>
    <w:rsid w:val="003C2AD7"/>
    <w:rsid w:val="003C3341"/>
    <w:rsid w:val="003C5B7F"/>
    <w:rsid w:val="003C743B"/>
    <w:rsid w:val="003D0B39"/>
    <w:rsid w:val="003D1429"/>
    <w:rsid w:val="003D16F9"/>
    <w:rsid w:val="003D25FC"/>
    <w:rsid w:val="003D26E9"/>
    <w:rsid w:val="003D4079"/>
    <w:rsid w:val="003D57AB"/>
    <w:rsid w:val="003D5C4D"/>
    <w:rsid w:val="003D7997"/>
    <w:rsid w:val="003E047C"/>
    <w:rsid w:val="003E0C76"/>
    <w:rsid w:val="003E164F"/>
    <w:rsid w:val="003E17D1"/>
    <w:rsid w:val="003E27E7"/>
    <w:rsid w:val="003E3040"/>
    <w:rsid w:val="003E392D"/>
    <w:rsid w:val="003E3A27"/>
    <w:rsid w:val="003E4949"/>
    <w:rsid w:val="003E56C3"/>
    <w:rsid w:val="003E5B4D"/>
    <w:rsid w:val="003E5BD9"/>
    <w:rsid w:val="003E5F3D"/>
    <w:rsid w:val="003E7466"/>
    <w:rsid w:val="003E7945"/>
    <w:rsid w:val="003E7960"/>
    <w:rsid w:val="003F0139"/>
    <w:rsid w:val="003F24FD"/>
    <w:rsid w:val="003F2C25"/>
    <w:rsid w:val="003F3C0B"/>
    <w:rsid w:val="003F3CD0"/>
    <w:rsid w:val="003F4C1F"/>
    <w:rsid w:val="003F5E28"/>
    <w:rsid w:val="003F5EFC"/>
    <w:rsid w:val="003F68CE"/>
    <w:rsid w:val="003F6C6D"/>
    <w:rsid w:val="003F6D6D"/>
    <w:rsid w:val="003F702C"/>
    <w:rsid w:val="003F71B7"/>
    <w:rsid w:val="003F7FD3"/>
    <w:rsid w:val="004039D9"/>
    <w:rsid w:val="0040424E"/>
    <w:rsid w:val="004051E2"/>
    <w:rsid w:val="004058FC"/>
    <w:rsid w:val="0040610E"/>
    <w:rsid w:val="00406730"/>
    <w:rsid w:val="0040763F"/>
    <w:rsid w:val="00407FD6"/>
    <w:rsid w:val="004100C8"/>
    <w:rsid w:val="00411AD4"/>
    <w:rsid w:val="00411C8B"/>
    <w:rsid w:val="00411C93"/>
    <w:rsid w:val="004124C6"/>
    <w:rsid w:val="00413091"/>
    <w:rsid w:val="00415643"/>
    <w:rsid w:val="0041593E"/>
    <w:rsid w:val="00415BA2"/>
    <w:rsid w:val="00417751"/>
    <w:rsid w:val="004204EE"/>
    <w:rsid w:val="00420ED0"/>
    <w:rsid w:val="00421F25"/>
    <w:rsid w:val="00422445"/>
    <w:rsid w:val="004226E9"/>
    <w:rsid w:val="0042304C"/>
    <w:rsid w:val="00423420"/>
    <w:rsid w:val="00423E48"/>
    <w:rsid w:val="004245F8"/>
    <w:rsid w:val="00424ACE"/>
    <w:rsid w:val="00425007"/>
    <w:rsid w:val="00425F17"/>
    <w:rsid w:val="00426607"/>
    <w:rsid w:val="004274A5"/>
    <w:rsid w:val="00427563"/>
    <w:rsid w:val="0042781C"/>
    <w:rsid w:val="00427E0D"/>
    <w:rsid w:val="00427EEA"/>
    <w:rsid w:val="00427F03"/>
    <w:rsid w:val="0043197C"/>
    <w:rsid w:val="004323CD"/>
    <w:rsid w:val="00433010"/>
    <w:rsid w:val="0043408F"/>
    <w:rsid w:val="004340A6"/>
    <w:rsid w:val="00434A97"/>
    <w:rsid w:val="00435A9C"/>
    <w:rsid w:val="00435AD4"/>
    <w:rsid w:val="004365A3"/>
    <w:rsid w:val="0043693B"/>
    <w:rsid w:val="00436CC5"/>
    <w:rsid w:val="00436DCE"/>
    <w:rsid w:val="004374A4"/>
    <w:rsid w:val="00437973"/>
    <w:rsid w:val="00437AE9"/>
    <w:rsid w:val="004401F9"/>
    <w:rsid w:val="00440421"/>
    <w:rsid w:val="004409EE"/>
    <w:rsid w:val="00440EC6"/>
    <w:rsid w:val="0044115C"/>
    <w:rsid w:val="00441198"/>
    <w:rsid w:val="004417C4"/>
    <w:rsid w:val="004421C1"/>
    <w:rsid w:val="004428CA"/>
    <w:rsid w:val="00442C1B"/>
    <w:rsid w:val="00444678"/>
    <w:rsid w:val="00444A36"/>
    <w:rsid w:val="00444ED4"/>
    <w:rsid w:val="0044593E"/>
    <w:rsid w:val="00446CF0"/>
    <w:rsid w:val="00446FD7"/>
    <w:rsid w:val="00447DF1"/>
    <w:rsid w:val="0045034F"/>
    <w:rsid w:val="0045035E"/>
    <w:rsid w:val="00450BAC"/>
    <w:rsid w:val="00450F61"/>
    <w:rsid w:val="00451A48"/>
    <w:rsid w:val="00451BDC"/>
    <w:rsid w:val="00452F9C"/>
    <w:rsid w:val="00453641"/>
    <w:rsid w:val="00453FFE"/>
    <w:rsid w:val="00454C48"/>
    <w:rsid w:val="00455A44"/>
    <w:rsid w:val="00456170"/>
    <w:rsid w:val="004572F2"/>
    <w:rsid w:val="00460FA9"/>
    <w:rsid w:val="004615D1"/>
    <w:rsid w:val="0046177A"/>
    <w:rsid w:val="00462D54"/>
    <w:rsid w:val="00463AF2"/>
    <w:rsid w:val="00465E5F"/>
    <w:rsid w:val="00466936"/>
    <w:rsid w:val="00467756"/>
    <w:rsid w:val="004679EE"/>
    <w:rsid w:val="00467D97"/>
    <w:rsid w:val="00467F85"/>
    <w:rsid w:val="0047002F"/>
    <w:rsid w:val="00470E64"/>
    <w:rsid w:val="00472319"/>
    <w:rsid w:val="00473C72"/>
    <w:rsid w:val="00474653"/>
    <w:rsid w:val="00474AED"/>
    <w:rsid w:val="00474B81"/>
    <w:rsid w:val="00475049"/>
    <w:rsid w:val="004755BE"/>
    <w:rsid w:val="0047561D"/>
    <w:rsid w:val="00476899"/>
    <w:rsid w:val="00476964"/>
    <w:rsid w:val="00476DEB"/>
    <w:rsid w:val="00477371"/>
    <w:rsid w:val="00480C10"/>
    <w:rsid w:val="00483B21"/>
    <w:rsid w:val="00483DA6"/>
    <w:rsid w:val="0048410B"/>
    <w:rsid w:val="004842FD"/>
    <w:rsid w:val="0048537B"/>
    <w:rsid w:val="00485619"/>
    <w:rsid w:val="004858E5"/>
    <w:rsid w:val="00486B8B"/>
    <w:rsid w:val="00486CE5"/>
    <w:rsid w:val="00486CF3"/>
    <w:rsid w:val="00486FC7"/>
    <w:rsid w:val="00487A91"/>
    <w:rsid w:val="00487EF9"/>
    <w:rsid w:val="00490803"/>
    <w:rsid w:val="004909B4"/>
    <w:rsid w:val="00490E6E"/>
    <w:rsid w:val="00491D43"/>
    <w:rsid w:val="004926C4"/>
    <w:rsid w:val="00492EFC"/>
    <w:rsid w:val="00492F29"/>
    <w:rsid w:val="0049328F"/>
    <w:rsid w:val="0049341D"/>
    <w:rsid w:val="00493B2B"/>
    <w:rsid w:val="00493FCD"/>
    <w:rsid w:val="00494234"/>
    <w:rsid w:val="00496A92"/>
    <w:rsid w:val="004A0406"/>
    <w:rsid w:val="004A12A0"/>
    <w:rsid w:val="004A2682"/>
    <w:rsid w:val="004A2A36"/>
    <w:rsid w:val="004A394A"/>
    <w:rsid w:val="004A3CFD"/>
    <w:rsid w:val="004A44BE"/>
    <w:rsid w:val="004A4F56"/>
    <w:rsid w:val="004A53B3"/>
    <w:rsid w:val="004A5497"/>
    <w:rsid w:val="004A5EE7"/>
    <w:rsid w:val="004A5F11"/>
    <w:rsid w:val="004A5F79"/>
    <w:rsid w:val="004A6442"/>
    <w:rsid w:val="004A6DFD"/>
    <w:rsid w:val="004B02D4"/>
    <w:rsid w:val="004B04A3"/>
    <w:rsid w:val="004B0A14"/>
    <w:rsid w:val="004B0F12"/>
    <w:rsid w:val="004B17B0"/>
    <w:rsid w:val="004B1B95"/>
    <w:rsid w:val="004B2296"/>
    <w:rsid w:val="004B24AD"/>
    <w:rsid w:val="004B366E"/>
    <w:rsid w:val="004B50FA"/>
    <w:rsid w:val="004B62F2"/>
    <w:rsid w:val="004B6381"/>
    <w:rsid w:val="004B66DC"/>
    <w:rsid w:val="004B67FE"/>
    <w:rsid w:val="004B6D39"/>
    <w:rsid w:val="004B7112"/>
    <w:rsid w:val="004C050C"/>
    <w:rsid w:val="004C070B"/>
    <w:rsid w:val="004C1134"/>
    <w:rsid w:val="004C188A"/>
    <w:rsid w:val="004C197C"/>
    <w:rsid w:val="004C1E7F"/>
    <w:rsid w:val="004C257C"/>
    <w:rsid w:val="004C2765"/>
    <w:rsid w:val="004C35AF"/>
    <w:rsid w:val="004C4068"/>
    <w:rsid w:val="004C443C"/>
    <w:rsid w:val="004C49AF"/>
    <w:rsid w:val="004C62BC"/>
    <w:rsid w:val="004C6317"/>
    <w:rsid w:val="004C6E6B"/>
    <w:rsid w:val="004C752F"/>
    <w:rsid w:val="004D0215"/>
    <w:rsid w:val="004D02A7"/>
    <w:rsid w:val="004D0F6C"/>
    <w:rsid w:val="004D0F85"/>
    <w:rsid w:val="004D159A"/>
    <w:rsid w:val="004D18CB"/>
    <w:rsid w:val="004D284C"/>
    <w:rsid w:val="004D2863"/>
    <w:rsid w:val="004D33E6"/>
    <w:rsid w:val="004D4CB2"/>
    <w:rsid w:val="004D4F17"/>
    <w:rsid w:val="004D522E"/>
    <w:rsid w:val="004D5FF1"/>
    <w:rsid w:val="004D71FB"/>
    <w:rsid w:val="004D729A"/>
    <w:rsid w:val="004D7452"/>
    <w:rsid w:val="004D7E52"/>
    <w:rsid w:val="004E0730"/>
    <w:rsid w:val="004E1458"/>
    <w:rsid w:val="004E1467"/>
    <w:rsid w:val="004E2001"/>
    <w:rsid w:val="004E2107"/>
    <w:rsid w:val="004E26DA"/>
    <w:rsid w:val="004E317B"/>
    <w:rsid w:val="004E3873"/>
    <w:rsid w:val="004E3BFB"/>
    <w:rsid w:val="004E3D72"/>
    <w:rsid w:val="004E430C"/>
    <w:rsid w:val="004E4DCD"/>
    <w:rsid w:val="004E6460"/>
    <w:rsid w:val="004E7916"/>
    <w:rsid w:val="004F001A"/>
    <w:rsid w:val="004F0B51"/>
    <w:rsid w:val="004F2887"/>
    <w:rsid w:val="004F311E"/>
    <w:rsid w:val="004F33FE"/>
    <w:rsid w:val="004F3424"/>
    <w:rsid w:val="004F514E"/>
    <w:rsid w:val="004F5469"/>
    <w:rsid w:val="004F6DF3"/>
    <w:rsid w:val="004F76AC"/>
    <w:rsid w:val="004F76ED"/>
    <w:rsid w:val="00500A1D"/>
    <w:rsid w:val="0050152C"/>
    <w:rsid w:val="00502E21"/>
    <w:rsid w:val="005039B8"/>
    <w:rsid w:val="005046BB"/>
    <w:rsid w:val="005046EC"/>
    <w:rsid w:val="00504F21"/>
    <w:rsid w:val="00505365"/>
    <w:rsid w:val="00505941"/>
    <w:rsid w:val="0050685E"/>
    <w:rsid w:val="00506A95"/>
    <w:rsid w:val="00506F88"/>
    <w:rsid w:val="00507AEA"/>
    <w:rsid w:val="005101E4"/>
    <w:rsid w:val="00511935"/>
    <w:rsid w:val="005133E3"/>
    <w:rsid w:val="00513D51"/>
    <w:rsid w:val="00513E46"/>
    <w:rsid w:val="00513FDE"/>
    <w:rsid w:val="00515527"/>
    <w:rsid w:val="005155FD"/>
    <w:rsid w:val="00515A92"/>
    <w:rsid w:val="00516608"/>
    <w:rsid w:val="00516E4A"/>
    <w:rsid w:val="00517B61"/>
    <w:rsid w:val="005203DA"/>
    <w:rsid w:val="00520B91"/>
    <w:rsid w:val="00521063"/>
    <w:rsid w:val="005212C0"/>
    <w:rsid w:val="00523389"/>
    <w:rsid w:val="0052410D"/>
    <w:rsid w:val="005251AA"/>
    <w:rsid w:val="00525385"/>
    <w:rsid w:val="0052624C"/>
    <w:rsid w:val="0052660D"/>
    <w:rsid w:val="005267AD"/>
    <w:rsid w:val="00527219"/>
    <w:rsid w:val="005272CC"/>
    <w:rsid w:val="00527ADB"/>
    <w:rsid w:val="005301D7"/>
    <w:rsid w:val="00530387"/>
    <w:rsid w:val="0053092D"/>
    <w:rsid w:val="00530D17"/>
    <w:rsid w:val="00531891"/>
    <w:rsid w:val="00531E49"/>
    <w:rsid w:val="0053216B"/>
    <w:rsid w:val="0053228D"/>
    <w:rsid w:val="00533698"/>
    <w:rsid w:val="00533A3C"/>
    <w:rsid w:val="00533E58"/>
    <w:rsid w:val="005344E3"/>
    <w:rsid w:val="00534893"/>
    <w:rsid w:val="0053591C"/>
    <w:rsid w:val="00535CEE"/>
    <w:rsid w:val="00536F62"/>
    <w:rsid w:val="005370A6"/>
    <w:rsid w:val="00537CD2"/>
    <w:rsid w:val="00537DA1"/>
    <w:rsid w:val="00537EF1"/>
    <w:rsid w:val="00540252"/>
    <w:rsid w:val="005406E2"/>
    <w:rsid w:val="00541CA8"/>
    <w:rsid w:val="005427BF"/>
    <w:rsid w:val="005427ED"/>
    <w:rsid w:val="00542CA3"/>
    <w:rsid w:val="005454EF"/>
    <w:rsid w:val="005455F0"/>
    <w:rsid w:val="00545B36"/>
    <w:rsid w:val="00545D3F"/>
    <w:rsid w:val="005472C6"/>
    <w:rsid w:val="00547746"/>
    <w:rsid w:val="005503EC"/>
    <w:rsid w:val="00551232"/>
    <w:rsid w:val="00552893"/>
    <w:rsid w:val="00552924"/>
    <w:rsid w:val="00552FDC"/>
    <w:rsid w:val="00554BC7"/>
    <w:rsid w:val="005553C8"/>
    <w:rsid w:val="00555446"/>
    <w:rsid w:val="00555882"/>
    <w:rsid w:val="00555A59"/>
    <w:rsid w:val="00555AD2"/>
    <w:rsid w:val="00557210"/>
    <w:rsid w:val="005608BB"/>
    <w:rsid w:val="00560A40"/>
    <w:rsid w:val="00560B66"/>
    <w:rsid w:val="0056194D"/>
    <w:rsid w:val="005625C8"/>
    <w:rsid w:val="00563069"/>
    <w:rsid w:val="005632A7"/>
    <w:rsid w:val="005639C6"/>
    <w:rsid w:val="00563E84"/>
    <w:rsid w:val="00565915"/>
    <w:rsid w:val="00565941"/>
    <w:rsid w:val="005662AE"/>
    <w:rsid w:val="005667F0"/>
    <w:rsid w:val="00567147"/>
    <w:rsid w:val="0056717D"/>
    <w:rsid w:val="00567252"/>
    <w:rsid w:val="00570308"/>
    <w:rsid w:val="0057031D"/>
    <w:rsid w:val="00571D67"/>
    <w:rsid w:val="0057210E"/>
    <w:rsid w:val="00572F30"/>
    <w:rsid w:val="00572FEB"/>
    <w:rsid w:val="0057313B"/>
    <w:rsid w:val="00575747"/>
    <w:rsid w:val="00575BBA"/>
    <w:rsid w:val="005766C3"/>
    <w:rsid w:val="00576CE0"/>
    <w:rsid w:val="005772C3"/>
    <w:rsid w:val="00577645"/>
    <w:rsid w:val="00577E1A"/>
    <w:rsid w:val="00580240"/>
    <w:rsid w:val="005810D7"/>
    <w:rsid w:val="00582F29"/>
    <w:rsid w:val="00583860"/>
    <w:rsid w:val="00583FA6"/>
    <w:rsid w:val="00584F7C"/>
    <w:rsid w:val="00584FC5"/>
    <w:rsid w:val="005850E2"/>
    <w:rsid w:val="0058523B"/>
    <w:rsid w:val="0058566C"/>
    <w:rsid w:val="00586AC8"/>
    <w:rsid w:val="00586ACE"/>
    <w:rsid w:val="00586F08"/>
    <w:rsid w:val="005870C4"/>
    <w:rsid w:val="00590316"/>
    <w:rsid w:val="00591DF2"/>
    <w:rsid w:val="0059267B"/>
    <w:rsid w:val="00592858"/>
    <w:rsid w:val="00592E7F"/>
    <w:rsid w:val="0059355A"/>
    <w:rsid w:val="005950E6"/>
    <w:rsid w:val="00595368"/>
    <w:rsid w:val="005953FA"/>
    <w:rsid w:val="005954D5"/>
    <w:rsid w:val="00595626"/>
    <w:rsid w:val="00596DD1"/>
    <w:rsid w:val="0059749A"/>
    <w:rsid w:val="00597506"/>
    <w:rsid w:val="00597D1B"/>
    <w:rsid w:val="005A0216"/>
    <w:rsid w:val="005A03E8"/>
    <w:rsid w:val="005A06A8"/>
    <w:rsid w:val="005A0BDD"/>
    <w:rsid w:val="005A1045"/>
    <w:rsid w:val="005A1574"/>
    <w:rsid w:val="005A1DCF"/>
    <w:rsid w:val="005A26C4"/>
    <w:rsid w:val="005A30DD"/>
    <w:rsid w:val="005A313C"/>
    <w:rsid w:val="005A3E80"/>
    <w:rsid w:val="005A41CA"/>
    <w:rsid w:val="005A41D2"/>
    <w:rsid w:val="005A448D"/>
    <w:rsid w:val="005A4C77"/>
    <w:rsid w:val="005A7074"/>
    <w:rsid w:val="005A7CC1"/>
    <w:rsid w:val="005B00C0"/>
    <w:rsid w:val="005B137E"/>
    <w:rsid w:val="005B1432"/>
    <w:rsid w:val="005B278F"/>
    <w:rsid w:val="005B3292"/>
    <w:rsid w:val="005B35FF"/>
    <w:rsid w:val="005B3FE1"/>
    <w:rsid w:val="005B4E8A"/>
    <w:rsid w:val="005B522A"/>
    <w:rsid w:val="005B5B9B"/>
    <w:rsid w:val="005B5C11"/>
    <w:rsid w:val="005B61FD"/>
    <w:rsid w:val="005B6F6D"/>
    <w:rsid w:val="005C00F7"/>
    <w:rsid w:val="005C0691"/>
    <w:rsid w:val="005C24C6"/>
    <w:rsid w:val="005C41CE"/>
    <w:rsid w:val="005C48CE"/>
    <w:rsid w:val="005C4C0A"/>
    <w:rsid w:val="005C5FF9"/>
    <w:rsid w:val="005C6B15"/>
    <w:rsid w:val="005C6C73"/>
    <w:rsid w:val="005C6EF7"/>
    <w:rsid w:val="005C70C5"/>
    <w:rsid w:val="005C79B5"/>
    <w:rsid w:val="005C7CF5"/>
    <w:rsid w:val="005D0D47"/>
    <w:rsid w:val="005D0E30"/>
    <w:rsid w:val="005D1570"/>
    <w:rsid w:val="005D1895"/>
    <w:rsid w:val="005D2D0E"/>
    <w:rsid w:val="005D2E58"/>
    <w:rsid w:val="005D3206"/>
    <w:rsid w:val="005D396C"/>
    <w:rsid w:val="005D4213"/>
    <w:rsid w:val="005D61DF"/>
    <w:rsid w:val="005D63B3"/>
    <w:rsid w:val="005D6551"/>
    <w:rsid w:val="005D69CD"/>
    <w:rsid w:val="005D6F91"/>
    <w:rsid w:val="005D7979"/>
    <w:rsid w:val="005E09E4"/>
    <w:rsid w:val="005E0BE4"/>
    <w:rsid w:val="005E17BC"/>
    <w:rsid w:val="005E1FB5"/>
    <w:rsid w:val="005E2870"/>
    <w:rsid w:val="005E5508"/>
    <w:rsid w:val="005E5670"/>
    <w:rsid w:val="005E5E5D"/>
    <w:rsid w:val="005E637F"/>
    <w:rsid w:val="005E6A27"/>
    <w:rsid w:val="005E782D"/>
    <w:rsid w:val="005E7F97"/>
    <w:rsid w:val="005F0503"/>
    <w:rsid w:val="005F0637"/>
    <w:rsid w:val="005F16BC"/>
    <w:rsid w:val="005F19D2"/>
    <w:rsid w:val="005F289D"/>
    <w:rsid w:val="005F38C1"/>
    <w:rsid w:val="005F3C93"/>
    <w:rsid w:val="005F59C8"/>
    <w:rsid w:val="005F6556"/>
    <w:rsid w:val="005F69C3"/>
    <w:rsid w:val="005F758D"/>
    <w:rsid w:val="005F76EF"/>
    <w:rsid w:val="005F7F2A"/>
    <w:rsid w:val="0060041D"/>
    <w:rsid w:val="006009CF"/>
    <w:rsid w:val="00600B53"/>
    <w:rsid w:val="006015E3"/>
    <w:rsid w:val="00602901"/>
    <w:rsid w:val="006029CC"/>
    <w:rsid w:val="00602A64"/>
    <w:rsid w:val="00604F55"/>
    <w:rsid w:val="00605A3B"/>
    <w:rsid w:val="00607CEC"/>
    <w:rsid w:val="00611036"/>
    <w:rsid w:val="00611DE9"/>
    <w:rsid w:val="00612531"/>
    <w:rsid w:val="00612E3F"/>
    <w:rsid w:val="00615428"/>
    <w:rsid w:val="006163E1"/>
    <w:rsid w:val="00616683"/>
    <w:rsid w:val="0061762F"/>
    <w:rsid w:val="00617886"/>
    <w:rsid w:val="00617F55"/>
    <w:rsid w:val="00620BD9"/>
    <w:rsid w:val="00620D77"/>
    <w:rsid w:val="00620DE7"/>
    <w:rsid w:val="00621229"/>
    <w:rsid w:val="00621376"/>
    <w:rsid w:val="00621BB8"/>
    <w:rsid w:val="00621C5E"/>
    <w:rsid w:val="00621EBC"/>
    <w:rsid w:val="00621FCA"/>
    <w:rsid w:val="00623223"/>
    <w:rsid w:val="00623A6B"/>
    <w:rsid w:val="006249D2"/>
    <w:rsid w:val="006250CD"/>
    <w:rsid w:val="006253A9"/>
    <w:rsid w:val="0062556C"/>
    <w:rsid w:val="006267DE"/>
    <w:rsid w:val="00627354"/>
    <w:rsid w:val="006278AA"/>
    <w:rsid w:val="00627B77"/>
    <w:rsid w:val="0063091B"/>
    <w:rsid w:val="00631261"/>
    <w:rsid w:val="006313C7"/>
    <w:rsid w:val="00632F38"/>
    <w:rsid w:val="0063331E"/>
    <w:rsid w:val="0063334F"/>
    <w:rsid w:val="00633E7F"/>
    <w:rsid w:val="00634B02"/>
    <w:rsid w:val="00634CA6"/>
    <w:rsid w:val="00635BDC"/>
    <w:rsid w:val="00635D78"/>
    <w:rsid w:val="00636015"/>
    <w:rsid w:val="0063616F"/>
    <w:rsid w:val="00636BFC"/>
    <w:rsid w:val="00637453"/>
    <w:rsid w:val="00637CD9"/>
    <w:rsid w:val="0064021D"/>
    <w:rsid w:val="00640460"/>
    <w:rsid w:val="00640A81"/>
    <w:rsid w:val="006413DC"/>
    <w:rsid w:val="00641E22"/>
    <w:rsid w:val="0064204B"/>
    <w:rsid w:val="00642370"/>
    <w:rsid w:val="00642719"/>
    <w:rsid w:val="00642DCA"/>
    <w:rsid w:val="00642DEA"/>
    <w:rsid w:val="00643963"/>
    <w:rsid w:val="00643C32"/>
    <w:rsid w:val="006442C7"/>
    <w:rsid w:val="00645829"/>
    <w:rsid w:val="00645FF1"/>
    <w:rsid w:val="00646127"/>
    <w:rsid w:val="00646283"/>
    <w:rsid w:val="00650FB2"/>
    <w:rsid w:val="0065129E"/>
    <w:rsid w:val="00653747"/>
    <w:rsid w:val="00653BD7"/>
    <w:rsid w:val="006551D1"/>
    <w:rsid w:val="00655654"/>
    <w:rsid w:val="006567D3"/>
    <w:rsid w:val="00656D92"/>
    <w:rsid w:val="00657DF0"/>
    <w:rsid w:val="00657E55"/>
    <w:rsid w:val="006602DE"/>
    <w:rsid w:val="006605E9"/>
    <w:rsid w:val="0066082F"/>
    <w:rsid w:val="0066092B"/>
    <w:rsid w:val="00660966"/>
    <w:rsid w:val="006609DA"/>
    <w:rsid w:val="00660AD6"/>
    <w:rsid w:val="006612A5"/>
    <w:rsid w:val="00662785"/>
    <w:rsid w:val="00662993"/>
    <w:rsid w:val="006637C0"/>
    <w:rsid w:val="00663EF6"/>
    <w:rsid w:val="00664084"/>
    <w:rsid w:val="00664729"/>
    <w:rsid w:val="0066512C"/>
    <w:rsid w:val="00665691"/>
    <w:rsid w:val="006664B4"/>
    <w:rsid w:val="006667F4"/>
    <w:rsid w:val="00666ABA"/>
    <w:rsid w:val="0066743E"/>
    <w:rsid w:val="0066747B"/>
    <w:rsid w:val="00667F8E"/>
    <w:rsid w:val="00671047"/>
    <w:rsid w:val="00671062"/>
    <w:rsid w:val="00671976"/>
    <w:rsid w:val="00672A47"/>
    <w:rsid w:val="006731F1"/>
    <w:rsid w:val="00673526"/>
    <w:rsid w:val="00674A61"/>
    <w:rsid w:val="00676327"/>
    <w:rsid w:val="00676844"/>
    <w:rsid w:val="0067698B"/>
    <w:rsid w:val="006819F5"/>
    <w:rsid w:val="00681CC2"/>
    <w:rsid w:val="00681CD1"/>
    <w:rsid w:val="00681DB3"/>
    <w:rsid w:val="00683338"/>
    <w:rsid w:val="00683E25"/>
    <w:rsid w:val="00684175"/>
    <w:rsid w:val="006859C1"/>
    <w:rsid w:val="0068617F"/>
    <w:rsid w:val="006868F1"/>
    <w:rsid w:val="0068735E"/>
    <w:rsid w:val="00690243"/>
    <w:rsid w:val="00690857"/>
    <w:rsid w:val="00690D5E"/>
    <w:rsid w:val="00690EE4"/>
    <w:rsid w:val="00691014"/>
    <w:rsid w:val="0069142E"/>
    <w:rsid w:val="006919F7"/>
    <w:rsid w:val="00692319"/>
    <w:rsid w:val="00693491"/>
    <w:rsid w:val="00693985"/>
    <w:rsid w:val="0069405D"/>
    <w:rsid w:val="00694B1F"/>
    <w:rsid w:val="0069550D"/>
    <w:rsid w:val="00695FE0"/>
    <w:rsid w:val="006964B3"/>
    <w:rsid w:val="00696575"/>
    <w:rsid w:val="00697869"/>
    <w:rsid w:val="006A0B28"/>
    <w:rsid w:val="006A11B9"/>
    <w:rsid w:val="006A2749"/>
    <w:rsid w:val="006A2758"/>
    <w:rsid w:val="006A2C0A"/>
    <w:rsid w:val="006A3C96"/>
    <w:rsid w:val="006A3D5C"/>
    <w:rsid w:val="006A4BC3"/>
    <w:rsid w:val="006A521C"/>
    <w:rsid w:val="006A55F2"/>
    <w:rsid w:val="006A5852"/>
    <w:rsid w:val="006A5E26"/>
    <w:rsid w:val="006A61AB"/>
    <w:rsid w:val="006A7104"/>
    <w:rsid w:val="006A76D5"/>
    <w:rsid w:val="006A7CC1"/>
    <w:rsid w:val="006B0455"/>
    <w:rsid w:val="006B09DB"/>
    <w:rsid w:val="006B1251"/>
    <w:rsid w:val="006B1713"/>
    <w:rsid w:val="006B394B"/>
    <w:rsid w:val="006B413C"/>
    <w:rsid w:val="006B427F"/>
    <w:rsid w:val="006B5550"/>
    <w:rsid w:val="006B57E8"/>
    <w:rsid w:val="006B5E99"/>
    <w:rsid w:val="006B61BB"/>
    <w:rsid w:val="006B6978"/>
    <w:rsid w:val="006B6E10"/>
    <w:rsid w:val="006B6F33"/>
    <w:rsid w:val="006B7F9E"/>
    <w:rsid w:val="006C01D9"/>
    <w:rsid w:val="006C12ED"/>
    <w:rsid w:val="006C13F8"/>
    <w:rsid w:val="006C19D4"/>
    <w:rsid w:val="006C1BB6"/>
    <w:rsid w:val="006C29EA"/>
    <w:rsid w:val="006C3662"/>
    <w:rsid w:val="006C4201"/>
    <w:rsid w:val="006C4353"/>
    <w:rsid w:val="006C4BA6"/>
    <w:rsid w:val="006C4ECA"/>
    <w:rsid w:val="006C51E7"/>
    <w:rsid w:val="006C51FD"/>
    <w:rsid w:val="006C56A7"/>
    <w:rsid w:val="006C63F6"/>
    <w:rsid w:val="006C66E7"/>
    <w:rsid w:val="006C6AA3"/>
    <w:rsid w:val="006C736F"/>
    <w:rsid w:val="006C7C93"/>
    <w:rsid w:val="006D0126"/>
    <w:rsid w:val="006D0530"/>
    <w:rsid w:val="006D0556"/>
    <w:rsid w:val="006D172A"/>
    <w:rsid w:val="006D17BE"/>
    <w:rsid w:val="006D21B4"/>
    <w:rsid w:val="006D2CD2"/>
    <w:rsid w:val="006D2E27"/>
    <w:rsid w:val="006D3790"/>
    <w:rsid w:val="006D3A8C"/>
    <w:rsid w:val="006D4665"/>
    <w:rsid w:val="006D4C79"/>
    <w:rsid w:val="006D5A8E"/>
    <w:rsid w:val="006D5CEE"/>
    <w:rsid w:val="006E0AE3"/>
    <w:rsid w:val="006E1320"/>
    <w:rsid w:val="006E13AE"/>
    <w:rsid w:val="006E16D0"/>
    <w:rsid w:val="006E1E81"/>
    <w:rsid w:val="006E21F1"/>
    <w:rsid w:val="006E2240"/>
    <w:rsid w:val="006E3718"/>
    <w:rsid w:val="006E374F"/>
    <w:rsid w:val="006E3C85"/>
    <w:rsid w:val="006E3DF3"/>
    <w:rsid w:val="006E3EDF"/>
    <w:rsid w:val="006E3F00"/>
    <w:rsid w:val="006E42E8"/>
    <w:rsid w:val="006E5082"/>
    <w:rsid w:val="006E51F8"/>
    <w:rsid w:val="006E7A89"/>
    <w:rsid w:val="006E7D19"/>
    <w:rsid w:val="006F0A5C"/>
    <w:rsid w:val="006F0C22"/>
    <w:rsid w:val="006F0E1B"/>
    <w:rsid w:val="006F0E91"/>
    <w:rsid w:val="006F1130"/>
    <w:rsid w:val="006F1493"/>
    <w:rsid w:val="006F20E6"/>
    <w:rsid w:val="006F2D52"/>
    <w:rsid w:val="006F322E"/>
    <w:rsid w:val="006F3529"/>
    <w:rsid w:val="006F35D0"/>
    <w:rsid w:val="006F4D5C"/>
    <w:rsid w:val="006F510E"/>
    <w:rsid w:val="006F5954"/>
    <w:rsid w:val="006F5AF9"/>
    <w:rsid w:val="006F76F0"/>
    <w:rsid w:val="006F7722"/>
    <w:rsid w:val="006F7CF7"/>
    <w:rsid w:val="00700198"/>
    <w:rsid w:val="007005FE"/>
    <w:rsid w:val="00701173"/>
    <w:rsid w:val="007018C3"/>
    <w:rsid w:val="00701DFA"/>
    <w:rsid w:val="007027DE"/>
    <w:rsid w:val="00702F0E"/>
    <w:rsid w:val="0070362F"/>
    <w:rsid w:val="00703FFE"/>
    <w:rsid w:val="007044D0"/>
    <w:rsid w:val="007047E3"/>
    <w:rsid w:val="007049AB"/>
    <w:rsid w:val="007049FA"/>
    <w:rsid w:val="007052BA"/>
    <w:rsid w:val="00705499"/>
    <w:rsid w:val="00705A73"/>
    <w:rsid w:val="00705FC8"/>
    <w:rsid w:val="00706827"/>
    <w:rsid w:val="007074F9"/>
    <w:rsid w:val="00707DCC"/>
    <w:rsid w:val="0071000A"/>
    <w:rsid w:val="007101B4"/>
    <w:rsid w:val="007101F9"/>
    <w:rsid w:val="00710523"/>
    <w:rsid w:val="007105EF"/>
    <w:rsid w:val="0071091F"/>
    <w:rsid w:val="00710CE1"/>
    <w:rsid w:val="00710E45"/>
    <w:rsid w:val="0071129A"/>
    <w:rsid w:val="0071151C"/>
    <w:rsid w:val="00712BB0"/>
    <w:rsid w:val="007135C7"/>
    <w:rsid w:val="00713DE7"/>
    <w:rsid w:val="007142AB"/>
    <w:rsid w:val="00715492"/>
    <w:rsid w:val="00716546"/>
    <w:rsid w:val="00716CB1"/>
    <w:rsid w:val="007175DB"/>
    <w:rsid w:val="00717826"/>
    <w:rsid w:val="00717E82"/>
    <w:rsid w:val="00720681"/>
    <w:rsid w:val="007207B0"/>
    <w:rsid w:val="00720A96"/>
    <w:rsid w:val="007240D9"/>
    <w:rsid w:val="0072418E"/>
    <w:rsid w:val="00724A29"/>
    <w:rsid w:val="00724E8C"/>
    <w:rsid w:val="00725A8E"/>
    <w:rsid w:val="007260A9"/>
    <w:rsid w:val="007269AC"/>
    <w:rsid w:val="007272AD"/>
    <w:rsid w:val="007275C3"/>
    <w:rsid w:val="0072795F"/>
    <w:rsid w:val="00727D24"/>
    <w:rsid w:val="00730EEF"/>
    <w:rsid w:val="0073125B"/>
    <w:rsid w:val="0073146E"/>
    <w:rsid w:val="00731A4E"/>
    <w:rsid w:val="00731ADC"/>
    <w:rsid w:val="00732C10"/>
    <w:rsid w:val="00733429"/>
    <w:rsid w:val="007339E3"/>
    <w:rsid w:val="00733F97"/>
    <w:rsid w:val="0073435D"/>
    <w:rsid w:val="007347CC"/>
    <w:rsid w:val="007349FB"/>
    <w:rsid w:val="007357D8"/>
    <w:rsid w:val="007365DA"/>
    <w:rsid w:val="00736A4F"/>
    <w:rsid w:val="00737E5C"/>
    <w:rsid w:val="0074017E"/>
    <w:rsid w:val="00740D5A"/>
    <w:rsid w:val="007410C9"/>
    <w:rsid w:val="007422A3"/>
    <w:rsid w:val="007422E1"/>
    <w:rsid w:val="00742753"/>
    <w:rsid w:val="007437B1"/>
    <w:rsid w:val="0074432F"/>
    <w:rsid w:val="0074444E"/>
    <w:rsid w:val="0074513B"/>
    <w:rsid w:val="00745638"/>
    <w:rsid w:val="00745800"/>
    <w:rsid w:val="00745D18"/>
    <w:rsid w:val="0074720A"/>
    <w:rsid w:val="00750E56"/>
    <w:rsid w:val="0075264D"/>
    <w:rsid w:val="007528DC"/>
    <w:rsid w:val="0075389C"/>
    <w:rsid w:val="00753B42"/>
    <w:rsid w:val="00753C11"/>
    <w:rsid w:val="00753DC5"/>
    <w:rsid w:val="00754D0C"/>
    <w:rsid w:val="0075554C"/>
    <w:rsid w:val="00755D41"/>
    <w:rsid w:val="007573F2"/>
    <w:rsid w:val="00757C70"/>
    <w:rsid w:val="007608EA"/>
    <w:rsid w:val="0076112A"/>
    <w:rsid w:val="00761AAC"/>
    <w:rsid w:val="00761AC8"/>
    <w:rsid w:val="00762F9D"/>
    <w:rsid w:val="00763D34"/>
    <w:rsid w:val="00764B15"/>
    <w:rsid w:val="007653DE"/>
    <w:rsid w:val="00765578"/>
    <w:rsid w:val="007659AC"/>
    <w:rsid w:val="00765F9B"/>
    <w:rsid w:val="00766C77"/>
    <w:rsid w:val="007672AD"/>
    <w:rsid w:val="0076760E"/>
    <w:rsid w:val="00767C9A"/>
    <w:rsid w:val="00767D4D"/>
    <w:rsid w:val="00767E45"/>
    <w:rsid w:val="00771141"/>
    <w:rsid w:val="00772DD0"/>
    <w:rsid w:val="00772E3B"/>
    <w:rsid w:val="007735AB"/>
    <w:rsid w:val="007744E0"/>
    <w:rsid w:val="007754AF"/>
    <w:rsid w:val="007755B1"/>
    <w:rsid w:val="00775C1F"/>
    <w:rsid w:val="00776770"/>
    <w:rsid w:val="007771CB"/>
    <w:rsid w:val="00777879"/>
    <w:rsid w:val="00777AAE"/>
    <w:rsid w:val="00780C54"/>
    <w:rsid w:val="00780E1C"/>
    <w:rsid w:val="0078209B"/>
    <w:rsid w:val="00782543"/>
    <w:rsid w:val="00782737"/>
    <w:rsid w:val="00782838"/>
    <w:rsid w:val="00783BA9"/>
    <w:rsid w:val="0078407F"/>
    <w:rsid w:val="007842F8"/>
    <w:rsid w:val="00784F09"/>
    <w:rsid w:val="00786472"/>
    <w:rsid w:val="00787707"/>
    <w:rsid w:val="00787DCC"/>
    <w:rsid w:val="007901B8"/>
    <w:rsid w:val="00790628"/>
    <w:rsid w:val="00790B2C"/>
    <w:rsid w:val="00791445"/>
    <w:rsid w:val="007918B8"/>
    <w:rsid w:val="00792061"/>
    <w:rsid w:val="00793E3A"/>
    <w:rsid w:val="007943E3"/>
    <w:rsid w:val="0079481E"/>
    <w:rsid w:val="00794D26"/>
    <w:rsid w:val="00796010"/>
    <w:rsid w:val="007A06BE"/>
    <w:rsid w:val="007A0B26"/>
    <w:rsid w:val="007A237A"/>
    <w:rsid w:val="007A2578"/>
    <w:rsid w:val="007A2796"/>
    <w:rsid w:val="007A428D"/>
    <w:rsid w:val="007A4C8A"/>
    <w:rsid w:val="007A5A30"/>
    <w:rsid w:val="007A7615"/>
    <w:rsid w:val="007B0D15"/>
    <w:rsid w:val="007B0D1D"/>
    <w:rsid w:val="007B5095"/>
    <w:rsid w:val="007B521D"/>
    <w:rsid w:val="007B5687"/>
    <w:rsid w:val="007B61ED"/>
    <w:rsid w:val="007B622C"/>
    <w:rsid w:val="007B6244"/>
    <w:rsid w:val="007B6614"/>
    <w:rsid w:val="007B7226"/>
    <w:rsid w:val="007B7B2E"/>
    <w:rsid w:val="007C073B"/>
    <w:rsid w:val="007C0AC8"/>
    <w:rsid w:val="007C0B54"/>
    <w:rsid w:val="007C0CD3"/>
    <w:rsid w:val="007C1DBC"/>
    <w:rsid w:val="007C1FC2"/>
    <w:rsid w:val="007C22E7"/>
    <w:rsid w:val="007C2635"/>
    <w:rsid w:val="007C3608"/>
    <w:rsid w:val="007C6A46"/>
    <w:rsid w:val="007C6D38"/>
    <w:rsid w:val="007C6E60"/>
    <w:rsid w:val="007C7DF9"/>
    <w:rsid w:val="007D0EBA"/>
    <w:rsid w:val="007D15EA"/>
    <w:rsid w:val="007D1AB1"/>
    <w:rsid w:val="007D2335"/>
    <w:rsid w:val="007D29FD"/>
    <w:rsid w:val="007D31C9"/>
    <w:rsid w:val="007D3E0E"/>
    <w:rsid w:val="007D3FF8"/>
    <w:rsid w:val="007D4327"/>
    <w:rsid w:val="007D53CF"/>
    <w:rsid w:val="007D6E4D"/>
    <w:rsid w:val="007D73DF"/>
    <w:rsid w:val="007E0134"/>
    <w:rsid w:val="007E099B"/>
    <w:rsid w:val="007E239E"/>
    <w:rsid w:val="007E2BA2"/>
    <w:rsid w:val="007E2CE0"/>
    <w:rsid w:val="007E2DCD"/>
    <w:rsid w:val="007E4220"/>
    <w:rsid w:val="007E45BA"/>
    <w:rsid w:val="007E7740"/>
    <w:rsid w:val="007F0359"/>
    <w:rsid w:val="007F51C2"/>
    <w:rsid w:val="007F67C7"/>
    <w:rsid w:val="008018C2"/>
    <w:rsid w:val="00801B24"/>
    <w:rsid w:val="00801CD6"/>
    <w:rsid w:val="00801D3D"/>
    <w:rsid w:val="008030FB"/>
    <w:rsid w:val="00803EB9"/>
    <w:rsid w:val="0080425B"/>
    <w:rsid w:val="0080492F"/>
    <w:rsid w:val="00804E94"/>
    <w:rsid w:val="00805519"/>
    <w:rsid w:val="0080626F"/>
    <w:rsid w:val="00810515"/>
    <w:rsid w:val="008107E7"/>
    <w:rsid w:val="00810873"/>
    <w:rsid w:val="0081164F"/>
    <w:rsid w:val="00811671"/>
    <w:rsid w:val="00811718"/>
    <w:rsid w:val="0081456C"/>
    <w:rsid w:val="0081545A"/>
    <w:rsid w:val="00815AAD"/>
    <w:rsid w:val="00816650"/>
    <w:rsid w:val="00817AF0"/>
    <w:rsid w:val="00817D48"/>
    <w:rsid w:val="00817D91"/>
    <w:rsid w:val="00820225"/>
    <w:rsid w:val="0082022E"/>
    <w:rsid w:val="00820494"/>
    <w:rsid w:val="00820A36"/>
    <w:rsid w:val="00820CDF"/>
    <w:rsid w:val="008213E7"/>
    <w:rsid w:val="00821569"/>
    <w:rsid w:val="008226A0"/>
    <w:rsid w:val="00822A29"/>
    <w:rsid w:val="008230B8"/>
    <w:rsid w:val="008231FA"/>
    <w:rsid w:val="008243BB"/>
    <w:rsid w:val="0082449C"/>
    <w:rsid w:val="00824A0D"/>
    <w:rsid w:val="00825475"/>
    <w:rsid w:val="00825A49"/>
    <w:rsid w:val="00825DAB"/>
    <w:rsid w:val="00825E3D"/>
    <w:rsid w:val="00826625"/>
    <w:rsid w:val="00827284"/>
    <w:rsid w:val="00827857"/>
    <w:rsid w:val="00827F06"/>
    <w:rsid w:val="00830723"/>
    <w:rsid w:val="00830755"/>
    <w:rsid w:val="0083142F"/>
    <w:rsid w:val="008325AD"/>
    <w:rsid w:val="0083381E"/>
    <w:rsid w:val="00834B6E"/>
    <w:rsid w:val="00835204"/>
    <w:rsid w:val="00835E1A"/>
    <w:rsid w:val="00836AC4"/>
    <w:rsid w:val="008374CF"/>
    <w:rsid w:val="008377D9"/>
    <w:rsid w:val="00837D1D"/>
    <w:rsid w:val="00840239"/>
    <w:rsid w:val="008418B2"/>
    <w:rsid w:val="00842330"/>
    <w:rsid w:val="00842C89"/>
    <w:rsid w:val="00842DDA"/>
    <w:rsid w:val="0084471F"/>
    <w:rsid w:val="00844A92"/>
    <w:rsid w:val="00844BF2"/>
    <w:rsid w:val="00844EC4"/>
    <w:rsid w:val="00844EDE"/>
    <w:rsid w:val="0084534F"/>
    <w:rsid w:val="00845DA7"/>
    <w:rsid w:val="00846C4E"/>
    <w:rsid w:val="00846FD1"/>
    <w:rsid w:val="00847AC0"/>
    <w:rsid w:val="00850208"/>
    <w:rsid w:val="0085022F"/>
    <w:rsid w:val="008535AC"/>
    <w:rsid w:val="008540A6"/>
    <w:rsid w:val="00854E30"/>
    <w:rsid w:val="0085598A"/>
    <w:rsid w:val="00856389"/>
    <w:rsid w:val="008615A3"/>
    <w:rsid w:val="00861E7C"/>
    <w:rsid w:val="008623FB"/>
    <w:rsid w:val="00863193"/>
    <w:rsid w:val="008632CB"/>
    <w:rsid w:val="0086379C"/>
    <w:rsid w:val="00863887"/>
    <w:rsid w:val="00863DC8"/>
    <w:rsid w:val="0086429B"/>
    <w:rsid w:val="00864F32"/>
    <w:rsid w:val="00865F83"/>
    <w:rsid w:val="00866665"/>
    <w:rsid w:val="00866A3F"/>
    <w:rsid w:val="00870FC6"/>
    <w:rsid w:val="00873431"/>
    <w:rsid w:val="00873B92"/>
    <w:rsid w:val="00874CE7"/>
    <w:rsid w:val="00874DAD"/>
    <w:rsid w:val="0087579E"/>
    <w:rsid w:val="0087600B"/>
    <w:rsid w:val="00876864"/>
    <w:rsid w:val="00876A66"/>
    <w:rsid w:val="00876FB9"/>
    <w:rsid w:val="00877978"/>
    <w:rsid w:val="00880CE8"/>
    <w:rsid w:val="00881651"/>
    <w:rsid w:val="00881786"/>
    <w:rsid w:val="008818B1"/>
    <w:rsid w:val="00881BC5"/>
    <w:rsid w:val="00882137"/>
    <w:rsid w:val="00882D9E"/>
    <w:rsid w:val="00882DBD"/>
    <w:rsid w:val="00882F1C"/>
    <w:rsid w:val="008833AF"/>
    <w:rsid w:val="008835AB"/>
    <w:rsid w:val="0088402E"/>
    <w:rsid w:val="00884748"/>
    <w:rsid w:val="00884E65"/>
    <w:rsid w:val="008851C2"/>
    <w:rsid w:val="00885E3A"/>
    <w:rsid w:val="00886361"/>
    <w:rsid w:val="008864EB"/>
    <w:rsid w:val="0088660C"/>
    <w:rsid w:val="00886D4D"/>
    <w:rsid w:val="008876C2"/>
    <w:rsid w:val="00887EFD"/>
    <w:rsid w:val="008904C6"/>
    <w:rsid w:val="008906C0"/>
    <w:rsid w:val="00890E0B"/>
    <w:rsid w:val="00890E87"/>
    <w:rsid w:val="008911A0"/>
    <w:rsid w:val="00891A3B"/>
    <w:rsid w:val="00891EB5"/>
    <w:rsid w:val="00892139"/>
    <w:rsid w:val="008927BE"/>
    <w:rsid w:val="008928AA"/>
    <w:rsid w:val="0089365E"/>
    <w:rsid w:val="00893EDD"/>
    <w:rsid w:val="008945E7"/>
    <w:rsid w:val="0089469D"/>
    <w:rsid w:val="00894995"/>
    <w:rsid w:val="0089520E"/>
    <w:rsid w:val="00895D22"/>
    <w:rsid w:val="008975EF"/>
    <w:rsid w:val="008A00AB"/>
    <w:rsid w:val="008A02DB"/>
    <w:rsid w:val="008A0660"/>
    <w:rsid w:val="008A0F5C"/>
    <w:rsid w:val="008A131E"/>
    <w:rsid w:val="008A3066"/>
    <w:rsid w:val="008A4E2B"/>
    <w:rsid w:val="008A5134"/>
    <w:rsid w:val="008A51D3"/>
    <w:rsid w:val="008A5D82"/>
    <w:rsid w:val="008A6F0C"/>
    <w:rsid w:val="008A7616"/>
    <w:rsid w:val="008A7DCF"/>
    <w:rsid w:val="008B0B74"/>
    <w:rsid w:val="008B0BA9"/>
    <w:rsid w:val="008B0E2B"/>
    <w:rsid w:val="008B1E17"/>
    <w:rsid w:val="008B235F"/>
    <w:rsid w:val="008B2722"/>
    <w:rsid w:val="008B2734"/>
    <w:rsid w:val="008B295F"/>
    <w:rsid w:val="008B3E6B"/>
    <w:rsid w:val="008B5688"/>
    <w:rsid w:val="008B6124"/>
    <w:rsid w:val="008B6344"/>
    <w:rsid w:val="008B642A"/>
    <w:rsid w:val="008B6A73"/>
    <w:rsid w:val="008B7172"/>
    <w:rsid w:val="008B7EEB"/>
    <w:rsid w:val="008C031B"/>
    <w:rsid w:val="008C06F1"/>
    <w:rsid w:val="008C104A"/>
    <w:rsid w:val="008C206D"/>
    <w:rsid w:val="008C20E7"/>
    <w:rsid w:val="008C2D72"/>
    <w:rsid w:val="008C3991"/>
    <w:rsid w:val="008C3A48"/>
    <w:rsid w:val="008C4101"/>
    <w:rsid w:val="008C4B4C"/>
    <w:rsid w:val="008C5787"/>
    <w:rsid w:val="008C595C"/>
    <w:rsid w:val="008D0283"/>
    <w:rsid w:val="008D0CE7"/>
    <w:rsid w:val="008D0E8C"/>
    <w:rsid w:val="008D2111"/>
    <w:rsid w:val="008D2F74"/>
    <w:rsid w:val="008D33FD"/>
    <w:rsid w:val="008D5520"/>
    <w:rsid w:val="008D6B0B"/>
    <w:rsid w:val="008D7A12"/>
    <w:rsid w:val="008D7D2B"/>
    <w:rsid w:val="008E03CD"/>
    <w:rsid w:val="008E0807"/>
    <w:rsid w:val="008E0B35"/>
    <w:rsid w:val="008E1C1E"/>
    <w:rsid w:val="008E2619"/>
    <w:rsid w:val="008E28F8"/>
    <w:rsid w:val="008E2AC8"/>
    <w:rsid w:val="008E45C5"/>
    <w:rsid w:val="008E4D8D"/>
    <w:rsid w:val="008E4EF2"/>
    <w:rsid w:val="008E518A"/>
    <w:rsid w:val="008E5305"/>
    <w:rsid w:val="008E5529"/>
    <w:rsid w:val="008E57B7"/>
    <w:rsid w:val="008E5A6F"/>
    <w:rsid w:val="008E65C6"/>
    <w:rsid w:val="008E6E1B"/>
    <w:rsid w:val="008E761C"/>
    <w:rsid w:val="008F4C82"/>
    <w:rsid w:val="008F53C4"/>
    <w:rsid w:val="008F5B13"/>
    <w:rsid w:val="008F64B3"/>
    <w:rsid w:val="008F7669"/>
    <w:rsid w:val="00901A1E"/>
    <w:rsid w:val="0090236A"/>
    <w:rsid w:val="009026D9"/>
    <w:rsid w:val="00902917"/>
    <w:rsid w:val="00904825"/>
    <w:rsid w:val="00904925"/>
    <w:rsid w:val="00906436"/>
    <w:rsid w:val="009066F7"/>
    <w:rsid w:val="00906F89"/>
    <w:rsid w:val="00907F01"/>
    <w:rsid w:val="009116E2"/>
    <w:rsid w:val="0091185B"/>
    <w:rsid w:val="0091214E"/>
    <w:rsid w:val="00912265"/>
    <w:rsid w:val="00912CCB"/>
    <w:rsid w:val="00913A52"/>
    <w:rsid w:val="00913AA9"/>
    <w:rsid w:val="00914EFD"/>
    <w:rsid w:val="009166E6"/>
    <w:rsid w:val="00917BB0"/>
    <w:rsid w:val="00917D82"/>
    <w:rsid w:val="00920A41"/>
    <w:rsid w:val="00920FF1"/>
    <w:rsid w:val="0092298D"/>
    <w:rsid w:val="00922E60"/>
    <w:rsid w:val="00923481"/>
    <w:rsid w:val="00923F5B"/>
    <w:rsid w:val="009243F4"/>
    <w:rsid w:val="00924698"/>
    <w:rsid w:val="00924AE7"/>
    <w:rsid w:val="00924DBA"/>
    <w:rsid w:val="00926785"/>
    <w:rsid w:val="00926DB9"/>
    <w:rsid w:val="009274BF"/>
    <w:rsid w:val="0093009E"/>
    <w:rsid w:val="009302BE"/>
    <w:rsid w:val="0093078B"/>
    <w:rsid w:val="00930FC8"/>
    <w:rsid w:val="0093209A"/>
    <w:rsid w:val="009320A6"/>
    <w:rsid w:val="009320C2"/>
    <w:rsid w:val="0093216F"/>
    <w:rsid w:val="00932233"/>
    <w:rsid w:val="009322F7"/>
    <w:rsid w:val="00932467"/>
    <w:rsid w:val="00932507"/>
    <w:rsid w:val="009325C2"/>
    <w:rsid w:val="00932F2F"/>
    <w:rsid w:val="0093360C"/>
    <w:rsid w:val="00933614"/>
    <w:rsid w:val="00934B7C"/>
    <w:rsid w:val="00934D83"/>
    <w:rsid w:val="00934EF2"/>
    <w:rsid w:val="0093633E"/>
    <w:rsid w:val="009363DD"/>
    <w:rsid w:val="009368FF"/>
    <w:rsid w:val="00937884"/>
    <w:rsid w:val="00937F6C"/>
    <w:rsid w:val="00942278"/>
    <w:rsid w:val="00942466"/>
    <w:rsid w:val="00942677"/>
    <w:rsid w:val="009435A8"/>
    <w:rsid w:val="0094662C"/>
    <w:rsid w:val="009475D5"/>
    <w:rsid w:val="0094767C"/>
    <w:rsid w:val="00947A2A"/>
    <w:rsid w:val="00947E25"/>
    <w:rsid w:val="00947FBB"/>
    <w:rsid w:val="00950484"/>
    <w:rsid w:val="00951250"/>
    <w:rsid w:val="009515EB"/>
    <w:rsid w:val="0095190C"/>
    <w:rsid w:val="00952EA2"/>
    <w:rsid w:val="00953441"/>
    <w:rsid w:val="009547BC"/>
    <w:rsid w:val="00955B5D"/>
    <w:rsid w:val="009579AE"/>
    <w:rsid w:val="00957BF5"/>
    <w:rsid w:val="00957E6E"/>
    <w:rsid w:val="009628CC"/>
    <w:rsid w:val="00962907"/>
    <w:rsid w:val="00963EC8"/>
    <w:rsid w:val="009653BE"/>
    <w:rsid w:val="009673D6"/>
    <w:rsid w:val="009678FF"/>
    <w:rsid w:val="0096794E"/>
    <w:rsid w:val="009702EE"/>
    <w:rsid w:val="009716A8"/>
    <w:rsid w:val="00971BE6"/>
    <w:rsid w:val="00972227"/>
    <w:rsid w:val="00972919"/>
    <w:rsid w:val="00972E40"/>
    <w:rsid w:val="00973652"/>
    <w:rsid w:val="00973F33"/>
    <w:rsid w:val="00974057"/>
    <w:rsid w:val="009746D2"/>
    <w:rsid w:val="0097497D"/>
    <w:rsid w:val="009751FE"/>
    <w:rsid w:val="00975DA9"/>
    <w:rsid w:val="00977142"/>
    <w:rsid w:val="0098013A"/>
    <w:rsid w:val="0098040C"/>
    <w:rsid w:val="0098078F"/>
    <w:rsid w:val="00981648"/>
    <w:rsid w:val="00982033"/>
    <w:rsid w:val="00984479"/>
    <w:rsid w:val="0098460B"/>
    <w:rsid w:val="009859F1"/>
    <w:rsid w:val="009869CB"/>
    <w:rsid w:val="00987849"/>
    <w:rsid w:val="00987AE5"/>
    <w:rsid w:val="00987E9E"/>
    <w:rsid w:val="00990303"/>
    <w:rsid w:val="009912C3"/>
    <w:rsid w:val="00991A05"/>
    <w:rsid w:val="00991B54"/>
    <w:rsid w:val="0099383A"/>
    <w:rsid w:val="00993D7E"/>
    <w:rsid w:val="00994A44"/>
    <w:rsid w:val="00996109"/>
    <w:rsid w:val="00997420"/>
    <w:rsid w:val="009977ED"/>
    <w:rsid w:val="009A08F2"/>
    <w:rsid w:val="009A2996"/>
    <w:rsid w:val="009A3F05"/>
    <w:rsid w:val="009A4585"/>
    <w:rsid w:val="009A45C9"/>
    <w:rsid w:val="009A4CBB"/>
    <w:rsid w:val="009A4FA3"/>
    <w:rsid w:val="009A5140"/>
    <w:rsid w:val="009A6FD6"/>
    <w:rsid w:val="009A7C21"/>
    <w:rsid w:val="009B1130"/>
    <w:rsid w:val="009B24D7"/>
    <w:rsid w:val="009B2D22"/>
    <w:rsid w:val="009B337B"/>
    <w:rsid w:val="009B33BD"/>
    <w:rsid w:val="009B3CA8"/>
    <w:rsid w:val="009B41E5"/>
    <w:rsid w:val="009B4212"/>
    <w:rsid w:val="009B48B7"/>
    <w:rsid w:val="009B50D2"/>
    <w:rsid w:val="009B5A17"/>
    <w:rsid w:val="009B601E"/>
    <w:rsid w:val="009B6070"/>
    <w:rsid w:val="009B62EE"/>
    <w:rsid w:val="009B6760"/>
    <w:rsid w:val="009B6C2C"/>
    <w:rsid w:val="009B714D"/>
    <w:rsid w:val="009B7227"/>
    <w:rsid w:val="009B73F2"/>
    <w:rsid w:val="009B7CF5"/>
    <w:rsid w:val="009B7F35"/>
    <w:rsid w:val="009C0526"/>
    <w:rsid w:val="009C0CF8"/>
    <w:rsid w:val="009C0FB5"/>
    <w:rsid w:val="009C1498"/>
    <w:rsid w:val="009C17BB"/>
    <w:rsid w:val="009C21D8"/>
    <w:rsid w:val="009C26A7"/>
    <w:rsid w:val="009C3155"/>
    <w:rsid w:val="009C3D50"/>
    <w:rsid w:val="009C4BDC"/>
    <w:rsid w:val="009C4FC7"/>
    <w:rsid w:val="009C527D"/>
    <w:rsid w:val="009C5A2F"/>
    <w:rsid w:val="009C5BBB"/>
    <w:rsid w:val="009C5F53"/>
    <w:rsid w:val="009C5FA3"/>
    <w:rsid w:val="009C69BD"/>
    <w:rsid w:val="009C754F"/>
    <w:rsid w:val="009D0067"/>
    <w:rsid w:val="009D13E0"/>
    <w:rsid w:val="009D2628"/>
    <w:rsid w:val="009D2A4C"/>
    <w:rsid w:val="009D4979"/>
    <w:rsid w:val="009D5701"/>
    <w:rsid w:val="009D5CBB"/>
    <w:rsid w:val="009D79D2"/>
    <w:rsid w:val="009E13C9"/>
    <w:rsid w:val="009E2643"/>
    <w:rsid w:val="009E2ACB"/>
    <w:rsid w:val="009E2BD7"/>
    <w:rsid w:val="009E3D29"/>
    <w:rsid w:val="009E4CFF"/>
    <w:rsid w:val="009E63CD"/>
    <w:rsid w:val="009E6707"/>
    <w:rsid w:val="009E6BFE"/>
    <w:rsid w:val="009E721A"/>
    <w:rsid w:val="009E7E08"/>
    <w:rsid w:val="009F1574"/>
    <w:rsid w:val="009F1D00"/>
    <w:rsid w:val="009F1F1C"/>
    <w:rsid w:val="009F2228"/>
    <w:rsid w:val="009F2933"/>
    <w:rsid w:val="009F311E"/>
    <w:rsid w:val="009F3495"/>
    <w:rsid w:val="009F4879"/>
    <w:rsid w:val="009F522B"/>
    <w:rsid w:val="009F652F"/>
    <w:rsid w:val="009F6F6E"/>
    <w:rsid w:val="009F73B6"/>
    <w:rsid w:val="009F7B4A"/>
    <w:rsid w:val="00A00CF4"/>
    <w:rsid w:val="00A0148B"/>
    <w:rsid w:val="00A01982"/>
    <w:rsid w:val="00A01B8E"/>
    <w:rsid w:val="00A01F8D"/>
    <w:rsid w:val="00A028DA"/>
    <w:rsid w:val="00A03C4E"/>
    <w:rsid w:val="00A03FB4"/>
    <w:rsid w:val="00A045E0"/>
    <w:rsid w:val="00A067DB"/>
    <w:rsid w:val="00A06B7E"/>
    <w:rsid w:val="00A07FAC"/>
    <w:rsid w:val="00A10A66"/>
    <w:rsid w:val="00A10EB3"/>
    <w:rsid w:val="00A11BEA"/>
    <w:rsid w:val="00A13215"/>
    <w:rsid w:val="00A138E8"/>
    <w:rsid w:val="00A1391A"/>
    <w:rsid w:val="00A14E86"/>
    <w:rsid w:val="00A151A3"/>
    <w:rsid w:val="00A204E8"/>
    <w:rsid w:val="00A209C7"/>
    <w:rsid w:val="00A214BD"/>
    <w:rsid w:val="00A25660"/>
    <w:rsid w:val="00A259B9"/>
    <w:rsid w:val="00A25DF4"/>
    <w:rsid w:val="00A25E77"/>
    <w:rsid w:val="00A263A0"/>
    <w:rsid w:val="00A268F4"/>
    <w:rsid w:val="00A31062"/>
    <w:rsid w:val="00A31303"/>
    <w:rsid w:val="00A318CF"/>
    <w:rsid w:val="00A31D05"/>
    <w:rsid w:val="00A331A2"/>
    <w:rsid w:val="00A337C5"/>
    <w:rsid w:val="00A3385F"/>
    <w:rsid w:val="00A33FB1"/>
    <w:rsid w:val="00A35976"/>
    <w:rsid w:val="00A3606C"/>
    <w:rsid w:val="00A3694F"/>
    <w:rsid w:val="00A3716B"/>
    <w:rsid w:val="00A3760A"/>
    <w:rsid w:val="00A37A77"/>
    <w:rsid w:val="00A40480"/>
    <w:rsid w:val="00A406CA"/>
    <w:rsid w:val="00A41DAE"/>
    <w:rsid w:val="00A426D9"/>
    <w:rsid w:val="00A43272"/>
    <w:rsid w:val="00A43F9B"/>
    <w:rsid w:val="00A44384"/>
    <w:rsid w:val="00A45169"/>
    <w:rsid w:val="00A45AF0"/>
    <w:rsid w:val="00A50222"/>
    <w:rsid w:val="00A50F29"/>
    <w:rsid w:val="00A5163B"/>
    <w:rsid w:val="00A52472"/>
    <w:rsid w:val="00A5299B"/>
    <w:rsid w:val="00A52C3F"/>
    <w:rsid w:val="00A536F5"/>
    <w:rsid w:val="00A53EEF"/>
    <w:rsid w:val="00A53FD5"/>
    <w:rsid w:val="00A540B0"/>
    <w:rsid w:val="00A54538"/>
    <w:rsid w:val="00A561A1"/>
    <w:rsid w:val="00A56641"/>
    <w:rsid w:val="00A57073"/>
    <w:rsid w:val="00A60525"/>
    <w:rsid w:val="00A62EEB"/>
    <w:rsid w:val="00A6358A"/>
    <w:rsid w:val="00A63ED0"/>
    <w:rsid w:val="00A6446C"/>
    <w:rsid w:val="00A65415"/>
    <w:rsid w:val="00A65498"/>
    <w:rsid w:val="00A667C2"/>
    <w:rsid w:val="00A66FA1"/>
    <w:rsid w:val="00A67343"/>
    <w:rsid w:val="00A71A3D"/>
    <w:rsid w:val="00A71FA2"/>
    <w:rsid w:val="00A721CD"/>
    <w:rsid w:val="00A73695"/>
    <w:rsid w:val="00A73A0E"/>
    <w:rsid w:val="00A73C5F"/>
    <w:rsid w:val="00A73D64"/>
    <w:rsid w:val="00A73F9F"/>
    <w:rsid w:val="00A75AA7"/>
    <w:rsid w:val="00A76576"/>
    <w:rsid w:val="00A76B65"/>
    <w:rsid w:val="00A77FCD"/>
    <w:rsid w:val="00A80CD6"/>
    <w:rsid w:val="00A81864"/>
    <w:rsid w:val="00A81C1B"/>
    <w:rsid w:val="00A830D2"/>
    <w:rsid w:val="00A83CDE"/>
    <w:rsid w:val="00A841AD"/>
    <w:rsid w:val="00A84E35"/>
    <w:rsid w:val="00A84FB5"/>
    <w:rsid w:val="00A860BA"/>
    <w:rsid w:val="00A864A4"/>
    <w:rsid w:val="00A8669F"/>
    <w:rsid w:val="00A86986"/>
    <w:rsid w:val="00A86E68"/>
    <w:rsid w:val="00A8759F"/>
    <w:rsid w:val="00A87638"/>
    <w:rsid w:val="00A9036C"/>
    <w:rsid w:val="00A9045F"/>
    <w:rsid w:val="00A908AE"/>
    <w:rsid w:val="00A90C59"/>
    <w:rsid w:val="00A91E69"/>
    <w:rsid w:val="00A92E2A"/>
    <w:rsid w:val="00A936A7"/>
    <w:rsid w:val="00A93F01"/>
    <w:rsid w:val="00A943DF"/>
    <w:rsid w:val="00A945F2"/>
    <w:rsid w:val="00A95634"/>
    <w:rsid w:val="00A9601D"/>
    <w:rsid w:val="00A9652B"/>
    <w:rsid w:val="00A97F57"/>
    <w:rsid w:val="00AA0CF0"/>
    <w:rsid w:val="00AA1002"/>
    <w:rsid w:val="00AA1F33"/>
    <w:rsid w:val="00AA21D5"/>
    <w:rsid w:val="00AA2DE7"/>
    <w:rsid w:val="00AA2F2D"/>
    <w:rsid w:val="00AA3071"/>
    <w:rsid w:val="00AA3D8F"/>
    <w:rsid w:val="00AA4152"/>
    <w:rsid w:val="00AA518F"/>
    <w:rsid w:val="00AA628E"/>
    <w:rsid w:val="00AA6393"/>
    <w:rsid w:val="00AA72B0"/>
    <w:rsid w:val="00AA740A"/>
    <w:rsid w:val="00AB08F0"/>
    <w:rsid w:val="00AB0DD2"/>
    <w:rsid w:val="00AB1195"/>
    <w:rsid w:val="00AB13BA"/>
    <w:rsid w:val="00AB14FD"/>
    <w:rsid w:val="00AB20ED"/>
    <w:rsid w:val="00AB2282"/>
    <w:rsid w:val="00AB40A3"/>
    <w:rsid w:val="00AB4643"/>
    <w:rsid w:val="00AB4C4D"/>
    <w:rsid w:val="00AB4D8A"/>
    <w:rsid w:val="00AB5422"/>
    <w:rsid w:val="00AB590D"/>
    <w:rsid w:val="00AB6640"/>
    <w:rsid w:val="00AB66DD"/>
    <w:rsid w:val="00AB6EC9"/>
    <w:rsid w:val="00AB7378"/>
    <w:rsid w:val="00AB7821"/>
    <w:rsid w:val="00AC1901"/>
    <w:rsid w:val="00AC1E0F"/>
    <w:rsid w:val="00AC1FBE"/>
    <w:rsid w:val="00AC32B7"/>
    <w:rsid w:val="00AC33E2"/>
    <w:rsid w:val="00AC3CF7"/>
    <w:rsid w:val="00AC3D27"/>
    <w:rsid w:val="00AC5A5A"/>
    <w:rsid w:val="00AC60C5"/>
    <w:rsid w:val="00AC6CE5"/>
    <w:rsid w:val="00AD0251"/>
    <w:rsid w:val="00AD04A1"/>
    <w:rsid w:val="00AD098A"/>
    <w:rsid w:val="00AD0DF8"/>
    <w:rsid w:val="00AD0FA0"/>
    <w:rsid w:val="00AD171E"/>
    <w:rsid w:val="00AD174F"/>
    <w:rsid w:val="00AD216C"/>
    <w:rsid w:val="00AD2E30"/>
    <w:rsid w:val="00AD3E2B"/>
    <w:rsid w:val="00AD52C5"/>
    <w:rsid w:val="00AD6129"/>
    <w:rsid w:val="00AD7411"/>
    <w:rsid w:val="00AD7E18"/>
    <w:rsid w:val="00AD7FC6"/>
    <w:rsid w:val="00AE011F"/>
    <w:rsid w:val="00AE01AC"/>
    <w:rsid w:val="00AE0228"/>
    <w:rsid w:val="00AE022A"/>
    <w:rsid w:val="00AE20B2"/>
    <w:rsid w:val="00AE23A6"/>
    <w:rsid w:val="00AE2970"/>
    <w:rsid w:val="00AE2E12"/>
    <w:rsid w:val="00AE341A"/>
    <w:rsid w:val="00AE5AD5"/>
    <w:rsid w:val="00AE5D12"/>
    <w:rsid w:val="00AE609F"/>
    <w:rsid w:val="00AE66CC"/>
    <w:rsid w:val="00AE677D"/>
    <w:rsid w:val="00AE6962"/>
    <w:rsid w:val="00AE6C4F"/>
    <w:rsid w:val="00AE702C"/>
    <w:rsid w:val="00AE791F"/>
    <w:rsid w:val="00AF112B"/>
    <w:rsid w:val="00AF148E"/>
    <w:rsid w:val="00AF1698"/>
    <w:rsid w:val="00AF221B"/>
    <w:rsid w:val="00AF27C1"/>
    <w:rsid w:val="00AF3162"/>
    <w:rsid w:val="00AF3581"/>
    <w:rsid w:val="00AF4C8F"/>
    <w:rsid w:val="00AF5C31"/>
    <w:rsid w:val="00AF620D"/>
    <w:rsid w:val="00AF689E"/>
    <w:rsid w:val="00AF68F1"/>
    <w:rsid w:val="00AF6D1C"/>
    <w:rsid w:val="00B00B10"/>
    <w:rsid w:val="00B0105F"/>
    <w:rsid w:val="00B01639"/>
    <w:rsid w:val="00B02BA6"/>
    <w:rsid w:val="00B03F15"/>
    <w:rsid w:val="00B04824"/>
    <w:rsid w:val="00B05BC3"/>
    <w:rsid w:val="00B062DB"/>
    <w:rsid w:val="00B06794"/>
    <w:rsid w:val="00B07243"/>
    <w:rsid w:val="00B078F3"/>
    <w:rsid w:val="00B07E45"/>
    <w:rsid w:val="00B109E6"/>
    <w:rsid w:val="00B109E7"/>
    <w:rsid w:val="00B11537"/>
    <w:rsid w:val="00B1171C"/>
    <w:rsid w:val="00B12FC6"/>
    <w:rsid w:val="00B135DB"/>
    <w:rsid w:val="00B140DD"/>
    <w:rsid w:val="00B149ED"/>
    <w:rsid w:val="00B1560B"/>
    <w:rsid w:val="00B158B8"/>
    <w:rsid w:val="00B1657D"/>
    <w:rsid w:val="00B16F95"/>
    <w:rsid w:val="00B17E24"/>
    <w:rsid w:val="00B2009B"/>
    <w:rsid w:val="00B20857"/>
    <w:rsid w:val="00B20944"/>
    <w:rsid w:val="00B209BF"/>
    <w:rsid w:val="00B216DF"/>
    <w:rsid w:val="00B21779"/>
    <w:rsid w:val="00B21A62"/>
    <w:rsid w:val="00B22927"/>
    <w:rsid w:val="00B22974"/>
    <w:rsid w:val="00B2329C"/>
    <w:rsid w:val="00B236FF"/>
    <w:rsid w:val="00B2472C"/>
    <w:rsid w:val="00B247BD"/>
    <w:rsid w:val="00B24BEF"/>
    <w:rsid w:val="00B2505F"/>
    <w:rsid w:val="00B253B6"/>
    <w:rsid w:val="00B25C79"/>
    <w:rsid w:val="00B2766A"/>
    <w:rsid w:val="00B307F2"/>
    <w:rsid w:val="00B30B07"/>
    <w:rsid w:val="00B30E2D"/>
    <w:rsid w:val="00B31F26"/>
    <w:rsid w:val="00B3205F"/>
    <w:rsid w:val="00B32727"/>
    <w:rsid w:val="00B327CD"/>
    <w:rsid w:val="00B3310D"/>
    <w:rsid w:val="00B3316A"/>
    <w:rsid w:val="00B345C1"/>
    <w:rsid w:val="00B356FB"/>
    <w:rsid w:val="00B35DF0"/>
    <w:rsid w:val="00B3618C"/>
    <w:rsid w:val="00B37ED6"/>
    <w:rsid w:val="00B40079"/>
    <w:rsid w:val="00B405AF"/>
    <w:rsid w:val="00B40BF7"/>
    <w:rsid w:val="00B416D8"/>
    <w:rsid w:val="00B4362D"/>
    <w:rsid w:val="00B43DBA"/>
    <w:rsid w:val="00B4535F"/>
    <w:rsid w:val="00B456A0"/>
    <w:rsid w:val="00B4579B"/>
    <w:rsid w:val="00B4646C"/>
    <w:rsid w:val="00B4657A"/>
    <w:rsid w:val="00B46B62"/>
    <w:rsid w:val="00B46D29"/>
    <w:rsid w:val="00B5013C"/>
    <w:rsid w:val="00B50CC9"/>
    <w:rsid w:val="00B513A7"/>
    <w:rsid w:val="00B527BE"/>
    <w:rsid w:val="00B52AC1"/>
    <w:rsid w:val="00B52D8D"/>
    <w:rsid w:val="00B5443C"/>
    <w:rsid w:val="00B55794"/>
    <w:rsid w:val="00B5621F"/>
    <w:rsid w:val="00B563B6"/>
    <w:rsid w:val="00B576F3"/>
    <w:rsid w:val="00B578A9"/>
    <w:rsid w:val="00B60215"/>
    <w:rsid w:val="00B607EF"/>
    <w:rsid w:val="00B60C67"/>
    <w:rsid w:val="00B60EEC"/>
    <w:rsid w:val="00B61BE2"/>
    <w:rsid w:val="00B62D9D"/>
    <w:rsid w:val="00B639A5"/>
    <w:rsid w:val="00B64D79"/>
    <w:rsid w:val="00B64E21"/>
    <w:rsid w:val="00B656B6"/>
    <w:rsid w:val="00B6581E"/>
    <w:rsid w:val="00B6618C"/>
    <w:rsid w:val="00B668FC"/>
    <w:rsid w:val="00B6695B"/>
    <w:rsid w:val="00B674DE"/>
    <w:rsid w:val="00B67ACA"/>
    <w:rsid w:val="00B67E8A"/>
    <w:rsid w:val="00B70256"/>
    <w:rsid w:val="00B7026A"/>
    <w:rsid w:val="00B718E5"/>
    <w:rsid w:val="00B71BA8"/>
    <w:rsid w:val="00B72B9F"/>
    <w:rsid w:val="00B72BBD"/>
    <w:rsid w:val="00B73295"/>
    <w:rsid w:val="00B73F52"/>
    <w:rsid w:val="00B757EB"/>
    <w:rsid w:val="00B76083"/>
    <w:rsid w:val="00B76249"/>
    <w:rsid w:val="00B81700"/>
    <w:rsid w:val="00B81CF8"/>
    <w:rsid w:val="00B82580"/>
    <w:rsid w:val="00B82768"/>
    <w:rsid w:val="00B831A4"/>
    <w:rsid w:val="00B834AA"/>
    <w:rsid w:val="00B83961"/>
    <w:rsid w:val="00B83BB4"/>
    <w:rsid w:val="00B849C2"/>
    <w:rsid w:val="00B85651"/>
    <w:rsid w:val="00B85FAB"/>
    <w:rsid w:val="00B86268"/>
    <w:rsid w:val="00B86BF2"/>
    <w:rsid w:val="00B8725E"/>
    <w:rsid w:val="00B872AD"/>
    <w:rsid w:val="00B87321"/>
    <w:rsid w:val="00B902CD"/>
    <w:rsid w:val="00B90735"/>
    <w:rsid w:val="00B909F4"/>
    <w:rsid w:val="00B91990"/>
    <w:rsid w:val="00B91C43"/>
    <w:rsid w:val="00B92FFF"/>
    <w:rsid w:val="00B936B0"/>
    <w:rsid w:val="00B93DCC"/>
    <w:rsid w:val="00B9411D"/>
    <w:rsid w:val="00B94133"/>
    <w:rsid w:val="00B9552A"/>
    <w:rsid w:val="00B95BA5"/>
    <w:rsid w:val="00B965B0"/>
    <w:rsid w:val="00B96A37"/>
    <w:rsid w:val="00B97D82"/>
    <w:rsid w:val="00BA0525"/>
    <w:rsid w:val="00BA0AC1"/>
    <w:rsid w:val="00BA1D8E"/>
    <w:rsid w:val="00BA273C"/>
    <w:rsid w:val="00BA27F4"/>
    <w:rsid w:val="00BA4993"/>
    <w:rsid w:val="00BA5C4A"/>
    <w:rsid w:val="00BA5CC0"/>
    <w:rsid w:val="00BA6557"/>
    <w:rsid w:val="00BA679E"/>
    <w:rsid w:val="00BA6E73"/>
    <w:rsid w:val="00BA76B4"/>
    <w:rsid w:val="00BA7887"/>
    <w:rsid w:val="00BB011A"/>
    <w:rsid w:val="00BB0292"/>
    <w:rsid w:val="00BB1938"/>
    <w:rsid w:val="00BB1A9B"/>
    <w:rsid w:val="00BB1C57"/>
    <w:rsid w:val="00BB2719"/>
    <w:rsid w:val="00BB2A1D"/>
    <w:rsid w:val="00BB2BEF"/>
    <w:rsid w:val="00BB3B8B"/>
    <w:rsid w:val="00BB3CCE"/>
    <w:rsid w:val="00BB4265"/>
    <w:rsid w:val="00BB5778"/>
    <w:rsid w:val="00BB5DAB"/>
    <w:rsid w:val="00BB65C0"/>
    <w:rsid w:val="00BB6DBE"/>
    <w:rsid w:val="00BB7BAE"/>
    <w:rsid w:val="00BC045E"/>
    <w:rsid w:val="00BC0E38"/>
    <w:rsid w:val="00BC1E2E"/>
    <w:rsid w:val="00BC2A84"/>
    <w:rsid w:val="00BC2BA3"/>
    <w:rsid w:val="00BC4816"/>
    <w:rsid w:val="00BC4886"/>
    <w:rsid w:val="00BC4ABA"/>
    <w:rsid w:val="00BC4D36"/>
    <w:rsid w:val="00BC526B"/>
    <w:rsid w:val="00BC5908"/>
    <w:rsid w:val="00BC792B"/>
    <w:rsid w:val="00BD2CB0"/>
    <w:rsid w:val="00BD3ABB"/>
    <w:rsid w:val="00BD3C0E"/>
    <w:rsid w:val="00BD3F90"/>
    <w:rsid w:val="00BD4383"/>
    <w:rsid w:val="00BD4A62"/>
    <w:rsid w:val="00BD5A7C"/>
    <w:rsid w:val="00BD6C3B"/>
    <w:rsid w:val="00BE009A"/>
    <w:rsid w:val="00BE0AB3"/>
    <w:rsid w:val="00BE0BAB"/>
    <w:rsid w:val="00BE0BF7"/>
    <w:rsid w:val="00BE0C77"/>
    <w:rsid w:val="00BE1343"/>
    <w:rsid w:val="00BE156E"/>
    <w:rsid w:val="00BE27AC"/>
    <w:rsid w:val="00BE2BFA"/>
    <w:rsid w:val="00BE2C99"/>
    <w:rsid w:val="00BE3F91"/>
    <w:rsid w:val="00BE49E7"/>
    <w:rsid w:val="00BE4B2B"/>
    <w:rsid w:val="00BE4FF0"/>
    <w:rsid w:val="00BE511B"/>
    <w:rsid w:val="00BE588F"/>
    <w:rsid w:val="00BE5A76"/>
    <w:rsid w:val="00BE5B37"/>
    <w:rsid w:val="00BE5CA1"/>
    <w:rsid w:val="00BE6168"/>
    <w:rsid w:val="00BE7577"/>
    <w:rsid w:val="00BF195C"/>
    <w:rsid w:val="00BF1D1A"/>
    <w:rsid w:val="00BF1E18"/>
    <w:rsid w:val="00BF292E"/>
    <w:rsid w:val="00BF2BB3"/>
    <w:rsid w:val="00BF3F3F"/>
    <w:rsid w:val="00BF405F"/>
    <w:rsid w:val="00BF50A5"/>
    <w:rsid w:val="00BF5E04"/>
    <w:rsid w:val="00BF5E4C"/>
    <w:rsid w:val="00BF685C"/>
    <w:rsid w:val="00BF7210"/>
    <w:rsid w:val="00C00933"/>
    <w:rsid w:val="00C01305"/>
    <w:rsid w:val="00C016A1"/>
    <w:rsid w:val="00C02AE1"/>
    <w:rsid w:val="00C0326B"/>
    <w:rsid w:val="00C032E7"/>
    <w:rsid w:val="00C03840"/>
    <w:rsid w:val="00C03E1E"/>
    <w:rsid w:val="00C0413F"/>
    <w:rsid w:val="00C0478B"/>
    <w:rsid w:val="00C04B42"/>
    <w:rsid w:val="00C04B7E"/>
    <w:rsid w:val="00C04BB7"/>
    <w:rsid w:val="00C05541"/>
    <w:rsid w:val="00C0672D"/>
    <w:rsid w:val="00C07AAD"/>
    <w:rsid w:val="00C07E07"/>
    <w:rsid w:val="00C1059E"/>
    <w:rsid w:val="00C10CC3"/>
    <w:rsid w:val="00C10F94"/>
    <w:rsid w:val="00C11286"/>
    <w:rsid w:val="00C11E5D"/>
    <w:rsid w:val="00C11F15"/>
    <w:rsid w:val="00C12703"/>
    <w:rsid w:val="00C12B23"/>
    <w:rsid w:val="00C1383B"/>
    <w:rsid w:val="00C1419E"/>
    <w:rsid w:val="00C151A6"/>
    <w:rsid w:val="00C17416"/>
    <w:rsid w:val="00C17ACA"/>
    <w:rsid w:val="00C20532"/>
    <w:rsid w:val="00C2237F"/>
    <w:rsid w:val="00C23258"/>
    <w:rsid w:val="00C23435"/>
    <w:rsid w:val="00C241B3"/>
    <w:rsid w:val="00C2428A"/>
    <w:rsid w:val="00C242BF"/>
    <w:rsid w:val="00C24522"/>
    <w:rsid w:val="00C247F5"/>
    <w:rsid w:val="00C2482D"/>
    <w:rsid w:val="00C24B5D"/>
    <w:rsid w:val="00C2566C"/>
    <w:rsid w:val="00C25C58"/>
    <w:rsid w:val="00C2663B"/>
    <w:rsid w:val="00C26DFE"/>
    <w:rsid w:val="00C2773E"/>
    <w:rsid w:val="00C27B7C"/>
    <w:rsid w:val="00C30244"/>
    <w:rsid w:val="00C30283"/>
    <w:rsid w:val="00C32D06"/>
    <w:rsid w:val="00C33E91"/>
    <w:rsid w:val="00C346CF"/>
    <w:rsid w:val="00C34C64"/>
    <w:rsid w:val="00C34F98"/>
    <w:rsid w:val="00C35095"/>
    <w:rsid w:val="00C35936"/>
    <w:rsid w:val="00C35E93"/>
    <w:rsid w:val="00C36DCB"/>
    <w:rsid w:val="00C36E26"/>
    <w:rsid w:val="00C36ED3"/>
    <w:rsid w:val="00C373AD"/>
    <w:rsid w:val="00C40980"/>
    <w:rsid w:val="00C40E1F"/>
    <w:rsid w:val="00C412F1"/>
    <w:rsid w:val="00C41308"/>
    <w:rsid w:val="00C418E1"/>
    <w:rsid w:val="00C41914"/>
    <w:rsid w:val="00C41A9B"/>
    <w:rsid w:val="00C41C17"/>
    <w:rsid w:val="00C420D7"/>
    <w:rsid w:val="00C4297F"/>
    <w:rsid w:val="00C43131"/>
    <w:rsid w:val="00C43D83"/>
    <w:rsid w:val="00C44E8A"/>
    <w:rsid w:val="00C45DEF"/>
    <w:rsid w:val="00C460EC"/>
    <w:rsid w:val="00C46643"/>
    <w:rsid w:val="00C4688B"/>
    <w:rsid w:val="00C46AFD"/>
    <w:rsid w:val="00C46CDC"/>
    <w:rsid w:val="00C47EC9"/>
    <w:rsid w:val="00C5066D"/>
    <w:rsid w:val="00C5071C"/>
    <w:rsid w:val="00C50E20"/>
    <w:rsid w:val="00C51E91"/>
    <w:rsid w:val="00C52F62"/>
    <w:rsid w:val="00C535A9"/>
    <w:rsid w:val="00C546D3"/>
    <w:rsid w:val="00C55603"/>
    <w:rsid w:val="00C55F7D"/>
    <w:rsid w:val="00C564EA"/>
    <w:rsid w:val="00C56D68"/>
    <w:rsid w:val="00C5738C"/>
    <w:rsid w:val="00C57593"/>
    <w:rsid w:val="00C57880"/>
    <w:rsid w:val="00C57DCC"/>
    <w:rsid w:val="00C605A9"/>
    <w:rsid w:val="00C61431"/>
    <w:rsid w:val="00C615D2"/>
    <w:rsid w:val="00C624B0"/>
    <w:rsid w:val="00C625DF"/>
    <w:rsid w:val="00C626A5"/>
    <w:rsid w:val="00C62EA7"/>
    <w:rsid w:val="00C637F0"/>
    <w:rsid w:val="00C63F59"/>
    <w:rsid w:val="00C6421E"/>
    <w:rsid w:val="00C64C43"/>
    <w:rsid w:val="00C65ED8"/>
    <w:rsid w:val="00C669E8"/>
    <w:rsid w:val="00C66A67"/>
    <w:rsid w:val="00C712C0"/>
    <w:rsid w:val="00C722B8"/>
    <w:rsid w:val="00C72E70"/>
    <w:rsid w:val="00C7320F"/>
    <w:rsid w:val="00C73923"/>
    <w:rsid w:val="00C75609"/>
    <w:rsid w:val="00C756C5"/>
    <w:rsid w:val="00C75EDE"/>
    <w:rsid w:val="00C75FCB"/>
    <w:rsid w:val="00C76937"/>
    <w:rsid w:val="00C77B42"/>
    <w:rsid w:val="00C801AB"/>
    <w:rsid w:val="00C80656"/>
    <w:rsid w:val="00C83056"/>
    <w:rsid w:val="00C8460A"/>
    <w:rsid w:val="00C8488B"/>
    <w:rsid w:val="00C84F3E"/>
    <w:rsid w:val="00C86BCD"/>
    <w:rsid w:val="00C87C3F"/>
    <w:rsid w:val="00C90389"/>
    <w:rsid w:val="00C904CC"/>
    <w:rsid w:val="00C909BC"/>
    <w:rsid w:val="00C9144A"/>
    <w:rsid w:val="00C91B0E"/>
    <w:rsid w:val="00C92360"/>
    <w:rsid w:val="00C93E7E"/>
    <w:rsid w:val="00C946F5"/>
    <w:rsid w:val="00C95103"/>
    <w:rsid w:val="00C9599F"/>
    <w:rsid w:val="00C95E0C"/>
    <w:rsid w:val="00C9688D"/>
    <w:rsid w:val="00C96AAF"/>
    <w:rsid w:val="00C96DDE"/>
    <w:rsid w:val="00C97565"/>
    <w:rsid w:val="00CA10E5"/>
    <w:rsid w:val="00CA128C"/>
    <w:rsid w:val="00CA1D32"/>
    <w:rsid w:val="00CA4808"/>
    <w:rsid w:val="00CA4DCB"/>
    <w:rsid w:val="00CA51F3"/>
    <w:rsid w:val="00CA5C0D"/>
    <w:rsid w:val="00CA5F2E"/>
    <w:rsid w:val="00CA7BEC"/>
    <w:rsid w:val="00CA7D53"/>
    <w:rsid w:val="00CA7E7D"/>
    <w:rsid w:val="00CB0B53"/>
    <w:rsid w:val="00CB0FB4"/>
    <w:rsid w:val="00CB151D"/>
    <w:rsid w:val="00CB15F2"/>
    <w:rsid w:val="00CB1DAE"/>
    <w:rsid w:val="00CB2C89"/>
    <w:rsid w:val="00CB2E23"/>
    <w:rsid w:val="00CB366A"/>
    <w:rsid w:val="00CB4C3E"/>
    <w:rsid w:val="00CB4CC6"/>
    <w:rsid w:val="00CB5E3E"/>
    <w:rsid w:val="00CB6A2B"/>
    <w:rsid w:val="00CB6E39"/>
    <w:rsid w:val="00CB7080"/>
    <w:rsid w:val="00CB7FA0"/>
    <w:rsid w:val="00CC00B9"/>
    <w:rsid w:val="00CC0A35"/>
    <w:rsid w:val="00CC1982"/>
    <w:rsid w:val="00CC2655"/>
    <w:rsid w:val="00CC3201"/>
    <w:rsid w:val="00CC3496"/>
    <w:rsid w:val="00CC355C"/>
    <w:rsid w:val="00CC3A08"/>
    <w:rsid w:val="00CC3B76"/>
    <w:rsid w:val="00CC3D73"/>
    <w:rsid w:val="00CC46AC"/>
    <w:rsid w:val="00CC67EC"/>
    <w:rsid w:val="00CC7E08"/>
    <w:rsid w:val="00CC7E64"/>
    <w:rsid w:val="00CD0DC6"/>
    <w:rsid w:val="00CD1021"/>
    <w:rsid w:val="00CD1A17"/>
    <w:rsid w:val="00CD1E43"/>
    <w:rsid w:val="00CD1EC8"/>
    <w:rsid w:val="00CD205A"/>
    <w:rsid w:val="00CD28E0"/>
    <w:rsid w:val="00CD3441"/>
    <w:rsid w:val="00CD413E"/>
    <w:rsid w:val="00CD4A00"/>
    <w:rsid w:val="00CD5F68"/>
    <w:rsid w:val="00CD630F"/>
    <w:rsid w:val="00CD72C8"/>
    <w:rsid w:val="00CD74BE"/>
    <w:rsid w:val="00CD76DD"/>
    <w:rsid w:val="00CE0A19"/>
    <w:rsid w:val="00CE0CE2"/>
    <w:rsid w:val="00CE1A2C"/>
    <w:rsid w:val="00CE1C19"/>
    <w:rsid w:val="00CE27DC"/>
    <w:rsid w:val="00CE2C37"/>
    <w:rsid w:val="00CE324D"/>
    <w:rsid w:val="00CE49EC"/>
    <w:rsid w:val="00CE5921"/>
    <w:rsid w:val="00CE6540"/>
    <w:rsid w:val="00CE761C"/>
    <w:rsid w:val="00CE7B4E"/>
    <w:rsid w:val="00CF0089"/>
    <w:rsid w:val="00CF041E"/>
    <w:rsid w:val="00CF070C"/>
    <w:rsid w:val="00CF0C75"/>
    <w:rsid w:val="00CF0FFB"/>
    <w:rsid w:val="00CF185C"/>
    <w:rsid w:val="00CF1EEB"/>
    <w:rsid w:val="00CF20FE"/>
    <w:rsid w:val="00CF22EB"/>
    <w:rsid w:val="00CF36C3"/>
    <w:rsid w:val="00CF4709"/>
    <w:rsid w:val="00CF47D2"/>
    <w:rsid w:val="00CF5938"/>
    <w:rsid w:val="00CF5C34"/>
    <w:rsid w:val="00CF74FB"/>
    <w:rsid w:val="00CF7541"/>
    <w:rsid w:val="00CF78C4"/>
    <w:rsid w:val="00D004D3"/>
    <w:rsid w:val="00D00BA9"/>
    <w:rsid w:val="00D00E08"/>
    <w:rsid w:val="00D00FD4"/>
    <w:rsid w:val="00D01DF1"/>
    <w:rsid w:val="00D02399"/>
    <w:rsid w:val="00D024C0"/>
    <w:rsid w:val="00D02E3B"/>
    <w:rsid w:val="00D02E3E"/>
    <w:rsid w:val="00D02F75"/>
    <w:rsid w:val="00D03EA7"/>
    <w:rsid w:val="00D0480E"/>
    <w:rsid w:val="00D04B56"/>
    <w:rsid w:val="00D04EBA"/>
    <w:rsid w:val="00D05196"/>
    <w:rsid w:val="00D053BA"/>
    <w:rsid w:val="00D055F5"/>
    <w:rsid w:val="00D05DD7"/>
    <w:rsid w:val="00D0648F"/>
    <w:rsid w:val="00D0663D"/>
    <w:rsid w:val="00D06680"/>
    <w:rsid w:val="00D06FD1"/>
    <w:rsid w:val="00D0726C"/>
    <w:rsid w:val="00D0728D"/>
    <w:rsid w:val="00D07657"/>
    <w:rsid w:val="00D077C1"/>
    <w:rsid w:val="00D0784B"/>
    <w:rsid w:val="00D07B57"/>
    <w:rsid w:val="00D10B76"/>
    <w:rsid w:val="00D127FA"/>
    <w:rsid w:val="00D12810"/>
    <w:rsid w:val="00D12A2F"/>
    <w:rsid w:val="00D12BD0"/>
    <w:rsid w:val="00D13B4C"/>
    <w:rsid w:val="00D140D0"/>
    <w:rsid w:val="00D14318"/>
    <w:rsid w:val="00D143FF"/>
    <w:rsid w:val="00D14D7E"/>
    <w:rsid w:val="00D155C4"/>
    <w:rsid w:val="00D1567B"/>
    <w:rsid w:val="00D15DEB"/>
    <w:rsid w:val="00D16791"/>
    <w:rsid w:val="00D17069"/>
    <w:rsid w:val="00D17210"/>
    <w:rsid w:val="00D1745F"/>
    <w:rsid w:val="00D1754C"/>
    <w:rsid w:val="00D17642"/>
    <w:rsid w:val="00D17BF3"/>
    <w:rsid w:val="00D20509"/>
    <w:rsid w:val="00D206E4"/>
    <w:rsid w:val="00D209B0"/>
    <w:rsid w:val="00D21BF3"/>
    <w:rsid w:val="00D22D11"/>
    <w:rsid w:val="00D22EEB"/>
    <w:rsid w:val="00D2430F"/>
    <w:rsid w:val="00D24760"/>
    <w:rsid w:val="00D24DC7"/>
    <w:rsid w:val="00D25141"/>
    <w:rsid w:val="00D25572"/>
    <w:rsid w:val="00D25A13"/>
    <w:rsid w:val="00D26C0B"/>
    <w:rsid w:val="00D270EA"/>
    <w:rsid w:val="00D274A2"/>
    <w:rsid w:val="00D30416"/>
    <w:rsid w:val="00D316B4"/>
    <w:rsid w:val="00D31CD7"/>
    <w:rsid w:val="00D3230E"/>
    <w:rsid w:val="00D32E5B"/>
    <w:rsid w:val="00D33661"/>
    <w:rsid w:val="00D33E57"/>
    <w:rsid w:val="00D3402B"/>
    <w:rsid w:val="00D34631"/>
    <w:rsid w:val="00D35B9C"/>
    <w:rsid w:val="00D36417"/>
    <w:rsid w:val="00D36B11"/>
    <w:rsid w:val="00D36F06"/>
    <w:rsid w:val="00D377D9"/>
    <w:rsid w:val="00D4057B"/>
    <w:rsid w:val="00D405D3"/>
    <w:rsid w:val="00D406D6"/>
    <w:rsid w:val="00D40951"/>
    <w:rsid w:val="00D40E1E"/>
    <w:rsid w:val="00D40EC5"/>
    <w:rsid w:val="00D413A5"/>
    <w:rsid w:val="00D417B8"/>
    <w:rsid w:val="00D41CC4"/>
    <w:rsid w:val="00D4290E"/>
    <w:rsid w:val="00D42F28"/>
    <w:rsid w:val="00D43490"/>
    <w:rsid w:val="00D434F4"/>
    <w:rsid w:val="00D4370A"/>
    <w:rsid w:val="00D43890"/>
    <w:rsid w:val="00D438FE"/>
    <w:rsid w:val="00D4394D"/>
    <w:rsid w:val="00D43BFC"/>
    <w:rsid w:val="00D4402A"/>
    <w:rsid w:val="00D45184"/>
    <w:rsid w:val="00D45929"/>
    <w:rsid w:val="00D46F69"/>
    <w:rsid w:val="00D46FE2"/>
    <w:rsid w:val="00D47436"/>
    <w:rsid w:val="00D50885"/>
    <w:rsid w:val="00D5171C"/>
    <w:rsid w:val="00D51AE9"/>
    <w:rsid w:val="00D5247E"/>
    <w:rsid w:val="00D5253D"/>
    <w:rsid w:val="00D525A9"/>
    <w:rsid w:val="00D5286E"/>
    <w:rsid w:val="00D52ED8"/>
    <w:rsid w:val="00D54106"/>
    <w:rsid w:val="00D55030"/>
    <w:rsid w:val="00D551CF"/>
    <w:rsid w:val="00D558D5"/>
    <w:rsid w:val="00D55A95"/>
    <w:rsid w:val="00D57967"/>
    <w:rsid w:val="00D60B14"/>
    <w:rsid w:val="00D60DED"/>
    <w:rsid w:val="00D61FBB"/>
    <w:rsid w:val="00D62595"/>
    <w:rsid w:val="00D62A2F"/>
    <w:rsid w:val="00D636A7"/>
    <w:rsid w:val="00D63DEA"/>
    <w:rsid w:val="00D643E2"/>
    <w:rsid w:val="00D6474C"/>
    <w:rsid w:val="00D659C8"/>
    <w:rsid w:val="00D70779"/>
    <w:rsid w:val="00D7101D"/>
    <w:rsid w:val="00D71FD0"/>
    <w:rsid w:val="00D72B82"/>
    <w:rsid w:val="00D732F4"/>
    <w:rsid w:val="00D733C4"/>
    <w:rsid w:val="00D736EF"/>
    <w:rsid w:val="00D73DE9"/>
    <w:rsid w:val="00D740B3"/>
    <w:rsid w:val="00D746B2"/>
    <w:rsid w:val="00D74C58"/>
    <w:rsid w:val="00D75C79"/>
    <w:rsid w:val="00D7626D"/>
    <w:rsid w:val="00D76869"/>
    <w:rsid w:val="00D76C43"/>
    <w:rsid w:val="00D77B76"/>
    <w:rsid w:val="00D77E9B"/>
    <w:rsid w:val="00D801AA"/>
    <w:rsid w:val="00D80227"/>
    <w:rsid w:val="00D80840"/>
    <w:rsid w:val="00D811CB"/>
    <w:rsid w:val="00D815E9"/>
    <w:rsid w:val="00D82395"/>
    <w:rsid w:val="00D82BD8"/>
    <w:rsid w:val="00D82E26"/>
    <w:rsid w:val="00D84B90"/>
    <w:rsid w:val="00D856B6"/>
    <w:rsid w:val="00D85E98"/>
    <w:rsid w:val="00D86959"/>
    <w:rsid w:val="00D86F4E"/>
    <w:rsid w:val="00D87603"/>
    <w:rsid w:val="00D876F5"/>
    <w:rsid w:val="00D90876"/>
    <w:rsid w:val="00D90B50"/>
    <w:rsid w:val="00D93592"/>
    <w:rsid w:val="00D93FAF"/>
    <w:rsid w:val="00D94821"/>
    <w:rsid w:val="00D95290"/>
    <w:rsid w:val="00D966B1"/>
    <w:rsid w:val="00D969AE"/>
    <w:rsid w:val="00D96B6A"/>
    <w:rsid w:val="00D9714D"/>
    <w:rsid w:val="00D971F8"/>
    <w:rsid w:val="00D97432"/>
    <w:rsid w:val="00D97DD0"/>
    <w:rsid w:val="00D97DFC"/>
    <w:rsid w:val="00D97F88"/>
    <w:rsid w:val="00DA1077"/>
    <w:rsid w:val="00DA15D0"/>
    <w:rsid w:val="00DA1F1F"/>
    <w:rsid w:val="00DA2A99"/>
    <w:rsid w:val="00DA2B7F"/>
    <w:rsid w:val="00DA393B"/>
    <w:rsid w:val="00DA3D02"/>
    <w:rsid w:val="00DA5D45"/>
    <w:rsid w:val="00DA5F4F"/>
    <w:rsid w:val="00DA5FAE"/>
    <w:rsid w:val="00DA61FE"/>
    <w:rsid w:val="00DA6838"/>
    <w:rsid w:val="00DA6AB7"/>
    <w:rsid w:val="00DA704F"/>
    <w:rsid w:val="00DA718E"/>
    <w:rsid w:val="00DA7B74"/>
    <w:rsid w:val="00DB0150"/>
    <w:rsid w:val="00DB0542"/>
    <w:rsid w:val="00DB103A"/>
    <w:rsid w:val="00DB1FA8"/>
    <w:rsid w:val="00DB2B79"/>
    <w:rsid w:val="00DB2C08"/>
    <w:rsid w:val="00DB31F8"/>
    <w:rsid w:val="00DB33BE"/>
    <w:rsid w:val="00DB52F4"/>
    <w:rsid w:val="00DB55A3"/>
    <w:rsid w:val="00DB6247"/>
    <w:rsid w:val="00DB6D2C"/>
    <w:rsid w:val="00DB70DA"/>
    <w:rsid w:val="00DB7F7B"/>
    <w:rsid w:val="00DC0635"/>
    <w:rsid w:val="00DC0AED"/>
    <w:rsid w:val="00DC0B6D"/>
    <w:rsid w:val="00DC0BAA"/>
    <w:rsid w:val="00DC11CD"/>
    <w:rsid w:val="00DC2810"/>
    <w:rsid w:val="00DC2843"/>
    <w:rsid w:val="00DC28D6"/>
    <w:rsid w:val="00DC2C63"/>
    <w:rsid w:val="00DC367E"/>
    <w:rsid w:val="00DC403F"/>
    <w:rsid w:val="00DC4D26"/>
    <w:rsid w:val="00DC54FE"/>
    <w:rsid w:val="00DC6123"/>
    <w:rsid w:val="00DC6E6E"/>
    <w:rsid w:val="00DD0325"/>
    <w:rsid w:val="00DD0556"/>
    <w:rsid w:val="00DD2A83"/>
    <w:rsid w:val="00DD3D02"/>
    <w:rsid w:val="00DD4573"/>
    <w:rsid w:val="00DD4C73"/>
    <w:rsid w:val="00DD638B"/>
    <w:rsid w:val="00DD666D"/>
    <w:rsid w:val="00DD699C"/>
    <w:rsid w:val="00DD7E65"/>
    <w:rsid w:val="00DE0B37"/>
    <w:rsid w:val="00DE18AE"/>
    <w:rsid w:val="00DE1B9C"/>
    <w:rsid w:val="00DE1BA6"/>
    <w:rsid w:val="00DE27EA"/>
    <w:rsid w:val="00DE3588"/>
    <w:rsid w:val="00DE39EF"/>
    <w:rsid w:val="00DE414D"/>
    <w:rsid w:val="00DE5A4E"/>
    <w:rsid w:val="00DE5CE6"/>
    <w:rsid w:val="00DE6546"/>
    <w:rsid w:val="00DE69EB"/>
    <w:rsid w:val="00DE711E"/>
    <w:rsid w:val="00DE76D9"/>
    <w:rsid w:val="00DE774B"/>
    <w:rsid w:val="00DE7E58"/>
    <w:rsid w:val="00DF0067"/>
    <w:rsid w:val="00DF14E3"/>
    <w:rsid w:val="00DF171D"/>
    <w:rsid w:val="00DF1724"/>
    <w:rsid w:val="00DF1EA7"/>
    <w:rsid w:val="00DF2399"/>
    <w:rsid w:val="00DF2425"/>
    <w:rsid w:val="00DF3C0F"/>
    <w:rsid w:val="00DF3E0B"/>
    <w:rsid w:val="00DF3E32"/>
    <w:rsid w:val="00DF40A9"/>
    <w:rsid w:val="00DF41E7"/>
    <w:rsid w:val="00DF432E"/>
    <w:rsid w:val="00DF460D"/>
    <w:rsid w:val="00DF5E70"/>
    <w:rsid w:val="00DF5EC2"/>
    <w:rsid w:val="00DF6A80"/>
    <w:rsid w:val="00DF7825"/>
    <w:rsid w:val="00DF7B7B"/>
    <w:rsid w:val="00E001AB"/>
    <w:rsid w:val="00E01495"/>
    <w:rsid w:val="00E01966"/>
    <w:rsid w:val="00E02D16"/>
    <w:rsid w:val="00E02F3B"/>
    <w:rsid w:val="00E04548"/>
    <w:rsid w:val="00E05F8F"/>
    <w:rsid w:val="00E076C9"/>
    <w:rsid w:val="00E07CAC"/>
    <w:rsid w:val="00E07DF6"/>
    <w:rsid w:val="00E12149"/>
    <w:rsid w:val="00E12C6B"/>
    <w:rsid w:val="00E13765"/>
    <w:rsid w:val="00E13845"/>
    <w:rsid w:val="00E13A1A"/>
    <w:rsid w:val="00E16C95"/>
    <w:rsid w:val="00E17428"/>
    <w:rsid w:val="00E17B12"/>
    <w:rsid w:val="00E17EC0"/>
    <w:rsid w:val="00E21938"/>
    <w:rsid w:val="00E2358E"/>
    <w:rsid w:val="00E2397C"/>
    <w:rsid w:val="00E23E14"/>
    <w:rsid w:val="00E2513B"/>
    <w:rsid w:val="00E25281"/>
    <w:rsid w:val="00E2593C"/>
    <w:rsid w:val="00E271BA"/>
    <w:rsid w:val="00E31509"/>
    <w:rsid w:val="00E31AD6"/>
    <w:rsid w:val="00E32063"/>
    <w:rsid w:val="00E3301A"/>
    <w:rsid w:val="00E331E6"/>
    <w:rsid w:val="00E338AA"/>
    <w:rsid w:val="00E3417B"/>
    <w:rsid w:val="00E3496C"/>
    <w:rsid w:val="00E34F37"/>
    <w:rsid w:val="00E3684F"/>
    <w:rsid w:val="00E36D58"/>
    <w:rsid w:val="00E36F5D"/>
    <w:rsid w:val="00E40594"/>
    <w:rsid w:val="00E408B6"/>
    <w:rsid w:val="00E40D3E"/>
    <w:rsid w:val="00E41BC8"/>
    <w:rsid w:val="00E422F4"/>
    <w:rsid w:val="00E425C8"/>
    <w:rsid w:val="00E43DDA"/>
    <w:rsid w:val="00E43EBF"/>
    <w:rsid w:val="00E43FA1"/>
    <w:rsid w:val="00E442DA"/>
    <w:rsid w:val="00E44427"/>
    <w:rsid w:val="00E4444C"/>
    <w:rsid w:val="00E44668"/>
    <w:rsid w:val="00E44B5B"/>
    <w:rsid w:val="00E44BD9"/>
    <w:rsid w:val="00E45BFF"/>
    <w:rsid w:val="00E47380"/>
    <w:rsid w:val="00E47FBB"/>
    <w:rsid w:val="00E50E06"/>
    <w:rsid w:val="00E50E2E"/>
    <w:rsid w:val="00E516B1"/>
    <w:rsid w:val="00E51FD5"/>
    <w:rsid w:val="00E523DD"/>
    <w:rsid w:val="00E53BE4"/>
    <w:rsid w:val="00E53EBD"/>
    <w:rsid w:val="00E5446C"/>
    <w:rsid w:val="00E5535B"/>
    <w:rsid w:val="00E55764"/>
    <w:rsid w:val="00E5580A"/>
    <w:rsid w:val="00E564E4"/>
    <w:rsid w:val="00E57250"/>
    <w:rsid w:val="00E57A0A"/>
    <w:rsid w:val="00E602B4"/>
    <w:rsid w:val="00E609DB"/>
    <w:rsid w:val="00E60FA7"/>
    <w:rsid w:val="00E62089"/>
    <w:rsid w:val="00E626D2"/>
    <w:rsid w:val="00E6321E"/>
    <w:rsid w:val="00E63378"/>
    <w:rsid w:val="00E64B92"/>
    <w:rsid w:val="00E65594"/>
    <w:rsid w:val="00E65D0B"/>
    <w:rsid w:val="00E66F42"/>
    <w:rsid w:val="00E67BE4"/>
    <w:rsid w:val="00E67DEE"/>
    <w:rsid w:val="00E7091F"/>
    <w:rsid w:val="00E70D07"/>
    <w:rsid w:val="00E71ECF"/>
    <w:rsid w:val="00E725FE"/>
    <w:rsid w:val="00E72992"/>
    <w:rsid w:val="00E72D92"/>
    <w:rsid w:val="00E72E97"/>
    <w:rsid w:val="00E74A3A"/>
    <w:rsid w:val="00E7535E"/>
    <w:rsid w:val="00E758FE"/>
    <w:rsid w:val="00E76906"/>
    <w:rsid w:val="00E76BE2"/>
    <w:rsid w:val="00E77682"/>
    <w:rsid w:val="00E77983"/>
    <w:rsid w:val="00E77F1D"/>
    <w:rsid w:val="00E80048"/>
    <w:rsid w:val="00E8073C"/>
    <w:rsid w:val="00E80D33"/>
    <w:rsid w:val="00E8317A"/>
    <w:rsid w:val="00E83852"/>
    <w:rsid w:val="00E861C1"/>
    <w:rsid w:val="00E87DDC"/>
    <w:rsid w:val="00E900D0"/>
    <w:rsid w:val="00E902EE"/>
    <w:rsid w:val="00E90640"/>
    <w:rsid w:val="00E911B6"/>
    <w:rsid w:val="00E91680"/>
    <w:rsid w:val="00E91734"/>
    <w:rsid w:val="00E91868"/>
    <w:rsid w:val="00E91BD9"/>
    <w:rsid w:val="00E91D05"/>
    <w:rsid w:val="00E9303C"/>
    <w:rsid w:val="00E934B4"/>
    <w:rsid w:val="00E94A3F"/>
    <w:rsid w:val="00E951B1"/>
    <w:rsid w:val="00E9601D"/>
    <w:rsid w:val="00E969B8"/>
    <w:rsid w:val="00E971B9"/>
    <w:rsid w:val="00E975B3"/>
    <w:rsid w:val="00E97945"/>
    <w:rsid w:val="00E97AFA"/>
    <w:rsid w:val="00EA0292"/>
    <w:rsid w:val="00EA0B59"/>
    <w:rsid w:val="00EA14B3"/>
    <w:rsid w:val="00EA1A31"/>
    <w:rsid w:val="00EA2316"/>
    <w:rsid w:val="00EA2356"/>
    <w:rsid w:val="00EA375D"/>
    <w:rsid w:val="00EA3940"/>
    <w:rsid w:val="00EA4265"/>
    <w:rsid w:val="00EA468F"/>
    <w:rsid w:val="00EA4B94"/>
    <w:rsid w:val="00EA4FD4"/>
    <w:rsid w:val="00EA639F"/>
    <w:rsid w:val="00EA6B78"/>
    <w:rsid w:val="00EA761A"/>
    <w:rsid w:val="00EA76ED"/>
    <w:rsid w:val="00EB0E57"/>
    <w:rsid w:val="00EB2579"/>
    <w:rsid w:val="00EB2ADC"/>
    <w:rsid w:val="00EB30AA"/>
    <w:rsid w:val="00EB3894"/>
    <w:rsid w:val="00EB3DD6"/>
    <w:rsid w:val="00EB44E8"/>
    <w:rsid w:val="00EB4514"/>
    <w:rsid w:val="00EB607E"/>
    <w:rsid w:val="00EB61A8"/>
    <w:rsid w:val="00EB67A0"/>
    <w:rsid w:val="00EB74C5"/>
    <w:rsid w:val="00EB773B"/>
    <w:rsid w:val="00EB7981"/>
    <w:rsid w:val="00EC105D"/>
    <w:rsid w:val="00EC1443"/>
    <w:rsid w:val="00EC1838"/>
    <w:rsid w:val="00EC1D2D"/>
    <w:rsid w:val="00EC23A6"/>
    <w:rsid w:val="00EC2741"/>
    <w:rsid w:val="00EC2743"/>
    <w:rsid w:val="00EC2EB9"/>
    <w:rsid w:val="00EC6031"/>
    <w:rsid w:val="00EC6628"/>
    <w:rsid w:val="00EC7D6B"/>
    <w:rsid w:val="00EC7DD5"/>
    <w:rsid w:val="00ED0F4E"/>
    <w:rsid w:val="00ED1401"/>
    <w:rsid w:val="00ED20D2"/>
    <w:rsid w:val="00ED211F"/>
    <w:rsid w:val="00ED27E6"/>
    <w:rsid w:val="00ED2A4B"/>
    <w:rsid w:val="00ED3C11"/>
    <w:rsid w:val="00ED3F17"/>
    <w:rsid w:val="00ED4518"/>
    <w:rsid w:val="00ED56AE"/>
    <w:rsid w:val="00ED7273"/>
    <w:rsid w:val="00ED73D1"/>
    <w:rsid w:val="00ED7FA5"/>
    <w:rsid w:val="00EE0612"/>
    <w:rsid w:val="00EE0FB0"/>
    <w:rsid w:val="00EE161E"/>
    <w:rsid w:val="00EE2507"/>
    <w:rsid w:val="00EE3C40"/>
    <w:rsid w:val="00EE4324"/>
    <w:rsid w:val="00EE4C05"/>
    <w:rsid w:val="00EE4E93"/>
    <w:rsid w:val="00EE5872"/>
    <w:rsid w:val="00EE5DEA"/>
    <w:rsid w:val="00EE7087"/>
    <w:rsid w:val="00EE7898"/>
    <w:rsid w:val="00EE7DC2"/>
    <w:rsid w:val="00EE7E79"/>
    <w:rsid w:val="00EF054C"/>
    <w:rsid w:val="00EF10E7"/>
    <w:rsid w:val="00EF1334"/>
    <w:rsid w:val="00EF1D6D"/>
    <w:rsid w:val="00EF1E1F"/>
    <w:rsid w:val="00EF3740"/>
    <w:rsid w:val="00EF4148"/>
    <w:rsid w:val="00EF49DB"/>
    <w:rsid w:val="00EF4A3E"/>
    <w:rsid w:val="00EF4C4E"/>
    <w:rsid w:val="00EF4C96"/>
    <w:rsid w:val="00EF5962"/>
    <w:rsid w:val="00EF5A86"/>
    <w:rsid w:val="00EF68E9"/>
    <w:rsid w:val="00F00F87"/>
    <w:rsid w:val="00F015DE"/>
    <w:rsid w:val="00F01B54"/>
    <w:rsid w:val="00F01DB7"/>
    <w:rsid w:val="00F03107"/>
    <w:rsid w:val="00F0405B"/>
    <w:rsid w:val="00F045B2"/>
    <w:rsid w:val="00F04E4F"/>
    <w:rsid w:val="00F05C1B"/>
    <w:rsid w:val="00F05FAF"/>
    <w:rsid w:val="00F06378"/>
    <w:rsid w:val="00F0669B"/>
    <w:rsid w:val="00F06AEB"/>
    <w:rsid w:val="00F073CF"/>
    <w:rsid w:val="00F07697"/>
    <w:rsid w:val="00F1128B"/>
    <w:rsid w:val="00F11DC6"/>
    <w:rsid w:val="00F1219A"/>
    <w:rsid w:val="00F1350D"/>
    <w:rsid w:val="00F13B00"/>
    <w:rsid w:val="00F148C4"/>
    <w:rsid w:val="00F15C43"/>
    <w:rsid w:val="00F15CD2"/>
    <w:rsid w:val="00F170DF"/>
    <w:rsid w:val="00F17C67"/>
    <w:rsid w:val="00F22F19"/>
    <w:rsid w:val="00F230C1"/>
    <w:rsid w:val="00F23C09"/>
    <w:rsid w:val="00F2443C"/>
    <w:rsid w:val="00F24510"/>
    <w:rsid w:val="00F25272"/>
    <w:rsid w:val="00F253D4"/>
    <w:rsid w:val="00F25EB8"/>
    <w:rsid w:val="00F25F20"/>
    <w:rsid w:val="00F27391"/>
    <w:rsid w:val="00F304A4"/>
    <w:rsid w:val="00F32296"/>
    <w:rsid w:val="00F32FC0"/>
    <w:rsid w:val="00F333F6"/>
    <w:rsid w:val="00F354C5"/>
    <w:rsid w:val="00F362BA"/>
    <w:rsid w:val="00F36F1D"/>
    <w:rsid w:val="00F36F2B"/>
    <w:rsid w:val="00F37AFA"/>
    <w:rsid w:val="00F40B4E"/>
    <w:rsid w:val="00F42086"/>
    <w:rsid w:val="00F42507"/>
    <w:rsid w:val="00F433D0"/>
    <w:rsid w:val="00F43B9A"/>
    <w:rsid w:val="00F440EC"/>
    <w:rsid w:val="00F44CCA"/>
    <w:rsid w:val="00F4504B"/>
    <w:rsid w:val="00F4536A"/>
    <w:rsid w:val="00F45563"/>
    <w:rsid w:val="00F458CD"/>
    <w:rsid w:val="00F461A0"/>
    <w:rsid w:val="00F46F8B"/>
    <w:rsid w:val="00F500B9"/>
    <w:rsid w:val="00F5087C"/>
    <w:rsid w:val="00F51BF0"/>
    <w:rsid w:val="00F5269B"/>
    <w:rsid w:val="00F52A87"/>
    <w:rsid w:val="00F53A02"/>
    <w:rsid w:val="00F53ACF"/>
    <w:rsid w:val="00F5403D"/>
    <w:rsid w:val="00F54686"/>
    <w:rsid w:val="00F546FB"/>
    <w:rsid w:val="00F5480A"/>
    <w:rsid w:val="00F55AEA"/>
    <w:rsid w:val="00F56016"/>
    <w:rsid w:val="00F56A27"/>
    <w:rsid w:val="00F57559"/>
    <w:rsid w:val="00F57991"/>
    <w:rsid w:val="00F57DEF"/>
    <w:rsid w:val="00F601FE"/>
    <w:rsid w:val="00F60D7D"/>
    <w:rsid w:val="00F60EB0"/>
    <w:rsid w:val="00F6113F"/>
    <w:rsid w:val="00F61164"/>
    <w:rsid w:val="00F61BCC"/>
    <w:rsid w:val="00F62569"/>
    <w:rsid w:val="00F62572"/>
    <w:rsid w:val="00F63C3F"/>
    <w:rsid w:val="00F64ACE"/>
    <w:rsid w:val="00F64E2A"/>
    <w:rsid w:val="00F65338"/>
    <w:rsid w:val="00F66239"/>
    <w:rsid w:val="00F664A4"/>
    <w:rsid w:val="00F66DBA"/>
    <w:rsid w:val="00F67ABC"/>
    <w:rsid w:val="00F67E79"/>
    <w:rsid w:val="00F70A3B"/>
    <w:rsid w:val="00F71418"/>
    <w:rsid w:val="00F71CE2"/>
    <w:rsid w:val="00F71DE0"/>
    <w:rsid w:val="00F7220E"/>
    <w:rsid w:val="00F72A7E"/>
    <w:rsid w:val="00F73B0B"/>
    <w:rsid w:val="00F73B63"/>
    <w:rsid w:val="00F73CF8"/>
    <w:rsid w:val="00F74038"/>
    <w:rsid w:val="00F74140"/>
    <w:rsid w:val="00F7457F"/>
    <w:rsid w:val="00F75EDE"/>
    <w:rsid w:val="00F75FBA"/>
    <w:rsid w:val="00F808EC"/>
    <w:rsid w:val="00F81ECC"/>
    <w:rsid w:val="00F833F3"/>
    <w:rsid w:val="00F83663"/>
    <w:rsid w:val="00F83836"/>
    <w:rsid w:val="00F84FC0"/>
    <w:rsid w:val="00F851D5"/>
    <w:rsid w:val="00F8673A"/>
    <w:rsid w:val="00F8675E"/>
    <w:rsid w:val="00F87316"/>
    <w:rsid w:val="00F90023"/>
    <w:rsid w:val="00F904EB"/>
    <w:rsid w:val="00F9050B"/>
    <w:rsid w:val="00F90B54"/>
    <w:rsid w:val="00F9178E"/>
    <w:rsid w:val="00F91CD5"/>
    <w:rsid w:val="00F92A86"/>
    <w:rsid w:val="00F9360F"/>
    <w:rsid w:val="00F938A1"/>
    <w:rsid w:val="00F94603"/>
    <w:rsid w:val="00F9499E"/>
    <w:rsid w:val="00F94B89"/>
    <w:rsid w:val="00F94BF7"/>
    <w:rsid w:val="00F95578"/>
    <w:rsid w:val="00F962D2"/>
    <w:rsid w:val="00F9712A"/>
    <w:rsid w:val="00FA24E1"/>
    <w:rsid w:val="00FA25C9"/>
    <w:rsid w:val="00FA3ED9"/>
    <w:rsid w:val="00FA4908"/>
    <w:rsid w:val="00FA52BC"/>
    <w:rsid w:val="00FA57C1"/>
    <w:rsid w:val="00FA60DE"/>
    <w:rsid w:val="00FA7307"/>
    <w:rsid w:val="00FA7E2C"/>
    <w:rsid w:val="00FB073E"/>
    <w:rsid w:val="00FB16BA"/>
    <w:rsid w:val="00FB1BC4"/>
    <w:rsid w:val="00FB2901"/>
    <w:rsid w:val="00FB40F6"/>
    <w:rsid w:val="00FB5363"/>
    <w:rsid w:val="00FB55F2"/>
    <w:rsid w:val="00FB5888"/>
    <w:rsid w:val="00FB5D81"/>
    <w:rsid w:val="00FB6040"/>
    <w:rsid w:val="00FB6A86"/>
    <w:rsid w:val="00FB6F2B"/>
    <w:rsid w:val="00FB71EF"/>
    <w:rsid w:val="00FC283E"/>
    <w:rsid w:val="00FC302A"/>
    <w:rsid w:val="00FC36D0"/>
    <w:rsid w:val="00FC384F"/>
    <w:rsid w:val="00FC3C73"/>
    <w:rsid w:val="00FC411A"/>
    <w:rsid w:val="00FC4B4E"/>
    <w:rsid w:val="00FC4E2B"/>
    <w:rsid w:val="00FC54E6"/>
    <w:rsid w:val="00FC58B9"/>
    <w:rsid w:val="00FC5FE6"/>
    <w:rsid w:val="00FC788D"/>
    <w:rsid w:val="00FC7F54"/>
    <w:rsid w:val="00FD0295"/>
    <w:rsid w:val="00FD05E4"/>
    <w:rsid w:val="00FD1E40"/>
    <w:rsid w:val="00FD2B4F"/>
    <w:rsid w:val="00FD3123"/>
    <w:rsid w:val="00FD64AE"/>
    <w:rsid w:val="00FD72FB"/>
    <w:rsid w:val="00FD7313"/>
    <w:rsid w:val="00FE04E7"/>
    <w:rsid w:val="00FE12DC"/>
    <w:rsid w:val="00FE231D"/>
    <w:rsid w:val="00FE2557"/>
    <w:rsid w:val="00FE289C"/>
    <w:rsid w:val="00FE3B51"/>
    <w:rsid w:val="00FE44AF"/>
    <w:rsid w:val="00FE4D6A"/>
    <w:rsid w:val="00FE6979"/>
    <w:rsid w:val="00FE6DD8"/>
    <w:rsid w:val="00FE732B"/>
    <w:rsid w:val="00FF0766"/>
    <w:rsid w:val="00FF0D99"/>
    <w:rsid w:val="00FF1372"/>
    <w:rsid w:val="00FF1F78"/>
    <w:rsid w:val="00FF225F"/>
    <w:rsid w:val="00FF260A"/>
    <w:rsid w:val="00FF41B4"/>
    <w:rsid w:val="00FF58FA"/>
    <w:rsid w:val="00FF5BB5"/>
    <w:rsid w:val="00FF5DD5"/>
    <w:rsid w:val="00FF6395"/>
    <w:rsid w:val="00FF63C2"/>
    <w:rsid w:val="00FF6874"/>
    <w:rsid w:val="00FF75CF"/>
    <w:rsid w:val="00FF77E8"/>
    <w:rsid w:val="00FF7C46"/>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FEF1C"/>
  <w15:docId w15:val="{5550DA5E-197B-4170-ABE6-CEBD7771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0F8"/>
    <w:pPr>
      <w:spacing w:after="0" w:line="480" w:lineRule="auto"/>
    </w:pPr>
    <w:rPr>
      <w:rFonts w:ascii="Times New Roman" w:eastAsia="Times New Roman" w:hAnsi="Times New Roman" w:cs="Times New Roman"/>
      <w:sz w:val="24"/>
      <w:szCs w:val="24"/>
      <w:lang w:eastAsia="en-GB"/>
    </w:rPr>
  </w:style>
  <w:style w:type="paragraph" w:styleId="Heading1">
    <w:name w:val="heading 1"/>
    <w:basedOn w:val="Normal"/>
    <w:next w:val="Paragraph"/>
    <w:link w:val="Heading1Char"/>
    <w:qFormat/>
    <w:rsid w:val="003960F8"/>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3960F8"/>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3960F8"/>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3960F8"/>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2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283"/>
    <w:rPr>
      <w:rFonts w:ascii="Tahoma" w:hAnsi="Tahoma" w:cs="Tahoma"/>
      <w:sz w:val="16"/>
      <w:szCs w:val="16"/>
    </w:rPr>
  </w:style>
  <w:style w:type="paragraph" w:customStyle="1" w:styleId="EndNoteBibliographyTitle">
    <w:name w:val="EndNote Bibliography Title"/>
    <w:basedOn w:val="Normal"/>
    <w:link w:val="EndNoteBibliographyTitleChar"/>
    <w:rsid w:val="00725A8E"/>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25A8E"/>
    <w:rPr>
      <w:rFonts w:ascii="Calibri" w:hAnsi="Calibri" w:cs="Calibri"/>
      <w:noProof/>
      <w:lang w:val="en-US"/>
    </w:rPr>
  </w:style>
  <w:style w:type="paragraph" w:customStyle="1" w:styleId="EndNoteBibliography">
    <w:name w:val="EndNote Bibliography"/>
    <w:basedOn w:val="Normal"/>
    <w:link w:val="EndNoteBibliographyChar"/>
    <w:rsid w:val="00725A8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25A8E"/>
    <w:rPr>
      <w:rFonts w:ascii="Calibri" w:hAnsi="Calibri" w:cs="Calibri"/>
      <w:noProof/>
      <w:lang w:val="en-US"/>
    </w:rPr>
  </w:style>
  <w:style w:type="paragraph" w:styleId="ListParagraph">
    <w:name w:val="List Paragraph"/>
    <w:basedOn w:val="Normal"/>
    <w:uiPriority w:val="34"/>
    <w:qFormat/>
    <w:rsid w:val="003063A5"/>
    <w:pPr>
      <w:ind w:left="720"/>
      <w:contextualSpacing/>
    </w:pPr>
  </w:style>
  <w:style w:type="character" w:styleId="Hyperlink">
    <w:name w:val="Hyperlink"/>
    <w:basedOn w:val="DefaultParagraphFont"/>
    <w:uiPriority w:val="99"/>
    <w:unhideWhenUsed/>
    <w:rsid w:val="00D43890"/>
    <w:rPr>
      <w:color w:val="0000FF" w:themeColor="hyperlink"/>
      <w:u w:val="single"/>
    </w:rPr>
  </w:style>
  <w:style w:type="paragraph" w:styleId="Header">
    <w:name w:val="header"/>
    <w:basedOn w:val="Normal"/>
    <w:link w:val="HeaderChar"/>
    <w:rsid w:val="003960F8"/>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960F8"/>
    <w:rPr>
      <w:rFonts w:ascii="Times New Roman" w:eastAsia="Times New Roman" w:hAnsi="Times New Roman" w:cs="Times New Roman"/>
      <w:sz w:val="24"/>
      <w:szCs w:val="24"/>
      <w:lang w:eastAsia="en-GB"/>
    </w:rPr>
  </w:style>
  <w:style w:type="paragraph" w:styleId="Footer">
    <w:name w:val="footer"/>
    <w:basedOn w:val="Normal"/>
    <w:link w:val="FooterChar"/>
    <w:rsid w:val="003960F8"/>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3960F8"/>
    <w:rPr>
      <w:rFonts w:ascii="Times New Roman" w:eastAsia="Times New Roman" w:hAnsi="Times New Roman" w:cs="Times New Roman"/>
      <w:sz w:val="24"/>
      <w:szCs w:val="24"/>
      <w:lang w:eastAsia="en-GB"/>
    </w:rPr>
  </w:style>
  <w:style w:type="paragraph" w:styleId="FootnoteText">
    <w:name w:val="footnote text"/>
    <w:basedOn w:val="Normal"/>
    <w:link w:val="FootnoteTextChar"/>
    <w:autoRedefine/>
    <w:uiPriority w:val="99"/>
    <w:rsid w:val="003960F8"/>
    <w:pPr>
      <w:ind w:left="284" w:hanging="284"/>
    </w:pPr>
    <w:rPr>
      <w:sz w:val="22"/>
      <w:szCs w:val="20"/>
    </w:rPr>
  </w:style>
  <w:style w:type="character" w:customStyle="1" w:styleId="FootnoteTextChar">
    <w:name w:val="Footnote Text Char"/>
    <w:basedOn w:val="DefaultParagraphFont"/>
    <w:link w:val="FootnoteText"/>
    <w:uiPriority w:val="99"/>
    <w:rsid w:val="003960F8"/>
    <w:rPr>
      <w:rFonts w:ascii="Times New Roman" w:eastAsia="Times New Roman" w:hAnsi="Times New Roman" w:cs="Times New Roman"/>
      <w:szCs w:val="20"/>
      <w:lang w:eastAsia="en-GB"/>
    </w:rPr>
  </w:style>
  <w:style w:type="character" w:styleId="FootnoteReference">
    <w:name w:val="footnote reference"/>
    <w:basedOn w:val="DefaultParagraphFont"/>
    <w:uiPriority w:val="99"/>
    <w:rsid w:val="003960F8"/>
    <w:rPr>
      <w:vertAlign w:val="superscript"/>
    </w:rPr>
  </w:style>
  <w:style w:type="character" w:styleId="CommentReference">
    <w:name w:val="annotation reference"/>
    <w:basedOn w:val="DefaultParagraphFont"/>
    <w:uiPriority w:val="99"/>
    <w:semiHidden/>
    <w:unhideWhenUsed/>
    <w:rsid w:val="00120E7F"/>
    <w:rPr>
      <w:sz w:val="16"/>
      <w:szCs w:val="16"/>
    </w:rPr>
  </w:style>
  <w:style w:type="paragraph" w:styleId="CommentText">
    <w:name w:val="annotation text"/>
    <w:aliases w:val=" 字元,字元"/>
    <w:basedOn w:val="Normal"/>
    <w:link w:val="CommentTextChar"/>
    <w:uiPriority w:val="99"/>
    <w:unhideWhenUsed/>
    <w:qFormat/>
    <w:rsid w:val="00120E7F"/>
    <w:pPr>
      <w:spacing w:line="240" w:lineRule="auto"/>
    </w:pPr>
    <w:rPr>
      <w:sz w:val="20"/>
      <w:szCs w:val="20"/>
    </w:rPr>
  </w:style>
  <w:style w:type="character" w:customStyle="1" w:styleId="CommentTextChar">
    <w:name w:val="Comment Text Char"/>
    <w:aliases w:val=" 字元 Char,字元 Char"/>
    <w:basedOn w:val="DefaultParagraphFont"/>
    <w:link w:val="CommentText"/>
    <w:uiPriority w:val="99"/>
    <w:qFormat/>
    <w:rsid w:val="00120E7F"/>
    <w:rPr>
      <w:sz w:val="20"/>
      <w:szCs w:val="20"/>
    </w:rPr>
  </w:style>
  <w:style w:type="character" w:customStyle="1" w:styleId="text">
    <w:name w:val="text"/>
    <w:basedOn w:val="DefaultParagraphFont"/>
    <w:rsid w:val="00327E92"/>
  </w:style>
  <w:style w:type="paragraph" w:styleId="Caption">
    <w:name w:val="caption"/>
    <w:basedOn w:val="Normal"/>
    <w:next w:val="Normal"/>
    <w:uiPriority w:val="35"/>
    <w:unhideWhenUsed/>
    <w:qFormat/>
    <w:rsid w:val="00DB103A"/>
    <w:pPr>
      <w:spacing w:line="240" w:lineRule="auto"/>
    </w:pPr>
    <w:rPr>
      <w:b/>
      <w:bCs/>
      <w:color w:val="4F81BD" w:themeColor="accent1"/>
      <w:sz w:val="18"/>
      <w:szCs w:val="18"/>
    </w:rPr>
  </w:style>
  <w:style w:type="paragraph" w:styleId="EndnoteText">
    <w:name w:val="endnote text"/>
    <w:basedOn w:val="Normal"/>
    <w:link w:val="EndnoteTextChar"/>
    <w:autoRedefine/>
    <w:rsid w:val="003960F8"/>
    <w:pPr>
      <w:ind w:left="284" w:hanging="284"/>
    </w:pPr>
    <w:rPr>
      <w:sz w:val="22"/>
      <w:szCs w:val="20"/>
    </w:rPr>
  </w:style>
  <w:style w:type="character" w:customStyle="1" w:styleId="EndnoteTextChar">
    <w:name w:val="Endnote Text Char"/>
    <w:basedOn w:val="DefaultParagraphFont"/>
    <w:link w:val="EndnoteText"/>
    <w:rsid w:val="003960F8"/>
    <w:rPr>
      <w:rFonts w:ascii="Times New Roman" w:eastAsia="Times New Roman" w:hAnsi="Times New Roman" w:cs="Times New Roman"/>
      <w:szCs w:val="20"/>
      <w:lang w:eastAsia="en-GB"/>
    </w:rPr>
  </w:style>
  <w:style w:type="character" w:styleId="EndnoteReference">
    <w:name w:val="endnote reference"/>
    <w:basedOn w:val="DefaultParagraphFont"/>
    <w:rsid w:val="003960F8"/>
    <w:rPr>
      <w:vertAlign w:val="superscript"/>
    </w:rPr>
  </w:style>
  <w:style w:type="paragraph" w:styleId="CommentSubject">
    <w:name w:val="annotation subject"/>
    <w:basedOn w:val="CommentText"/>
    <w:next w:val="CommentText"/>
    <w:link w:val="CommentSubjectChar"/>
    <w:uiPriority w:val="99"/>
    <w:semiHidden/>
    <w:unhideWhenUsed/>
    <w:rsid w:val="00740D5A"/>
    <w:rPr>
      <w:b/>
      <w:bCs/>
    </w:rPr>
  </w:style>
  <w:style w:type="character" w:customStyle="1" w:styleId="CommentSubjectChar">
    <w:name w:val="Comment Subject Char"/>
    <w:basedOn w:val="CommentTextChar"/>
    <w:link w:val="CommentSubject"/>
    <w:uiPriority w:val="99"/>
    <w:semiHidden/>
    <w:rsid w:val="00740D5A"/>
    <w:rPr>
      <w:b/>
      <w:bCs/>
      <w:sz w:val="20"/>
      <w:szCs w:val="20"/>
    </w:rPr>
  </w:style>
  <w:style w:type="paragraph" w:styleId="Revision">
    <w:name w:val="Revision"/>
    <w:hidden/>
    <w:uiPriority w:val="99"/>
    <w:semiHidden/>
    <w:rsid w:val="00A93F01"/>
    <w:pPr>
      <w:spacing w:after="0" w:line="240" w:lineRule="auto"/>
    </w:pPr>
  </w:style>
  <w:style w:type="paragraph" w:styleId="Title">
    <w:name w:val="Title"/>
    <w:aliases w:val="Chapter Title"/>
    <w:basedOn w:val="Normal"/>
    <w:next w:val="Normal"/>
    <w:link w:val="TitleChar"/>
    <w:uiPriority w:val="10"/>
    <w:qFormat/>
    <w:rsid w:val="00717826"/>
    <w:pPr>
      <w:pBdr>
        <w:bottom w:val="single" w:sz="8" w:space="4" w:color="4F81BD" w:themeColor="accent1"/>
      </w:pBdr>
      <w:spacing w:after="300" w:line="240" w:lineRule="auto"/>
      <w:contextualSpacing/>
    </w:pPr>
    <w:rPr>
      <w:rFonts w:eastAsiaTheme="majorEastAsia" w:cstheme="majorBidi"/>
      <w:color w:val="000000" w:themeColor="text1"/>
      <w:spacing w:val="5"/>
      <w:kern w:val="28"/>
      <w:sz w:val="32"/>
      <w:szCs w:val="52"/>
    </w:rPr>
  </w:style>
  <w:style w:type="character" w:customStyle="1" w:styleId="TitleChar">
    <w:name w:val="Title Char"/>
    <w:aliases w:val="Chapter Title Char"/>
    <w:basedOn w:val="DefaultParagraphFont"/>
    <w:link w:val="Title"/>
    <w:uiPriority w:val="10"/>
    <w:rsid w:val="00717826"/>
    <w:rPr>
      <w:rFonts w:eastAsiaTheme="majorEastAsia" w:cstheme="majorBidi"/>
      <w:color w:val="000000" w:themeColor="text1"/>
      <w:spacing w:val="5"/>
      <w:kern w:val="28"/>
      <w:sz w:val="32"/>
      <w:szCs w:val="52"/>
    </w:rPr>
  </w:style>
  <w:style w:type="character" w:customStyle="1" w:styleId="Heading1Char">
    <w:name w:val="Heading 1 Char"/>
    <w:basedOn w:val="DefaultParagraphFont"/>
    <w:link w:val="Heading1"/>
    <w:rsid w:val="003960F8"/>
    <w:rPr>
      <w:rFonts w:ascii="Times New Roman" w:eastAsia="Times New Roman" w:hAnsi="Times New Roman" w:cs="Arial"/>
      <w:b/>
      <w:bCs/>
      <w:kern w:val="32"/>
      <w:sz w:val="24"/>
      <w:szCs w:val="32"/>
      <w:lang w:eastAsia="en-GB"/>
    </w:rPr>
  </w:style>
  <w:style w:type="character" w:customStyle="1" w:styleId="Heading2Char">
    <w:name w:val="Heading 2 Char"/>
    <w:basedOn w:val="DefaultParagraphFont"/>
    <w:link w:val="Heading2"/>
    <w:rsid w:val="003960F8"/>
    <w:rPr>
      <w:rFonts w:ascii="Times New Roman" w:eastAsia="Times New Roman" w:hAnsi="Times New Roman" w:cs="Arial"/>
      <w:b/>
      <w:bCs/>
      <w:i/>
      <w:iCs/>
      <w:sz w:val="24"/>
      <w:szCs w:val="28"/>
      <w:lang w:eastAsia="en-GB"/>
    </w:rPr>
  </w:style>
  <w:style w:type="character" w:customStyle="1" w:styleId="Heading3Char">
    <w:name w:val="Heading 3 Char"/>
    <w:basedOn w:val="DefaultParagraphFont"/>
    <w:link w:val="Heading3"/>
    <w:rsid w:val="003960F8"/>
    <w:rPr>
      <w:rFonts w:ascii="Times New Roman" w:eastAsia="Times New Roman" w:hAnsi="Times New Roman" w:cs="Arial"/>
      <w:bCs/>
      <w:i/>
      <w:sz w:val="24"/>
      <w:szCs w:val="26"/>
      <w:lang w:eastAsia="en-GB"/>
    </w:rPr>
  </w:style>
  <w:style w:type="paragraph" w:styleId="TOCHeading">
    <w:name w:val="TOC Heading"/>
    <w:basedOn w:val="Heading1"/>
    <w:next w:val="Normal"/>
    <w:uiPriority w:val="39"/>
    <w:unhideWhenUsed/>
    <w:qFormat/>
    <w:rsid w:val="00A73695"/>
    <w:pPr>
      <w:spacing w:before="480" w:after="0"/>
      <w:outlineLvl w:val="9"/>
    </w:pPr>
    <w:rPr>
      <w:rFonts w:asciiTheme="majorHAnsi" w:eastAsiaTheme="majorEastAsia" w:hAnsiTheme="majorHAnsi" w:cstheme="majorBidi"/>
      <w:bCs w:val="0"/>
      <w:color w:val="365F91" w:themeColor="accent1" w:themeShade="BF"/>
      <w:sz w:val="28"/>
      <w:szCs w:val="28"/>
      <w:lang w:val="en-US" w:eastAsia="ja-JP"/>
    </w:rPr>
  </w:style>
  <w:style w:type="paragraph" w:styleId="TOC1">
    <w:name w:val="toc 1"/>
    <w:basedOn w:val="Normal"/>
    <w:next w:val="Normal"/>
    <w:autoRedefine/>
    <w:uiPriority w:val="39"/>
    <w:unhideWhenUsed/>
    <w:rsid w:val="00C0326B"/>
    <w:pPr>
      <w:tabs>
        <w:tab w:val="right" w:leader="dot" w:pos="9016"/>
      </w:tabs>
      <w:spacing w:after="100"/>
    </w:pPr>
    <w:rPr>
      <w:b/>
      <w:noProof/>
    </w:rPr>
  </w:style>
  <w:style w:type="paragraph" w:styleId="TOC2">
    <w:name w:val="toc 2"/>
    <w:basedOn w:val="Normal"/>
    <w:next w:val="Normal"/>
    <w:autoRedefine/>
    <w:uiPriority w:val="39"/>
    <w:unhideWhenUsed/>
    <w:rsid w:val="00A73695"/>
    <w:pPr>
      <w:spacing w:after="100"/>
      <w:ind w:left="220"/>
    </w:pPr>
  </w:style>
  <w:style w:type="paragraph" w:styleId="TOC3">
    <w:name w:val="toc 3"/>
    <w:basedOn w:val="Normal"/>
    <w:next w:val="Normal"/>
    <w:autoRedefine/>
    <w:uiPriority w:val="39"/>
    <w:unhideWhenUsed/>
    <w:rsid w:val="00A73695"/>
    <w:pPr>
      <w:spacing w:after="100"/>
      <w:ind w:left="440"/>
    </w:pPr>
  </w:style>
  <w:style w:type="paragraph" w:customStyle="1" w:styleId="Text0">
    <w:name w:val="Text"/>
    <w:basedOn w:val="Normal"/>
    <w:link w:val="TextChar"/>
    <w:rsid w:val="00B3310D"/>
    <w:pPr>
      <w:spacing w:line="240" w:lineRule="auto"/>
    </w:pPr>
    <w:rPr>
      <w:rFonts w:ascii="Tahoma" w:eastAsia="Batang" w:hAnsi="Tahoma"/>
      <w:sz w:val="16"/>
      <w:lang w:val="en-US" w:eastAsia="ko-KR"/>
    </w:rPr>
  </w:style>
  <w:style w:type="character" w:customStyle="1" w:styleId="TextChar">
    <w:name w:val="Text Char"/>
    <w:basedOn w:val="DefaultParagraphFont"/>
    <w:link w:val="Text0"/>
    <w:rsid w:val="00B3310D"/>
    <w:rPr>
      <w:rFonts w:ascii="Tahoma" w:eastAsia="Batang" w:hAnsi="Tahoma" w:cs="Times New Roman"/>
      <w:sz w:val="16"/>
      <w:szCs w:val="24"/>
      <w:lang w:val="en-US" w:eastAsia="ko-KR"/>
    </w:rPr>
  </w:style>
  <w:style w:type="character" w:styleId="Strong">
    <w:name w:val="Strong"/>
    <w:basedOn w:val="DefaultParagraphFont"/>
    <w:uiPriority w:val="22"/>
    <w:qFormat/>
    <w:rsid w:val="00E001AB"/>
    <w:rPr>
      <w:b/>
      <w:bCs/>
    </w:rPr>
  </w:style>
  <w:style w:type="paragraph" w:customStyle="1" w:styleId="Caption1">
    <w:name w:val="Caption1"/>
    <w:basedOn w:val="Normal"/>
    <w:rsid w:val="00E001AB"/>
    <w:pPr>
      <w:spacing w:before="100" w:beforeAutospacing="1" w:after="100" w:afterAutospacing="1" w:line="240" w:lineRule="auto"/>
    </w:pPr>
  </w:style>
  <w:style w:type="character" w:customStyle="1" w:styleId="medium-font">
    <w:name w:val="medium-font"/>
    <w:basedOn w:val="DefaultParagraphFont"/>
    <w:rsid w:val="00E001AB"/>
  </w:style>
  <w:style w:type="character" w:customStyle="1" w:styleId="record-index">
    <w:name w:val="record-index"/>
    <w:basedOn w:val="DefaultParagraphFont"/>
    <w:rsid w:val="00E001AB"/>
  </w:style>
  <w:style w:type="character" w:styleId="FollowedHyperlink">
    <w:name w:val="FollowedHyperlink"/>
    <w:basedOn w:val="DefaultParagraphFont"/>
    <w:uiPriority w:val="99"/>
    <w:semiHidden/>
    <w:unhideWhenUsed/>
    <w:rsid w:val="002A0B8C"/>
    <w:rPr>
      <w:color w:val="800080" w:themeColor="followedHyperlink"/>
      <w:u w:val="single"/>
    </w:rPr>
  </w:style>
  <w:style w:type="character" w:customStyle="1" w:styleId="searchword">
    <w:name w:val="searchword"/>
    <w:basedOn w:val="DefaultParagraphFont"/>
    <w:rsid w:val="00486CE5"/>
  </w:style>
  <w:style w:type="character" w:styleId="HTMLCite">
    <w:name w:val="HTML Cite"/>
    <w:basedOn w:val="DefaultParagraphFont"/>
    <w:uiPriority w:val="99"/>
    <w:semiHidden/>
    <w:unhideWhenUsed/>
    <w:rsid w:val="00B72B9F"/>
    <w:rPr>
      <w:i/>
      <w:iCs/>
    </w:rPr>
  </w:style>
  <w:style w:type="character" w:customStyle="1" w:styleId="dyjrff">
    <w:name w:val="dyjrff"/>
    <w:basedOn w:val="DefaultParagraphFont"/>
    <w:rsid w:val="00B72B9F"/>
  </w:style>
  <w:style w:type="paragraph" w:styleId="NoSpacing">
    <w:name w:val="No Spacing"/>
    <w:uiPriority w:val="1"/>
    <w:qFormat/>
    <w:rsid w:val="00C57DCC"/>
    <w:pPr>
      <w:spacing w:after="0" w:line="240" w:lineRule="auto"/>
    </w:pPr>
    <w:rPr>
      <w:rFonts w:ascii="Calibri" w:eastAsia="SimSun" w:hAnsi="Calibri" w:cs="Arial"/>
      <w:lang w:eastAsia="zh-CN"/>
    </w:rPr>
  </w:style>
  <w:style w:type="character" w:customStyle="1" w:styleId="UnresolvedMention1">
    <w:name w:val="Unresolved Mention1"/>
    <w:basedOn w:val="DefaultParagraphFont"/>
    <w:uiPriority w:val="99"/>
    <w:semiHidden/>
    <w:unhideWhenUsed/>
    <w:rsid w:val="00100BCD"/>
    <w:rPr>
      <w:color w:val="605E5C"/>
      <w:shd w:val="clear" w:color="auto" w:fill="E1DFDD"/>
    </w:rPr>
  </w:style>
  <w:style w:type="character" w:customStyle="1" w:styleId="UnresolvedMention2">
    <w:name w:val="Unresolved Mention2"/>
    <w:basedOn w:val="DefaultParagraphFont"/>
    <w:uiPriority w:val="99"/>
    <w:semiHidden/>
    <w:unhideWhenUsed/>
    <w:rsid w:val="008B235F"/>
    <w:rPr>
      <w:color w:val="605E5C"/>
      <w:shd w:val="clear" w:color="auto" w:fill="E1DFDD"/>
    </w:rPr>
  </w:style>
  <w:style w:type="paragraph" w:customStyle="1" w:styleId="Affiliation">
    <w:name w:val="Affiliation"/>
    <w:basedOn w:val="Normal"/>
    <w:qFormat/>
    <w:rsid w:val="003960F8"/>
    <w:pPr>
      <w:spacing w:before="240" w:line="360" w:lineRule="auto"/>
    </w:pPr>
    <w:rPr>
      <w:i/>
    </w:rPr>
  </w:style>
  <w:style w:type="character" w:customStyle="1" w:styleId="Heading4Char">
    <w:name w:val="Heading 4 Char"/>
    <w:basedOn w:val="DefaultParagraphFont"/>
    <w:link w:val="Heading4"/>
    <w:rsid w:val="003960F8"/>
    <w:rPr>
      <w:rFonts w:ascii="Times New Roman" w:eastAsia="Times New Roman" w:hAnsi="Times New Roman" w:cs="Times New Roman"/>
      <w:bCs/>
      <w:sz w:val="24"/>
      <w:szCs w:val="28"/>
      <w:lang w:eastAsia="en-GB"/>
    </w:rPr>
  </w:style>
  <w:style w:type="paragraph" w:customStyle="1" w:styleId="Articletitle">
    <w:name w:val="Article title"/>
    <w:basedOn w:val="Normal"/>
    <w:next w:val="Normal"/>
    <w:qFormat/>
    <w:rsid w:val="003960F8"/>
    <w:pPr>
      <w:spacing w:after="120" w:line="360" w:lineRule="auto"/>
    </w:pPr>
    <w:rPr>
      <w:b/>
      <w:sz w:val="28"/>
    </w:rPr>
  </w:style>
  <w:style w:type="paragraph" w:customStyle="1" w:styleId="Authornames">
    <w:name w:val="Author names"/>
    <w:basedOn w:val="Normal"/>
    <w:next w:val="Normal"/>
    <w:qFormat/>
    <w:rsid w:val="003960F8"/>
    <w:pPr>
      <w:spacing w:before="240" w:line="360" w:lineRule="auto"/>
    </w:pPr>
    <w:rPr>
      <w:sz w:val="28"/>
    </w:rPr>
  </w:style>
  <w:style w:type="paragraph" w:customStyle="1" w:styleId="Receiveddates">
    <w:name w:val="Received dates"/>
    <w:basedOn w:val="Affiliation"/>
    <w:next w:val="Normal"/>
    <w:qFormat/>
    <w:rsid w:val="003960F8"/>
  </w:style>
  <w:style w:type="paragraph" w:customStyle="1" w:styleId="Abstract">
    <w:name w:val="Abstract"/>
    <w:basedOn w:val="Normal"/>
    <w:next w:val="Keywords"/>
    <w:qFormat/>
    <w:rsid w:val="003960F8"/>
    <w:pPr>
      <w:spacing w:before="360" w:after="300" w:line="360" w:lineRule="auto"/>
      <w:ind w:left="720" w:right="567"/>
    </w:pPr>
    <w:rPr>
      <w:sz w:val="22"/>
    </w:rPr>
  </w:style>
  <w:style w:type="paragraph" w:customStyle="1" w:styleId="Keywords">
    <w:name w:val="Keywords"/>
    <w:basedOn w:val="Normal"/>
    <w:next w:val="Paragraph"/>
    <w:qFormat/>
    <w:rsid w:val="003960F8"/>
    <w:pPr>
      <w:spacing w:before="240" w:after="240" w:line="360" w:lineRule="auto"/>
      <w:ind w:left="720" w:right="567"/>
    </w:pPr>
    <w:rPr>
      <w:sz w:val="22"/>
    </w:rPr>
  </w:style>
  <w:style w:type="paragraph" w:customStyle="1" w:styleId="Correspondencedetails">
    <w:name w:val="Correspondence details"/>
    <w:basedOn w:val="Normal"/>
    <w:qFormat/>
    <w:rsid w:val="003960F8"/>
    <w:pPr>
      <w:spacing w:before="240" w:line="360" w:lineRule="auto"/>
    </w:pPr>
  </w:style>
  <w:style w:type="paragraph" w:customStyle="1" w:styleId="Displayedquotation">
    <w:name w:val="Displayed quotation"/>
    <w:basedOn w:val="Normal"/>
    <w:qFormat/>
    <w:rsid w:val="003960F8"/>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3960F8"/>
    <w:pPr>
      <w:widowControl/>
      <w:numPr>
        <w:numId w:val="25"/>
      </w:numPr>
      <w:spacing w:after="240"/>
      <w:contextualSpacing/>
    </w:pPr>
  </w:style>
  <w:style w:type="paragraph" w:customStyle="1" w:styleId="Displayedequation">
    <w:name w:val="Displayed equation"/>
    <w:basedOn w:val="Normal"/>
    <w:next w:val="Paragraph"/>
    <w:qFormat/>
    <w:rsid w:val="003960F8"/>
    <w:pPr>
      <w:tabs>
        <w:tab w:val="center" w:pos="4253"/>
        <w:tab w:val="right" w:pos="8222"/>
      </w:tabs>
      <w:spacing w:before="240" w:after="240"/>
      <w:jc w:val="center"/>
    </w:pPr>
  </w:style>
  <w:style w:type="paragraph" w:customStyle="1" w:styleId="Acknowledgements">
    <w:name w:val="Acknowledgements"/>
    <w:basedOn w:val="Normal"/>
    <w:next w:val="Normal"/>
    <w:qFormat/>
    <w:rsid w:val="003960F8"/>
    <w:pPr>
      <w:spacing w:before="120" w:line="360" w:lineRule="auto"/>
    </w:pPr>
    <w:rPr>
      <w:sz w:val="22"/>
    </w:rPr>
  </w:style>
  <w:style w:type="paragraph" w:customStyle="1" w:styleId="Tabletitle">
    <w:name w:val="Table title"/>
    <w:basedOn w:val="Normal"/>
    <w:next w:val="Normal"/>
    <w:qFormat/>
    <w:rsid w:val="003960F8"/>
    <w:pPr>
      <w:spacing w:before="240" w:line="360" w:lineRule="auto"/>
    </w:pPr>
  </w:style>
  <w:style w:type="paragraph" w:customStyle="1" w:styleId="Figurecaption">
    <w:name w:val="Figure caption"/>
    <w:basedOn w:val="Normal"/>
    <w:next w:val="Normal"/>
    <w:qFormat/>
    <w:rsid w:val="003960F8"/>
    <w:pPr>
      <w:spacing w:before="240" w:line="360" w:lineRule="auto"/>
    </w:pPr>
  </w:style>
  <w:style w:type="paragraph" w:customStyle="1" w:styleId="Footnotes">
    <w:name w:val="Footnotes"/>
    <w:basedOn w:val="Normal"/>
    <w:qFormat/>
    <w:rsid w:val="003960F8"/>
    <w:pPr>
      <w:spacing w:before="120" w:line="360" w:lineRule="auto"/>
      <w:ind w:left="482" w:hanging="482"/>
      <w:contextualSpacing/>
    </w:pPr>
    <w:rPr>
      <w:sz w:val="22"/>
    </w:rPr>
  </w:style>
  <w:style w:type="paragraph" w:customStyle="1" w:styleId="Notesoncontributors">
    <w:name w:val="Notes on contributors"/>
    <w:basedOn w:val="Normal"/>
    <w:qFormat/>
    <w:rsid w:val="003960F8"/>
    <w:pPr>
      <w:spacing w:before="240" w:line="360" w:lineRule="auto"/>
    </w:pPr>
    <w:rPr>
      <w:sz w:val="22"/>
    </w:rPr>
  </w:style>
  <w:style w:type="paragraph" w:customStyle="1" w:styleId="Normalparagraphstyle">
    <w:name w:val="Normal paragraph style"/>
    <w:basedOn w:val="Normal"/>
    <w:next w:val="Normal"/>
    <w:rsid w:val="003960F8"/>
  </w:style>
  <w:style w:type="paragraph" w:customStyle="1" w:styleId="Paragraph">
    <w:name w:val="Paragraph"/>
    <w:basedOn w:val="Normal"/>
    <w:next w:val="Newparagraph"/>
    <w:qFormat/>
    <w:rsid w:val="003960F8"/>
    <w:pPr>
      <w:widowControl w:val="0"/>
      <w:spacing w:before="240"/>
    </w:pPr>
  </w:style>
  <w:style w:type="paragraph" w:customStyle="1" w:styleId="Newparagraph">
    <w:name w:val="New paragraph"/>
    <w:basedOn w:val="Normal"/>
    <w:qFormat/>
    <w:rsid w:val="003960F8"/>
    <w:pPr>
      <w:ind w:firstLine="720"/>
    </w:pPr>
  </w:style>
  <w:style w:type="paragraph" w:styleId="NormalIndent">
    <w:name w:val="Normal Indent"/>
    <w:basedOn w:val="Normal"/>
    <w:rsid w:val="003960F8"/>
    <w:pPr>
      <w:ind w:left="720"/>
    </w:pPr>
  </w:style>
  <w:style w:type="paragraph" w:customStyle="1" w:styleId="References">
    <w:name w:val="References"/>
    <w:basedOn w:val="Normal"/>
    <w:qFormat/>
    <w:rsid w:val="003960F8"/>
    <w:pPr>
      <w:spacing w:before="120" w:line="360" w:lineRule="auto"/>
      <w:ind w:left="720" w:hanging="720"/>
      <w:contextualSpacing/>
    </w:pPr>
  </w:style>
  <w:style w:type="paragraph" w:customStyle="1" w:styleId="Subjectcodes">
    <w:name w:val="Subject codes"/>
    <w:basedOn w:val="Keywords"/>
    <w:next w:val="Paragraph"/>
    <w:qFormat/>
    <w:rsid w:val="003960F8"/>
  </w:style>
  <w:style w:type="paragraph" w:customStyle="1" w:styleId="Bulletedlist">
    <w:name w:val="Bulleted list"/>
    <w:basedOn w:val="Paragraph"/>
    <w:next w:val="Paragraph"/>
    <w:qFormat/>
    <w:rsid w:val="003960F8"/>
    <w:pPr>
      <w:widowControl/>
      <w:numPr>
        <w:numId w:val="26"/>
      </w:numPr>
      <w:spacing w:after="240"/>
      <w:contextualSpacing/>
    </w:pPr>
  </w:style>
  <w:style w:type="paragraph" w:customStyle="1" w:styleId="Heading4Paragraph">
    <w:name w:val="Heading 4 + Paragraph"/>
    <w:basedOn w:val="Paragraph"/>
    <w:next w:val="Newparagraph"/>
    <w:qFormat/>
    <w:rsid w:val="003960F8"/>
    <w:pPr>
      <w:widowControl/>
      <w:spacing w:before="360"/>
    </w:pPr>
  </w:style>
  <w:style w:type="paragraph" w:styleId="NormalWeb">
    <w:name w:val="Normal (Web)"/>
    <w:basedOn w:val="Normal"/>
    <w:uiPriority w:val="99"/>
    <w:semiHidden/>
    <w:unhideWhenUsed/>
    <w:rsid w:val="002C60D9"/>
  </w:style>
  <w:style w:type="character" w:customStyle="1" w:styleId="UnresolvedMention3">
    <w:name w:val="Unresolved Mention3"/>
    <w:basedOn w:val="DefaultParagraphFont"/>
    <w:uiPriority w:val="99"/>
    <w:semiHidden/>
    <w:unhideWhenUsed/>
    <w:rsid w:val="00962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97">
      <w:bodyDiv w:val="1"/>
      <w:marLeft w:val="0"/>
      <w:marRight w:val="0"/>
      <w:marTop w:val="0"/>
      <w:marBottom w:val="0"/>
      <w:divBdr>
        <w:top w:val="none" w:sz="0" w:space="0" w:color="auto"/>
        <w:left w:val="none" w:sz="0" w:space="0" w:color="auto"/>
        <w:bottom w:val="none" w:sz="0" w:space="0" w:color="auto"/>
        <w:right w:val="none" w:sz="0" w:space="0" w:color="auto"/>
      </w:divBdr>
    </w:div>
    <w:div w:id="30149336">
      <w:bodyDiv w:val="1"/>
      <w:marLeft w:val="0"/>
      <w:marRight w:val="0"/>
      <w:marTop w:val="0"/>
      <w:marBottom w:val="0"/>
      <w:divBdr>
        <w:top w:val="none" w:sz="0" w:space="0" w:color="auto"/>
        <w:left w:val="none" w:sz="0" w:space="0" w:color="auto"/>
        <w:bottom w:val="none" w:sz="0" w:space="0" w:color="auto"/>
        <w:right w:val="none" w:sz="0" w:space="0" w:color="auto"/>
      </w:divBdr>
    </w:div>
    <w:div w:id="129787067">
      <w:bodyDiv w:val="1"/>
      <w:marLeft w:val="0"/>
      <w:marRight w:val="0"/>
      <w:marTop w:val="0"/>
      <w:marBottom w:val="0"/>
      <w:divBdr>
        <w:top w:val="none" w:sz="0" w:space="0" w:color="auto"/>
        <w:left w:val="none" w:sz="0" w:space="0" w:color="auto"/>
        <w:bottom w:val="none" w:sz="0" w:space="0" w:color="auto"/>
        <w:right w:val="none" w:sz="0" w:space="0" w:color="auto"/>
      </w:divBdr>
    </w:div>
    <w:div w:id="139659750">
      <w:bodyDiv w:val="1"/>
      <w:marLeft w:val="0"/>
      <w:marRight w:val="0"/>
      <w:marTop w:val="0"/>
      <w:marBottom w:val="0"/>
      <w:divBdr>
        <w:top w:val="none" w:sz="0" w:space="0" w:color="auto"/>
        <w:left w:val="none" w:sz="0" w:space="0" w:color="auto"/>
        <w:bottom w:val="none" w:sz="0" w:space="0" w:color="auto"/>
        <w:right w:val="none" w:sz="0" w:space="0" w:color="auto"/>
      </w:divBdr>
    </w:div>
    <w:div w:id="147526276">
      <w:bodyDiv w:val="1"/>
      <w:marLeft w:val="0"/>
      <w:marRight w:val="0"/>
      <w:marTop w:val="0"/>
      <w:marBottom w:val="0"/>
      <w:divBdr>
        <w:top w:val="none" w:sz="0" w:space="0" w:color="auto"/>
        <w:left w:val="none" w:sz="0" w:space="0" w:color="auto"/>
        <w:bottom w:val="none" w:sz="0" w:space="0" w:color="auto"/>
        <w:right w:val="none" w:sz="0" w:space="0" w:color="auto"/>
      </w:divBdr>
      <w:divsChild>
        <w:div w:id="2118939371">
          <w:marLeft w:val="0"/>
          <w:marRight w:val="0"/>
          <w:marTop w:val="0"/>
          <w:marBottom w:val="0"/>
          <w:divBdr>
            <w:top w:val="none" w:sz="0" w:space="0" w:color="auto"/>
            <w:left w:val="none" w:sz="0" w:space="0" w:color="auto"/>
            <w:bottom w:val="none" w:sz="0" w:space="0" w:color="auto"/>
            <w:right w:val="none" w:sz="0" w:space="0" w:color="auto"/>
          </w:divBdr>
        </w:div>
        <w:div w:id="1418748798">
          <w:marLeft w:val="0"/>
          <w:marRight w:val="0"/>
          <w:marTop w:val="120"/>
          <w:marBottom w:val="0"/>
          <w:divBdr>
            <w:top w:val="none" w:sz="0" w:space="0" w:color="auto"/>
            <w:left w:val="none" w:sz="0" w:space="0" w:color="auto"/>
            <w:bottom w:val="none" w:sz="0" w:space="0" w:color="auto"/>
            <w:right w:val="none" w:sz="0" w:space="0" w:color="auto"/>
          </w:divBdr>
        </w:div>
      </w:divsChild>
    </w:div>
    <w:div w:id="191773079">
      <w:bodyDiv w:val="1"/>
      <w:marLeft w:val="0"/>
      <w:marRight w:val="0"/>
      <w:marTop w:val="0"/>
      <w:marBottom w:val="0"/>
      <w:divBdr>
        <w:top w:val="none" w:sz="0" w:space="0" w:color="auto"/>
        <w:left w:val="none" w:sz="0" w:space="0" w:color="auto"/>
        <w:bottom w:val="none" w:sz="0" w:space="0" w:color="auto"/>
        <w:right w:val="none" w:sz="0" w:space="0" w:color="auto"/>
      </w:divBdr>
    </w:div>
    <w:div w:id="218706409">
      <w:bodyDiv w:val="1"/>
      <w:marLeft w:val="0"/>
      <w:marRight w:val="0"/>
      <w:marTop w:val="0"/>
      <w:marBottom w:val="0"/>
      <w:divBdr>
        <w:top w:val="none" w:sz="0" w:space="0" w:color="auto"/>
        <w:left w:val="none" w:sz="0" w:space="0" w:color="auto"/>
        <w:bottom w:val="none" w:sz="0" w:space="0" w:color="auto"/>
        <w:right w:val="none" w:sz="0" w:space="0" w:color="auto"/>
      </w:divBdr>
      <w:divsChild>
        <w:div w:id="1601572450">
          <w:marLeft w:val="0"/>
          <w:marRight w:val="0"/>
          <w:marTop w:val="0"/>
          <w:marBottom w:val="0"/>
          <w:divBdr>
            <w:top w:val="none" w:sz="0" w:space="0" w:color="auto"/>
            <w:left w:val="none" w:sz="0" w:space="0" w:color="auto"/>
            <w:bottom w:val="none" w:sz="0" w:space="0" w:color="auto"/>
            <w:right w:val="none" w:sz="0" w:space="0" w:color="auto"/>
          </w:divBdr>
          <w:divsChild>
            <w:div w:id="1278025418">
              <w:marLeft w:val="0"/>
              <w:marRight w:val="0"/>
              <w:marTop w:val="0"/>
              <w:marBottom w:val="0"/>
              <w:divBdr>
                <w:top w:val="none" w:sz="0" w:space="0" w:color="auto"/>
                <w:left w:val="none" w:sz="0" w:space="0" w:color="auto"/>
                <w:bottom w:val="none" w:sz="0" w:space="0" w:color="auto"/>
                <w:right w:val="none" w:sz="0" w:space="0" w:color="auto"/>
              </w:divBdr>
            </w:div>
            <w:div w:id="905340861">
              <w:marLeft w:val="0"/>
              <w:marRight w:val="0"/>
              <w:marTop w:val="0"/>
              <w:marBottom w:val="0"/>
              <w:divBdr>
                <w:top w:val="none" w:sz="0" w:space="0" w:color="auto"/>
                <w:left w:val="none" w:sz="0" w:space="0" w:color="auto"/>
                <w:bottom w:val="none" w:sz="0" w:space="0" w:color="auto"/>
                <w:right w:val="none" w:sz="0" w:space="0" w:color="auto"/>
              </w:divBdr>
            </w:div>
          </w:divsChild>
        </w:div>
        <w:div w:id="1636064790">
          <w:marLeft w:val="0"/>
          <w:marRight w:val="0"/>
          <w:marTop w:val="150"/>
          <w:marBottom w:val="0"/>
          <w:divBdr>
            <w:top w:val="none" w:sz="0" w:space="0" w:color="auto"/>
            <w:left w:val="none" w:sz="0" w:space="0" w:color="auto"/>
            <w:bottom w:val="none" w:sz="0" w:space="0" w:color="auto"/>
            <w:right w:val="none" w:sz="0" w:space="0" w:color="auto"/>
          </w:divBdr>
        </w:div>
      </w:divsChild>
    </w:div>
    <w:div w:id="286359174">
      <w:bodyDiv w:val="1"/>
      <w:marLeft w:val="0"/>
      <w:marRight w:val="0"/>
      <w:marTop w:val="0"/>
      <w:marBottom w:val="0"/>
      <w:divBdr>
        <w:top w:val="none" w:sz="0" w:space="0" w:color="auto"/>
        <w:left w:val="none" w:sz="0" w:space="0" w:color="auto"/>
        <w:bottom w:val="none" w:sz="0" w:space="0" w:color="auto"/>
        <w:right w:val="none" w:sz="0" w:space="0" w:color="auto"/>
      </w:divBdr>
    </w:div>
    <w:div w:id="307560650">
      <w:bodyDiv w:val="1"/>
      <w:marLeft w:val="0"/>
      <w:marRight w:val="0"/>
      <w:marTop w:val="0"/>
      <w:marBottom w:val="0"/>
      <w:divBdr>
        <w:top w:val="none" w:sz="0" w:space="0" w:color="auto"/>
        <w:left w:val="none" w:sz="0" w:space="0" w:color="auto"/>
        <w:bottom w:val="none" w:sz="0" w:space="0" w:color="auto"/>
        <w:right w:val="none" w:sz="0" w:space="0" w:color="auto"/>
      </w:divBdr>
    </w:div>
    <w:div w:id="404913280">
      <w:bodyDiv w:val="1"/>
      <w:marLeft w:val="0"/>
      <w:marRight w:val="0"/>
      <w:marTop w:val="0"/>
      <w:marBottom w:val="0"/>
      <w:divBdr>
        <w:top w:val="none" w:sz="0" w:space="0" w:color="auto"/>
        <w:left w:val="none" w:sz="0" w:space="0" w:color="auto"/>
        <w:bottom w:val="none" w:sz="0" w:space="0" w:color="auto"/>
        <w:right w:val="none" w:sz="0" w:space="0" w:color="auto"/>
      </w:divBdr>
    </w:div>
    <w:div w:id="493909754">
      <w:bodyDiv w:val="1"/>
      <w:marLeft w:val="0"/>
      <w:marRight w:val="0"/>
      <w:marTop w:val="0"/>
      <w:marBottom w:val="0"/>
      <w:divBdr>
        <w:top w:val="none" w:sz="0" w:space="0" w:color="auto"/>
        <w:left w:val="none" w:sz="0" w:space="0" w:color="auto"/>
        <w:bottom w:val="none" w:sz="0" w:space="0" w:color="auto"/>
        <w:right w:val="none" w:sz="0" w:space="0" w:color="auto"/>
      </w:divBdr>
      <w:divsChild>
        <w:div w:id="1065833037">
          <w:marLeft w:val="0"/>
          <w:marRight w:val="0"/>
          <w:marTop w:val="0"/>
          <w:marBottom w:val="0"/>
          <w:divBdr>
            <w:top w:val="none" w:sz="0" w:space="0" w:color="auto"/>
            <w:left w:val="none" w:sz="0" w:space="0" w:color="auto"/>
            <w:bottom w:val="none" w:sz="0" w:space="0" w:color="auto"/>
            <w:right w:val="none" w:sz="0" w:space="0" w:color="auto"/>
          </w:divBdr>
        </w:div>
        <w:div w:id="1713724510">
          <w:marLeft w:val="0"/>
          <w:marRight w:val="0"/>
          <w:marTop w:val="120"/>
          <w:marBottom w:val="0"/>
          <w:divBdr>
            <w:top w:val="none" w:sz="0" w:space="0" w:color="auto"/>
            <w:left w:val="none" w:sz="0" w:space="0" w:color="auto"/>
            <w:bottom w:val="none" w:sz="0" w:space="0" w:color="auto"/>
            <w:right w:val="none" w:sz="0" w:space="0" w:color="auto"/>
          </w:divBdr>
        </w:div>
      </w:divsChild>
    </w:div>
    <w:div w:id="504828261">
      <w:bodyDiv w:val="1"/>
      <w:marLeft w:val="0"/>
      <w:marRight w:val="0"/>
      <w:marTop w:val="0"/>
      <w:marBottom w:val="0"/>
      <w:divBdr>
        <w:top w:val="none" w:sz="0" w:space="0" w:color="auto"/>
        <w:left w:val="none" w:sz="0" w:space="0" w:color="auto"/>
        <w:bottom w:val="none" w:sz="0" w:space="0" w:color="auto"/>
        <w:right w:val="none" w:sz="0" w:space="0" w:color="auto"/>
      </w:divBdr>
    </w:div>
    <w:div w:id="516162065">
      <w:bodyDiv w:val="1"/>
      <w:marLeft w:val="0"/>
      <w:marRight w:val="0"/>
      <w:marTop w:val="0"/>
      <w:marBottom w:val="0"/>
      <w:divBdr>
        <w:top w:val="none" w:sz="0" w:space="0" w:color="auto"/>
        <w:left w:val="none" w:sz="0" w:space="0" w:color="auto"/>
        <w:bottom w:val="none" w:sz="0" w:space="0" w:color="auto"/>
        <w:right w:val="none" w:sz="0" w:space="0" w:color="auto"/>
      </w:divBdr>
    </w:div>
    <w:div w:id="540820323">
      <w:bodyDiv w:val="1"/>
      <w:marLeft w:val="0"/>
      <w:marRight w:val="0"/>
      <w:marTop w:val="0"/>
      <w:marBottom w:val="0"/>
      <w:divBdr>
        <w:top w:val="none" w:sz="0" w:space="0" w:color="auto"/>
        <w:left w:val="none" w:sz="0" w:space="0" w:color="auto"/>
        <w:bottom w:val="none" w:sz="0" w:space="0" w:color="auto"/>
        <w:right w:val="none" w:sz="0" w:space="0" w:color="auto"/>
      </w:divBdr>
    </w:div>
    <w:div w:id="542403173">
      <w:bodyDiv w:val="1"/>
      <w:marLeft w:val="0"/>
      <w:marRight w:val="0"/>
      <w:marTop w:val="0"/>
      <w:marBottom w:val="0"/>
      <w:divBdr>
        <w:top w:val="none" w:sz="0" w:space="0" w:color="auto"/>
        <w:left w:val="none" w:sz="0" w:space="0" w:color="auto"/>
        <w:bottom w:val="none" w:sz="0" w:space="0" w:color="auto"/>
        <w:right w:val="none" w:sz="0" w:space="0" w:color="auto"/>
      </w:divBdr>
    </w:div>
    <w:div w:id="614017872">
      <w:bodyDiv w:val="1"/>
      <w:marLeft w:val="0"/>
      <w:marRight w:val="0"/>
      <w:marTop w:val="0"/>
      <w:marBottom w:val="0"/>
      <w:divBdr>
        <w:top w:val="none" w:sz="0" w:space="0" w:color="auto"/>
        <w:left w:val="none" w:sz="0" w:space="0" w:color="auto"/>
        <w:bottom w:val="none" w:sz="0" w:space="0" w:color="auto"/>
        <w:right w:val="none" w:sz="0" w:space="0" w:color="auto"/>
      </w:divBdr>
      <w:divsChild>
        <w:div w:id="189495890">
          <w:marLeft w:val="0"/>
          <w:marRight w:val="0"/>
          <w:marTop w:val="0"/>
          <w:marBottom w:val="0"/>
          <w:divBdr>
            <w:top w:val="none" w:sz="0" w:space="0" w:color="auto"/>
            <w:left w:val="none" w:sz="0" w:space="0" w:color="auto"/>
            <w:bottom w:val="none" w:sz="0" w:space="0" w:color="auto"/>
            <w:right w:val="none" w:sz="0" w:space="0" w:color="auto"/>
          </w:divBdr>
          <w:divsChild>
            <w:div w:id="15682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0326">
      <w:bodyDiv w:val="1"/>
      <w:marLeft w:val="0"/>
      <w:marRight w:val="0"/>
      <w:marTop w:val="0"/>
      <w:marBottom w:val="0"/>
      <w:divBdr>
        <w:top w:val="none" w:sz="0" w:space="0" w:color="auto"/>
        <w:left w:val="none" w:sz="0" w:space="0" w:color="auto"/>
        <w:bottom w:val="none" w:sz="0" w:space="0" w:color="auto"/>
        <w:right w:val="none" w:sz="0" w:space="0" w:color="auto"/>
      </w:divBdr>
    </w:div>
    <w:div w:id="668795350">
      <w:bodyDiv w:val="1"/>
      <w:marLeft w:val="0"/>
      <w:marRight w:val="0"/>
      <w:marTop w:val="0"/>
      <w:marBottom w:val="0"/>
      <w:divBdr>
        <w:top w:val="none" w:sz="0" w:space="0" w:color="auto"/>
        <w:left w:val="none" w:sz="0" w:space="0" w:color="auto"/>
        <w:bottom w:val="none" w:sz="0" w:space="0" w:color="auto"/>
        <w:right w:val="none" w:sz="0" w:space="0" w:color="auto"/>
      </w:divBdr>
    </w:div>
    <w:div w:id="673918949">
      <w:bodyDiv w:val="1"/>
      <w:marLeft w:val="0"/>
      <w:marRight w:val="0"/>
      <w:marTop w:val="0"/>
      <w:marBottom w:val="0"/>
      <w:divBdr>
        <w:top w:val="none" w:sz="0" w:space="0" w:color="auto"/>
        <w:left w:val="none" w:sz="0" w:space="0" w:color="auto"/>
        <w:bottom w:val="none" w:sz="0" w:space="0" w:color="auto"/>
        <w:right w:val="none" w:sz="0" w:space="0" w:color="auto"/>
      </w:divBdr>
      <w:divsChild>
        <w:div w:id="63451338">
          <w:marLeft w:val="0"/>
          <w:marRight w:val="0"/>
          <w:marTop w:val="0"/>
          <w:marBottom w:val="0"/>
          <w:divBdr>
            <w:top w:val="none" w:sz="0" w:space="0" w:color="auto"/>
            <w:left w:val="none" w:sz="0" w:space="0" w:color="auto"/>
            <w:bottom w:val="none" w:sz="0" w:space="0" w:color="auto"/>
            <w:right w:val="none" w:sz="0" w:space="0" w:color="auto"/>
          </w:divBdr>
        </w:div>
        <w:div w:id="1531339017">
          <w:marLeft w:val="0"/>
          <w:marRight w:val="0"/>
          <w:marTop w:val="120"/>
          <w:marBottom w:val="0"/>
          <w:divBdr>
            <w:top w:val="none" w:sz="0" w:space="0" w:color="auto"/>
            <w:left w:val="none" w:sz="0" w:space="0" w:color="auto"/>
            <w:bottom w:val="none" w:sz="0" w:space="0" w:color="auto"/>
            <w:right w:val="none" w:sz="0" w:space="0" w:color="auto"/>
          </w:divBdr>
        </w:div>
      </w:divsChild>
    </w:div>
    <w:div w:id="777287496">
      <w:bodyDiv w:val="1"/>
      <w:marLeft w:val="0"/>
      <w:marRight w:val="0"/>
      <w:marTop w:val="0"/>
      <w:marBottom w:val="0"/>
      <w:divBdr>
        <w:top w:val="none" w:sz="0" w:space="0" w:color="auto"/>
        <w:left w:val="none" w:sz="0" w:space="0" w:color="auto"/>
        <w:bottom w:val="none" w:sz="0" w:space="0" w:color="auto"/>
        <w:right w:val="none" w:sz="0" w:space="0" w:color="auto"/>
      </w:divBdr>
    </w:div>
    <w:div w:id="815561472">
      <w:bodyDiv w:val="1"/>
      <w:marLeft w:val="0"/>
      <w:marRight w:val="0"/>
      <w:marTop w:val="0"/>
      <w:marBottom w:val="0"/>
      <w:divBdr>
        <w:top w:val="none" w:sz="0" w:space="0" w:color="auto"/>
        <w:left w:val="none" w:sz="0" w:space="0" w:color="auto"/>
        <w:bottom w:val="none" w:sz="0" w:space="0" w:color="auto"/>
        <w:right w:val="none" w:sz="0" w:space="0" w:color="auto"/>
      </w:divBdr>
    </w:div>
    <w:div w:id="840662343">
      <w:bodyDiv w:val="1"/>
      <w:marLeft w:val="0"/>
      <w:marRight w:val="0"/>
      <w:marTop w:val="0"/>
      <w:marBottom w:val="0"/>
      <w:divBdr>
        <w:top w:val="none" w:sz="0" w:space="0" w:color="auto"/>
        <w:left w:val="none" w:sz="0" w:space="0" w:color="auto"/>
        <w:bottom w:val="none" w:sz="0" w:space="0" w:color="auto"/>
        <w:right w:val="none" w:sz="0" w:space="0" w:color="auto"/>
      </w:divBdr>
    </w:div>
    <w:div w:id="885944207">
      <w:bodyDiv w:val="1"/>
      <w:marLeft w:val="0"/>
      <w:marRight w:val="0"/>
      <w:marTop w:val="0"/>
      <w:marBottom w:val="0"/>
      <w:divBdr>
        <w:top w:val="none" w:sz="0" w:space="0" w:color="auto"/>
        <w:left w:val="none" w:sz="0" w:space="0" w:color="auto"/>
        <w:bottom w:val="none" w:sz="0" w:space="0" w:color="auto"/>
        <w:right w:val="none" w:sz="0" w:space="0" w:color="auto"/>
      </w:divBdr>
      <w:divsChild>
        <w:div w:id="1667829688">
          <w:marLeft w:val="0"/>
          <w:marRight w:val="0"/>
          <w:marTop w:val="0"/>
          <w:marBottom w:val="0"/>
          <w:divBdr>
            <w:top w:val="none" w:sz="0" w:space="0" w:color="auto"/>
            <w:left w:val="none" w:sz="0" w:space="0" w:color="auto"/>
            <w:bottom w:val="none" w:sz="0" w:space="0" w:color="auto"/>
            <w:right w:val="none" w:sz="0" w:space="0" w:color="auto"/>
          </w:divBdr>
          <w:divsChild>
            <w:div w:id="10422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953">
      <w:bodyDiv w:val="1"/>
      <w:marLeft w:val="0"/>
      <w:marRight w:val="0"/>
      <w:marTop w:val="0"/>
      <w:marBottom w:val="0"/>
      <w:divBdr>
        <w:top w:val="none" w:sz="0" w:space="0" w:color="auto"/>
        <w:left w:val="none" w:sz="0" w:space="0" w:color="auto"/>
        <w:bottom w:val="none" w:sz="0" w:space="0" w:color="auto"/>
        <w:right w:val="none" w:sz="0" w:space="0" w:color="auto"/>
      </w:divBdr>
    </w:div>
    <w:div w:id="1048185154">
      <w:bodyDiv w:val="1"/>
      <w:marLeft w:val="0"/>
      <w:marRight w:val="0"/>
      <w:marTop w:val="0"/>
      <w:marBottom w:val="0"/>
      <w:divBdr>
        <w:top w:val="none" w:sz="0" w:space="0" w:color="auto"/>
        <w:left w:val="none" w:sz="0" w:space="0" w:color="auto"/>
        <w:bottom w:val="none" w:sz="0" w:space="0" w:color="auto"/>
        <w:right w:val="none" w:sz="0" w:space="0" w:color="auto"/>
      </w:divBdr>
    </w:div>
    <w:div w:id="1066799061">
      <w:bodyDiv w:val="1"/>
      <w:marLeft w:val="0"/>
      <w:marRight w:val="0"/>
      <w:marTop w:val="0"/>
      <w:marBottom w:val="0"/>
      <w:divBdr>
        <w:top w:val="none" w:sz="0" w:space="0" w:color="auto"/>
        <w:left w:val="none" w:sz="0" w:space="0" w:color="auto"/>
        <w:bottom w:val="none" w:sz="0" w:space="0" w:color="auto"/>
        <w:right w:val="none" w:sz="0" w:space="0" w:color="auto"/>
      </w:divBdr>
    </w:div>
    <w:div w:id="1071611525">
      <w:bodyDiv w:val="1"/>
      <w:marLeft w:val="0"/>
      <w:marRight w:val="0"/>
      <w:marTop w:val="0"/>
      <w:marBottom w:val="0"/>
      <w:divBdr>
        <w:top w:val="none" w:sz="0" w:space="0" w:color="auto"/>
        <w:left w:val="none" w:sz="0" w:space="0" w:color="auto"/>
        <w:bottom w:val="none" w:sz="0" w:space="0" w:color="auto"/>
        <w:right w:val="none" w:sz="0" w:space="0" w:color="auto"/>
      </w:divBdr>
    </w:div>
    <w:div w:id="1103065033">
      <w:bodyDiv w:val="1"/>
      <w:marLeft w:val="0"/>
      <w:marRight w:val="0"/>
      <w:marTop w:val="0"/>
      <w:marBottom w:val="0"/>
      <w:divBdr>
        <w:top w:val="none" w:sz="0" w:space="0" w:color="auto"/>
        <w:left w:val="none" w:sz="0" w:space="0" w:color="auto"/>
        <w:bottom w:val="none" w:sz="0" w:space="0" w:color="auto"/>
        <w:right w:val="none" w:sz="0" w:space="0" w:color="auto"/>
      </w:divBdr>
    </w:div>
    <w:div w:id="1107194565">
      <w:bodyDiv w:val="1"/>
      <w:marLeft w:val="0"/>
      <w:marRight w:val="0"/>
      <w:marTop w:val="0"/>
      <w:marBottom w:val="0"/>
      <w:divBdr>
        <w:top w:val="none" w:sz="0" w:space="0" w:color="auto"/>
        <w:left w:val="none" w:sz="0" w:space="0" w:color="auto"/>
        <w:bottom w:val="none" w:sz="0" w:space="0" w:color="auto"/>
        <w:right w:val="none" w:sz="0" w:space="0" w:color="auto"/>
      </w:divBdr>
    </w:div>
    <w:div w:id="1140225147">
      <w:bodyDiv w:val="1"/>
      <w:marLeft w:val="0"/>
      <w:marRight w:val="0"/>
      <w:marTop w:val="0"/>
      <w:marBottom w:val="0"/>
      <w:divBdr>
        <w:top w:val="none" w:sz="0" w:space="0" w:color="auto"/>
        <w:left w:val="none" w:sz="0" w:space="0" w:color="auto"/>
        <w:bottom w:val="none" w:sz="0" w:space="0" w:color="auto"/>
        <w:right w:val="none" w:sz="0" w:space="0" w:color="auto"/>
      </w:divBdr>
      <w:divsChild>
        <w:div w:id="2108651842">
          <w:marLeft w:val="0"/>
          <w:marRight w:val="0"/>
          <w:marTop w:val="0"/>
          <w:marBottom w:val="0"/>
          <w:divBdr>
            <w:top w:val="none" w:sz="0" w:space="0" w:color="auto"/>
            <w:left w:val="none" w:sz="0" w:space="0" w:color="auto"/>
            <w:bottom w:val="none" w:sz="0" w:space="0" w:color="auto"/>
            <w:right w:val="none" w:sz="0" w:space="0" w:color="auto"/>
          </w:divBdr>
        </w:div>
        <w:div w:id="63728102">
          <w:marLeft w:val="0"/>
          <w:marRight w:val="0"/>
          <w:marTop w:val="120"/>
          <w:marBottom w:val="0"/>
          <w:divBdr>
            <w:top w:val="none" w:sz="0" w:space="0" w:color="auto"/>
            <w:left w:val="none" w:sz="0" w:space="0" w:color="auto"/>
            <w:bottom w:val="none" w:sz="0" w:space="0" w:color="auto"/>
            <w:right w:val="none" w:sz="0" w:space="0" w:color="auto"/>
          </w:divBdr>
        </w:div>
      </w:divsChild>
    </w:div>
    <w:div w:id="1188327821">
      <w:bodyDiv w:val="1"/>
      <w:marLeft w:val="0"/>
      <w:marRight w:val="0"/>
      <w:marTop w:val="0"/>
      <w:marBottom w:val="0"/>
      <w:divBdr>
        <w:top w:val="none" w:sz="0" w:space="0" w:color="auto"/>
        <w:left w:val="none" w:sz="0" w:space="0" w:color="auto"/>
        <w:bottom w:val="none" w:sz="0" w:space="0" w:color="auto"/>
        <w:right w:val="none" w:sz="0" w:space="0" w:color="auto"/>
      </w:divBdr>
    </w:div>
    <w:div w:id="1215778287">
      <w:bodyDiv w:val="1"/>
      <w:marLeft w:val="0"/>
      <w:marRight w:val="0"/>
      <w:marTop w:val="0"/>
      <w:marBottom w:val="0"/>
      <w:divBdr>
        <w:top w:val="none" w:sz="0" w:space="0" w:color="auto"/>
        <w:left w:val="none" w:sz="0" w:space="0" w:color="auto"/>
        <w:bottom w:val="none" w:sz="0" w:space="0" w:color="auto"/>
        <w:right w:val="none" w:sz="0" w:space="0" w:color="auto"/>
      </w:divBdr>
    </w:div>
    <w:div w:id="1217742851">
      <w:bodyDiv w:val="1"/>
      <w:marLeft w:val="0"/>
      <w:marRight w:val="0"/>
      <w:marTop w:val="0"/>
      <w:marBottom w:val="0"/>
      <w:divBdr>
        <w:top w:val="none" w:sz="0" w:space="0" w:color="auto"/>
        <w:left w:val="none" w:sz="0" w:space="0" w:color="auto"/>
        <w:bottom w:val="none" w:sz="0" w:space="0" w:color="auto"/>
        <w:right w:val="none" w:sz="0" w:space="0" w:color="auto"/>
      </w:divBdr>
      <w:divsChild>
        <w:div w:id="2073773674">
          <w:marLeft w:val="0"/>
          <w:marRight w:val="0"/>
          <w:marTop w:val="0"/>
          <w:marBottom w:val="0"/>
          <w:divBdr>
            <w:top w:val="none" w:sz="0" w:space="0" w:color="auto"/>
            <w:left w:val="none" w:sz="0" w:space="0" w:color="auto"/>
            <w:bottom w:val="none" w:sz="0" w:space="0" w:color="auto"/>
            <w:right w:val="none" w:sz="0" w:space="0" w:color="auto"/>
          </w:divBdr>
        </w:div>
        <w:div w:id="1750956836">
          <w:marLeft w:val="0"/>
          <w:marRight w:val="0"/>
          <w:marTop w:val="120"/>
          <w:marBottom w:val="0"/>
          <w:divBdr>
            <w:top w:val="none" w:sz="0" w:space="0" w:color="auto"/>
            <w:left w:val="none" w:sz="0" w:space="0" w:color="auto"/>
            <w:bottom w:val="none" w:sz="0" w:space="0" w:color="auto"/>
            <w:right w:val="none" w:sz="0" w:space="0" w:color="auto"/>
          </w:divBdr>
        </w:div>
      </w:divsChild>
    </w:div>
    <w:div w:id="1262302261">
      <w:bodyDiv w:val="1"/>
      <w:marLeft w:val="0"/>
      <w:marRight w:val="0"/>
      <w:marTop w:val="0"/>
      <w:marBottom w:val="0"/>
      <w:divBdr>
        <w:top w:val="none" w:sz="0" w:space="0" w:color="auto"/>
        <w:left w:val="none" w:sz="0" w:space="0" w:color="auto"/>
        <w:bottom w:val="none" w:sz="0" w:space="0" w:color="auto"/>
        <w:right w:val="none" w:sz="0" w:space="0" w:color="auto"/>
      </w:divBdr>
    </w:div>
    <w:div w:id="1270700299">
      <w:bodyDiv w:val="1"/>
      <w:marLeft w:val="0"/>
      <w:marRight w:val="0"/>
      <w:marTop w:val="0"/>
      <w:marBottom w:val="0"/>
      <w:divBdr>
        <w:top w:val="none" w:sz="0" w:space="0" w:color="auto"/>
        <w:left w:val="none" w:sz="0" w:space="0" w:color="auto"/>
        <w:bottom w:val="none" w:sz="0" w:space="0" w:color="auto"/>
        <w:right w:val="none" w:sz="0" w:space="0" w:color="auto"/>
      </w:divBdr>
    </w:div>
    <w:div w:id="1271082426">
      <w:bodyDiv w:val="1"/>
      <w:marLeft w:val="0"/>
      <w:marRight w:val="0"/>
      <w:marTop w:val="0"/>
      <w:marBottom w:val="0"/>
      <w:divBdr>
        <w:top w:val="none" w:sz="0" w:space="0" w:color="auto"/>
        <w:left w:val="none" w:sz="0" w:space="0" w:color="auto"/>
        <w:bottom w:val="none" w:sz="0" w:space="0" w:color="auto"/>
        <w:right w:val="none" w:sz="0" w:space="0" w:color="auto"/>
      </w:divBdr>
    </w:div>
    <w:div w:id="1296988118">
      <w:bodyDiv w:val="1"/>
      <w:marLeft w:val="0"/>
      <w:marRight w:val="0"/>
      <w:marTop w:val="0"/>
      <w:marBottom w:val="0"/>
      <w:divBdr>
        <w:top w:val="none" w:sz="0" w:space="0" w:color="auto"/>
        <w:left w:val="none" w:sz="0" w:space="0" w:color="auto"/>
        <w:bottom w:val="none" w:sz="0" w:space="0" w:color="auto"/>
        <w:right w:val="none" w:sz="0" w:space="0" w:color="auto"/>
      </w:divBdr>
      <w:divsChild>
        <w:div w:id="1811092016">
          <w:marLeft w:val="0"/>
          <w:marRight w:val="0"/>
          <w:marTop w:val="0"/>
          <w:marBottom w:val="0"/>
          <w:divBdr>
            <w:top w:val="none" w:sz="0" w:space="0" w:color="auto"/>
            <w:left w:val="none" w:sz="0" w:space="0" w:color="auto"/>
            <w:bottom w:val="none" w:sz="0" w:space="0" w:color="auto"/>
            <w:right w:val="none" w:sz="0" w:space="0" w:color="auto"/>
          </w:divBdr>
          <w:divsChild>
            <w:div w:id="1234199001">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351296527">
      <w:bodyDiv w:val="1"/>
      <w:marLeft w:val="0"/>
      <w:marRight w:val="0"/>
      <w:marTop w:val="0"/>
      <w:marBottom w:val="0"/>
      <w:divBdr>
        <w:top w:val="none" w:sz="0" w:space="0" w:color="auto"/>
        <w:left w:val="none" w:sz="0" w:space="0" w:color="auto"/>
        <w:bottom w:val="none" w:sz="0" w:space="0" w:color="auto"/>
        <w:right w:val="none" w:sz="0" w:space="0" w:color="auto"/>
      </w:divBdr>
    </w:div>
    <w:div w:id="1378314650">
      <w:bodyDiv w:val="1"/>
      <w:marLeft w:val="0"/>
      <w:marRight w:val="0"/>
      <w:marTop w:val="0"/>
      <w:marBottom w:val="0"/>
      <w:divBdr>
        <w:top w:val="none" w:sz="0" w:space="0" w:color="auto"/>
        <w:left w:val="none" w:sz="0" w:space="0" w:color="auto"/>
        <w:bottom w:val="none" w:sz="0" w:space="0" w:color="auto"/>
        <w:right w:val="none" w:sz="0" w:space="0" w:color="auto"/>
      </w:divBdr>
    </w:div>
    <w:div w:id="1382092450">
      <w:bodyDiv w:val="1"/>
      <w:marLeft w:val="0"/>
      <w:marRight w:val="0"/>
      <w:marTop w:val="0"/>
      <w:marBottom w:val="0"/>
      <w:divBdr>
        <w:top w:val="none" w:sz="0" w:space="0" w:color="auto"/>
        <w:left w:val="none" w:sz="0" w:space="0" w:color="auto"/>
        <w:bottom w:val="none" w:sz="0" w:space="0" w:color="auto"/>
        <w:right w:val="none" w:sz="0" w:space="0" w:color="auto"/>
      </w:divBdr>
    </w:div>
    <w:div w:id="1393768348">
      <w:bodyDiv w:val="1"/>
      <w:marLeft w:val="0"/>
      <w:marRight w:val="0"/>
      <w:marTop w:val="0"/>
      <w:marBottom w:val="0"/>
      <w:divBdr>
        <w:top w:val="none" w:sz="0" w:space="0" w:color="auto"/>
        <w:left w:val="none" w:sz="0" w:space="0" w:color="auto"/>
        <w:bottom w:val="none" w:sz="0" w:space="0" w:color="auto"/>
        <w:right w:val="none" w:sz="0" w:space="0" w:color="auto"/>
      </w:divBdr>
    </w:div>
    <w:div w:id="1423644253">
      <w:bodyDiv w:val="1"/>
      <w:marLeft w:val="0"/>
      <w:marRight w:val="0"/>
      <w:marTop w:val="0"/>
      <w:marBottom w:val="0"/>
      <w:divBdr>
        <w:top w:val="none" w:sz="0" w:space="0" w:color="auto"/>
        <w:left w:val="none" w:sz="0" w:space="0" w:color="auto"/>
        <w:bottom w:val="none" w:sz="0" w:space="0" w:color="auto"/>
        <w:right w:val="none" w:sz="0" w:space="0" w:color="auto"/>
      </w:divBdr>
    </w:div>
    <w:div w:id="1453746230">
      <w:bodyDiv w:val="1"/>
      <w:marLeft w:val="0"/>
      <w:marRight w:val="0"/>
      <w:marTop w:val="0"/>
      <w:marBottom w:val="0"/>
      <w:divBdr>
        <w:top w:val="none" w:sz="0" w:space="0" w:color="auto"/>
        <w:left w:val="none" w:sz="0" w:space="0" w:color="auto"/>
        <w:bottom w:val="none" w:sz="0" w:space="0" w:color="auto"/>
        <w:right w:val="none" w:sz="0" w:space="0" w:color="auto"/>
      </w:divBdr>
    </w:div>
    <w:div w:id="1586451529">
      <w:bodyDiv w:val="1"/>
      <w:marLeft w:val="0"/>
      <w:marRight w:val="0"/>
      <w:marTop w:val="0"/>
      <w:marBottom w:val="0"/>
      <w:divBdr>
        <w:top w:val="none" w:sz="0" w:space="0" w:color="auto"/>
        <w:left w:val="none" w:sz="0" w:space="0" w:color="auto"/>
        <w:bottom w:val="none" w:sz="0" w:space="0" w:color="auto"/>
        <w:right w:val="none" w:sz="0" w:space="0" w:color="auto"/>
      </w:divBdr>
    </w:div>
    <w:div w:id="1786119712">
      <w:bodyDiv w:val="1"/>
      <w:marLeft w:val="0"/>
      <w:marRight w:val="0"/>
      <w:marTop w:val="0"/>
      <w:marBottom w:val="0"/>
      <w:divBdr>
        <w:top w:val="none" w:sz="0" w:space="0" w:color="auto"/>
        <w:left w:val="none" w:sz="0" w:space="0" w:color="auto"/>
        <w:bottom w:val="none" w:sz="0" w:space="0" w:color="auto"/>
        <w:right w:val="none" w:sz="0" w:space="0" w:color="auto"/>
      </w:divBdr>
    </w:div>
    <w:div w:id="1795758323">
      <w:bodyDiv w:val="1"/>
      <w:marLeft w:val="0"/>
      <w:marRight w:val="0"/>
      <w:marTop w:val="0"/>
      <w:marBottom w:val="0"/>
      <w:divBdr>
        <w:top w:val="none" w:sz="0" w:space="0" w:color="auto"/>
        <w:left w:val="none" w:sz="0" w:space="0" w:color="auto"/>
        <w:bottom w:val="none" w:sz="0" w:space="0" w:color="auto"/>
        <w:right w:val="none" w:sz="0" w:space="0" w:color="auto"/>
      </w:divBdr>
    </w:div>
    <w:div w:id="1804349156">
      <w:bodyDiv w:val="1"/>
      <w:marLeft w:val="0"/>
      <w:marRight w:val="0"/>
      <w:marTop w:val="0"/>
      <w:marBottom w:val="0"/>
      <w:divBdr>
        <w:top w:val="none" w:sz="0" w:space="0" w:color="auto"/>
        <w:left w:val="none" w:sz="0" w:space="0" w:color="auto"/>
        <w:bottom w:val="none" w:sz="0" w:space="0" w:color="auto"/>
        <w:right w:val="none" w:sz="0" w:space="0" w:color="auto"/>
      </w:divBdr>
    </w:div>
    <w:div w:id="1810437511">
      <w:bodyDiv w:val="1"/>
      <w:marLeft w:val="0"/>
      <w:marRight w:val="0"/>
      <w:marTop w:val="0"/>
      <w:marBottom w:val="0"/>
      <w:divBdr>
        <w:top w:val="none" w:sz="0" w:space="0" w:color="auto"/>
        <w:left w:val="none" w:sz="0" w:space="0" w:color="auto"/>
        <w:bottom w:val="none" w:sz="0" w:space="0" w:color="auto"/>
        <w:right w:val="none" w:sz="0" w:space="0" w:color="auto"/>
      </w:divBdr>
      <w:divsChild>
        <w:div w:id="680355079">
          <w:marLeft w:val="0"/>
          <w:marRight w:val="0"/>
          <w:marTop w:val="0"/>
          <w:marBottom w:val="0"/>
          <w:divBdr>
            <w:top w:val="none" w:sz="0" w:space="0" w:color="auto"/>
            <w:left w:val="none" w:sz="0" w:space="0" w:color="auto"/>
            <w:bottom w:val="none" w:sz="0" w:space="0" w:color="auto"/>
            <w:right w:val="none" w:sz="0" w:space="0" w:color="auto"/>
          </w:divBdr>
          <w:divsChild>
            <w:div w:id="872117257">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919359925">
      <w:bodyDiv w:val="1"/>
      <w:marLeft w:val="0"/>
      <w:marRight w:val="0"/>
      <w:marTop w:val="0"/>
      <w:marBottom w:val="0"/>
      <w:divBdr>
        <w:top w:val="none" w:sz="0" w:space="0" w:color="auto"/>
        <w:left w:val="none" w:sz="0" w:space="0" w:color="auto"/>
        <w:bottom w:val="none" w:sz="0" w:space="0" w:color="auto"/>
        <w:right w:val="none" w:sz="0" w:space="0" w:color="auto"/>
      </w:divBdr>
      <w:divsChild>
        <w:div w:id="1879780925">
          <w:marLeft w:val="-1350"/>
          <w:marRight w:val="0"/>
          <w:marTop w:val="0"/>
          <w:marBottom w:val="0"/>
          <w:divBdr>
            <w:top w:val="none" w:sz="0" w:space="0" w:color="auto"/>
            <w:left w:val="none" w:sz="0" w:space="0" w:color="auto"/>
            <w:bottom w:val="none" w:sz="0" w:space="0" w:color="auto"/>
            <w:right w:val="none" w:sz="0" w:space="0" w:color="auto"/>
          </w:divBdr>
        </w:div>
      </w:divsChild>
    </w:div>
    <w:div w:id="2016491339">
      <w:bodyDiv w:val="1"/>
      <w:marLeft w:val="0"/>
      <w:marRight w:val="0"/>
      <w:marTop w:val="0"/>
      <w:marBottom w:val="0"/>
      <w:divBdr>
        <w:top w:val="none" w:sz="0" w:space="0" w:color="auto"/>
        <w:left w:val="none" w:sz="0" w:space="0" w:color="auto"/>
        <w:bottom w:val="none" w:sz="0" w:space="0" w:color="auto"/>
        <w:right w:val="none" w:sz="0" w:space="0" w:color="auto"/>
      </w:divBdr>
      <w:divsChild>
        <w:div w:id="1434980742">
          <w:marLeft w:val="0"/>
          <w:marRight w:val="0"/>
          <w:marTop w:val="0"/>
          <w:marBottom w:val="0"/>
          <w:divBdr>
            <w:top w:val="none" w:sz="0" w:space="0" w:color="auto"/>
            <w:left w:val="none" w:sz="0" w:space="0" w:color="auto"/>
            <w:bottom w:val="none" w:sz="0" w:space="0" w:color="auto"/>
            <w:right w:val="none" w:sz="0" w:space="0" w:color="auto"/>
          </w:divBdr>
          <w:divsChild>
            <w:div w:id="9086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5549">
      <w:bodyDiv w:val="1"/>
      <w:marLeft w:val="0"/>
      <w:marRight w:val="0"/>
      <w:marTop w:val="0"/>
      <w:marBottom w:val="0"/>
      <w:divBdr>
        <w:top w:val="none" w:sz="0" w:space="0" w:color="auto"/>
        <w:left w:val="none" w:sz="0" w:space="0" w:color="auto"/>
        <w:bottom w:val="none" w:sz="0" w:space="0" w:color="auto"/>
        <w:right w:val="none" w:sz="0" w:space="0" w:color="auto"/>
      </w:divBdr>
      <w:divsChild>
        <w:div w:id="1442645154">
          <w:marLeft w:val="0"/>
          <w:marRight w:val="0"/>
          <w:marTop w:val="0"/>
          <w:marBottom w:val="0"/>
          <w:divBdr>
            <w:top w:val="none" w:sz="0" w:space="0" w:color="auto"/>
            <w:left w:val="none" w:sz="0" w:space="0" w:color="auto"/>
            <w:bottom w:val="none" w:sz="0" w:space="0" w:color="auto"/>
            <w:right w:val="none" w:sz="0" w:space="0" w:color="auto"/>
          </w:divBdr>
        </w:div>
        <w:div w:id="1125929469">
          <w:marLeft w:val="0"/>
          <w:marRight w:val="0"/>
          <w:marTop w:val="120"/>
          <w:marBottom w:val="0"/>
          <w:divBdr>
            <w:top w:val="none" w:sz="0" w:space="0" w:color="auto"/>
            <w:left w:val="none" w:sz="0" w:space="0" w:color="auto"/>
            <w:bottom w:val="none" w:sz="0" w:space="0" w:color="auto"/>
            <w:right w:val="none" w:sz="0" w:space="0" w:color="auto"/>
          </w:divBdr>
        </w:div>
      </w:divsChild>
    </w:div>
    <w:div w:id="2062097266">
      <w:bodyDiv w:val="1"/>
      <w:marLeft w:val="0"/>
      <w:marRight w:val="0"/>
      <w:marTop w:val="0"/>
      <w:marBottom w:val="0"/>
      <w:divBdr>
        <w:top w:val="none" w:sz="0" w:space="0" w:color="auto"/>
        <w:left w:val="none" w:sz="0" w:space="0" w:color="auto"/>
        <w:bottom w:val="none" w:sz="0" w:space="0" w:color="auto"/>
        <w:right w:val="none" w:sz="0" w:space="0" w:color="auto"/>
      </w:divBdr>
    </w:div>
    <w:div w:id="2072732339">
      <w:bodyDiv w:val="1"/>
      <w:marLeft w:val="0"/>
      <w:marRight w:val="0"/>
      <w:marTop w:val="0"/>
      <w:marBottom w:val="0"/>
      <w:divBdr>
        <w:top w:val="none" w:sz="0" w:space="0" w:color="auto"/>
        <w:left w:val="none" w:sz="0" w:space="0" w:color="auto"/>
        <w:bottom w:val="none" w:sz="0" w:space="0" w:color="auto"/>
        <w:right w:val="none" w:sz="0" w:space="0" w:color="auto"/>
      </w:divBdr>
    </w:div>
    <w:div w:id="2077386718">
      <w:bodyDiv w:val="1"/>
      <w:marLeft w:val="0"/>
      <w:marRight w:val="0"/>
      <w:marTop w:val="0"/>
      <w:marBottom w:val="0"/>
      <w:divBdr>
        <w:top w:val="none" w:sz="0" w:space="0" w:color="auto"/>
        <w:left w:val="none" w:sz="0" w:space="0" w:color="auto"/>
        <w:bottom w:val="none" w:sz="0" w:space="0" w:color="auto"/>
        <w:right w:val="none" w:sz="0" w:space="0" w:color="auto"/>
      </w:divBdr>
    </w:div>
    <w:div w:id="2082213254">
      <w:bodyDiv w:val="1"/>
      <w:marLeft w:val="0"/>
      <w:marRight w:val="0"/>
      <w:marTop w:val="0"/>
      <w:marBottom w:val="0"/>
      <w:divBdr>
        <w:top w:val="none" w:sz="0" w:space="0" w:color="auto"/>
        <w:left w:val="none" w:sz="0" w:space="0" w:color="auto"/>
        <w:bottom w:val="none" w:sz="0" w:space="0" w:color="auto"/>
        <w:right w:val="none" w:sz="0" w:space="0" w:color="auto"/>
      </w:divBdr>
    </w:div>
    <w:div w:id="2082411947">
      <w:bodyDiv w:val="1"/>
      <w:marLeft w:val="0"/>
      <w:marRight w:val="0"/>
      <w:marTop w:val="0"/>
      <w:marBottom w:val="0"/>
      <w:divBdr>
        <w:top w:val="none" w:sz="0" w:space="0" w:color="auto"/>
        <w:left w:val="none" w:sz="0" w:space="0" w:color="auto"/>
        <w:bottom w:val="none" w:sz="0" w:space="0" w:color="auto"/>
        <w:right w:val="none" w:sz="0" w:space="0" w:color="auto"/>
      </w:divBdr>
    </w:div>
    <w:div w:id="209165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ffizi.it/en/artworks/berruguete-salome-en" TargetMode="External"/><Relationship Id="rId18" Type="http://schemas.openxmlformats.org/officeDocument/2006/relationships/hyperlink" Target="Https://Hoodmuseum.Dartmouth.Edu/Objects/Pr.975.58.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rtbible.info/art/large/781.html" TargetMode="External"/><Relationship Id="rId7" Type="http://schemas.openxmlformats.org/officeDocument/2006/relationships/settings" Target="settings.xml"/><Relationship Id="rId12" Type="http://schemas.openxmlformats.org/officeDocument/2006/relationships/hyperlink" Target="https://www.bl.uk/collection-items/aubrey-beardsley-illustrations-for-salome-by-oscar-wilde" TargetMode="External"/><Relationship Id="rId17" Type="http://schemas.openxmlformats.org/officeDocument/2006/relationships/hyperlink" Target="https://www.moma.org/documents/moma_catalogue_2671_300298969.pdf" TargetMode="External"/><Relationship Id="rId25" Type="http://schemas.openxmlformats.org/officeDocument/2006/relationships/hyperlink" Target="Https://Americanart.Si.Edu/Artwork/John-Baptist-Prevalence-Ritual-Suite-78166" TargetMode="External"/><Relationship Id="rId2" Type="http://schemas.openxmlformats.org/officeDocument/2006/relationships/customXml" Target="../customXml/item2.xml"/><Relationship Id="rId16" Type="http://schemas.openxmlformats.org/officeDocument/2006/relationships/hyperlink" Target="https://ifs.org.uk/publications/when-you-are-born-matters-impact-date-birth-educational-outcomes-england" TargetMode="External"/><Relationship Id="rId20" Type="http://schemas.openxmlformats.org/officeDocument/2006/relationships/hyperlink" Target="https://www.nytimes.com/2002/10/02/arts/arts-in-america-charlotte-acclaims-romare-bearden-as-a-native-so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hillips.com/detail/ROMARE-BEARDEN/NY030210/72" TargetMode="External"/><Relationship Id="rId24" Type="http://schemas.openxmlformats.org/officeDocument/2006/relationships/hyperlink" Target="https://www.metmuseum.org/art/collection/search/437384" TargetMode="External"/><Relationship Id="rId5" Type="http://schemas.openxmlformats.org/officeDocument/2006/relationships/numbering" Target="numbering.xml"/><Relationship Id="rId15" Type="http://schemas.openxmlformats.org/officeDocument/2006/relationships/hyperlink" Target="https://www.worldhistory.org/Greek_Dance/" TargetMode="External"/><Relationship Id="rId23" Type="http://schemas.openxmlformats.org/officeDocument/2006/relationships/hyperlink" Target="https://art.nelson-atkins.org/objects/4851/salome-with-the-head-of-saint-john-the-baptist" TargetMode="External"/><Relationship Id="rId10" Type="http://schemas.openxmlformats.org/officeDocument/2006/relationships/endnotes" Target="endnotes.xml"/><Relationship Id="rId19" Type="http://schemas.openxmlformats.org/officeDocument/2006/relationships/hyperlink" Target="https://doi.org/10.3389/fpsyg.2015.0087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ionalgallery.org.uk/paintings/michelangelo-merisi-da-caravaggio-salome-receives-the-head-of-john-the-baptist" TargetMode="External"/><Relationship Id="rId22" Type="http://schemas.openxmlformats.org/officeDocument/2006/relationships/hyperlink" Target="https://www.crockerart.org/collections/scheherazade-and-her-sisters/artworks/salome-1890"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tha.belgode\AppData\Roaming\Microsoft\Templates\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4DC7C23BB5CB41B944355ACB1100D1" ma:contentTypeVersion="14" ma:contentTypeDescription="Create a new document." ma:contentTypeScope="" ma:versionID="2327b8cf041a206b4ed43855f788c440">
  <xsd:schema xmlns:xsd="http://www.w3.org/2001/XMLSchema" xmlns:xs="http://www.w3.org/2001/XMLSchema" xmlns:p="http://schemas.microsoft.com/office/2006/metadata/properties" xmlns:ns3="703dda01-68e9-4195-b499-76f4fc3cc8ff" xmlns:ns4="c35f5a0d-22f9-4063-af47-d210f95398a3" targetNamespace="http://schemas.microsoft.com/office/2006/metadata/properties" ma:root="true" ma:fieldsID="873ada0f4c9cecd06ca2f5a78c92d071" ns3:_="" ns4:_="">
    <xsd:import namespace="703dda01-68e9-4195-b499-76f4fc3cc8ff"/>
    <xsd:import namespace="c35f5a0d-22f9-4063-af47-d210f95398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dda01-68e9-4195-b499-76f4fc3cc8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f5a0d-22f9-4063-af47-d210f95398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937C7F-1672-4B6F-9B13-792D59FF3E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166764-C388-4FCB-B755-2532FE66D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dda01-68e9-4195-b499-76f4fc3cc8ff"/>
    <ds:schemaRef ds:uri="c35f5a0d-22f9-4063-af47-d210f953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DBD065-9510-4546-ACAD-AE84DD1FFB5D}">
  <ds:schemaRefs>
    <ds:schemaRef ds:uri="http://schemas.openxmlformats.org/officeDocument/2006/bibliography"/>
  </ds:schemaRefs>
</ds:datastoreItem>
</file>

<file path=customXml/itemProps4.xml><?xml version="1.0" encoding="utf-8"?>
<ds:datastoreItem xmlns:ds="http://schemas.openxmlformats.org/officeDocument/2006/customXml" ds:itemID="{E356D8FE-671E-4B35-8148-AF6E66C158FA}">
  <ds:schemaRefs>
    <ds:schemaRef ds:uri="http://schemas.microsoft.com/sharepoint/v3/contenttype/forms"/>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TF_Template_Word_Windows_2016</Template>
  <TotalTime>3</TotalTime>
  <Pages>37</Pages>
  <Words>9149</Words>
  <Characters>52155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Aspire V3-531</dc:creator>
  <cp:lastModifiedBy>Obamakin, Olabisi</cp:lastModifiedBy>
  <cp:revision>5</cp:revision>
  <cp:lastPrinted>2021-03-22T22:32:00Z</cp:lastPrinted>
  <dcterms:created xsi:type="dcterms:W3CDTF">2024-03-23T20:40:00Z</dcterms:created>
  <dcterms:modified xsi:type="dcterms:W3CDTF">2024-03-23T20:43:00Z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0x010100584DC7C23BB5CB41B944355ACB1100D1</vt:lpwstr>
  </property>
</Properties>
</file>