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Other10"/>
        <w:keepNext w:val="0"/>
        <w:keepLines w:val="0"/>
        <w:widowControl w:val="0"/>
        <w:shd w:val="clear" w:color="auto" w:fill="auto"/>
        <w:bidi w:val="0"/>
        <w:spacing w:before="0" w:after="0" w:line="240" w:lineRule="auto"/>
        <w:ind w:left="0" w:right="0" w:firstLine="0"/>
        <w:jc w:val="left"/>
        <w:rPr>
          <w:sz w:val="32"/>
          <w:szCs w:val="32"/>
        </w:rPr>
      </w:pPr>
      <w:r>
        <w:rPr>
          <w:rStyle w:val="Other1"/>
          <w:rFonts w:ascii="Arial" w:eastAsia="Arial" w:hAnsi="Arial" w:cs="Arial"/>
          <w:color w:val="007399"/>
          <w:sz w:val="32"/>
          <w:szCs w:val="32"/>
          <w:rtl w:val="0"/>
        </w:rPr>
        <w:t>¿CÓMO DEBEMOS ESTUDIAR LA “SOLUCIÓN FINAL”?</w:t>
      </w:r>
    </w:p>
    <w:p>
      <w:pPr>
        <w:pStyle w:val="Other10"/>
        <w:keepNext w:val="0"/>
        <w:keepLines w:val="0"/>
        <w:widowControl w:val="0"/>
        <w:shd w:val="clear" w:color="auto" w:fill="auto"/>
        <w:bidi w:val="0"/>
        <w:spacing w:before="0" w:after="100" w:line="240" w:lineRule="auto"/>
        <w:ind w:left="0" w:right="0" w:firstLine="0"/>
        <w:jc w:val="right"/>
        <w:rPr>
          <w:sz w:val="28"/>
          <w:szCs w:val="28"/>
        </w:rPr>
      </w:pPr>
      <w:r>
        <w:rPr>
          <w:rStyle w:val="Other1"/>
          <w:color w:val="007399"/>
          <w:sz w:val="28"/>
          <w:szCs w:val="28"/>
          <w:rtl w:val="0"/>
        </w:rPr>
        <w:t>ECOS Y REFLEJOS</w:t>
      </w:r>
    </w:p>
    <w:p>
      <w:pPr>
        <w:pStyle w:val="Other10"/>
        <w:keepNext w:val="0"/>
        <w:keepLines w:val="0"/>
        <w:widowControl w:val="0"/>
        <w:shd w:val="clear" w:color="auto" w:fill="auto"/>
        <w:bidi w:val="0"/>
        <w:spacing w:before="0" w:after="0" w:line="240" w:lineRule="auto"/>
        <w:ind w:left="0" w:right="0" w:firstLine="0"/>
        <w:jc w:val="right"/>
        <w:rPr>
          <w:sz w:val="12"/>
          <w:szCs w:val="12"/>
        </w:rPr>
        <w:sectPr>
          <w:footerReference w:type="default" r:id="rId4"/>
          <w:pgSz w:w="12240" w:h="15840"/>
          <w:pgMar w:top="941" w:right="1080" w:bottom="4826" w:left="1085" w:header="513" w:footer="3" w:gutter="0"/>
          <w:pgNumType w:start="1"/>
          <w:cols w:num="2" w:space="720" w:equalWidth="0">
            <w:col w:w="4152" w:space="2150"/>
            <w:col w:w="3773"/>
          </w:cols>
          <w:noEndnote/>
          <w:rtlGutter w:val="0"/>
          <w:docGrid w:linePitch="360"/>
        </w:sectPr>
      </w:pPr>
      <w:r>
        <w:rPr>
          <w:rStyle w:val="Other1"/>
          <w:rFonts w:ascii="Arial" w:eastAsia="Arial" w:hAnsi="Arial" w:cs="Arial"/>
          <w:color w:val="007399"/>
          <w:sz w:val="12"/>
          <w:szCs w:val="12"/>
          <w:rtl w:val="0"/>
        </w:rPr>
        <w:t>I</w:t>
      </w:r>
      <w:r>
        <w:rPr>
          <w:rStyle w:val="Other1"/>
          <w:rFonts w:ascii="Arial" w:eastAsia="Arial" w:hAnsi="Arial" w:cs="Arial"/>
          <w:color w:val="69C3CB"/>
          <w:sz w:val="12"/>
          <w:szCs w:val="12"/>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63" w:after="63" w:line="240" w:lineRule="exact"/>
        <w:rPr>
          <w:sz w:val="19"/>
          <w:szCs w:val="19"/>
        </w:rPr>
      </w:pPr>
    </w:p>
    <w:p>
      <w:pPr>
        <w:widowControl w:val="0"/>
        <w:spacing w:line="1" w:lineRule="exact"/>
        <w:sectPr>
          <w:type w:val="continuous"/>
          <w:pgSz w:w="12240" w:h="15840"/>
          <w:pgMar w:top="941" w:right="0" w:bottom="941" w:left="0" w:header="0" w:footer="3" w:gutter="0"/>
          <w:cols w:space="720"/>
          <w:noEndnote/>
          <w:rtlGutter w:val="0"/>
          <w:docGrid w:linePitch="360"/>
        </w:sectPr>
      </w:pPr>
    </w:p>
    <w:p>
      <w:pPr>
        <w:widowControl w:val="0"/>
        <w:spacing w:line="1" w:lineRule="exact"/>
      </w:pPr>
      <w:r>
        <mc:AlternateContent>
          <mc:Choice Requires="wps">
            <w:drawing>
              <wp:anchor distT="0" distB="0" distL="114300" distR="114300" simplePos="0" relativeHeight="251659264" behindDoc="0" locked="0" layoutInCell="1" allowOverlap="1">
                <wp:simplePos x="0" y="0"/>
                <wp:positionH relativeFrom="page">
                  <wp:posOffset>4407535</wp:posOffset>
                </wp:positionH>
                <wp:positionV relativeFrom="paragraph">
                  <wp:posOffset>1791970</wp:posOffset>
                </wp:positionV>
                <wp:extent cx="2426335" cy="2282825"/>
                <wp:wrapSquare wrapText="left"/>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2426335" cy="2282825"/>
                        </a:xfrm>
                        <a:prstGeom prst="rect">
                          <a:avLst/>
                        </a:prstGeom>
                        <a:noFill/>
                      </wps:spPr>
                      <wps:txbx>
                        <w:txbxContent>
                          <w:p>
                            <w:pPr>
                              <w:pStyle w:val="Other10"/>
                              <w:keepNext w:val="0"/>
                              <w:keepLines w:val="0"/>
                              <w:widowControl w:val="0"/>
                              <w:shd w:val="clear" w:color="auto" w:fill="auto"/>
                              <w:bidi w:val="0"/>
                              <w:spacing w:before="0" w:after="0" w:line="228" w:lineRule="auto"/>
                              <w:ind w:left="0" w:right="0" w:firstLine="0"/>
                              <w:jc w:val="left"/>
                              <w:rPr>
                                <w:sz w:val="17"/>
                                <w:szCs w:val="17"/>
                              </w:rPr>
                            </w:pPr>
                            <w:r>
                              <w:rPr>
                                <w:rStyle w:val="Other1"/>
                                <w:rFonts w:ascii="Arial" w:eastAsia="Arial" w:hAnsi="Arial" w:cs="Arial"/>
                                <w:b/>
                                <w:bCs/>
                                <w:color w:val="C24729"/>
                                <w:rtl w:val="0"/>
                              </w:rPr>
                              <w:t xml:space="preserve">Extracto del “Campamento del Hambre en Jaslo” </w:t>
                            </w:r>
                            <w:r>
                              <w:rPr>
                                <w:rStyle w:val="Other1"/>
                                <w:rFonts w:ascii="Arial" w:eastAsia="Arial" w:hAnsi="Arial" w:cs="Arial"/>
                                <w:b/>
                                <w:bCs/>
                                <w:color w:val="007399"/>
                                <w:sz w:val="17"/>
                                <w:szCs w:val="17"/>
                                <w:rtl w:val="0"/>
                              </w:rPr>
                              <w:t>Wislawa Szymborska</w:t>
                            </w:r>
                          </w:p>
                          <w:p>
                            <w:pPr>
                              <w:pStyle w:val="Other10"/>
                              <w:keepNext w:val="0"/>
                              <w:keepLines w:val="0"/>
                              <w:widowControl w:val="0"/>
                              <w:shd w:val="clear" w:color="auto" w:fill="auto"/>
                              <w:bidi w:val="0"/>
                              <w:spacing w:before="0" w:after="420" w:line="240" w:lineRule="auto"/>
                              <w:ind w:left="0" w:right="0" w:firstLine="0"/>
                              <w:jc w:val="left"/>
                              <w:rPr>
                                <w:sz w:val="17"/>
                                <w:szCs w:val="17"/>
                              </w:rPr>
                            </w:pPr>
                            <w:r>
                              <w:rPr>
                                <w:rStyle w:val="Other1"/>
                                <w:rFonts w:ascii="Arial" w:eastAsia="Arial" w:hAnsi="Arial" w:cs="Arial"/>
                                <w:b/>
                                <w:bCs/>
                                <w:i/>
                                <w:iCs/>
                                <w:color w:val="007399"/>
                                <w:sz w:val="17"/>
                                <w:szCs w:val="17"/>
                                <w:rtl w:val="0"/>
                              </w:rPr>
                              <w:t>(Poeta y ensayista polaco, 1923-2012)</w:t>
                            </w:r>
                          </w:p>
                          <w:p>
                            <w:pPr>
                              <w:pStyle w:val="Bodytext10"/>
                              <w:keepNext w:val="0"/>
                              <w:keepLines w:val="0"/>
                              <w:widowControl w:val="0"/>
                              <w:shd w:val="clear" w:color="auto" w:fill="auto"/>
                              <w:bidi w:val="0"/>
                              <w:spacing w:before="0" w:after="0"/>
                              <w:ind w:left="0" w:right="0" w:firstLine="0"/>
                              <w:jc w:val="left"/>
                            </w:pPr>
                            <w:r>
                              <w:rPr>
                                <w:rStyle w:val="Bodytext1"/>
                                <w:rtl w:val="0"/>
                              </w:rPr>
                              <w:t>La historia cuenta sus esqueletos en números redondos.</w:t>
                            </w:r>
                          </w:p>
                          <w:p>
                            <w:pPr>
                              <w:pStyle w:val="Bodytext10"/>
                              <w:keepNext w:val="0"/>
                              <w:keepLines w:val="0"/>
                              <w:widowControl w:val="0"/>
                              <w:shd w:val="clear" w:color="auto" w:fill="auto"/>
                              <w:bidi w:val="0"/>
                              <w:spacing w:before="0" w:after="0"/>
                              <w:ind w:left="0" w:right="0" w:firstLine="0"/>
                              <w:jc w:val="left"/>
                            </w:pPr>
                            <w:r>
                              <w:rPr>
                                <w:rStyle w:val="Bodytext1"/>
                                <w:rtl w:val="0"/>
                              </w:rPr>
                              <w:t>Mil y uno siguen siendo mil, como si el uno nunca hubiera existido: un embrión imaginario, una cuna vacía, una cartilla abierta para nadie, aire que ríe, llora, crece, escaleras al vacío que saltan al jardín, de nadie. lugar en la fila.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5" type="#_x0000_t202" style="width:191.05pt;height:179.75pt;margin-top:141.1pt;margin-left:347.05pt;mso-position-horizontal-relative:page;mso-wrap-distance-bottom:0;mso-wrap-distance-left:9pt;mso-wrap-distance-right:9pt;mso-wrap-distance-top:0;position:absolute;v-text-anchor:top;z-index:251658240" filled="f" fillcolor="this">
                <v:textbox inset="0,0,0,0">
                  <w:txbxContent>
                    <w:p>
                      <w:pPr>
                        <w:pStyle w:val="Other10"/>
                        <w:keepNext w:val="0"/>
                        <w:keepLines w:val="0"/>
                        <w:widowControl w:val="0"/>
                        <w:shd w:val="clear" w:color="auto" w:fill="auto"/>
                        <w:bidi w:val="0"/>
                        <w:spacing w:before="0" w:after="0" w:line="228" w:lineRule="auto"/>
                        <w:ind w:left="0" w:right="0" w:firstLine="0"/>
                        <w:jc w:val="left"/>
                        <w:rPr>
                          <w:sz w:val="17"/>
                          <w:szCs w:val="17"/>
                        </w:rPr>
                      </w:pPr>
                      <w:r>
                        <w:rPr>
                          <w:rStyle w:val="Other1"/>
                          <w:rFonts w:ascii="Arial" w:eastAsia="Arial" w:hAnsi="Arial" w:cs="Arial"/>
                          <w:b/>
                          <w:bCs/>
                          <w:color w:val="C24729"/>
                          <w:rtl w:val="0"/>
                        </w:rPr>
                        <w:t xml:space="preserve">Extracto del “Campamento del Hambre en Jaslo” </w:t>
                      </w:r>
                      <w:r>
                        <w:rPr>
                          <w:rStyle w:val="Other1"/>
                          <w:rFonts w:ascii="Arial" w:eastAsia="Arial" w:hAnsi="Arial" w:cs="Arial"/>
                          <w:b/>
                          <w:bCs/>
                          <w:color w:val="007399"/>
                          <w:sz w:val="17"/>
                          <w:szCs w:val="17"/>
                          <w:rtl w:val="0"/>
                        </w:rPr>
                        <w:t>Wislawa Szymborska</w:t>
                      </w:r>
                    </w:p>
                    <w:p>
                      <w:pPr>
                        <w:pStyle w:val="Other10"/>
                        <w:keepNext w:val="0"/>
                        <w:keepLines w:val="0"/>
                        <w:widowControl w:val="0"/>
                        <w:shd w:val="clear" w:color="auto" w:fill="auto"/>
                        <w:bidi w:val="0"/>
                        <w:spacing w:before="0" w:after="420" w:line="240" w:lineRule="auto"/>
                        <w:ind w:left="0" w:right="0" w:firstLine="0"/>
                        <w:jc w:val="left"/>
                        <w:rPr>
                          <w:sz w:val="17"/>
                          <w:szCs w:val="17"/>
                        </w:rPr>
                      </w:pPr>
                      <w:r>
                        <w:rPr>
                          <w:rStyle w:val="Other1"/>
                          <w:rFonts w:ascii="Arial" w:eastAsia="Arial" w:hAnsi="Arial" w:cs="Arial"/>
                          <w:b/>
                          <w:bCs/>
                          <w:i/>
                          <w:iCs/>
                          <w:color w:val="007399"/>
                          <w:sz w:val="17"/>
                          <w:szCs w:val="17"/>
                          <w:rtl w:val="0"/>
                        </w:rPr>
                        <w:t>(Poeta y ensayista polaco, 1923-2012)</w:t>
                      </w:r>
                    </w:p>
                    <w:p>
                      <w:pPr>
                        <w:pStyle w:val="Bodytext10"/>
                        <w:keepNext w:val="0"/>
                        <w:keepLines w:val="0"/>
                        <w:widowControl w:val="0"/>
                        <w:shd w:val="clear" w:color="auto" w:fill="auto"/>
                        <w:bidi w:val="0"/>
                        <w:spacing w:before="0" w:after="0"/>
                        <w:ind w:left="0" w:right="0" w:firstLine="0"/>
                        <w:jc w:val="left"/>
                      </w:pPr>
                      <w:r>
                        <w:rPr>
                          <w:rStyle w:val="Bodytext1"/>
                          <w:rtl w:val="0"/>
                        </w:rPr>
                        <w:t>La historia cuenta sus esqueletos en números redondos.</w:t>
                      </w:r>
                    </w:p>
                    <w:p>
                      <w:pPr>
                        <w:pStyle w:val="Bodytext10"/>
                        <w:keepNext w:val="0"/>
                        <w:keepLines w:val="0"/>
                        <w:widowControl w:val="0"/>
                        <w:shd w:val="clear" w:color="auto" w:fill="auto"/>
                        <w:bidi w:val="0"/>
                        <w:spacing w:before="0" w:after="0"/>
                        <w:ind w:left="0" w:right="0" w:firstLine="0"/>
                        <w:jc w:val="left"/>
                      </w:pPr>
                      <w:r>
                        <w:rPr>
                          <w:rStyle w:val="Bodytext1"/>
                          <w:rtl w:val="0"/>
                        </w:rPr>
                        <w:t>Mil y uno siguen siendo mil, como si el uno nunca hubiera existido: un embrión imaginario, una cuna vacía, una cartilla abierta para nadie, aire que ríe, llora, crece, escaleras al vacío que saltan al jardín, de nadie. lugar en la fila.</w:t>
                      </w:r>
                    </w:p>
                  </w:txbxContent>
                </v:textbox>
                <w10:wrap type="square" side="left"/>
              </v:shape>
            </w:pict>
          </mc:Fallback>
        </mc:AlternateContent>
      </w:r>
    </w:p>
    <w:p>
      <w:pPr>
        <w:pStyle w:val="Bodytext10"/>
        <w:keepNext w:val="0"/>
        <w:keepLines w:val="0"/>
        <w:widowControl w:val="0"/>
        <w:shd w:val="clear" w:color="auto" w:fill="auto"/>
        <w:bidi w:val="0"/>
        <w:spacing w:before="0" w:after="220"/>
        <w:ind w:left="0" w:right="0" w:firstLine="0"/>
        <w:jc w:val="left"/>
      </w:pPr>
      <w:r>
        <w:rPr>
          <w:rStyle w:val="Bodytext1"/>
          <w:rtl w:val="0"/>
        </w:rPr>
        <w:t>La “Solución Final” o “Solución Final de la Cuestión Judía” era una frase en clave nazi que se refería al plan sistemático para asesinar a todo el pueblo judío en Europa. Reemplazó planes anteriores destinados a obligar al pueblo judío a reubicarse con una política de aniquilación sistemática y resultó en el asesinato de 6 millones de judíos.</w:t>
      </w:r>
    </w:p>
    <w:p>
      <w:pPr>
        <w:pStyle w:val="Bodytext10"/>
        <w:keepNext w:val="0"/>
        <w:keepLines w:val="0"/>
        <w:widowControl w:val="0"/>
        <w:shd w:val="clear" w:color="auto" w:fill="auto"/>
        <w:bidi w:val="0"/>
        <w:spacing w:before="0" w:after="220" w:line="295" w:lineRule="auto"/>
        <w:ind w:left="0" w:right="0" w:firstLine="0"/>
        <w:jc w:val="left"/>
      </w:pPr>
      <w:r>
        <w:rPr>
          <w:rStyle w:val="Bodytext1"/>
          <w:rtl w:val="0"/>
        </w:rPr>
        <w:t>A continuación se muestran algunas cifras que demuestran la escala de destrucción de la Solución Final. A la derecha de estos números hay un extracto de un poema.</w:t>
      </w:r>
    </w:p>
    <w:p>
      <w:pPr>
        <w:pStyle w:val="Bodytext10"/>
        <w:keepNext w:val="0"/>
        <w:keepLines w:val="0"/>
        <w:widowControl w:val="0"/>
        <w:shd w:val="clear" w:color="auto" w:fill="auto"/>
        <w:bidi w:val="0"/>
        <w:spacing w:before="0" w:after="440" w:line="295" w:lineRule="auto"/>
        <w:ind w:left="0" w:right="0" w:firstLine="0"/>
        <w:jc w:val="left"/>
      </w:pPr>
      <w:r>
        <w:rPr>
          <w:rStyle w:val="Bodytext1"/>
          <w:i/>
          <w:iCs/>
          <w:rtl w:val="0"/>
        </w:rPr>
        <w:t>¿Cómo interpretas los versos del poema a la luz de las estadísticas? ¿Qué te dice sobre cómo deberíamos estudiar la Solución Final?</w:t>
      </w:r>
    </w:p>
    <w:p>
      <w:pPr>
        <w:pStyle w:val="Other10"/>
        <w:keepNext w:val="0"/>
        <w:keepLines w:val="0"/>
        <w:widowControl w:val="0"/>
        <w:shd w:val="clear" w:color="auto" w:fill="auto"/>
        <w:bidi w:val="0"/>
        <w:spacing w:before="0" w:after="220"/>
        <w:ind w:left="0" w:right="0" w:firstLine="180"/>
        <w:jc w:val="both"/>
      </w:pPr>
      <w:r>
        <w:rPr>
          <w:rStyle w:val="Other1"/>
          <w:rFonts w:ascii="Arial" w:eastAsia="Arial" w:hAnsi="Arial" w:cs="Arial"/>
          <w:b/>
          <w:bCs/>
          <w:color w:val="C24729"/>
          <w:rtl w:val="0"/>
        </w:rPr>
        <w:t xml:space="preserve">Estadísticas sobre la Solución Final </w:t>
      </w:r>
      <w:r>
        <w:rPr>
          <w:rStyle w:val="Other1"/>
          <w:rFonts w:ascii="Arial" w:eastAsia="Arial" w:hAnsi="Arial" w:cs="Arial"/>
          <w:color w:val="C24729"/>
          <w:rtl w:val="0"/>
        </w:rPr>
        <w:t>*</w:t>
      </w:r>
    </w:p>
    <w:p>
      <w:pPr>
        <w:pStyle w:val="Bodytext10"/>
        <w:keepNext w:val="0"/>
        <w:keepLines w:val="0"/>
        <w:widowControl w:val="0"/>
        <w:numPr>
          <w:ilvl w:val="0"/>
          <w:numId w:val="1"/>
        </w:numPr>
        <w:shd w:val="clear" w:color="auto" w:fill="auto"/>
        <w:tabs>
          <w:tab w:val="left" w:pos="574"/>
        </w:tabs>
        <w:bidi w:val="0"/>
        <w:spacing w:before="0" w:after="0" w:line="226" w:lineRule="auto"/>
        <w:ind w:left="460" w:right="0" w:hanging="280"/>
        <w:jc w:val="both"/>
      </w:pPr>
      <w:r>
        <w:rPr>
          <w:rStyle w:val="Bodytext1"/>
          <w:color w:val="007399"/>
          <w:rtl w:val="0"/>
        </w:rPr>
        <w:t xml:space="preserve">Judíos asesinados en tiroteos masivos por parte de los Einsatzgruppen y colaboradores locales: </w:t>
      </w:r>
      <w:r>
        <w:rPr>
          <w:rStyle w:val="Bodytext1"/>
          <w:color w:val="3C4043"/>
          <w:rtl w:val="0"/>
        </w:rPr>
        <w:t>2 millones-2,2 millones</w:t>
      </w:r>
    </w:p>
    <w:p>
      <w:pPr>
        <w:pStyle w:val="Bodytext10"/>
        <w:keepNext w:val="0"/>
        <w:keepLines w:val="0"/>
        <w:widowControl w:val="0"/>
        <w:numPr>
          <w:ilvl w:val="0"/>
          <w:numId w:val="1"/>
        </w:numPr>
        <w:shd w:val="clear" w:color="auto" w:fill="auto"/>
        <w:tabs>
          <w:tab w:val="left" w:pos="447"/>
        </w:tabs>
        <w:bidi w:val="0"/>
        <w:spacing w:before="0" w:after="0" w:line="182" w:lineRule="auto"/>
        <w:ind w:left="0" w:right="0" w:firstLine="180"/>
        <w:jc w:val="both"/>
      </w:pPr>
      <w:r>
        <w:rPr>
          <w:rStyle w:val="Bodytext1"/>
          <w:color w:val="007399"/>
          <w:rtl w:val="0"/>
        </w:rPr>
        <w:t xml:space="preserve">Judíos asesinados en Chelmno: </w:t>
      </w:r>
      <w:r>
        <w:rPr>
          <w:rStyle w:val="Bodytext1"/>
          <w:color w:val="3C4043"/>
          <w:rtl w:val="0"/>
        </w:rPr>
        <w:t>alrededor de 200.000</w:t>
      </w:r>
    </w:p>
    <w:p>
      <w:pPr>
        <w:pStyle w:val="Bodytext10"/>
        <w:keepNext w:val="0"/>
        <w:keepLines w:val="0"/>
        <w:widowControl w:val="0"/>
        <w:numPr>
          <w:ilvl w:val="0"/>
          <w:numId w:val="1"/>
        </w:numPr>
        <w:shd w:val="clear" w:color="auto" w:fill="auto"/>
        <w:tabs>
          <w:tab w:val="left" w:pos="447"/>
        </w:tabs>
        <w:bidi w:val="0"/>
        <w:spacing w:before="0" w:after="0" w:line="182" w:lineRule="auto"/>
        <w:ind w:left="0" w:right="0" w:firstLine="180"/>
        <w:jc w:val="both"/>
      </w:pPr>
      <w:r>
        <w:rPr>
          <w:rStyle w:val="Bodytext1"/>
          <w:color w:val="007399"/>
          <w:rtl w:val="0"/>
        </w:rPr>
        <w:t xml:space="preserve">Judíos asesinados en Belzec: </w:t>
      </w:r>
      <w:r>
        <w:rPr>
          <w:rStyle w:val="Bodytext1"/>
          <w:color w:val="3C4043"/>
          <w:rtl w:val="0"/>
        </w:rPr>
        <w:t>435.000-500.000</w:t>
      </w:r>
    </w:p>
    <w:p>
      <w:pPr>
        <w:pStyle w:val="Bodytext10"/>
        <w:keepNext w:val="0"/>
        <w:keepLines w:val="0"/>
        <w:widowControl w:val="0"/>
        <w:numPr>
          <w:ilvl w:val="0"/>
          <w:numId w:val="1"/>
        </w:numPr>
        <w:shd w:val="clear" w:color="auto" w:fill="auto"/>
        <w:tabs>
          <w:tab w:val="left" w:pos="447"/>
        </w:tabs>
        <w:bidi w:val="0"/>
        <w:spacing w:before="0" w:after="0" w:line="182" w:lineRule="auto"/>
        <w:ind w:left="0" w:right="0" w:firstLine="180"/>
        <w:jc w:val="both"/>
      </w:pPr>
      <w:r>
        <w:rPr>
          <w:rStyle w:val="Bodytext1"/>
          <w:color w:val="007399"/>
          <w:rtl w:val="0"/>
        </w:rPr>
        <w:t xml:space="preserve">Judíos asesinados en Sobibor: </w:t>
      </w:r>
      <w:r>
        <w:rPr>
          <w:rStyle w:val="Bodytext1"/>
          <w:color w:val="3C4043"/>
          <w:rtl w:val="0"/>
        </w:rPr>
        <w:t>alrededor de 180.000 o más</w:t>
      </w:r>
    </w:p>
    <w:p>
      <w:pPr>
        <w:pStyle w:val="Bodytext10"/>
        <w:keepNext w:val="0"/>
        <w:keepLines w:val="0"/>
        <w:widowControl w:val="0"/>
        <w:numPr>
          <w:ilvl w:val="0"/>
          <w:numId w:val="1"/>
        </w:numPr>
        <w:shd w:val="clear" w:color="auto" w:fill="auto"/>
        <w:tabs>
          <w:tab w:val="left" w:pos="447"/>
        </w:tabs>
        <w:bidi w:val="0"/>
        <w:spacing w:before="0" w:after="0" w:line="182" w:lineRule="auto"/>
        <w:ind w:left="0" w:right="0" w:firstLine="180"/>
        <w:jc w:val="both"/>
      </w:pPr>
      <w:r>
        <w:rPr>
          <w:rStyle w:val="Bodytext1"/>
          <w:color w:val="007399"/>
          <w:rtl w:val="0"/>
        </w:rPr>
        <w:t xml:space="preserve">Judíos asesinados en Treblinka: </w:t>
      </w:r>
      <w:r>
        <w:rPr>
          <w:rStyle w:val="Bodytext1"/>
          <w:color w:val="3C4043"/>
          <w:rtl w:val="0"/>
        </w:rPr>
        <w:t>al menos 900.000</w:t>
      </w:r>
    </w:p>
    <w:p>
      <w:pPr>
        <w:pStyle w:val="Bodytext10"/>
        <w:keepNext w:val="0"/>
        <w:keepLines w:val="0"/>
        <w:widowControl w:val="0"/>
        <w:numPr>
          <w:ilvl w:val="0"/>
          <w:numId w:val="1"/>
        </w:numPr>
        <w:shd w:val="clear" w:color="auto" w:fill="auto"/>
        <w:tabs>
          <w:tab w:val="left" w:pos="447"/>
        </w:tabs>
        <w:bidi w:val="0"/>
        <w:spacing w:before="0" w:after="0" w:line="182" w:lineRule="auto"/>
        <w:ind w:left="0" w:right="0" w:firstLine="180"/>
        <w:jc w:val="both"/>
      </w:pPr>
      <w:r>
        <w:rPr>
          <w:rStyle w:val="Bodytext1"/>
          <w:color w:val="007399"/>
          <w:rtl w:val="0"/>
        </w:rPr>
        <w:t xml:space="preserve">Judíos asesinados en Majdanek: </w:t>
      </w:r>
      <w:r>
        <w:rPr>
          <w:rStyle w:val="Bodytext1"/>
          <w:color w:val="3C4043"/>
          <w:rtl w:val="0"/>
        </w:rPr>
        <w:t>alrededor de 60.000</w:t>
      </w:r>
    </w:p>
    <w:p>
      <w:pPr>
        <w:pStyle w:val="Bodytext10"/>
        <w:keepNext w:val="0"/>
        <w:keepLines w:val="0"/>
        <w:widowControl w:val="0"/>
        <w:numPr>
          <w:ilvl w:val="0"/>
          <w:numId w:val="1"/>
        </w:numPr>
        <w:shd w:val="clear" w:color="auto" w:fill="auto"/>
        <w:tabs>
          <w:tab w:val="left" w:pos="447"/>
        </w:tabs>
        <w:bidi w:val="0"/>
        <w:spacing w:before="0" w:after="0" w:line="182" w:lineRule="auto"/>
        <w:ind w:left="0" w:right="0" w:firstLine="180"/>
        <w:jc w:val="both"/>
      </w:pPr>
      <w:r>
        <w:rPr>
          <w:rStyle w:val="Bodytext1"/>
          <w:color w:val="007399"/>
          <w:rtl w:val="0"/>
        </w:rPr>
        <w:t xml:space="preserve">Judíos asesinados en Auschwitz: </w:t>
      </w:r>
      <w:r>
        <w:rPr>
          <w:rStyle w:val="Bodytext1"/>
          <w:color w:val="3C4043"/>
          <w:rtl w:val="0"/>
        </w:rPr>
        <w:t>alrededor de 1 millón</w:t>
      </w:r>
    </w:p>
    <w:p>
      <w:pPr>
        <w:pStyle w:val="Bodytext10"/>
        <w:keepNext w:val="0"/>
        <w:keepLines w:val="0"/>
        <w:widowControl w:val="0"/>
        <w:numPr>
          <w:ilvl w:val="0"/>
          <w:numId w:val="1"/>
        </w:numPr>
        <w:shd w:val="clear" w:color="auto" w:fill="auto"/>
        <w:tabs>
          <w:tab w:val="left" w:pos="574"/>
        </w:tabs>
        <w:bidi w:val="0"/>
        <w:spacing w:before="0" w:after="500" w:line="226" w:lineRule="auto"/>
        <w:ind w:left="460" w:right="0" w:hanging="280"/>
        <w:jc w:val="both"/>
      </w:pPr>
      <w:r>
        <w:rPr>
          <w:rStyle w:val="Bodytext1"/>
          <w:color w:val="007399"/>
          <w:rtl w:val="0"/>
        </w:rPr>
        <w:t xml:space="preserve">Judíos asesinados en el día más fatal durante el Holocausto: </w:t>
      </w:r>
      <w:r>
        <w:rPr>
          <w:rStyle w:val="Bodytext1"/>
          <w:color w:val="3C4043"/>
          <w:rtl w:val="0"/>
        </w:rPr>
        <w:t>alrededor de 43.000 el 3 y 4 de noviembre de 1943</w:t>
      </w:r>
    </w:p>
    <w:p>
      <w:pPr>
        <w:pStyle w:val="Other10"/>
        <w:keepNext w:val="0"/>
        <w:keepLines w:val="0"/>
        <w:widowControl w:val="0"/>
        <w:shd w:val="clear" w:color="auto" w:fill="auto"/>
        <w:bidi w:val="0"/>
        <w:spacing w:before="0" w:after="220"/>
        <w:ind w:left="0" w:right="0" w:firstLine="0"/>
        <w:jc w:val="left"/>
        <w:rPr>
          <w:sz w:val="18"/>
          <w:szCs w:val="18"/>
        </w:rPr>
      </w:pPr>
      <w:r>
        <w:rPr>
          <w:rStyle w:val="Other1"/>
          <w:rFonts w:ascii="Courier New" w:eastAsia="Courier New" w:hAnsi="Courier New" w:cs="Courier New"/>
          <w:i/>
          <w:iCs/>
          <w:sz w:val="18"/>
          <w:szCs w:val="18"/>
          <w:rtl w:val="0"/>
        </w:rPr>
        <w:t>*El número de judíos asesinados es un número impreciso porque los nazis no llevaron la cuenta de todas sus víctimas o, en algunos casos, destruyeron los registros. Estos números indican las últimas investigaciones, a partir de 2020, y son aproximados.</w:t>
      </w:r>
    </w:p>
    <w:p>
      <w:pPr>
        <w:pStyle w:val="Other10"/>
        <w:keepNext w:val="0"/>
        <w:keepLines w:val="0"/>
        <w:widowControl w:val="0"/>
        <w:shd w:val="clear" w:color="auto" w:fill="auto"/>
        <w:bidi w:val="0"/>
        <w:spacing w:before="0" w:after="220" w:line="240" w:lineRule="auto"/>
        <w:ind w:left="0" w:right="0" w:firstLine="0"/>
        <w:jc w:val="left"/>
      </w:pPr>
      <w:r>
        <w:rPr>
          <w:rStyle w:val="Other1"/>
          <w:rFonts w:ascii="Arial" w:eastAsia="Arial" w:hAnsi="Arial" w:cs="Arial"/>
          <w:color w:val="007399"/>
          <w:rtl w:val="0"/>
        </w:rPr>
        <w:t>NOTAS DE DISCUSIÓN:</w:t>
      </w:r>
    </w:p>
    <w:sectPr>
      <w:type w:val="continuous"/>
      <w:pgSz w:w="12240" w:h="15840"/>
      <w:pgMar w:top="941" w:right="1056" w:bottom="941" w:left="1051"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685800</wp:posOffset>
              </wp:positionH>
              <wp:positionV relativeFrom="page">
                <wp:posOffset>9634855</wp:posOffset>
              </wp:positionV>
              <wp:extent cx="6397625"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397625" cy="97790"/>
                      </a:xfrm>
                      <a:prstGeom prst="rect">
                        <a:avLst/>
                      </a:prstGeom>
                      <a:noFill/>
                    </wps:spPr>
                    <wps:txbx>
                      <w:txbxContent>
                        <w:p>
                          <w:pPr>
                            <w:pStyle w:val="Headerorfooter20"/>
                            <w:keepNext w:val="0"/>
                            <w:keepLines w:val="0"/>
                            <w:widowControl w:val="0"/>
                            <w:shd w:val="clear" w:color="auto" w:fill="auto"/>
                            <w:tabs>
                              <w:tab w:val="right" w:pos="10075"/>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LA SOLUCIÓN DEFINITIVA"</w:t>
                            <w:tab/>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03.75pt;height:7.7pt;margin-top:758.65pt;margin-left:54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075"/>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LA SOLUCIÓN DEFINITIVA"</w:t>
                      <w:tab/>
                      <w:t>© Asociación Ecos y Reflexiones</w:t>
                    </w:r>
                  </w:p>
                </w:txbxContent>
              </v:textbox>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9F56650"/>
    <w:multiLevelType w:val="multilevel"/>
    <w:tmpl w:val="00000000"/>
    <w:lvl w:ilvl="0">
      <w:start w:val="1"/>
      <w:numFmt w:val="bullet"/>
      <w:lvlText w:val="•"/>
      <w:lvlJc w:val="left"/>
      <w:rPr>
        <w:rFonts w:ascii="Arial" w:eastAsia="Arial" w:hAnsi="Arial" w:cs="Arial"/>
        <w:b w:val="0"/>
        <w:bCs w:val="0"/>
        <w:i w:val="0"/>
        <w:iCs w:val="0"/>
        <w:smallCaps w:val="0"/>
        <w:strike w:val="0"/>
        <w:color w:val="007399"/>
        <w:spacing w:val="0"/>
        <w:w w:val="100"/>
        <w:position w:val="0"/>
        <w:sz w:val="32"/>
        <w:szCs w:val="32"/>
        <w:u w:val="none"/>
        <w:shd w:val="clear" w:color="auto" w:fill="auto"/>
        <w:lang w:val="en-US" w:eastAsia="en-US" w:bidi="en-US"/>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Other1">
    <w:name w:val="Other|1_"/>
    <w:basedOn w:val="DefaultParagraphFont"/>
    <w:link w:val="Other10"/>
    <w:rPr>
      <w:bCs w:val="0"/>
      <w:i w:val="0"/>
      <w:iCs w:val="0"/>
      <w:smallCaps w:val="0"/>
      <w:strike w:val="0"/>
      <w:sz w:val="20"/>
      <w:szCs w:val="20"/>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paragraph" w:customStyle="1" w:styleId="Other10">
    <w:name w:val="Other|1"/>
    <w:basedOn w:val="Normal"/>
    <w:link w:val="Other1"/>
    <w:pPr>
      <w:widowControl w:val="0"/>
      <w:shd w:val="clear" w:color="auto" w:fill="auto"/>
      <w:spacing w:line="293" w:lineRule="auto"/>
    </w:pPr>
    <w:rPr>
      <w:bCs w:val="0"/>
      <w:i w:val="0"/>
      <w:iCs w:val="0"/>
      <w:smallCaps w:val="0"/>
      <w:strike w:val="0"/>
      <w:sz w:val="20"/>
      <w:szCs w:val="20"/>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10">
    <w:name w:val="Body text|1"/>
    <w:basedOn w:val="Normal"/>
    <w:link w:val="Bodytext1"/>
    <w:pPr>
      <w:widowControl w:val="0"/>
      <w:shd w:val="clear" w:color="auto" w:fill="auto"/>
      <w:spacing w:line="293" w:lineRule="auto"/>
    </w:pPr>
    <w:rPr>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