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Heading110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right"/>
      </w:pPr>
      <w:bookmarkStart w:id="0" w:name="bookmark0"/>
      <w:r>
        <w:rPr>
          <w:rStyle w:val="Heading11"/>
          <w:rtl w:val="0"/>
        </w:rPr>
        <w:t>ECOS Y REFLEJOS</w:t>
      </w:r>
      <w:bookmarkEnd w:id="0"/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696"/>
        </w:tabs>
        <w:bidi w:val="0"/>
        <w:spacing w:before="0" w:after="2540" w:line="240" w:lineRule="auto"/>
        <w:ind w:left="0" w:right="0" w:firstLine="0"/>
        <w:jc w:val="right"/>
      </w:pPr>
      <w:r>
        <w:rPr>
          <w:rStyle w:val="Bodytext1"/>
          <w:rtl w:val="0"/>
        </w:rPr>
        <w:t>I</w:t>
        <w:tab/>
      </w:r>
      <w:r>
        <w:rPr>
          <w:rStyle w:val="Bodytext1"/>
          <w:color w:val="308DAB"/>
          <w:rtl w:val="0"/>
        </w:rPr>
        <w:t>I</w:t>
      </w:r>
      <w:r>
        <w:rPr>
          <w:rStyle w:val="Bodytext1"/>
          <w:rtl w:val="0"/>
        </w:rPr>
        <w:t xml:space="preserve"> ENSEÑANDO EL HOLOCAUSTO. INSPIRANDO EL AULA.</w:t>
      </w:r>
    </w:p>
    <w:tbl>
      <w:tblPr>
        <w:tblOverlap w:val="never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3"/>
        <w:gridCol w:w="3442"/>
        <w:gridCol w:w="5045"/>
      </w:tblGrid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773"/>
          <w:jc w:val="center"/>
        </w:trPr>
        <w:tc>
          <w:tcPr>
            <w:tcW w:w="1603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color w:val="FFFFFF"/>
                <w:rtl w:val="0"/>
              </w:rPr>
              <w:t>TEMA</w:t>
            </w:r>
          </w:p>
        </w:tc>
        <w:tc>
          <w:tcPr>
            <w:tcW w:w="3442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color w:val="FFFFFF"/>
                <w:rtl w:val="0"/>
              </w:rPr>
              <w:t>DESCRIPCIÓN GENERAL</w:t>
            </w:r>
          </w:p>
        </w:tc>
        <w:tc>
          <w:tcPr>
            <w:tcW w:w="5045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color w:val="FFFFFF"/>
                <w:rtl w:val="0"/>
              </w:rPr>
              <w:t>FUENTES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443"/>
          <w:jc w:val="center"/>
        </w:trPr>
        <w:tc>
          <w:tcPr>
            <w:tcW w:w="16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rtl w:val="0"/>
              </w:rPr>
              <w:t>partisanos</w:t>
            </w:r>
          </w:p>
        </w:tc>
        <w:tc>
          <w:tcPr>
            <w:tcW w:w="3442" w:type="dxa"/>
            <w:tcBorders>
              <w:lef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Algunos judíos se unieron a organizaciones armadas secretas para luchar contra los nazis. Los partisanos se organizaron en los bosques o formaron grupos clandestinos en las ciudades y participaron en actos de sabotaje y destrucción. Algunos eran luchadores, pero otros eran exploradores, cocineros y cuidadores de jóvenes y enfermos.</w:t>
            </w:r>
          </w:p>
        </w:tc>
        <w:tc>
          <w:tcPr>
            <w:tcW w:w="50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41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Artículo: </w:t>
            </w:r>
            <w:hyperlink r:id="rId4" w:history="1">
              <w:r>
                <w:rPr>
                  <w:rStyle w:val="Other1"/>
                  <w:color w:val="215E9E"/>
                  <w:u w:val="single"/>
                  <w:rtl w:val="0"/>
                </w:rPr>
                <w:t>Partisanos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41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Artículo: </w:t>
            </w:r>
            <w:hyperlink r:id="rId5" w:history="1">
              <w:r>
                <w:rPr>
                  <w:rStyle w:val="Other1"/>
                  <w:color w:val="215E9E"/>
                  <w:u w:val="single"/>
                  <w:rtl w:val="0"/>
                </w:rPr>
                <w:t>Partidarios judíos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41"/>
                <w:tab w:val="left" w:pos="360"/>
                <w:tab w:val="center" w:pos="2669"/>
                <w:tab w:val="center" w:pos="2914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Testimonio: </w:t>
            </w:r>
            <w:hyperlink r:id="rId6" w:history="1">
              <w:r>
                <w:rPr>
                  <w:rStyle w:val="Other1"/>
                  <w:color w:val="215E9E"/>
                  <w:u w:val="single"/>
                  <w:rtl w:val="0"/>
                </w:rPr>
                <w:t>Sulia Rubin</w:t>
              </w:r>
              <w:r>
                <w:rPr>
                  <w:rStyle w:val="Other1"/>
                  <w:rtl w:val="0"/>
                </w:rPr>
                <w:t xml:space="preserve"> ,</w:t>
              </w:r>
            </w:hyperlink>
            <w:hyperlink r:id="rId7" w:history="1">
              <w:r>
                <w:rPr>
                  <w:rStyle w:val="Other1"/>
                  <w:rtl w:val="0"/>
                </w:rPr>
                <w:tab/>
              </w:r>
              <w:r>
                <w:rPr>
                  <w:rStyle w:val="Other1"/>
                  <w:color w:val="215E9E"/>
                  <w:u w:val="single"/>
                  <w:rtl w:val="0"/>
                </w:rPr>
                <w:t>mira</w:t>
                <w:tab/>
                <w:t>Shelub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36"/>
                <w:tab w:val="left" w:pos="360"/>
                <w:tab w:val="center" w:pos="3134"/>
                <w:tab w:val="right" w:pos="4526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Diario: </w:t>
            </w:r>
            <w:hyperlink r:id="rId8" w:history="1">
              <w:r>
                <w:rPr>
                  <w:rStyle w:val="Other1"/>
                  <w:color w:val="215E9E"/>
                  <w:u w:val="single"/>
                  <w:rtl w:val="0"/>
                </w:rPr>
                <w:t>vida de los partisanos judíos</w:t>
                <w:tab/>
                <w:t>y</w:t>
                <w:tab/>
                <w:t>familia judía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60"/>
              <w:jc w:val="left"/>
            </w:pPr>
            <w:hyperlink r:id="rId8" w:history="1">
              <w:r>
                <w:rPr>
                  <w:rStyle w:val="Other1"/>
                  <w:color w:val="215E9E"/>
                  <w:u w:val="single"/>
                  <w:rtl w:val="0"/>
                </w:rPr>
                <w:t>Campamentos en el bosque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55"/>
                <w:tab w:val="left" w:pos="360"/>
              </w:tabs>
              <w:bidi w:val="0"/>
              <w:spacing w:before="0" w:after="0" w:line="221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Vídeo: </w:t>
            </w:r>
            <w:hyperlink r:id="rId9" w:history="1">
              <w:r>
                <w:rPr>
                  <w:rStyle w:val="Other1"/>
                  <w:color w:val="215E9E"/>
                  <w:u w:val="single"/>
                  <w:rtl w:val="0"/>
                </w:rPr>
                <w:t>Introducción a los partisanos judíos.</w:t>
              </w:r>
            </w:hyperlink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606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320" w:right="0" w:firstLine="0"/>
              <w:jc w:val="left"/>
            </w:pPr>
            <w:r>
              <w:rPr>
                <w:rStyle w:val="Other1"/>
                <w:rtl w:val="0"/>
              </w:rPr>
              <w:t>Levantamiento en Auschwitz-Birkenau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Los Sonderkommandos eran unidades de trabajo formadas por prisioneros de campos de exterminio que eran obligados a deshacerse de las víctimas de las cámaras de gas. En octubre de 1944, el Sonderkommando de Auschwitz-Birkenau planeó una rebelión contrabandeando pólvora para destruir las cámaras de gas y los crematorios.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41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Artículo: </w:t>
            </w:r>
            <w:hyperlink r:id="rId10" w:history="1">
              <w:r>
                <w:rPr>
                  <w:rStyle w:val="Other1"/>
                  <w:color w:val="215E9E"/>
                  <w:u w:val="single"/>
                  <w:rtl w:val="0"/>
                </w:rPr>
                <w:t>La revuelta en Auschwitz-Birkenau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41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Artículo: </w:t>
            </w:r>
            <w:hyperlink r:id="rId11" w:history="1">
              <w:r>
                <w:rPr>
                  <w:rStyle w:val="Other1"/>
                  <w:color w:val="215E9E"/>
                  <w:u w:val="single"/>
                  <w:rtl w:val="0"/>
                </w:rPr>
                <w:t>Rosa Robota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50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Testimonio: </w:t>
            </w:r>
            <w:hyperlink r:id="rId12" w:history="1">
              <w:r>
                <w:rPr>
                  <w:rStyle w:val="Other1"/>
                  <w:color w:val="215E9E"/>
                  <w:u w:val="single"/>
                  <w:rtl w:val="0"/>
                </w:rPr>
                <w:t>Anna Heilman</w:t>
              </w:r>
            </w:hyperlink>
            <w:r>
              <w:rPr>
                <w:rStyle w:val="Other1"/>
                <w:rtl w:val="0"/>
              </w:rPr>
              <w:t xml:space="preserve"> y </w:t>
            </w:r>
            <w:hyperlink r:id="rId13" w:history="1">
              <w:r>
                <w:rPr>
                  <w:rStyle w:val="Other1"/>
                  <w:color w:val="215E9E"/>
                  <w:u w:val="single"/>
                  <w:rtl w:val="0"/>
                </w:rPr>
                <w:t>biografía</w:t>
              </w:r>
              <w:r>
                <w:rPr>
                  <w:rStyle w:val="Other1"/>
                  <w:rtl w:val="0"/>
                </w:rPr>
                <w:t xml:space="preserve"> ,</w:t>
              </w:r>
            </w:hyperlink>
            <w:r>
              <w:rPr>
                <w:rStyle w:val="Other1"/>
                <w:rtl w:val="0"/>
              </w:rPr>
              <w:t xml:space="preserve"> </w:t>
            </w:r>
            <w:hyperlink r:id="rId14" w:history="1">
              <w:r>
                <w:rPr>
                  <w:rStyle w:val="Other1"/>
                  <w:color w:val="215E9E"/>
                  <w:u w:val="single"/>
                  <w:rtl w:val="0"/>
                </w:rPr>
                <w:t>Dario Gabbai</w:t>
              </w:r>
              <w:r>
                <w:rPr>
                  <w:rStyle w:val="Other1"/>
                  <w:rtl w:val="0"/>
                </w:rPr>
                <w:t xml:space="preserve"> ,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60"/>
              <w:jc w:val="left"/>
            </w:pPr>
            <w:hyperlink r:id="rId15" w:history="1">
              <w:r>
                <w:rPr>
                  <w:rStyle w:val="Other1"/>
                  <w:color w:val="215E9E"/>
                  <w:u w:val="single"/>
                  <w:rtl w:val="0"/>
                </w:rPr>
                <w:t>Lusia Haberfeld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50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Artículo: “Zalman Gradowski” de </w:t>
            </w:r>
            <w:r>
              <w:rPr>
                <w:rStyle w:val="Other1"/>
                <w:color w:val="215E9E"/>
                <w:u w:val="single"/>
                <w:rtl w:val="0"/>
              </w:rPr>
              <w:t>Personal</w:t>
            </w:r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60"/>
              <w:jc w:val="left"/>
            </w:pPr>
            <w:r>
              <w:rPr>
                <w:rStyle w:val="Other1"/>
                <w:color w:val="215E9E"/>
                <w:u w:val="single"/>
                <w:rtl w:val="0"/>
              </w:rPr>
              <w:t>Folleto de testimonios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957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700" w:after="0" w:line="240" w:lineRule="auto"/>
              <w:ind w:left="0" w:right="0" w:firstLine="0"/>
              <w:jc w:val="center"/>
            </w:pPr>
            <w:r>
              <w:rPr>
                <w:rStyle w:val="Other1"/>
                <w:rtl w:val="0"/>
              </w:rPr>
              <w:t>Expresión Cultural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Además del hambre, el hacinamiento y las constantes penurias, en muchos guetos existía una rica vida espiritual y cultural. Los judíos a menudo arriesgaban sus vidas por valores más elevados, como educar a sus hijos, mantener tradiciones y sostener actividades culturales centenarias.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5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Artículo: </w:t>
            </w:r>
            <w:hyperlink r:id="rId16" w:history="1">
              <w:r>
                <w:rPr>
                  <w:rStyle w:val="Other1"/>
                  <w:color w:val="215E9E"/>
                  <w:u w:val="single"/>
                  <w:rtl w:val="0"/>
                </w:rPr>
                <w:t>Teatro y música en el gueto de Vilna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0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Testimonio: </w:t>
            </w:r>
            <w:hyperlink r:id="rId17" w:history="1">
              <w:r>
                <w:rPr>
                  <w:rStyle w:val="Other1"/>
                  <w:color w:val="215E9E"/>
                  <w:u w:val="single"/>
                  <w:rtl w:val="0"/>
                </w:rPr>
                <w:t>Charlene Schiff describe una situación clandestina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460" w:right="0" w:firstLine="0"/>
              <w:jc w:val="left"/>
            </w:pPr>
            <w:hyperlink r:id="rId17" w:history="1">
              <w:r>
                <w:rPr>
                  <w:rStyle w:val="Other1"/>
                  <w:color w:val="215E9E"/>
                  <w:u w:val="single"/>
                  <w:rtl w:val="0"/>
                </w:rPr>
                <w:t>Escuela para niños en el gueto de Horochow</w:t>
              </w:r>
              <w:r>
                <w:rPr>
                  <w:rStyle w:val="Other1"/>
                  <w:rtl w:val="0"/>
                </w:rPr>
                <w:t xml:space="preserve"> ,</w:t>
              </w:r>
            </w:hyperlink>
            <w:r>
              <w:rPr>
                <w:rStyle w:val="Other1"/>
                <w:rtl w:val="0"/>
              </w:rPr>
              <w:t xml:space="preserve"> </w:t>
            </w:r>
            <w:hyperlink r:id="rId18" w:history="1">
              <w:r>
                <w:rPr>
                  <w:rStyle w:val="Other1"/>
                  <w:color w:val="215E9E"/>
                  <w:u w:val="single"/>
                  <w:rtl w:val="0"/>
                </w:rPr>
                <w:t>Vida cultural en el gueto de Vilna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60"/>
                <w:tab w:val="left" w:pos="365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Diario: </w:t>
            </w:r>
            <w:hyperlink r:id="rId19" w:history="1">
              <w:r>
                <w:rPr>
                  <w:rStyle w:val="Other1"/>
                  <w:color w:val="365F91"/>
                  <w:u w:val="single"/>
                  <w:rtl w:val="0"/>
                </w:rPr>
                <w:t>El diario de Itzjak Rudashevski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41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Música: </w:t>
            </w:r>
            <w:hyperlink r:id="rId20" w:history="1">
              <w:r>
                <w:rPr>
                  <w:rStyle w:val="Other1"/>
                  <w:color w:val="215E9E"/>
                  <w:u w:val="single"/>
                  <w:rtl w:val="0"/>
                </w:rPr>
                <w:t>Música del Holocausto (durante la guerra)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41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Fotos: </w:t>
            </w:r>
            <w:hyperlink r:id="rId21" w:history="1">
              <w:r>
                <w:rPr>
                  <w:rStyle w:val="Other1"/>
                  <w:color w:val="215E9E"/>
                  <w:u w:val="single"/>
                  <w:rtl w:val="0"/>
                </w:rPr>
                <w:t>Vivir con Honor y Morir con Honor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5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Arte: </w:t>
            </w:r>
            <w:hyperlink r:id="rId22" w:history="1">
              <w:r>
                <w:rPr>
                  <w:rStyle w:val="Other1"/>
                  <w:color w:val="215E9E"/>
                  <w:u w:val="single"/>
                  <w:rtl w:val="0"/>
                </w:rPr>
                <w:t>Arte en el Holocausto</w:t>
              </w:r>
            </w:hyperlink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p>
      <w:pPr>
        <w:pStyle w:val="Heading110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right"/>
      </w:pPr>
      <w:bookmarkStart w:id="1" w:name="bookmark2"/>
      <w:r>
        <w:rPr>
          <w:rStyle w:val="Heading11"/>
          <w:rtl w:val="0"/>
        </w:rPr>
        <w:t>ECOS Y REFLEJOS</w:t>
      </w:r>
      <w:bookmarkEnd w:id="1"/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696"/>
        </w:tabs>
        <w:bidi w:val="0"/>
        <w:spacing w:before="0" w:after="2580" w:line="240" w:lineRule="auto"/>
        <w:ind w:left="0" w:right="0" w:firstLine="0"/>
        <w:jc w:val="right"/>
      </w:pPr>
      <w:r>
        <w:rPr>
          <w:rStyle w:val="Bodytext1"/>
          <w:rtl w:val="0"/>
        </w:rPr>
        <w:t>I</w:t>
        <w:tab/>
      </w:r>
      <w:r>
        <w:rPr>
          <w:rStyle w:val="Bodytext1"/>
          <w:color w:val="308DAB"/>
          <w:rtl w:val="0"/>
        </w:rPr>
        <w:t>I</w:t>
      </w:r>
      <w:r>
        <w:rPr>
          <w:rStyle w:val="Bodytext1"/>
          <w:rtl w:val="0"/>
        </w:rPr>
        <w:t xml:space="preserve"> ENSEÑANDO EL HOLOCAUSTO. INSPIRANDO EL AULA.</w:t>
      </w:r>
    </w:p>
    <w:tbl>
      <w:tblPr>
        <w:tblOverlap w:val="never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3"/>
        <w:gridCol w:w="3442"/>
        <w:gridCol w:w="5045"/>
      </w:tblGrid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744"/>
          <w:jc w:val="center"/>
        </w:trPr>
        <w:tc>
          <w:tcPr>
            <w:tcW w:w="1603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color w:val="FFFFFF"/>
                <w:rtl w:val="0"/>
              </w:rPr>
              <w:t>TEMA</w:t>
            </w:r>
          </w:p>
        </w:tc>
        <w:tc>
          <w:tcPr>
            <w:tcW w:w="3442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color w:val="FFFFFF"/>
                <w:rtl w:val="0"/>
              </w:rPr>
              <w:t>DESCRIPCIÓN GENERAL</w:t>
            </w:r>
          </w:p>
        </w:tc>
        <w:tc>
          <w:tcPr>
            <w:tcW w:w="5045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color w:val="FFFFFF"/>
                <w:rtl w:val="0"/>
              </w:rPr>
              <w:t>FUENTES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424"/>
          <w:jc w:val="center"/>
        </w:trPr>
        <w:tc>
          <w:tcPr>
            <w:tcW w:w="16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rtl w:val="0"/>
              </w:rPr>
              <w:t>Petr Ginz: resistencia a través del arte y la escritura</w:t>
            </w:r>
          </w:p>
        </w:tc>
        <w:tc>
          <w:tcPr>
            <w:tcW w:w="34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A los 14 años, Petr Ginz (1928-1944) se convirtió en editor jefe de una revista, Vedem (“A la cabeza”), producida en secreto en Terezin, el gueto y campo donde estuvo encarcelado. Petr ayudó a crear cientos de páginas de ensayos, poemas y dibujos que documentan su vida en Terezin y sus pensamientos y sentimientos internos.</w:t>
            </w:r>
          </w:p>
        </w:tc>
        <w:tc>
          <w:tcPr>
            <w:tcW w:w="50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350"/>
                <w:tab w:val="left" w:pos="355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Artículo: </w:t>
            </w:r>
            <w:hyperlink r:id="rId23" w:history="1">
              <w:r>
                <w:rPr>
                  <w:rStyle w:val="Other1"/>
                  <w:color w:val="215E9E"/>
                  <w:u w:val="single"/>
                  <w:rtl w:val="0"/>
                </w:rPr>
                <w:t>Los adolescentes de Terezin se defendieron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60"/>
              <w:jc w:val="left"/>
            </w:pPr>
            <w:hyperlink r:id="rId23" w:history="1">
              <w:r>
                <w:rPr>
                  <w:rStyle w:val="Other1"/>
                  <w:color w:val="215E9E"/>
                  <w:u w:val="single"/>
                  <w:rtl w:val="0"/>
                </w:rPr>
                <w:t>Revista subterránea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355"/>
                <w:tab w:val="left" w:pos="370"/>
              </w:tabs>
              <w:bidi w:val="0"/>
              <w:spacing w:before="0" w:after="0" w:line="228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Diario: </w:t>
            </w:r>
            <w:hyperlink r:id="rId24" w:history="1">
              <w:r>
                <w:rPr>
                  <w:rStyle w:val="Other1"/>
                  <w:color w:val="215E9E"/>
                  <w:u w:val="single"/>
                  <w:rtl w:val="0"/>
                </w:rPr>
                <w:t>“El diario de mi hermano”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355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Vídeo: </w:t>
            </w:r>
            <w:hyperlink r:id="rId25" w:history="1">
              <w:r>
                <w:rPr>
                  <w:rStyle w:val="Other1"/>
                  <w:color w:val="215E9E"/>
                  <w:u w:val="single"/>
                  <w:rtl w:val="0"/>
                </w:rPr>
                <w:t>“Vedem” de Petr Ginz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326"/>
                <w:tab w:val="left" w:pos="355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Vídeo: </w:t>
            </w:r>
            <w:hyperlink r:id="rId26" w:history="1">
              <w:r>
                <w:rPr>
                  <w:rStyle w:val="Other1"/>
                  <w:color w:val="215E9E"/>
                  <w:u w:val="single"/>
                  <w:rtl w:val="0"/>
                </w:rPr>
                <w:t>Petr Ginz y los chicos de Vedem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326"/>
                <w:tab w:val="left" w:pos="355"/>
              </w:tabs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Vídeo: </w:t>
            </w:r>
            <w:hyperlink r:id="rId27" w:history="1">
              <w:r>
                <w:rPr>
                  <w:rStyle w:val="Other1"/>
                  <w:color w:val="215E9E"/>
                  <w:u w:val="single"/>
                  <w:rtl w:val="0"/>
                </w:rPr>
                <w:t>El último vuelo de Petr Ginz (tráiler)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355"/>
                <w:tab w:val="left" w:pos="365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Guía de estudio: </w:t>
            </w:r>
            <w:hyperlink r:id="rId28" w:history="1">
              <w:r>
                <w:rPr>
                  <w:rStyle w:val="Other1"/>
                  <w:color w:val="215E9E"/>
                  <w:u w:val="single"/>
                  <w:rtl w:val="0"/>
                </w:rPr>
                <w:t>El último vuelo de Petr Ginz</w:t>
              </w:r>
            </w:hyperlink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626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700" w:after="0" w:line="240" w:lineRule="auto"/>
              <w:ind w:left="0" w:right="0" w:firstLine="0"/>
              <w:jc w:val="center"/>
            </w:pPr>
            <w:r>
              <w:rPr>
                <w:rStyle w:val="Other1"/>
                <w:rtl w:val="0"/>
              </w:rPr>
              <w:t>Mujeres que resistieron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A menudo se pasa por alto la participación de las mujeres en los esfuerzos de resistencia. Sin embargo, las mujeres desempeñaron papeles activos y críticos como mensajeras y contrabandistas, combatientes partisanos armados, miembros de grupos de resistencia de guetos y campos de concentración y líderes de operaciones de rescate y ayuda.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355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Artículo: </w:t>
            </w:r>
            <w:hyperlink r:id="rId29" w:history="1">
              <w:r>
                <w:rPr>
                  <w:rStyle w:val="Other1"/>
                  <w:color w:val="215E9E"/>
                  <w:u w:val="single"/>
                  <w:rtl w:val="0"/>
                </w:rPr>
                <w:t>Las mensajeras durante el Holocausto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355"/>
                <w:tab w:val="left" w:pos="360"/>
              </w:tabs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Artículo: </w:t>
            </w:r>
            <w:hyperlink r:id="rId30" w:history="1">
              <w:r>
                <w:rPr>
                  <w:rStyle w:val="Other1"/>
                  <w:color w:val="215E9E"/>
                  <w:u w:val="single"/>
                  <w:rtl w:val="0"/>
                </w:rPr>
                <w:t>Mujeres de valor – Irena Sendler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350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Testimonio: </w:t>
            </w:r>
            <w:hyperlink r:id="rId31" w:history="1">
              <w:r>
                <w:rPr>
                  <w:rStyle w:val="Other1"/>
                  <w:color w:val="215E9E"/>
                  <w:u w:val="single"/>
                  <w:rtl w:val="0"/>
                </w:rPr>
                <w:t>Anna Heilman</w:t>
              </w:r>
              <w:r>
                <w:rPr>
                  <w:rStyle w:val="Other1"/>
                  <w:rtl w:val="0"/>
                </w:rPr>
                <w:t xml:space="preserve"> ,</w:t>
              </w:r>
            </w:hyperlink>
            <w:r>
              <w:rPr>
                <w:rStyle w:val="Other1"/>
                <w:rtl w:val="0"/>
              </w:rPr>
              <w:t xml:space="preserve"> </w:t>
            </w:r>
            <w:hyperlink r:id="rId15" w:history="1">
              <w:r>
                <w:rPr>
                  <w:rStyle w:val="Other1"/>
                  <w:color w:val="215E9E"/>
                  <w:u w:val="single"/>
                  <w:rtl w:val="0"/>
                </w:rPr>
                <w:t>Lusia Haberfeld</w:t>
              </w:r>
              <w:r>
                <w:rPr>
                  <w:rStyle w:val="Other1"/>
                  <w:rtl w:val="0"/>
                </w:rPr>
                <w:t xml:space="preserve"> ,</w:t>
              </w:r>
            </w:hyperlink>
            <w:r>
              <w:rPr>
                <w:rStyle w:val="Other1"/>
                <w:rtl w:val="0"/>
              </w:rPr>
              <w:t xml:space="preserve"> </w:t>
            </w:r>
            <w:hyperlink r:id="rId32" w:history="1">
              <w:r>
                <w:rPr>
                  <w:rStyle w:val="Other1"/>
                  <w:color w:val="215E9E"/>
                  <w:u w:val="single"/>
                  <w:rtl w:val="0"/>
                </w:rPr>
                <w:t>Vera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60"/>
              <w:jc w:val="left"/>
            </w:pPr>
            <w:hyperlink r:id="rId32" w:history="1">
              <w:r>
                <w:rPr>
                  <w:rStyle w:val="Other1"/>
                  <w:color w:val="215E9E"/>
                  <w:u w:val="single"/>
                  <w:rtl w:val="0"/>
                </w:rPr>
                <w:t>Laska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360"/>
                <w:tab w:val="left" w:pos="365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Podcast: </w:t>
            </w:r>
            <w:hyperlink r:id="rId33" w:history="1">
              <w:r>
                <w:rPr>
                  <w:rStyle w:val="Other1"/>
                  <w:color w:val="215E9E"/>
                  <w:u w:val="single"/>
                  <w:rtl w:val="0"/>
                </w:rPr>
                <w:t>Elegir actuar: mujeres judías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60"/>
              <w:jc w:val="left"/>
            </w:pPr>
            <w:hyperlink r:id="rId33" w:history="1">
              <w:r>
                <w:rPr>
                  <w:rStyle w:val="Other1"/>
                  <w:color w:val="215E9E"/>
                  <w:u w:val="single"/>
                  <w:rtl w:val="0"/>
                </w:rPr>
                <w:t>Resistencia en el Holocausto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350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Vídeo: </w:t>
            </w:r>
            <w:hyperlink r:id="rId34" w:history="1">
              <w:r>
                <w:rPr>
                  <w:rStyle w:val="Other1"/>
                  <w:color w:val="215E9E"/>
                  <w:u w:val="single"/>
                  <w:rtl w:val="0"/>
                </w:rPr>
                <w:t>Héroes del levantamiento del gueto de Varsovia: Zivia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60"/>
              <w:jc w:val="left"/>
            </w:pPr>
            <w:hyperlink r:id="rId34" w:history="1">
              <w:r>
                <w:rPr>
                  <w:rStyle w:val="Other1"/>
                  <w:color w:val="215E9E"/>
                  <w:u w:val="single"/>
                  <w:rtl w:val="0"/>
                </w:rPr>
                <w:t>Lübetkin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350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Vídeos: </w:t>
            </w:r>
            <w:hyperlink r:id="rId35" w:history="1">
              <w:r>
                <w:rPr>
                  <w:rStyle w:val="Other1"/>
                  <w:color w:val="215E9E"/>
                  <w:u w:val="single"/>
                  <w:rtl w:val="0"/>
                </w:rPr>
                <w:t>Rachel Auerbach y el comedor social en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60"/>
              <w:jc w:val="left"/>
            </w:pPr>
            <w:hyperlink r:id="rId35" w:history="1">
              <w:r>
                <w:rPr>
                  <w:rStyle w:val="Other1"/>
                  <w:color w:val="215E9E"/>
                  <w:u w:val="single"/>
                  <w:rtl w:val="0"/>
                </w:rPr>
                <w:t>el gueto de Varsovia</w:t>
              </w:r>
            </w:hyperlink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957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640" w:after="0" w:line="240" w:lineRule="auto"/>
              <w:ind w:left="0" w:right="0" w:firstLine="0"/>
              <w:jc w:val="center"/>
            </w:pPr>
            <w:r>
              <w:rPr>
                <w:rStyle w:val="Other1"/>
                <w:rtl w:val="0"/>
              </w:rPr>
              <w:t>Escape del centro de exterminio de Sobibor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El 14 de octubre de 1943, los prisioneros judíos del campo de exterminio de Sobibor llevaron a cabo un levantamiento organizado, atrayendo a 11 oficiales de las SS a lugares apartados y matándolos. Luego, casi 300 prisioneros rompieron las cercas de alambre de púas y escaparon, aunque la mayoría fueron asesinados posteriormente por guardias, unidades de policía o en los campos minados circundantes.</w:t>
            </w:r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Alrededor de 50 de los fugitivos sobrevivieron a la guerra.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6"/>
              </w:numPr>
              <w:shd w:val="clear" w:color="auto" w:fill="auto"/>
              <w:tabs>
                <w:tab w:val="left" w:pos="355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Artículo: </w:t>
            </w:r>
            <w:hyperlink r:id="rId36" w:history="1">
              <w:r>
                <w:rPr>
                  <w:rStyle w:val="Other1"/>
                  <w:color w:val="215E9E"/>
                  <w:u w:val="single"/>
                  <w:rtl w:val="0"/>
                </w:rPr>
                <w:t>Las secuelas de la revuelta de Sobibor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6"/>
              </w:numPr>
              <w:shd w:val="clear" w:color="auto" w:fill="auto"/>
              <w:tabs>
                <w:tab w:val="left" w:pos="350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Testimonio: </w:t>
            </w:r>
            <w:hyperlink r:id="rId37" w:history="1">
              <w:r>
                <w:rPr>
                  <w:rStyle w:val="Other1"/>
                  <w:color w:val="215E9E"/>
                  <w:u w:val="single"/>
                  <w:rtl w:val="0"/>
                </w:rPr>
                <w:t>Chaim Engel (clip 23)</w:t>
              </w:r>
              <w:r>
                <w:rPr>
                  <w:rStyle w:val="Other1"/>
                  <w:rtl w:val="0"/>
                </w:rPr>
                <w:t xml:space="preserve"> , </w:t>
              </w:r>
              <w:r>
                <w:rPr>
                  <w:rStyle w:val="Other1"/>
                  <w:color w:val="215E9E"/>
                  <w:u w:val="single"/>
                  <w:rtl w:val="0"/>
                </w:rPr>
                <w:t>Thomas Blatt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60"/>
              <w:jc w:val="left"/>
            </w:pPr>
            <w:hyperlink r:id="rId37" w:history="1">
              <w:r>
                <w:rPr>
                  <w:rStyle w:val="Other1"/>
                  <w:color w:val="215E9E"/>
                  <w:u w:val="single"/>
                  <w:rtl w:val="0"/>
                </w:rPr>
                <w:t>(clip 24)</w:t>
              </w:r>
              <w:r>
                <w:t xml:space="preserve"> </w:t>
              </w:r>
              <w:r>
                <w:rPr>
                  <w:rStyle w:val="Other1"/>
                  <w:rtl w:val="0"/>
                </w:rPr>
                <w:t>,</w:t>
              </w:r>
              <w:r>
                <w:t xml:space="preserve"> </w:t>
              </w:r>
              <w:r>
                <w:rPr>
                  <w:rStyle w:val="Other1"/>
                  <w:color w:val="215E9E"/>
                  <w:u w:val="single"/>
                  <w:rtl w:val="0"/>
                </w:rPr>
                <w:t>Philip Bialowitz (clip 25)</w:t>
              </w:r>
              <w:r>
                <w:t xml:space="preserve"> </w:t>
              </w:r>
              <w:r>
                <w:rPr>
                  <w:rStyle w:val="Other1"/>
                  <w:rtl w:val="0"/>
                </w:rPr>
                <w:t>,</w:t>
              </w:r>
            </w:hyperlink>
            <w:hyperlink r:id="rId38" w:history="1">
              <w:r>
                <w:rPr>
                  <w:rStyle w:val="Other1"/>
                  <w:rtl w:val="0"/>
                </w:rPr>
                <w:t xml:space="preserve"> </w:t>
              </w:r>
              <w:r>
                <w:rPr>
                  <w:rStyle w:val="Other1"/>
                  <w:color w:val="215E9E"/>
                  <w:u w:val="single"/>
                  <w:rtl w:val="0"/>
                </w:rPr>
                <w:t>Selma Engel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6"/>
              </w:numPr>
              <w:shd w:val="clear" w:color="auto" w:fill="auto"/>
              <w:tabs>
                <w:tab w:val="left" w:pos="360"/>
                <w:tab w:val="left" w:pos="365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Foto: </w:t>
            </w:r>
            <w:hyperlink r:id="rId39" w:history="1">
              <w:r>
                <w:rPr>
                  <w:rStyle w:val="Other1"/>
                  <w:color w:val="215E9E"/>
                  <w:u w:val="single"/>
                  <w:rtl w:val="0"/>
                </w:rPr>
                <w:t>Sobrevivientes del campo de exterminio de Sobibor que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60"/>
              <w:jc w:val="left"/>
            </w:pPr>
            <w:hyperlink r:id="rId39" w:history="1">
              <w:r>
                <w:rPr>
                  <w:rStyle w:val="Other1"/>
                  <w:color w:val="215E9E"/>
                  <w:u w:val="single"/>
                  <w:rtl w:val="0"/>
                </w:rPr>
                <w:t>participó en la revuelta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6"/>
              </w:numPr>
              <w:shd w:val="clear" w:color="auto" w:fill="auto"/>
              <w:tabs>
                <w:tab w:val="left" w:pos="350"/>
                <w:tab w:val="left" w:pos="360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Vídeo: </w:t>
            </w:r>
            <w:hyperlink r:id="rId40" w:history="1">
              <w:r>
                <w:rPr>
                  <w:rStyle w:val="Other1"/>
                  <w:color w:val="215E9E"/>
                  <w:u w:val="single"/>
                  <w:rtl w:val="0"/>
                </w:rPr>
                <w:t>“Tengo que escribirlo todo”: El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60"/>
              <w:jc w:val="left"/>
            </w:pPr>
            <w:hyperlink r:id="rId40" w:history="1">
              <w:r>
                <w:rPr>
                  <w:rStyle w:val="Other1"/>
                  <w:color w:val="215E9E"/>
                  <w:u w:val="single"/>
                  <w:rtl w:val="0"/>
                </w:rPr>
                <w:t>Diarios de Selma y Jaim Engel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6"/>
              </w:numPr>
              <w:shd w:val="clear" w:color="auto" w:fill="auto"/>
              <w:tabs>
                <w:tab w:val="left" w:pos="355"/>
                <w:tab w:val="left" w:pos="360"/>
              </w:tabs>
              <w:bidi w:val="0"/>
              <w:spacing w:before="0" w:after="0" w:line="221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Vídeo: </w:t>
            </w:r>
            <w:hyperlink r:id="rId41" w:history="1">
              <w:r>
                <w:rPr>
                  <w:rStyle w:val="Other1"/>
                  <w:color w:val="215E9E"/>
                  <w:u w:val="single"/>
                  <w:rtl w:val="0"/>
                </w:rPr>
                <w:t>El levantamiento de Sobibor</w:t>
              </w:r>
            </w:hyperlink>
          </w:p>
        </w:tc>
      </w:tr>
    </w:tbl>
    <w:p/>
    <w:sectPr>
      <w:headerReference w:type="default" r:id="rId42"/>
      <w:footerReference w:type="default" r:id="rId43"/>
      <w:pgSz w:w="12240" w:h="15840"/>
      <w:pgMar w:top="782" w:right="1075" w:bottom="2798" w:left="1075" w:header="0" w:footer="3" w:gutter="0"/>
      <w:pgNumType w:start="1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9396730</wp:posOffset>
              </wp:positionV>
              <wp:extent cx="6376670" cy="9779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3766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042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Tahoma" w:eastAsia="Tahoma" w:hAnsi="Tahoma" w:cs="Tahoma"/>
                              <w:sz w:val="16"/>
                              <w:szCs w:val="16"/>
                              <w:rtl w:val="0"/>
                            </w:rPr>
                            <w:t>RESISTENCIA JUDÍA</w:t>
                            <w:tab/>
                            <w:t xml:space="preserve">© Asociación Ecos y Reflexiones </w:t>
                          </w:r>
                          <w:r>
                            <w:fldChar w:fldCharType="begin"/>
                          </w:r>
                          <w:r>
                            <w:rPr>
                              <w:rtl w:val="0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2"/>
                              <w:rFonts w:ascii="Tahoma" w:eastAsia="Tahoma" w:hAnsi="Tahoma" w:cs="Tahoma"/>
                              <w:sz w:val="16"/>
                              <w:szCs w:val="16"/>
                              <w:rtl w:val="0"/>
                            </w:rPr>
                            <w:t>2</w:t>
                          </w:r>
                          <w:r>
                            <w:rPr>
                              <w:rStyle w:val="Headerorfooter2"/>
                              <w:rFonts w:ascii="Tahoma" w:eastAsia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2050" type="#_x0000_t202" style="width:502.1pt;height:7.7pt;margin-top:739.9pt;margin-left:54pt;mso-position-horizontal-relative:page;mso-position-vertical-relative:page;mso-wrap-distance-bottom:0;mso-wrap-distance-left:0;mso-wrap-distance-right:0;mso-wrap-distance-top:0;position:absolute;v-text-anchor:top;z-index:-251656192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42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Tahoma" w:eastAsia="Tahoma" w:hAnsi="Tahoma" w:cs="Tahoma"/>
                        <w:sz w:val="16"/>
                        <w:szCs w:val="16"/>
                        <w:rtl w:val="0"/>
                      </w:rPr>
                      <w:t>RESISTENCIA JUDÍA</w:t>
                      <w:tab/>
                      <w:t xml:space="preserve">© Asociación Ecos y Reflexiones </w:t>
                    </w:r>
                    <w:r>
                      <w:fldChar w:fldCharType="begin"/>
                    </w:r>
                    <w:r>
                      <w:rPr>
                        <w:rtl w:val="0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2"/>
                        <w:rFonts w:ascii="Tahoma" w:eastAsia="Tahoma" w:hAnsi="Tahoma" w:cs="Tahoma"/>
                        <w:sz w:val="16"/>
                        <w:szCs w:val="16"/>
                        <w:rtl w:val="0"/>
                      </w:rPr>
                      <w:t>2</w:t>
                    </w:r>
                    <w:r>
                      <w:rPr>
                        <w:rStyle w:val="Headerorfooter2"/>
                        <w:rFonts w:ascii="Tahoma" w:eastAsia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692150</wp:posOffset>
              </wp:positionH>
              <wp:positionV relativeFrom="page">
                <wp:posOffset>481330</wp:posOffset>
              </wp:positionV>
              <wp:extent cx="2282825" cy="445135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282825" cy="4451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8"/>
                              <w:szCs w:val="38"/>
                            </w:rPr>
                          </w:pPr>
                          <w:r>
                            <w:rPr>
                              <w:rStyle w:val="Headerorfooter2"/>
                              <w:rFonts w:ascii="Calibri" w:eastAsia="Calibri" w:hAnsi="Calibri" w:cs="Calibri"/>
                              <w:color w:val="007399"/>
                              <w:sz w:val="38"/>
                              <w:szCs w:val="38"/>
                              <w:rtl w:val="0"/>
                            </w:rPr>
                            <w:t>TÓPICOS DE INVESTIGACIÓN</w:t>
                          </w:r>
                        </w:p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8"/>
                              <w:szCs w:val="38"/>
                            </w:rPr>
                          </w:pPr>
                          <w:r>
                            <w:rPr>
                              <w:rStyle w:val="Headerorfooter2"/>
                              <w:rFonts w:ascii="Calibri" w:eastAsia="Calibri" w:hAnsi="Calibri" w:cs="Calibri"/>
                              <w:color w:val="007399"/>
                              <w:sz w:val="38"/>
                              <w:szCs w:val="38"/>
                              <w:rtl w:val="0"/>
                            </w:rPr>
                            <w:t>Y FUENTES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2049" type="#_x0000_t202" style="width:179.75pt;height:35.05pt;margin-top:37.9pt;margin-left:54.5pt;mso-position-horizontal-relative:page;mso-position-vertical-relative:page;mso-wrap-distance-bottom:0;mso-wrap-distance-left:0;mso-wrap-distance-right:0;mso-wrap-distance-top:0;mso-wrap-style:none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8"/>
                        <w:szCs w:val="38"/>
                      </w:rPr>
                    </w:pPr>
                    <w:r>
                      <w:rPr>
                        <w:rStyle w:val="Headerorfooter2"/>
                        <w:rFonts w:ascii="Calibri" w:eastAsia="Calibri" w:hAnsi="Calibri" w:cs="Calibri"/>
                        <w:color w:val="007399"/>
                        <w:sz w:val="38"/>
                        <w:szCs w:val="38"/>
                        <w:rtl w:val="0"/>
                      </w:rPr>
                      <w:t>TÓPICOS DE INVESTIGACIÓN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8"/>
                        <w:szCs w:val="38"/>
                      </w:rPr>
                    </w:pPr>
                    <w:r>
                      <w:rPr>
                        <w:rStyle w:val="Headerorfooter2"/>
                        <w:rFonts w:ascii="Calibri" w:eastAsia="Calibri" w:hAnsi="Calibri" w:cs="Calibri"/>
                        <w:color w:val="007399"/>
                        <w:sz w:val="38"/>
                        <w:szCs w:val="38"/>
                        <w:rtl w:val="0"/>
                      </w:rPr>
                      <w:t>Y FUENTES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027DD2"/>
    <w:multiLevelType w:val="multilevel"/>
    <w:tmpl w:val="00000000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">
    <w:nsid w:val="1C37C910"/>
    <w:multiLevelType w:val="multilevel"/>
    <w:tmpl w:val="00000000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">
    <w:nsid w:val="1CBBF592"/>
    <w:multiLevelType w:val="multilevel"/>
    <w:tmpl w:val="00000000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3">
    <w:nsid w:val="275591B9"/>
    <w:multiLevelType w:val="multilevel"/>
    <w:tmpl w:val="00000000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4">
    <w:nsid w:val="47CBCC9D"/>
    <w:multiLevelType w:val="multilevel"/>
    <w:tmpl w:val="00000000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5">
    <w:nsid w:val="4D87727A"/>
    <w:multiLevelType w:val="multilevel"/>
    <w:tmpl w:val="00000000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1">
    <w:name w:val="Heading #1|1_"/>
    <w:basedOn w:val="DefaultParagraphFont"/>
    <w:link w:val="Heading11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7FD2DA"/>
      <w:sz w:val="11"/>
      <w:szCs w:val="11"/>
      <w:u w:val="none"/>
    </w:rPr>
  </w:style>
  <w:style w:type="character" w:customStyle="1" w:styleId="Other1">
    <w:name w:val="Other|1_"/>
    <w:basedOn w:val="DefaultParagraphFont"/>
    <w:link w:val="Other10"/>
    <w:rPr>
      <w:rFonts w:ascii="Tahoma" w:eastAsia="Tahoma" w:hAnsi="Tahoma" w:cs="Tahoma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Heading110">
    <w:name w:val="Heading #1|1"/>
    <w:basedOn w:val="Normal"/>
    <w:link w:val="Heading11"/>
    <w:pPr>
      <w:widowControl w:val="0"/>
      <w:shd w:val="clear" w:color="auto" w:fill="auto"/>
      <w:spacing w:after="40"/>
      <w:jc w:val="right"/>
      <w:outlineLvl w:val="0"/>
    </w:pPr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paragraph" w:customStyle="1" w:styleId="Headerorfooter20">
    <w:name w:val="Header or footer|2"/>
    <w:basedOn w:val="Normal"/>
    <w:link w:val="Headerorfooter2"/>
    <w:pPr>
      <w:widowControl w:val="0"/>
      <w:shd w:val="clear" w:color="auto" w:fill="auto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600"/>
      <w:jc w:val="right"/>
    </w:pPr>
    <w:rPr>
      <w:rFonts w:ascii="Arial" w:eastAsia="Arial" w:hAnsi="Arial" w:cs="Arial"/>
      <w:bCs w:val="0"/>
      <w:i w:val="0"/>
      <w:iCs w:val="0"/>
      <w:smallCaps w:val="0"/>
      <w:strike w:val="0"/>
      <w:color w:val="7FD2DA"/>
      <w:sz w:val="11"/>
      <w:szCs w:val="11"/>
      <w:u w:val="none"/>
    </w:rPr>
  </w:style>
  <w:style w:type="paragraph" w:customStyle="1" w:styleId="Other10">
    <w:name w:val="Other|1"/>
    <w:basedOn w:val="Normal"/>
    <w:link w:val="Other1"/>
    <w:pPr>
      <w:widowControl w:val="0"/>
      <w:shd w:val="clear" w:color="auto" w:fill="auto"/>
    </w:pPr>
    <w:rPr>
      <w:rFonts w:ascii="Tahoma" w:eastAsia="Tahoma" w:hAnsi="Tahoma" w:cs="Tahoma"/>
      <w:bCs w:val="0"/>
      <w:i w:val="0"/>
      <w:iCs w:val="0"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jewishvirtuallibrary.org/the-revolt-at-auschwitz-birkenau" TargetMode="External" /><Relationship Id="rId11" Type="http://schemas.openxmlformats.org/officeDocument/2006/relationships/hyperlink" Target="https://jwa.org/encyclopedia/article/robota-roza" TargetMode="External" /><Relationship Id="rId12" Type="http://schemas.openxmlformats.org/officeDocument/2006/relationships/hyperlink" Target="https://www.youtube.com/watch?v=IZ6lJ8IxBF0" TargetMode="External" /><Relationship Id="rId13" Type="http://schemas.openxmlformats.org/officeDocument/2006/relationships/hyperlink" Target="https://echoesandreflections.org/wp-content/uploads/2022/05/Anna-Heilman-Biography.pdf" TargetMode="External" /><Relationship Id="rId14" Type="http://schemas.openxmlformats.org/officeDocument/2006/relationships/hyperlink" Target="https://www.youtube.com/watch?v=I9hLniDfxjE" TargetMode="External" /><Relationship Id="rId15" Type="http://schemas.openxmlformats.org/officeDocument/2006/relationships/hyperlink" Target="https://www.youtube.com/watch?v=9EneTctDXOg" TargetMode="External" /><Relationship Id="rId16" Type="http://schemas.openxmlformats.org/officeDocument/2006/relationships/hyperlink" Target="https://www.yadvashem.org/yv/en/exhibitions/vilna/during/theatre.asp%23!prettyPhoto" TargetMode="External" /><Relationship Id="rId17" Type="http://schemas.openxmlformats.org/officeDocument/2006/relationships/hyperlink" Target="https://encyclopedia.ushmm.org/content/en/article/spiritual-resistance-in-the-ghettos" TargetMode="External" /><Relationship Id="rId18" Type="http://schemas.openxmlformats.org/officeDocument/2006/relationships/hyperlink" Target="https://www.yadvashem.org/yv/en/exhibitions/vilna/during/theatre.asp%23!/-1/" TargetMode="External" /><Relationship Id="rId19" Type="http://schemas.openxmlformats.org/officeDocument/2006/relationships/hyperlink" Target="https://www.yadvashem.org/education/educational-materials/artifacts/diary.html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yadvashem.org/yv/en/exhibitions/music/music-in-the-holocaust.asp" TargetMode="External" /><Relationship Id="rId21" Type="http://schemas.openxmlformats.org/officeDocument/2006/relationships/hyperlink" Target="https://www.yadvashem.org/yv/en/exhibitions/live_with_honor/culture.asp" TargetMode="External" /><Relationship Id="rId22" Type="http://schemas.openxmlformats.org/officeDocument/2006/relationships/hyperlink" Target="https://www.yadvashem.org/yv/en/exhibitions/ready2print/pdf/art.pdf" TargetMode="External" /><Relationship Id="rId23" Type="http://schemas.openxmlformats.org/officeDocument/2006/relationships/hyperlink" Target="https://atlantajewishtimes.timesofisrael.com/terezin-teens-fought-back-with-underground-magazine/" TargetMode="External" /><Relationship Id="rId24" Type="http://schemas.openxmlformats.org/officeDocument/2006/relationships/hyperlink" Target="https://english.radio.cz/diary-my-brother-a-childs-testimony-life-can-go-even-amid-horrors-holocaust-8095144" TargetMode="External" /><Relationship Id="rId25" Type="http://schemas.openxmlformats.org/officeDocument/2006/relationships/hyperlink" Target="https://www.youtube.com/watch?v=fPxE21mTXQ8" TargetMode="External" /><Relationship Id="rId26" Type="http://schemas.openxmlformats.org/officeDocument/2006/relationships/hyperlink" Target="https://www.centropa.org/centropa-cinema/peter-ginz-and-boys-vedem" TargetMode="External" /><Relationship Id="rId27" Type="http://schemas.openxmlformats.org/officeDocument/2006/relationships/hyperlink" Target="https://unric.org/en/the-last-flight-of-petr-ginz/" TargetMode="External" /><Relationship Id="rId28" Type="http://schemas.openxmlformats.org/officeDocument/2006/relationships/hyperlink" Target="https://www.un.org/sites/un2.un.org/files/petrginz_eng.pdf" TargetMode="External" /><Relationship Id="rId29" Type="http://schemas.openxmlformats.org/officeDocument/2006/relationships/hyperlink" Target="https://www.yadvashem.org/articles/general/couriers.html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yadvashem.org/yv/en/exhibitions/righteous-women/sendler.asp" TargetMode="External" /><Relationship Id="rId31" Type="http://schemas.openxmlformats.org/officeDocument/2006/relationships/hyperlink" Target="https://sfi.usc.edu/content/anna-heilman-resistance-auschwitz" TargetMode="External" /><Relationship Id="rId32" Type="http://schemas.openxmlformats.org/officeDocument/2006/relationships/hyperlink" Target="https://iwitness.usc.edu/search?search=resistance&amp;resultType=Clips" TargetMode="External" /><Relationship Id="rId33" Type="http://schemas.openxmlformats.org/officeDocument/2006/relationships/hyperlink" Target="https://www.publicradiotulsa.org/post/choosing-act-jewish-womens-resistance-holocaust%23stream/0" TargetMode="External" /><Relationship Id="rId34" Type="http://schemas.openxmlformats.org/officeDocument/2006/relationships/hyperlink" Target="https://www.youtube.com/watch?v=8zdRm0wlRg4" TargetMode="External" /><Relationship Id="rId35" Type="http://schemas.openxmlformats.org/officeDocument/2006/relationships/hyperlink" Target="https://www.yadvashem.org/education/educational-materials/learning-environment/auerbach.html" TargetMode="External" /><Relationship Id="rId36" Type="http://schemas.openxmlformats.org/officeDocument/2006/relationships/hyperlink" Target="https://www.jewishvirtuallibrary.org/the-aftermath-of-the-sobibor-revolt" TargetMode="External" /><Relationship Id="rId37" Type="http://schemas.openxmlformats.org/officeDocument/2006/relationships/hyperlink" Target="https://iwitness.usc.edu/SFI/BrowseTopics.aspx?TopicID=59" TargetMode="External" /><Relationship Id="rId38" Type="http://schemas.openxmlformats.org/officeDocument/2006/relationships/hyperlink" Target="https://sfi.usc.edu/video/selma-engel-sobibor-uprising" TargetMode="External" /><Relationship Id="rId39" Type="http://schemas.openxmlformats.org/officeDocument/2006/relationships/hyperlink" Target="https://www.yadvashem.org/holocaust/this-month/october/1943.html" TargetMode="External" /><Relationship Id="rId4" Type="http://schemas.openxmlformats.org/officeDocument/2006/relationships/hyperlink" Target="https://echoesandreflections.org/wp-content/uploads/2022/05/06-02-04_StudentHandout_Partisans.pdf" TargetMode="External" /><Relationship Id="rId40" Type="http://schemas.openxmlformats.org/officeDocument/2006/relationships/hyperlink" Target="https://www.ushmm.org/collections/the-museums-collections/curators-corner/i-have-to-write-everything-down-the-diaries-of-selma-and-chaim-engel" TargetMode="External" /><Relationship Id="rId41" Type="http://schemas.openxmlformats.org/officeDocument/2006/relationships/hyperlink" Target="https://www.youtube.com/watch?v=DGReS5sA1BE" TargetMode="External" /><Relationship Id="rId42" Type="http://schemas.openxmlformats.org/officeDocument/2006/relationships/header" Target="header1.xml" /><Relationship Id="rId43" Type="http://schemas.openxmlformats.org/officeDocument/2006/relationships/footer" Target="footer1.xml" /><Relationship Id="rId44" Type="http://schemas.openxmlformats.org/officeDocument/2006/relationships/theme" Target="theme/theme1.xml" /><Relationship Id="rId45" Type="http://schemas.openxmlformats.org/officeDocument/2006/relationships/numbering" Target="numbering.xml" /><Relationship Id="rId46" Type="http://schemas.openxmlformats.org/officeDocument/2006/relationships/styles" Target="styles.xml" /><Relationship Id="rId5" Type="http://schemas.openxmlformats.org/officeDocument/2006/relationships/hyperlink" Target="https://encyclopedia.ushmm.org/content/en/article/jewish-partisans" TargetMode="External" /><Relationship Id="rId6" Type="http://schemas.openxmlformats.org/officeDocument/2006/relationships/hyperlink" Target="https://iwitness.usc.edu/watch?theme=165&amp;clip=805" TargetMode="External" /><Relationship Id="rId7" Type="http://schemas.openxmlformats.org/officeDocument/2006/relationships/hyperlink" Target="https://www.youtube.com/watch?v=ziQufiAEXRc" TargetMode="External" /><Relationship Id="rId8" Type="http://schemas.openxmlformats.org/officeDocument/2006/relationships/hyperlink" Target="https://www.yadvashem.org/docs/life-of-jewish-partisans.html" TargetMode="External" /><Relationship Id="rId9" Type="http://schemas.openxmlformats.org/officeDocument/2006/relationships/hyperlink" Target="https://www.jewishpartisans.org/film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