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0" distL="114300" distR="114300" simplePos="0" relativeHeight="251659264" behindDoc="0" locked="0" layoutInCell="1" allowOverlap="1">
                <wp:simplePos x="0" y="0"/>
                <wp:positionH relativeFrom="page">
                  <wp:posOffset>4730750</wp:posOffset>
                </wp:positionH>
                <wp:positionV relativeFrom="paragraph">
                  <wp:posOffset>12700</wp:posOffset>
                </wp:positionV>
                <wp:extent cx="2298065" cy="435610"/>
                <wp:wrapSquare wrapText="left"/>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298065" cy="435610"/>
                        </a:xfrm>
                        <a:prstGeom prst="rect">
                          <a:avLst/>
                        </a:prstGeom>
                        <a:noFill/>
                      </wps:spPr>
                      <wps:txbx>
                        <w:txbxContent>
                          <w:p>
                            <w:pPr>
                              <w:pStyle w:val="Bodytext30"/>
                              <w:keepNext w:val="0"/>
                              <w:keepLines w:val="0"/>
                              <w:widowControl w:val="0"/>
                              <w:shd w:val="clear" w:color="auto" w:fill="auto"/>
                              <w:bidi w:val="0"/>
                              <w:spacing w:before="0" w:line="240" w:lineRule="auto"/>
                              <w:ind w:left="0" w:right="0" w:firstLine="0"/>
                              <w:jc w:val="left"/>
                            </w:pPr>
                            <w:r>
                              <w:rPr>
                                <w:rStyle w:val="Bodytext3"/>
                                <w:rtl w:val="0"/>
                              </w:rPr>
                              <w:t>] ECOS Y REFLEJOS</w:t>
                            </w:r>
                          </w:p>
                          <w:p>
                            <w:pPr>
                              <w:pStyle w:val="Bodytext20"/>
                              <w:keepNext w:val="0"/>
                              <w:keepLines w:val="0"/>
                              <w:widowControl w:val="0"/>
                              <w:shd w:val="clear" w:color="auto" w:fill="auto"/>
                              <w:bidi w:val="0"/>
                              <w:spacing w:before="0" w:after="0" w:line="240" w:lineRule="auto"/>
                              <w:ind w:left="0" w:right="0" w:firstLine="0"/>
                              <w:jc w:val="left"/>
                            </w:pPr>
                            <w:r>
                              <w:rPr>
                                <w:rStyle w:val="Bodytext2"/>
                                <w:color w:val="007399"/>
                                <w:rtl w:val="0"/>
                              </w:rPr>
                              <w:t>]</w:t>
                            </w:r>
                            <w:r>
                              <w:rPr>
                                <w:rStyle w:val="Bodytext2"/>
                                <w:rtl w:val="0"/>
                              </w:rPr>
                              <w:t xml:space="preserve"> ENSEÑANDO EL HOLOCAUSTO. INSPIRANDO 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80.95pt;height:34.3pt;margin-top:1pt;margin-left:372.5pt;mso-position-horizontal-relative:page;mso-wrap-distance-bottom:0;mso-wrap-distance-left:9pt;mso-wrap-distance-right:9pt;mso-wrap-distance-top:0;position:absolute;v-text-anchor:top;z-index:251658240" filled="f" fillcolor="this">
                <v:textbox inset="0,0,0,0">
                  <w:txbxContent>
                    <w:p>
                      <w:pPr>
                        <w:pStyle w:val="Bodytext30"/>
                        <w:keepNext w:val="0"/>
                        <w:keepLines w:val="0"/>
                        <w:widowControl w:val="0"/>
                        <w:shd w:val="clear" w:color="auto" w:fill="auto"/>
                        <w:bidi w:val="0"/>
                        <w:spacing w:before="0" w:line="240" w:lineRule="auto"/>
                        <w:ind w:left="0" w:right="0" w:firstLine="0"/>
                        <w:jc w:val="left"/>
                      </w:pPr>
                      <w:r>
                        <w:rPr>
                          <w:rStyle w:val="Bodytext3"/>
                          <w:rtl w:val="0"/>
                        </w:rPr>
                        <w:t>] ECOS Y REFLEJOS</w:t>
                      </w:r>
                    </w:p>
                    <w:p>
                      <w:pPr>
                        <w:pStyle w:val="Bodytext20"/>
                        <w:keepNext w:val="0"/>
                        <w:keepLines w:val="0"/>
                        <w:widowControl w:val="0"/>
                        <w:shd w:val="clear" w:color="auto" w:fill="auto"/>
                        <w:bidi w:val="0"/>
                        <w:spacing w:before="0" w:after="0" w:line="240" w:lineRule="auto"/>
                        <w:ind w:left="0" w:right="0" w:firstLine="0"/>
                        <w:jc w:val="left"/>
                      </w:pPr>
                      <w:r>
                        <w:rPr>
                          <w:rStyle w:val="Bodytext2"/>
                          <w:color w:val="007399"/>
                          <w:rtl w:val="0"/>
                        </w:rPr>
                        <w:t>]</w:t>
                      </w:r>
                      <w:r>
                        <w:rPr>
                          <w:rStyle w:val="Bodytext2"/>
                          <w:rtl w:val="0"/>
                        </w:rPr>
                        <w:t xml:space="preserve"> ENSEÑANDO EL HOLOCAUSTO. INSPIRANDO EL AULA.</w:t>
                      </w:r>
                    </w:p>
                  </w:txbxContent>
                </v:textbox>
                <w10:wrap type="square" side="left"/>
              </v:shape>
            </w:pict>
          </mc:Fallback>
        </mc:AlternateContent>
      </w:r>
    </w:p>
    <w:p>
      <w:pPr>
        <w:pStyle w:val="Heading110"/>
        <w:keepNext/>
        <w:keepLines/>
        <w:widowControl w:val="0"/>
        <w:shd w:val="clear" w:color="auto" w:fill="auto"/>
        <w:bidi w:val="0"/>
        <w:spacing w:before="0"/>
        <w:ind w:right="0"/>
        <w:jc w:val="left"/>
      </w:pPr>
      <w:bookmarkStart w:id="0" w:name="bookmark0"/>
      <w:r>
        <w:rPr>
          <w:rStyle w:val="Heading11"/>
          <w:rtl w:val="0"/>
        </w:rPr>
        <w:t>ESTUDIOS DE CASOS DE RESCATADORES Y LIBERTADORES</w:t>
      </w:r>
      <w:bookmarkEnd w:id="0"/>
    </w:p>
    <w:p>
      <w:pPr>
        <w:pStyle w:val="Heading210"/>
        <w:keepNext/>
        <w:keepLines/>
        <w:widowControl w:val="0"/>
        <w:shd w:val="clear" w:color="auto" w:fill="auto"/>
        <w:bidi w:val="0"/>
        <w:spacing w:before="0" w:after="120" w:line="240" w:lineRule="auto"/>
        <w:ind w:left="0" w:right="0" w:firstLine="0"/>
        <w:jc w:val="left"/>
      </w:pPr>
      <w:bookmarkStart w:id="1" w:name="bookmark2"/>
      <w:r>
        <w:rPr>
          <w:rStyle w:val="Heading21"/>
          <w:b/>
          <w:bCs/>
          <w:rtl w:val="0"/>
        </w:rPr>
        <w:t xml:space="preserve">Estudio de caso n.° 1: Arie </w:t>
      </w:r>
      <w:r>
        <w:rPr>
          <w:rStyle w:val="Heading21"/>
          <w:rtl w:val="0"/>
        </w:rPr>
        <w:t>contra</w:t>
      </w:r>
      <w:r>
        <w:rPr>
          <w:rStyle w:val="Heading21"/>
          <w:b/>
          <w:bCs/>
          <w:rtl w:val="0"/>
        </w:rPr>
        <w:t xml:space="preserve"> Mansum</w:t>
      </w:r>
      <w:bookmarkEnd w:id="1"/>
    </w:p>
    <w:p>
      <w:pPr>
        <w:pStyle w:val="Bodytext10"/>
        <w:keepNext w:val="0"/>
        <w:keepLines w:val="0"/>
        <w:widowControl w:val="0"/>
        <w:shd w:val="clear" w:color="auto" w:fill="auto"/>
        <w:bidi w:val="0"/>
        <w:spacing w:before="0"/>
        <w:ind w:left="0" w:right="0" w:firstLine="0"/>
        <w:jc w:val="left"/>
      </w:pPr>
      <w:r>
        <w:rPr>
          <w:rStyle w:val="Bodytext1"/>
          <w:rtl w:val="0"/>
        </w:rPr>
        <w:t>Arie van Mansum nació el 5 de marzo de 1920 en Utrecht, Países Bajos. En 1926, el padre de Arie, un trabajador ferroviario, fue trasladado a la ciudad de Maastricht, cerca de la frontera entre Bélgica y Alemania. Maastricht era mayoritariamente católica, pero la familia de Arie pertenecía a la Iglesia Reformada y Arie asistía a una escuela primaria protestante. Fue allí donde Arie experimentó los prejuicios por primera vez. Los chicos mayores de la escuela católica lo persiguieron y lo insultaron, y algunos incluso arrojaron piedras contra las ventanas de su iglesia. En la escuela secundaria, Arie comenzó a aprender sobre el antisemitismo de estudiantes judíos en la escuela cuyas familias habían huido de Alemania después de la elección de Adolf Hitler.</w:t>
      </w:r>
    </w:p>
    <w:p>
      <w:pPr>
        <w:pStyle w:val="Bodytext10"/>
        <w:keepNext w:val="0"/>
        <w:keepLines w:val="0"/>
        <w:widowControl w:val="0"/>
        <w:shd w:val="clear" w:color="auto" w:fill="auto"/>
        <w:bidi w:val="0"/>
        <w:spacing w:before="0"/>
        <w:ind w:left="0" w:right="0" w:firstLine="0"/>
        <w:jc w:val="left"/>
      </w:pPr>
      <w:r>
        <w:rPr>
          <w:rStyle w:val="Bodytext1"/>
          <w:rtl w:val="0"/>
        </w:rPr>
        <w:t>Alemania invadió los Países Bajos en mayo de 1940, matando a miles de personas y derrotando a los holandeses después de sólo cinco días. La persecución del pueblo judío comenzó inmediatamente después de la invasión alemana. Arie notó que a los judíos se les exigía llevar una estrella amarilla. Además, a los judíos se les prohibió visitar lugares públicos y se les despidió de puestos gubernamentales, y los estudiantes judíos fueron expulsados ​​de las escuelas y universidades públicas. En 1941, los nazis comenzaron a deportar judíos holandeses a los campos de concentración de Buchenwald y Mauthausen.</w:t>
      </w:r>
    </w:p>
    <w:p>
      <w:pPr>
        <w:pStyle w:val="Bodytext10"/>
        <w:keepNext w:val="0"/>
        <w:keepLines w:val="0"/>
        <w:widowControl w:val="0"/>
        <w:shd w:val="clear" w:color="auto" w:fill="auto"/>
        <w:bidi w:val="0"/>
        <w:spacing w:before="0" w:after="280"/>
        <w:ind w:left="0" w:right="0" w:firstLine="0"/>
        <w:jc w:val="left"/>
      </w:pPr>
      <w:r>
        <w:rPr>
          <w:rStyle w:val="Bodytext1"/>
          <w:rtl w:val="0"/>
        </w:rPr>
        <w:t>En 1941, Arie consiguió un trabajo como vendedor en una empresa de papel pintado y recibió un pase de tren que le permitía viajar libremente. Su iglesia le pidió que repartiera un periódico clandestino llamado “Holanda Libre” durante sus viajes de negocios, y Arie estuvo de acuerdo. Según la iglesia de Arie, el nazismo era anticristiano. El periódico ilegal desafió la propaganda alemana y alentó a la gente a resistir a los nazis. Más tarde, un anciano de la iglesia le pidió que acompañara a una pareja judía en el tren a un escondite en el centro de los Países Bajos. Como los judíos ya estaban siendo enviados a campos de concentración, esconderse era una de las pocas formas de sobrevivir. Las personas que ayudaban a los judíos corrían el riesgo de ser encarceladas o enviadas a un campo de concentración.</w:t>
      </w:r>
    </w:p>
    <w:p>
      <w:pPr>
        <w:pStyle w:val="Tablecaption10"/>
        <w:keepNext w:val="0"/>
        <w:keepLines w:val="0"/>
        <w:widowControl w:val="0"/>
        <w:shd w:val="clear" w:color="auto" w:fill="auto"/>
        <w:bidi w:val="0"/>
        <w:spacing w:before="0" w:after="0" w:line="240" w:lineRule="auto"/>
        <w:ind w:left="0" w:right="0" w:firstLine="0"/>
        <w:jc w:val="left"/>
      </w:pPr>
      <w:r>
        <w:rPr>
          <w:rStyle w:val="Tablecaption1"/>
          <w:i/>
          <w:iCs/>
          <w:rtl w:val="0"/>
        </w:rPr>
        <w:t>Considere la situación de Arie. Discuta y registre sus pensamientos en respuesta a las siguientes preguntas:</w:t>
      </w:r>
    </w:p>
    <w:tbl>
      <w:tblPr>
        <w:tblOverlap w:val="never"/>
        <w:jc w:val="center"/>
        <w:tblLayout w:type="fixed"/>
        <w:tblCellMar>
          <w:top w:w="0" w:type="dxa"/>
          <w:left w:w="10" w:type="dxa"/>
          <w:bottom w:w="0" w:type="dxa"/>
          <w:right w:w="10" w:type="dxa"/>
        </w:tblCellMar>
      </w:tblPr>
      <w:tblGrid>
        <w:gridCol w:w="2482"/>
        <w:gridCol w:w="2472"/>
        <w:gridCol w:w="2472"/>
        <w:gridCol w:w="2486"/>
      </w:tblGrid>
      <w:tr>
        <w:tblPrEx>
          <w:jc w:val="center"/>
          <w:tblLayout w:type="fixed"/>
          <w:tblCellMar>
            <w:top w:w="0" w:type="dxa"/>
            <w:left w:w="10" w:type="dxa"/>
            <w:bottom w:w="0" w:type="dxa"/>
            <w:right w:w="10" w:type="dxa"/>
          </w:tblCellMar>
        </w:tblPrEx>
        <w:trPr>
          <w:trHeight w:hRule="exact" w:val="912"/>
          <w:jc w:val="center"/>
        </w:trPr>
        <w:tc>
          <w:tcPr>
            <w:tcW w:w="2482"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(a) ¿Cuáles fueron las opciones disponibles para Arie después de que su iglesia le pidió que participara?</w:t>
            </w:r>
          </w:p>
        </w:tc>
        <w:tc>
          <w:tcPr>
            <w:tcW w:w="2472"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(b) ¿Cuáles fueron los riesgos y las posibles consecuencias para Arie si decidiera involucrarse?</w:t>
            </w:r>
          </w:p>
        </w:tc>
        <w:tc>
          <w:tcPr>
            <w:tcW w:w="2472"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(c) ¿Cuáles son algunos de los factores que podrían haber motivado a Arie a involucrarse?</w:t>
            </w:r>
          </w:p>
        </w:tc>
        <w:tc>
          <w:tcPr>
            <w:tcW w:w="2486"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d) ¿Cuáles son algunos de los factores que podrían haberlo motivado a permanecer al margen?</w:t>
            </w:r>
          </w:p>
        </w:tc>
      </w:tr>
      <w:tr>
        <w:tblPrEx>
          <w:jc w:val="center"/>
          <w:tblLayout w:type="fixed"/>
          <w:tblCellMar>
            <w:top w:w="0" w:type="dxa"/>
            <w:left w:w="10" w:type="dxa"/>
            <w:bottom w:w="0" w:type="dxa"/>
            <w:right w:w="10" w:type="dxa"/>
          </w:tblCellMar>
        </w:tblPrEx>
        <w:trPr>
          <w:trHeight w:hRule="exact" w:val="4454"/>
          <w:jc w:val="center"/>
        </w:trPr>
        <w:tc>
          <w:tcPr>
            <w:tcW w:w="2482"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72"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72"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86" w:type="dxa"/>
            <w:tcBorders>
              <w:left w:val="single" w:sz="4" w:space="0" w:color="auto"/>
              <w:bottom w:val="single" w:sz="4" w:space="0" w:color="auto"/>
              <w:right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r>
    </w:tbl>
    <w:p>
      <w:pPr>
        <w:pStyle w:val="Heading210"/>
        <w:keepNext/>
        <w:keepLines/>
        <w:widowControl w:val="0"/>
        <w:shd w:val="clear" w:color="auto" w:fill="auto"/>
        <w:bidi w:val="0"/>
        <w:spacing w:before="0" w:line="240" w:lineRule="auto"/>
        <w:ind w:left="0" w:right="0" w:firstLine="0"/>
        <w:jc w:val="left"/>
      </w:pPr>
      <w:bookmarkStart w:id="2" w:name="bookmark4"/>
      <w:r>
        <w:rPr>
          <w:rStyle w:val="Heading21"/>
          <w:b/>
          <w:bCs/>
          <w:rtl w:val="0"/>
        </w:rPr>
        <w:t>Estudio de caso n.° 2: Renée Scott</w:t>
      </w:r>
      <w:bookmarkEnd w:id="2"/>
    </w:p>
    <w:p>
      <w:pPr>
        <w:pStyle w:val="Bodytext10"/>
        <w:keepNext w:val="0"/>
        <w:keepLines w:val="0"/>
        <w:widowControl w:val="0"/>
        <w:shd w:val="clear" w:color="auto" w:fill="auto"/>
        <w:bidi w:val="0"/>
        <w:spacing w:before="0"/>
        <w:ind w:left="0" w:right="0" w:firstLine="0"/>
        <w:jc w:val="left"/>
      </w:pPr>
      <w:r>
        <w:rPr>
          <w:rStyle w:val="Bodytext1"/>
          <w:rtl w:val="0"/>
        </w:rPr>
        <w:t>Renee Scott nació el 13 de febrero de 1906 en Calais, Francia. Su abuelo era un ministro metodista y Renee creció asistiendo a la iglesia. Cuando Renee tenía dos años, su familia se mudó a los Estados Unidos, donde su padre era director de fábricas textiles en Nueva Jersey y Rhode Island. En 1918, después de la Primera Guerra Mundial, la familia regresó a Europa y finalmente se instaló en el este de Francia. Renee y su hermana se convirtieron en bailarinas profesionales y actuaron internacionalmente, lo que las expuso a muchas culturas y tipos de personas diferentes. Más tarde, Renee se casó y dio a luz a una hija, Alice, en 1925. En 1938, Renée se mudó con sus padres, hermanos e hija a París.</w:t>
      </w:r>
    </w:p>
    <w:p>
      <w:pPr>
        <w:pStyle w:val="Bodytext10"/>
        <w:keepNext w:val="0"/>
        <w:keepLines w:val="0"/>
        <w:widowControl w:val="0"/>
        <w:shd w:val="clear" w:color="auto" w:fill="auto"/>
        <w:bidi w:val="0"/>
        <w:spacing w:before="0"/>
        <w:ind w:left="0" w:right="0" w:firstLine="0"/>
        <w:jc w:val="left"/>
      </w:pPr>
      <w:r>
        <w:rPr>
          <w:rStyle w:val="Bodytext1"/>
          <w:rtl w:val="0"/>
        </w:rPr>
        <w:t>En mayo de 1940, las fuerzas alemanas invadieron y rápidamente derrotaron a Francia. En junio, el gobierno francés huyó de París y el ejército alemán tomó el control de la ciudad. La vida era difícil bajo los nazis. Se impuso un toque de queda que prohibía a los residentes salir después de las 21.00 horas. La propaganda nazi se difundió a través de los periódicos y la radio franceses. Se racionaron alimentos y suministros, lo que provocó escasez y un aumento vertiginoso de los precios. Los judíos en Francia fueron obligados a usar una estrella amarilla para identificarse y se les prohibió el acceso a ciertos trabajos y lugares públicos. En 1942, los nazis comenzaron a arrestar a judíos franceses para deportarlos a campos de concentración y exterminio. Se formaron grupos clandestinos para resistir la brutalidad nazi. Quienes fueron sorprendidos participando en tales actividades fueron castigados severamente.</w:t>
      </w:r>
    </w:p>
    <w:p>
      <w:pPr>
        <w:pStyle w:val="Bodytext10"/>
        <w:keepNext w:val="0"/>
        <w:keepLines w:val="0"/>
        <w:widowControl w:val="0"/>
        <w:shd w:val="clear" w:color="auto" w:fill="auto"/>
        <w:bidi w:val="0"/>
        <w:spacing w:before="0" w:after="240"/>
        <w:ind w:left="0" w:right="0" w:firstLine="0"/>
        <w:jc w:val="left"/>
      </w:pPr>
      <w:r>
        <w:rPr>
          <w:rStyle w:val="Bodytext1"/>
          <w:rtl w:val="0"/>
        </w:rPr>
        <w:t>Durante este tiempo, Renee dividió su tiempo entre París y Bélgica, donde encontró trabajo en la Cámara de Comercio, un grupo de líderes empresariales locales. Allí conoció a Simone Pheter, directora de la Cámara de Comercio de Bélgica. Renée quedó impresionada con la inteligente mujer de 25 años que hablaba varios idiomas. Renee trabajó como mensajera para Simone, entregando documentos importantes. Cuando Renee regresó de uno de esos viajes, Simone reveló que entre los documentos que le había pedido que llevara, Simone había incluido documentos ilegales para la clandestinidad que ayudarían al pueblo judío. Explicó los peligros involucrados y le pidió a Renee que continuara apoyando sus esfuerzos para crear y transportar pasaportes y tarjetas de identificación falsos. Los judíos con identidades falsas pudieron hacerse pasar por ciudadanos no judíos o abandonar los países ocupados por los nazis. Era una de las pocas formas en que se podían salvar sus vidas.</w:t>
      </w:r>
    </w:p>
    <w:p>
      <w:pPr>
        <w:pStyle w:val="Tablecaption10"/>
        <w:keepNext w:val="0"/>
        <w:keepLines w:val="0"/>
        <w:widowControl w:val="0"/>
        <w:shd w:val="clear" w:color="auto" w:fill="auto"/>
        <w:bidi w:val="0"/>
        <w:spacing w:before="0" w:after="0" w:line="240" w:lineRule="auto"/>
        <w:ind w:left="0" w:right="0" w:firstLine="0"/>
        <w:jc w:val="left"/>
      </w:pPr>
      <w:r>
        <w:rPr>
          <w:rStyle w:val="Tablecaption1"/>
          <w:i/>
          <w:iCs/>
          <w:rtl w:val="0"/>
        </w:rPr>
        <w:t>Considere la situación de Renée. Discuta y registre sus pensamientos en respuesta a las siguientes preguntas:</w:t>
      </w:r>
    </w:p>
    <w:tbl>
      <w:tblPr>
        <w:tblOverlap w:val="never"/>
        <w:jc w:val="center"/>
        <w:tblLayout w:type="fixed"/>
        <w:tblCellMar>
          <w:top w:w="0" w:type="dxa"/>
          <w:left w:w="10" w:type="dxa"/>
          <w:bottom w:w="0" w:type="dxa"/>
          <w:right w:w="10" w:type="dxa"/>
        </w:tblCellMar>
      </w:tblPr>
      <w:tblGrid>
        <w:gridCol w:w="2486"/>
        <w:gridCol w:w="2472"/>
        <w:gridCol w:w="2472"/>
        <w:gridCol w:w="2486"/>
      </w:tblGrid>
      <w:tr>
        <w:tblPrEx>
          <w:jc w:val="center"/>
          <w:tblLayout w:type="fixed"/>
          <w:tblCellMar>
            <w:top w:w="0" w:type="dxa"/>
            <w:left w:w="10" w:type="dxa"/>
            <w:bottom w:w="0" w:type="dxa"/>
            <w:right w:w="10" w:type="dxa"/>
          </w:tblCellMar>
        </w:tblPrEx>
        <w:trPr>
          <w:trHeight w:hRule="exact" w:val="922"/>
          <w:jc w:val="center"/>
        </w:trPr>
        <w:tc>
          <w:tcPr>
            <w:tcW w:w="2486"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(a) ¿Cuáles eran las opciones disponibles para Renée después de que Simone le pidió que participara?</w:t>
            </w:r>
          </w:p>
        </w:tc>
        <w:tc>
          <w:tcPr>
            <w:tcW w:w="2472"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(b) ¿Cuáles fueron los riesgos y las posibles consecuencias para Renée si decidiera involucrarse?</w:t>
            </w:r>
          </w:p>
        </w:tc>
        <w:tc>
          <w:tcPr>
            <w:tcW w:w="2472"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(c) ¿Cuáles son algunos de los factores que podrían haber motivado a Renée a involucrarse?</w:t>
            </w:r>
          </w:p>
        </w:tc>
        <w:tc>
          <w:tcPr>
            <w:tcW w:w="2486"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(d) ¿Cuáles son algunos de los factores que podrían haberla motivado a permanecer al margen?</w:t>
            </w:r>
          </w:p>
        </w:tc>
      </w:tr>
      <w:tr>
        <w:tblPrEx>
          <w:jc w:val="center"/>
          <w:tblLayout w:type="fixed"/>
          <w:tblCellMar>
            <w:top w:w="0" w:type="dxa"/>
            <w:left w:w="10" w:type="dxa"/>
            <w:bottom w:w="0" w:type="dxa"/>
            <w:right w:w="10" w:type="dxa"/>
          </w:tblCellMar>
        </w:tblPrEx>
        <w:trPr>
          <w:trHeight w:hRule="exact" w:val="4901"/>
          <w:jc w:val="center"/>
        </w:trPr>
        <w:tc>
          <w:tcPr>
            <w:tcW w:w="2486"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72"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72"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right"/>
              <w:rPr>
                <w:sz w:val="662"/>
                <w:szCs w:val="662"/>
              </w:rPr>
            </w:pPr>
            <w:r>
              <w:rPr>
                <w:rStyle w:val="Other1"/>
                <w:rFonts w:ascii="Arial" w:eastAsia="Arial" w:hAnsi="Arial" w:cs="Arial"/>
                <w:b/>
                <w:bCs/>
                <w:color w:val="FFFFFF"/>
                <w:sz w:val="662"/>
                <w:szCs w:val="662"/>
                <w:rtl w:val="0"/>
              </w:rPr>
              <w:t>1</w:t>
            </w:r>
          </w:p>
        </w:tc>
        <w:tc>
          <w:tcPr>
            <w:tcW w:w="2486" w:type="dxa"/>
            <w:tcBorders>
              <w:left w:val="single" w:sz="4" w:space="0" w:color="auto"/>
              <w:bottom w:val="single" w:sz="4" w:space="0" w:color="auto"/>
              <w:right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right"/>
              <w:rPr>
                <w:sz w:val="662"/>
                <w:szCs w:val="662"/>
              </w:rPr>
            </w:pPr>
            <w:r>
              <w:rPr>
                <w:rStyle w:val="Other1"/>
                <w:rFonts w:ascii="Arial" w:eastAsia="Arial" w:hAnsi="Arial" w:cs="Arial"/>
                <w:b/>
                <w:bCs/>
                <w:color w:val="FFFFFF"/>
                <w:sz w:val="662"/>
                <w:szCs w:val="662"/>
                <w:rtl w:val="0"/>
              </w:rPr>
              <w:t>1</w:t>
            </w:r>
          </w:p>
        </w:tc>
      </w:tr>
    </w:tbl>
    <w:p>
      <w:pPr>
        <w:pStyle w:val="Heading210"/>
        <w:keepNext/>
        <w:keepLines/>
        <w:widowControl w:val="0"/>
        <w:shd w:val="clear" w:color="auto" w:fill="auto"/>
        <w:bidi w:val="0"/>
        <w:spacing w:before="0" w:line="240" w:lineRule="auto"/>
        <w:ind w:left="0" w:right="0" w:firstLine="0"/>
        <w:jc w:val="left"/>
      </w:pPr>
      <w:bookmarkStart w:id="3" w:name="bookmark6"/>
      <w:r>
        <w:rPr>
          <w:rStyle w:val="Heading21"/>
          <w:b/>
          <w:bCs/>
          <w:rtl w:val="0"/>
        </w:rPr>
        <w:t>Estudio de caso n.º 3: Roddie Edmonds</w:t>
      </w:r>
      <w:bookmarkEnd w:id="3"/>
    </w:p>
    <w:p>
      <w:pPr>
        <w:pStyle w:val="Bodytext10"/>
        <w:keepNext w:val="0"/>
        <w:keepLines w:val="0"/>
        <w:widowControl w:val="0"/>
        <w:shd w:val="clear" w:color="auto" w:fill="auto"/>
        <w:bidi w:val="0"/>
        <w:spacing w:before="0" w:line="290" w:lineRule="auto"/>
        <w:ind w:left="0" w:right="0" w:firstLine="0"/>
        <w:jc w:val="left"/>
      </w:pPr>
      <w:r>
        <w:rPr>
          <w:rStyle w:val="Bodytext1"/>
          <w:rtl w:val="0"/>
        </w:rPr>
        <w:t>El sargento mayor Roddie Edmonds nació en 1919 en Knoxville, Tennessee. Tenía tres hermanos y su familia asistía a una iglesia metodista en South Knoxville. Edmonds se graduó de la escuela secundaria en 1938 y luego sirvió en el ejército de los EE. UU. durante la Segunda Guerra Mundial.</w:t>
      </w:r>
    </w:p>
    <w:p>
      <w:pPr>
        <w:pStyle w:val="Bodytext10"/>
        <w:keepNext w:val="0"/>
        <w:keepLines w:val="0"/>
        <w:widowControl w:val="0"/>
        <w:shd w:val="clear" w:color="auto" w:fill="auto"/>
        <w:bidi w:val="0"/>
        <w:spacing w:before="0"/>
        <w:ind w:left="0" w:right="0" w:firstLine="0"/>
        <w:jc w:val="left"/>
      </w:pPr>
      <w:r>
        <w:rPr>
          <w:rStyle w:val="Bodytext1"/>
          <w:rtl w:val="0"/>
        </w:rPr>
        <w:t>Edmonds participó en el desembarco de las fuerzas estadounidenses en Europa y fue hecho prisionero por los alemanes en diciembre de 1944, durante la Batalla de las Ardenas. Lo llevaron a Stalag IXA, un campo de prisioneros de guerra en Alemania. Como oficial de alto rango en el campo, Edmonds era responsable de los 1.275 prisioneros de guerra estadounidenses, entre los que se encontraban unos 200 judíos.</w:t>
      </w:r>
    </w:p>
    <w:p>
      <w:pPr>
        <w:pStyle w:val="Bodytext10"/>
        <w:keepNext w:val="0"/>
        <w:keepLines w:val="0"/>
        <w:widowControl w:val="0"/>
        <w:shd w:val="clear" w:color="auto" w:fill="auto"/>
        <w:bidi w:val="0"/>
        <w:spacing w:before="0" w:line="295" w:lineRule="auto"/>
        <w:ind w:left="0" w:right="0" w:firstLine="0"/>
        <w:jc w:val="left"/>
      </w:pPr>
      <w:r>
        <w:rPr>
          <w:rStyle w:val="Bodytext1"/>
          <w:rtl w:val="0"/>
        </w:rPr>
        <w:t>Para entonces, el régimen nazi ya había asesinado a millones de judíos en toda Europa. De acuerdo con su política antijudía, los alemanes seleccionaron a los prisioneros de guerra judíos, y muchos de ellos en el frente oriental fueron enviados a campos de exterminio o asesinados. Los prisioneros judíos en Stalag IXA corrían un gran riesgo de ser deportados a un campo de exterminio o de ser asesinados en el acto.</w:t>
      </w:r>
    </w:p>
    <w:p>
      <w:pPr>
        <w:pStyle w:val="Bodytext10"/>
        <w:keepNext w:val="0"/>
        <w:keepLines w:val="0"/>
        <w:widowControl w:val="0"/>
        <w:shd w:val="clear" w:color="auto" w:fill="auto"/>
        <w:bidi w:val="0"/>
        <w:spacing w:before="0" w:after="280"/>
        <w:ind w:left="0" w:right="0" w:firstLine="0"/>
        <w:jc w:val="left"/>
      </w:pPr>
      <w:r>
        <w:rPr>
          <w:rStyle w:val="Bodytext1"/>
          <w:rtl w:val="0"/>
        </w:rPr>
        <w:t>En algún momento de enero de 1945, los alemanes anunciaron que todos los prisioneros de guerra judíos en Stalag IXA (y sólo los prisioneros de guerra judíos) debían presentarse a la mañana siguiente. El sargento mayor Edmonds desafió la orden y, en cambio, ordenó a todos los prisioneros de guerra, tanto judíos como no judíos, que permanecieran unidos. Cuando el oficial alemán a cargo vio que todos los internos del campo estaban parados frente a sus cuarteles, se volvió hacia Edmonds y le dijo: "No todos pueden ser judíos", amenazándolo con su pistola.</w:t>
      </w:r>
    </w:p>
    <w:p>
      <w:pPr>
        <w:pStyle w:val="Tablecaption10"/>
        <w:keepNext w:val="0"/>
        <w:keepLines w:val="0"/>
        <w:widowControl w:val="0"/>
        <w:shd w:val="clear" w:color="auto" w:fill="auto"/>
        <w:bidi w:val="0"/>
        <w:spacing w:before="0" w:after="0" w:line="240" w:lineRule="auto"/>
        <w:ind w:left="0" w:right="0" w:firstLine="0"/>
        <w:jc w:val="left"/>
      </w:pPr>
      <w:r>
        <w:rPr>
          <w:rStyle w:val="Tablecaption1"/>
          <w:i/>
          <w:iCs/>
          <w:rtl w:val="0"/>
        </w:rPr>
        <w:t>Considere la situación de Roddie. Discuta y registre sus pensamientos en respuesta a las siguientes preguntas:</w:t>
      </w:r>
    </w:p>
    <w:tbl>
      <w:tblPr>
        <w:tblOverlap w:val="never"/>
        <w:jc w:val="center"/>
        <w:tblLayout w:type="fixed"/>
        <w:tblCellMar>
          <w:top w:w="0" w:type="dxa"/>
          <w:left w:w="10" w:type="dxa"/>
          <w:bottom w:w="0" w:type="dxa"/>
          <w:right w:w="10" w:type="dxa"/>
        </w:tblCellMar>
      </w:tblPr>
      <w:tblGrid>
        <w:gridCol w:w="2486"/>
        <w:gridCol w:w="2472"/>
        <w:gridCol w:w="2472"/>
        <w:gridCol w:w="2486"/>
      </w:tblGrid>
      <w:tr>
        <w:tblPrEx>
          <w:jc w:val="center"/>
          <w:tblLayout w:type="fixed"/>
          <w:tblCellMar>
            <w:top w:w="0" w:type="dxa"/>
            <w:left w:w="10" w:type="dxa"/>
            <w:bottom w:w="0" w:type="dxa"/>
            <w:right w:w="10" w:type="dxa"/>
          </w:tblCellMar>
        </w:tblPrEx>
        <w:trPr>
          <w:trHeight w:hRule="exact" w:val="1022"/>
          <w:jc w:val="center"/>
        </w:trPr>
        <w:tc>
          <w:tcPr>
            <w:tcW w:w="2486"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(a) ¿Cuáles eran las opciones disponibles para Roddie cuando el oficial alemán lo confrontó?</w:t>
            </w:r>
          </w:p>
        </w:tc>
        <w:tc>
          <w:tcPr>
            <w:tcW w:w="2472"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(b) ¿Cuáles eran los riesgos y las posibles consecuencias para Roddie si se negaba a identificar a los prisioneros de guerra judíos?</w:t>
            </w:r>
          </w:p>
        </w:tc>
        <w:tc>
          <w:tcPr>
            <w:tcW w:w="2472" w:type="dxa"/>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(c) ¿Cuáles son algunos de los factores que podrían haber motivado a Roddie a mantenerse firme?</w:t>
            </w:r>
          </w:p>
        </w:tc>
        <w:tc>
          <w:tcPr>
            <w:tcW w:w="2486" w:type="dxa"/>
            <w:tcBorders>
              <w:top w:val="single" w:sz="4" w:space="0" w:color="auto"/>
            </w:tcBorders>
            <w:shd w:val="clear" w:color="auto" w:fill="005870"/>
            <w:vAlign w:val="center"/>
          </w:tcPr>
          <w:p>
            <w:pPr>
              <w:pStyle w:val="Other10"/>
              <w:keepNext w:val="0"/>
              <w:keepLines w:val="0"/>
              <w:widowControl w:val="0"/>
              <w:pBdr>
                <w:top w:val="single" w:sz="0" w:space="0" w:color="005870"/>
                <w:left w:val="single" w:sz="0" w:space="0" w:color="005870"/>
                <w:bottom w:val="single" w:sz="0" w:space="0" w:color="005870"/>
                <w:right w:val="single" w:sz="0" w:space="0" w:color="005870"/>
              </w:pBdr>
              <w:shd w:val="clear" w:color="auto" w:fill="005870"/>
              <w:bidi w:val="0"/>
              <w:spacing w:before="0" w:after="0" w:line="240" w:lineRule="auto"/>
              <w:ind w:left="0" w:right="0" w:firstLine="0"/>
              <w:jc w:val="center"/>
              <w:rPr>
                <w:sz w:val="16"/>
                <w:szCs w:val="16"/>
              </w:rPr>
            </w:pPr>
            <w:r>
              <w:rPr>
                <w:rStyle w:val="Other1"/>
                <w:rFonts w:ascii="Arial" w:eastAsia="Arial" w:hAnsi="Arial" w:cs="Arial"/>
                <w:color w:val="FFFFFF"/>
                <w:sz w:val="16"/>
                <w:szCs w:val="16"/>
                <w:rtl w:val="0"/>
              </w:rPr>
              <w:t>(d) ¿Cuáles son algunos de los factores que podrían haberle llevado a identificar a los prisioneros de guerra judíos?</w:t>
            </w:r>
          </w:p>
        </w:tc>
      </w:tr>
      <w:tr>
        <w:tblPrEx>
          <w:jc w:val="center"/>
          <w:tblLayout w:type="fixed"/>
          <w:tblCellMar>
            <w:top w:w="0" w:type="dxa"/>
            <w:left w:w="10" w:type="dxa"/>
            <w:bottom w:w="0" w:type="dxa"/>
            <w:right w:w="10" w:type="dxa"/>
          </w:tblCellMar>
        </w:tblPrEx>
        <w:trPr>
          <w:trHeight w:hRule="exact" w:val="6077"/>
          <w:jc w:val="center"/>
        </w:trPr>
        <w:tc>
          <w:tcPr>
            <w:tcW w:w="2486"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72"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72" w:type="dxa"/>
            <w:tcBorders>
              <w:left w:val="single" w:sz="4" w:space="0" w:color="auto"/>
              <w:bottom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c>
          <w:tcPr>
            <w:tcW w:w="2486" w:type="dxa"/>
            <w:tcBorders>
              <w:left w:val="single" w:sz="4" w:space="0" w:color="auto"/>
              <w:bottom w:val="single" w:sz="4" w:space="0" w:color="auto"/>
              <w:right w:val="single" w:sz="4" w:space="0" w:color="auto"/>
            </w:tcBorders>
            <w:shd w:val="clear" w:color="auto" w:fill="3EC1CB"/>
            <w:vAlign w:val="bottom"/>
          </w:tcPr>
          <w:p>
            <w:pPr>
              <w:pStyle w:val="Other10"/>
              <w:keepNext w:val="0"/>
              <w:keepLines w:val="0"/>
              <w:widowControl w:val="0"/>
              <w:pBdr>
                <w:top w:val="single" w:sz="0" w:space="0" w:color="3EC1CB"/>
                <w:left w:val="single" w:sz="0" w:space="0" w:color="3EC1CB"/>
                <w:bottom w:val="single" w:sz="0" w:space="0" w:color="3EC1CB"/>
                <w:right w:val="single" w:sz="0" w:space="0" w:color="3EC1CB"/>
              </w:pBdr>
              <w:shd w:val="clear" w:color="auto" w:fill="3EC1CB"/>
              <w:bidi w:val="0"/>
              <w:spacing w:before="0" w:after="0" w:line="240" w:lineRule="auto"/>
              <w:ind w:left="0" w:right="0" w:firstLine="0"/>
              <w:jc w:val="center"/>
              <w:rPr>
                <w:sz w:val="662"/>
                <w:szCs w:val="662"/>
              </w:rPr>
            </w:pPr>
            <w:r>
              <w:rPr>
                <w:rStyle w:val="Other1"/>
                <w:rFonts w:ascii="Arial" w:eastAsia="Arial" w:hAnsi="Arial" w:cs="Arial"/>
                <w:b/>
                <w:bCs/>
                <w:color w:val="FFFFFF"/>
                <w:sz w:val="662"/>
                <w:szCs w:val="662"/>
                <w:rtl w:val="0"/>
              </w:rPr>
              <w:t>1</w:t>
            </w:r>
          </w:p>
        </w:tc>
      </w:tr>
    </w:tbl>
    <w:p/>
    <w:sectPr>
      <w:footerReference w:type="default" r:id="rId4"/>
      <w:pgSz w:w="12240" w:h="15840"/>
      <w:pgMar w:top="974" w:right="1088" w:bottom="976" w:left="1030" w:header="546" w:footer="3"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481330</wp:posOffset>
              </wp:positionH>
              <wp:positionV relativeFrom="page">
                <wp:posOffset>9634855</wp:posOffset>
              </wp:positionV>
              <wp:extent cx="6833870" cy="97790"/>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2049" type="#_x0000_t202" style="width:538.1pt;height:7.7pt;margin-top:758.65pt;margin-left:37.9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Bodytext3">
    <w:name w:val="Body text|3_"/>
    <w:basedOn w:val="DefaultParagraphFont"/>
    <w:link w:val="Bodytext30"/>
    <w:rPr>
      <w:bCs w:val="0"/>
      <w:i w:val="0"/>
      <w:iCs w:val="0"/>
      <w:smallCaps w:val="0"/>
      <w:strike w:val="0"/>
      <w:color w:val="007399"/>
      <w:sz w:val="28"/>
      <w:szCs w:val="28"/>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68C9D3"/>
      <w:sz w:val="11"/>
      <w:szCs w:val="11"/>
      <w:u w:val="none"/>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30"/>
      <w:szCs w:val="30"/>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rFonts w:ascii="Arial" w:eastAsia="Arial" w:hAnsi="Arial" w:cs="Arial"/>
      <w:b/>
      <w:bCs/>
      <w:i w:val="0"/>
      <w:iCs w:val="0"/>
      <w:smallCaps w:val="0"/>
      <w:strike w:val="0"/>
      <w:color w:val="3FC1CC"/>
      <w:sz w:val="28"/>
      <w:szCs w:val="28"/>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Tablecaption1">
    <w:name w:val="Table caption|1_"/>
    <w:basedOn w:val="DefaultParagraphFont"/>
    <w:link w:val="Tablecaption10"/>
    <w:rPr>
      <w:rFonts w:ascii="Arial" w:eastAsia="Arial" w:hAnsi="Arial" w:cs="Arial"/>
      <w:bCs w:val="0"/>
      <w:i/>
      <w:iCs/>
      <w:smallCaps w:val="0"/>
      <w:strike w:val="0"/>
      <w:color w:val="C24729"/>
      <w:sz w:val="19"/>
      <w:szCs w:val="19"/>
      <w:u w:val="none"/>
    </w:rPr>
  </w:style>
  <w:style w:type="character" w:customStyle="1" w:styleId="Other1">
    <w:name w:val="Other|1_"/>
    <w:basedOn w:val="DefaultParagraphFont"/>
    <w:link w:val="Other10"/>
    <w:rPr>
      <w:bCs w:val="0"/>
      <w:i w:val="0"/>
      <w:iCs w:val="0"/>
      <w:smallCaps w:val="0"/>
      <w:strike w:val="0"/>
      <w:sz w:val="20"/>
      <w:szCs w:val="20"/>
      <w:u w:val="none"/>
    </w:rPr>
  </w:style>
  <w:style w:type="paragraph" w:customStyle="1" w:styleId="Bodytext30">
    <w:name w:val="Body text|3"/>
    <w:basedOn w:val="Normal"/>
    <w:link w:val="Bodytext3"/>
    <w:pPr>
      <w:widowControl w:val="0"/>
      <w:shd w:val="clear" w:color="auto" w:fill="auto"/>
      <w:spacing w:after="40"/>
    </w:pPr>
    <w:rPr>
      <w:bCs w:val="0"/>
      <w:i w:val="0"/>
      <w:iCs w:val="0"/>
      <w:smallCaps w:val="0"/>
      <w:strike w:val="0"/>
      <w:color w:val="007399"/>
      <w:sz w:val="28"/>
      <w:szCs w:val="28"/>
      <w:u w:val="none"/>
    </w:rPr>
  </w:style>
  <w:style w:type="paragraph" w:customStyle="1" w:styleId="Bodytext20">
    <w:name w:val="Body text|2"/>
    <w:basedOn w:val="Normal"/>
    <w:link w:val="Bodytext2"/>
    <w:pPr>
      <w:widowControl w:val="0"/>
      <w:shd w:val="clear" w:color="auto" w:fill="auto"/>
    </w:pPr>
    <w:rPr>
      <w:rFonts w:ascii="Arial" w:eastAsia="Arial" w:hAnsi="Arial" w:cs="Arial"/>
      <w:bCs w:val="0"/>
      <w:i w:val="0"/>
      <w:iCs w:val="0"/>
      <w:smallCaps w:val="0"/>
      <w:strike w:val="0"/>
      <w:color w:val="68C9D3"/>
      <w:sz w:val="11"/>
      <w:szCs w:val="11"/>
      <w:u w:val="none"/>
    </w:rPr>
  </w:style>
  <w:style w:type="paragraph" w:customStyle="1" w:styleId="Heading110">
    <w:name w:val="Heading #1|1"/>
    <w:basedOn w:val="Normal"/>
    <w:link w:val="Heading11"/>
    <w:pPr>
      <w:widowControl w:val="0"/>
      <w:shd w:val="clear" w:color="auto" w:fill="auto"/>
      <w:spacing w:after="1040" w:line="266" w:lineRule="auto"/>
      <w:ind w:left="840" w:hanging="840"/>
      <w:outlineLvl w:val="0"/>
    </w:pPr>
    <w:rPr>
      <w:rFonts w:ascii="Arial" w:eastAsia="Arial" w:hAnsi="Arial" w:cs="Arial"/>
      <w:bCs w:val="0"/>
      <w:i w:val="0"/>
      <w:iCs w:val="0"/>
      <w:smallCaps w:val="0"/>
      <w:strike w:val="0"/>
      <w:color w:val="007399"/>
      <w:sz w:val="30"/>
      <w:szCs w:val="30"/>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180"/>
      <w:outlineLvl w:val="1"/>
    </w:pPr>
    <w:rPr>
      <w:rFonts w:ascii="Arial" w:eastAsia="Arial" w:hAnsi="Arial" w:cs="Arial"/>
      <w:b/>
      <w:bCs/>
      <w:i w:val="0"/>
      <w:iCs w:val="0"/>
      <w:smallCaps w:val="0"/>
      <w:strike w:val="0"/>
      <w:color w:val="3FC1CC"/>
      <w:sz w:val="28"/>
      <w:szCs w:val="28"/>
      <w:u w:val="none"/>
    </w:rPr>
  </w:style>
  <w:style w:type="paragraph" w:customStyle="1" w:styleId="Bodytext10">
    <w:name w:val="Body text|1"/>
    <w:basedOn w:val="Normal"/>
    <w:link w:val="Bodytext1"/>
    <w:pPr>
      <w:widowControl w:val="0"/>
      <w:shd w:val="clear" w:color="auto" w:fill="auto"/>
      <w:spacing w:after="180" w:line="293" w:lineRule="auto"/>
    </w:pPr>
    <w:rPr>
      <w:bCs w:val="0"/>
      <w:i w:val="0"/>
      <w:iCs w:val="0"/>
      <w:smallCaps w:val="0"/>
      <w:strike w:val="0"/>
      <w:sz w:val="20"/>
      <w:szCs w:val="20"/>
      <w:u w:val="none"/>
    </w:rPr>
  </w:style>
  <w:style w:type="paragraph" w:customStyle="1" w:styleId="Tablecaption10">
    <w:name w:val="Table caption|1"/>
    <w:basedOn w:val="Normal"/>
    <w:link w:val="Tablecaption1"/>
    <w:pPr>
      <w:widowControl w:val="0"/>
      <w:shd w:val="clear" w:color="auto" w:fill="auto"/>
    </w:pPr>
    <w:rPr>
      <w:rFonts w:ascii="Arial" w:eastAsia="Arial" w:hAnsi="Arial" w:cs="Arial"/>
      <w:bCs w:val="0"/>
      <w:i/>
      <w:iCs/>
      <w:smallCaps w:val="0"/>
      <w:strike w:val="0"/>
      <w:color w:val="C24729"/>
      <w:sz w:val="19"/>
      <w:szCs w:val="19"/>
      <w:u w:val="none"/>
    </w:rPr>
  </w:style>
  <w:style w:type="paragraph" w:customStyle="1" w:styleId="Other10">
    <w:name w:val="Other|1"/>
    <w:basedOn w:val="Normal"/>
    <w:link w:val="Other1"/>
    <w:pPr>
      <w:widowControl w:val="0"/>
      <w:shd w:val="clear" w:color="auto" w:fill="auto"/>
      <w:spacing w:after="180" w:line="293" w:lineRule="auto"/>
    </w:pPr>
    <w:rPr>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