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before="39" w:after="39" w:line="240" w:lineRule="exact"/>
        <w:rPr>
          <w:sz w:val="19"/>
          <w:szCs w:val="19"/>
        </w:rPr>
      </w:pPr>
    </w:p>
    <w:p>
      <w:pPr>
        <w:widowControl w:val="0"/>
        <w:spacing w:line="1" w:lineRule="exact"/>
        <w:sectPr>
          <w:footerReference w:type="default" r:id="rId4"/>
          <w:pgSz w:w="12240" w:h="15840"/>
          <w:pgMar w:top="637" w:right="1051" w:bottom="679" w:left="888" w:header="0" w:footer="3" w:gutter="0"/>
          <w:pgNumType w:start="1"/>
          <w:cols w:space="720"/>
          <w:noEndnote/>
          <w:rtlGutter w:val="0"/>
          <w:docGrid w:linePitch="360"/>
        </w:sectPr>
      </w:pPr>
    </w:p>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4846320</wp:posOffset>
                </wp:positionH>
                <wp:positionV relativeFrom="paragraph">
                  <wp:posOffset>12700</wp:posOffset>
                </wp:positionV>
                <wp:extent cx="2298065" cy="362585"/>
                <wp:wrapSquare wrapText="bothSides"/>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298065" cy="362585"/>
                        </a:xfrm>
                        <a:prstGeom prst="rect">
                          <a:avLst/>
                        </a:prstGeom>
                        <a:noFill/>
                      </wps:spPr>
                      <wps:txbx>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40"/>
                              <w:keepNext w:val="0"/>
                              <w:keepLines w:val="0"/>
                              <w:widowControl w:val="0"/>
                              <w:shd w:val="clear" w:color="auto" w:fill="auto"/>
                              <w:bidi w:val="0"/>
                              <w:spacing w:before="0" w:after="0" w:line="240" w:lineRule="auto"/>
                              <w:ind w:left="0" w:right="0" w:firstLine="0"/>
                              <w:jc w:val="right"/>
                            </w:pPr>
                            <w:r>
                              <w:rPr>
                                <w:rStyle w:val="Bodytext4"/>
                                <w:color w:val="007399"/>
                                <w:rtl w:val="0"/>
                              </w:rPr>
                              <w:t>I</w:t>
                            </w:r>
                            <w:r>
                              <w:rPr>
                                <w:rStyle w:val="Bodytext4"/>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180.95pt;height:28.55pt;margin-top:1pt;margin-left:381.6pt;mso-position-horizontal-relative:page;mso-wrap-distance-bottom:0;mso-wrap-distance-left:9pt;mso-wrap-distance-right:9pt;mso-wrap-distance-top:0;position:absolute;v-text-anchor:top;z-index:251658240" filled="f" fillcolor="this">
                <v:textbox inset="0,0,0,0">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40"/>
                        <w:keepNext w:val="0"/>
                        <w:keepLines w:val="0"/>
                        <w:widowControl w:val="0"/>
                        <w:shd w:val="clear" w:color="auto" w:fill="auto"/>
                        <w:bidi w:val="0"/>
                        <w:spacing w:before="0" w:after="0" w:line="240" w:lineRule="auto"/>
                        <w:ind w:left="0" w:right="0" w:firstLine="0"/>
                        <w:jc w:val="right"/>
                      </w:pPr>
                      <w:r>
                        <w:rPr>
                          <w:rStyle w:val="Bodytext4"/>
                          <w:color w:val="007399"/>
                          <w:rtl w:val="0"/>
                        </w:rPr>
                        <w:t>I</w:t>
                      </w:r>
                      <w:r>
                        <w:rPr>
                          <w:rStyle w:val="Bodytext4"/>
                          <w:rtl w:val="0"/>
                        </w:rPr>
                        <w:t xml:space="preserve"> ENSEÑANDO EL HOLOCAUSTO. INSPIRANDO EL AULA.</w:t>
                      </w:r>
                    </w:p>
                  </w:txbxContent>
                </v:textbox>
                <w10:wrap type="square"/>
              </v:shape>
            </w:pict>
          </mc:Fallback>
        </mc:AlternateContent>
      </w:r>
    </w:p>
    <w:p>
      <w:pPr>
        <w:pStyle w:val="Heading110"/>
        <w:keepNext/>
        <w:keepLines/>
        <w:widowControl w:val="0"/>
        <w:shd w:val="clear" w:color="auto" w:fill="auto"/>
        <w:bidi w:val="0"/>
        <w:spacing w:before="0" w:line="240" w:lineRule="auto"/>
        <w:ind w:right="0"/>
        <w:jc w:val="left"/>
      </w:pPr>
      <w:bookmarkStart w:id="0" w:name="bookmark0"/>
      <w:r>
        <w:rPr>
          <w:rStyle w:val="Heading11"/>
          <w:rtl w:val="0"/>
        </w:rPr>
        <w:t>CITAS: RESCATE Y RESISTENCIA DANÉS</w:t>
      </w:r>
      <w:bookmarkEnd w:id="0"/>
    </w:p>
    <w:p>
      <w:pPr>
        <w:pStyle w:val="Bodytext20"/>
        <w:keepNext w:val="0"/>
        <w:keepLines w:val="0"/>
        <w:widowControl w:val="0"/>
        <w:shd w:val="clear" w:color="auto" w:fill="auto"/>
        <w:bidi w:val="0"/>
        <w:spacing w:before="0"/>
        <w:ind w:right="0" w:firstLine="0"/>
        <w:jc w:val="left"/>
      </w:pPr>
      <w:r>
        <w:rPr>
          <w:rStyle w:val="Bodytext2"/>
          <w:rtl w:val="0"/>
        </w:rPr>
        <w:t>Corte las citas a continuación y distribuya una a cada estudiante. Dependiendo del tamaño del grupo, es posible que sea necesario reproducir estas páginas y que más de un estudiante reciba la misma cotización.</w:t>
      </w:r>
    </w:p>
    <w:p>
      <w:pPr>
        <w:pStyle w:val="Bodytext10"/>
        <w:keepNext w:val="0"/>
        <w:keepLines w:val="0"/>
        <w:widowControl w:val="0"/>
        <w:shd w:val="clear" w:color="auto" w:fill="auto"/>
        <w:bidi w:val="0"/>
        <w:spacing w:before="0" w:after="0" w:line="206" w:lineRule="auto"/>
        <w:ind w:left="540" w:right="0" w:hanging="540"/>
        <w:jc w:val="left"/>
      </w:pPr>
      <w:r>
        <w:rPr>
          <w:rStyle w:val="Bodytext1"/>
          <w:color w:val="007399"/>
          <w:sz w:val="42"/>
          <w:szCs w:val="42"/>
          <w:rtl w:val="0"/>
        </w:rPr>
        <w:t>1</w:t>
      </w:r>
      <w:r>
        <w:rPr>
          <w:rStyle w:val="Bodytext1"/>
          <w:rtl w:val="0"/>
        </w:rPr>
        <w:t xml:space="preserve"> “Los judíos son parte de la nación danesa. No tenemos ningún problema judío en nuestro país porque nunca tuvimos un complejo de inferioridad en relación con los judíos. Si los judíos se ven obligados a usar la estrella amarilla, yo y toda mi familia la usaremos como insignia de honor”. [La insignia nunca se introdujo en Dinamarca.]</w:t>
      </w:r>
    </w:p>
    <w:p>
      <w:pPr>
        <w:pStyle w:val="Bodytext10"/>
        <w:keepNext w:val="0"/>
        <w:keepLines w:val="0"/>
        <w:widowControl w:val="0"/>
        <w:shd w:val="clear" w:color="auto" w:fill="auto"/>
        <w:bidi w:val="0"/>
        <w:spacing w:before="0" w:after="840"/>
        <w:ind w:left="0" w:right="0" w:firstLine="0"/>
        <w:jc w:val="right"/>
      </w:pPr>
      <w:r>
        <w:rPr>
          <w:rStyle w:val="Bodytext1"/>
          <w:rtl w:val="0"/>
        </w:rPr>
        <w:t>– Rey Cristián X</w:t>
      </w:r>
    </w:p>
    <w:p>
      <w:pPr>
        <w:pStyle w:val="Bodytext10"/>
        <w:keepNext w:val="0"/>
        <w:keepLines w:val="0"/>
        <w:widowControl w:val="0"/>
        <w:shd w:val="clear" w:color="auto" w:fill="auto"/>
        <w:bidi w:val="0"/>
        <w:spacing w:before="0" w:after="0" w:line="286" w:lineRule="auto"/>
        <w:ind w:left="540" w:right="0" w:firstLine="0"/>
        <w:jc w:val="left"/>
      </w:pPr>
      <w:r>
        <w:rPr>
          <w:rStyle w:val="Bodytext1"/>
          <w:rtl w:val="0"/>
        </w:rPr>
        <w:t>“Asumiré la responsabilidad de todo lo que voy a hacer. Me consuela mi firme fe en que las buenas obras nunca pueden estar equivocadas”.</w:t>
      </w:r>
    </w:p>
    <w:p>
      <w:pPr>
        <w:pStyle w:val="Bodytext10"/>
        <w:keepNext w:val="0"/>
        <w:keepLines w:val="0"/>
        <w:widowControl w:val="0"/>
        <w:shd w:val="clear" w:color="auto" w:fill="auto"/>
        <w:bidi w:val="0"/>
        <w:spacing w:before="0" w:after="0" w:line="286" w:lineRule="auto"/>
        <w:ind w:left="4580" w:right="0" w:firstLine="0"/>
        <w:jc w:val="both"/>
      </w:pPr>
      <w:r>
        <w:rPr>
          <w:rStyle w:val="Bodytext1"/>
          <w:rtl w:val="0"/>
        </w:rPr>
        <w:t>– Georg Ferdinand Duckwitz, 26 de septiembre de 1943, entrada del diario</w:t>
      </w:r>
    </w:p>
    <w:p>
      <w:pPr>
        <w:pStyle w:val="Bodytext10"/>
        <w:keepNext w:val="0"/>
        <w:keepLines w:val="0"/>
        <w:widowControl w:val="0"/>
        <w:shd w:val="clear" w:color="auto" w:fill="auto"/>
        <w:bidi w:val="0"/>
        <w:spacing w:before="0" w:after="840" w:line="286" w:lineRule="auto"/>
        <w:ind w:left="660" w:right="0" w:firstLine="0"/>
        <w:jc w:val="right"/>
      </w:pPr>
      <w:r>
        <w:rPr>
          <w:rStyle w:val="Bodytext1"/>
          <w:rtl w:val="0"/>
        </w:rPr>
        <w:t>[Duckwitz era un diplomático alemán en la Dinamarca ocupada que avisó a los judíos daneses sobre el plan nazi para deportar a la población judía y organizó su recepción en Suecia.]</w:t>
      </w:r>
    </w:p>
    <w:p>
      <w:pPr>
        <w:pStyle w:val="Bodytext10"/>
        <w:keepNext w:val="0"/>
        <w:keepLines w:val="0"/>
        <w:widowControl w:val="0"/>
        <w:shd w:val="clear" w:color="auto" w:fill="auto"/>
        <w:bidi w:val="0"/>
        <w:spacing w:before="0" w:after="0" w:line="240" w:lineRule="auto"/>
        <w:ind w:left="0" w:right="0" w:firstLine="540"/>
        <w:jc w:val="left"/>
      </w:pPr>
      <w:r>
        <w:rPr>
          <w:rStyle w:val="Bodytext1"/>
          <w:rtl w:val="0"/>
        </w:rPr>
        <w:t>“Les digo que prefiero morir con los judíos que vivir con los nazis”.</w:t>
      </w:r>
    </w:p>
    <w:p>
      <w:pPr>
        <w:pStyle w:val="Bodytext10"/>
        <w:keepNext w:val="0"/>
        <w:keepLines w:val="0"/>
        <w:widowControl w:val="0"/>
        <w:shd w:val="clear" w:color="auto" w:fill="auto"/>
        <w:bidi w:val="0"/>
        <w:spacing w:before="0" w:after="840" w:line="240" w:lineRule="auto"/>
        <w:ind w:left="4580" w:right="0" w:firstLine="0"/>
        <w:jc w:val="both"/>
      </w:pPr>
      <w:r>
        <w:rPr>
          <w:rStyle w:val="Bodytext1"/>
          <w:rtl w:val="0"/>
        </w:rPr>
        <w:t>– Pastor Ivar Lange de la Iglesia de Frederiksberg, 3 de octubre de 1943</w:t>
      </w:r>
    </w:p>
    <w:p>
      <w:pPr>
        <w:pStyle w:val="Bodytext10"/>
        <w:keepNext w:val="0"/>
        <w:keepLines w:val="0"/>
        <w:widowControl w:val="0"/>
        <w:shd w:val="clear" w:color="auto" w:fill="auto"/>
        <w:bidi w:val="0"/>
        <w:spacing w:before="0" w:after="0"/>
        <w:ind w:left="540" w:right="0" w:firstLine="0"/>
        <w:jc w:val="left"/>
      </w:pPr>
      <w:r>
        <w:rPr>
          <w:rStyle w:val="Bodytext1"/>
          <w:rtl w:val="0"/>
        </w:rPr>
        <w:t>“Cuando aquí en este país se inician pogromos contra un grupo especial de nuestros compatriotas, sólo porque pertenecen a una raza especial, entonces la Iglesia tiene derecho a clamar. Esto está rompiendo la constitución del reino de Cristo y es abominable para la forma de pensar nórdica. La iglesia aquí debe ser infatigable”.</w:t>
      </w:r>
    </w:p>
    <w:p>
      <w:pPr>
        <w:pStyle w:val="Bodytext10"/>
        <w:keepNext w:val="0"/>
        <w:keepLines w:val="0"/>
        <w:widowControl w:val="0"/>
        <w:shd w:val="clear" w:color="auto" w:fill="auto"/>
        <w:bidi w:val="0"/>
        <w:spacing w:before="0" w:after="840"/>
        <w:ind w:left="0" w:right="0" w:firstLine="0"/>
        <w:jc w:val="right"/>
      </w:pPr>
      <w:r>
        <w:rPr>
          <w:rStyle w:val="Bodytext1"/>
          <w:rtl w:val="0"/>
        </w:rPr>
        <w:t>– Kaj Munk, ministro danés, octubre de 1943</w:t>
      </w:r>
    </w:p>
    <w:p>
      <w:pPr>
        <w:pStyle w:val="Bodytext10"/>
        <w:keepNext w:val="0"/>
        <w:keepLines w:val="0"/>
        <w:widowControl w:val="0"/>
        <w:shd w:val="clear" w:color="auto" w:fill="auto"/>
        <w:bidi w:val="0"/>
        <w:spacing w:before="0" w:after="0" w:line="286" w:lineRule="auto"/>
        <w:ind w:left="540" w:right="0" w:firstLine="0"/>
        <w:jc w:val="both"/>
      </w:pPr>
      <w:r>
        <w:rPr>
          <w:rStyle w:val="Bodytext1"/>
          <w:rtl w:val="0"/>
        </w:rPr>
        <w:t>“La persecución de los judíos ha golpeado a los daneses en el punto más doloroso de su concepción de la justicia; incluso los demasiado tolerantes, los pasivos, los tibios pueden sentir esta mezquindad y alejarse de ella... No podíamos ceder a las amenazas alemanas cuando el bienestar de los judíos estaba en juego. Tampoco podemos ceder hoy... Les hemos ayudado y seguiremos ayudándoles con todos los medios a nuestro alcance. Los episodios de las últimas dos noches se han convertido para nosotros en parte del destino de Dinamarca, y si abandonamos a los judíos en esta hora de su miseria, abandonamos nuestro país natal”.</w:t>
      </w:r>
    </w:p>
    <w:p>
      <w:pPr>
        <w:pStyle w:val="Bodytext10"/>
        <w:keepNext w:val="0"/>
        <w:keepLines w:val="0"/>
        <w:widowControl w:val="0"/>
        <w:shd w:val="clear" w:color="auto" w:fill="auto"/>
        <w:bidi w:val="0"/>
        <w:spacing w:before="0" w:after="500" w:line="286" w:lineRule="auto"/>
        <w:ind w:left="1380" w:right="0" w:firstLine="0"/>
        <w:jc w:val="right"/>
      </w:pPr>
      <w:r>
        <w:rPr>
          <w:rStyle w:val="Bodytext1"/>
          <w:rtl w:val="0"/>
        </w:rPr>
        <w:t>– Editorial en el periódico clandestino danés en respuesta a los intentos alemanes de lograr que los daneses entregaran a los judíos escondidos liberando a los soldados daneses detenidos y levantando el estado de emergencia existente.</w:t>
      </w:r>
    </w:p>
    <w:p>
      <w:pPr>
        <w:pStyle w:val="Bodytext30"/>
        <w:keepNext w:val="0"/>
        <w:keepLines w:val="0"/>
        <w:widowControl w:val="0"/>
        <w:shd w:val="clear" w:color="auto" w:fill="auto"/>
        <w:bidi w:val="0"/>
        <w:spacing w:before="0" w:after="0"/>
        <w:ind w:right="0" w:firstLine="0"/>
        <w:jc w:val="left"/>
      </w:pPr>
      <w:r>
        <w:rPr>
          <w:rStyle w:val="Bodytext3"/>
          <w:rtl w:val="0"/>
        </w:rPr>
        <w:t xml:space="preserve">Fuente: Instituto para el Estudio del Rescate y el Altruismo en el Holocausto, “Quotes: Danish Rescue and Relief”, </w:t>
      </w:r>
      <w:hyperlink r:id="rId5" w:history="1">
        <w:r>
          <w:rPr>
            <w:rStyle w:val="Bodytext3"/>
            <w:u w:val="single"/>
            <w:rtl w:val="0"/>
          </w:rPr>
          <w:t>https://www.holocaustrescue.org/danish-rescue-quotes</w:t>
        </w:r>
        <w:r>
          <w:rPr>
            <w:rStyle w:val="Bodytext3"/>
            <w:rtl w:val="0"/>
          </w:rPr>
          <w:t xml:space="preserve"> .</w:t>
        </w:r>
      </w:hyperlink>
      <w:r>
        <w:rPr>
          <w:rStyle w:val="Bodytext3"/>
          <w:rtl w:val="0"/>
        </w:rPr>
        <w:br w:type="page"/>
      </w:r>
    </w:p>
    <w:p>
      <w:pPr>
        <w:pStyle w:val="Bodytext10"/>
        <w:keepNext w:val="0"/>
        <w:keepLines w:val="0"/>
        <w:widowControl w:val="0"/>
        <w:shd w:val="clear" w:color="auto" w:fill="auto"/>
        <w:bidi w:val="0"/>
        <w:spacing w:before="0" w:after="0" w:line="276" w:lineRule="auto"/>
        <w:ind w:left="540" w:right="0" w:firstLine="0"/>
        <w:jc w:val="left"/>
      </w:pPr>
      <w:r>
        <w:rPr>
          <w:rStyle w:val="Bodytext1"/>
          <w:rtl w:val="0"/>
        </w:rPr>
        <w:t>“Era lo más natural. Habría ayudado a cualquier grupo de daneses perseguidos. Para mí, que los alemanes se metieran con los judíos tenía tanto sentido como hacerlo con las pelirrojas”.</w:t>
      </w:r>
    </w:p>
    <w:p>
      <w:pPr>
        <w:pStyle w:val="Bodytext10"/>
        <w:keepNext w:val="0"/>
        <w:keepLines w:val="0"/>
        <w:widowControl w:val="0"/>
        <w:shd w:val="clear" w:color="auto" w:fill="auto"/>
        <w:bidi w:val="0"/>
        <w:spacing w:before="0" w:after="820" w:line="276" w:lineRule="auto"/>
        <w:ind w:left="0" w:right="0" w:firstLine="0"/>
        <w:jc w:val="right"/>
      </w:pPr>
      <w:r>
        <w:rPr>
          <w:rStyle w:val="Bodytext1"/>
          <w:rtl w:val="0"/>
        </w:rPr>
        <w:t>– Dr. Karl Henry Koster, médico danés</w:t>
      </w:r>
    </w:p>
    <w:p>
      <w:pPr>
        <w:pStyle w:val="Bodytext10"/>
        <w:keepNext w:val="0"/>
        <w:keepLines w:val="0"/>
        <w:widowControl w:val="0"/>
        <w:shd w:val="clear" w:color="auto" w:fill="auto"/>
        <w:bidi w:val="0"/>
        <w:spacing w:before="0" w:after="0"/>
        <w:ind w:left="540" w:right="0" w:firstLine="0"/>
        <w:jc w:val="left"/>
      </w:pPr>
      <w:r>
        <w:rPr>
          <w:rStyle w:val="Bodytext1"/>
          <w:rtl w:val="0"/>
        </w:rPr>
        <w:t>“Me criaron para creer en la democracia y creer que hay que estar dispuesto a luchar si se quiere preservar esa democracia. En cuanto a ayudar a los judíos, no sentía ninguna responsabilidad particular hacia los judíos. De hecho, nunca pensé en ellos como judíos ni ninguna otra cosa. Eran simplemente mis compatriotas y necesitaban mi ayuda”.</w:t>
      </w:r>
    </w:p>
    <w:p>
      <w:pPr>
        <w:pStyle w:val="Bodytext10"/>
        <w:keepNext w:val="0"/>
        <w:keepLines w:val="0"/>
        <w:widowControl w:val="0"/>
        <w:shd w:val="clear" w:color="auto" w:fill="auto"/>
        <w:bidi w:val="0"/>
        <w:spacing w:before="0" w:after="820"/>
        <w:ind w:left="0" w:right="0" w:firstLine="0"/>
        <w:jc w:val="right"/>
      </w:pPr>
      <w:r>
        <w:rPr>
          <w:rStyle w:val="Bodytext1"/>
          <w:rtl w:val="0"/>
        </w:rPr>
        <w:t>– Signe Jensen, enfermera danesa</w:t>
      </w:r>
    </w:p>
    <w:p>
      <w:pPr>
        <w:pStyle w:val="Bodytext10"/>
        <w:keepNext w:val="0"/>
        <w:keepLines w:val="0"/>
        <w:widowControl w:val="0"/>
        <w:shd w:val="clear" w:color="auto" w:fill="auto"/>
        <w:bidi w:val="0"/>
        <w:spacing w:before="0" w:after="0" w:line="276" w:lineRule="auto"/>
        <w:ind w:left="540" w:right="0" w:firstLine="0"/>
        <w:jc w:val="left"/>
      </w:pPr>
      <w:r>
        <w:rPr>
          <w:rStyle w:val="Bodytext1"/>
          <w:rtl w:val="0"/>
        </w:rPr>
        <w:t>“Nunca fue una cuestión de judío o no judío. Se trataba de gente en apuros. Habría ayudado a cualquiera a escapar de la Gestapo”.</w:t>
      </w:r>
    </w:p>
    <w:p>
      <w:pPr>
        <w:pStyle w:val="Bodytext10"/>
        <w:keepNext w:val="0"/>
        <w:keepLines w:val="0"/>
        <w:widowControl w:val="0"/>
        <w:shd w:val="clear" w:color="auto" w:fill="auto"/>
        <w:bidi w:val="0"/>
        <w:spacing w:before="0" w:after="820" w:line="276" w:lineRule="auto"/>
        <w:ind w:left="0" w:right="0" w:firstLine="0"/>
        <w:jc w:val="right"/>
      </w:pPr>
      <w:r>
        <w:rPr>
          <w:rStyle w:val="Bodytext1"/>
          <w:rtl w:val="0"/>
        </w:rPr>
        <w:t>– Jørgen Knudsen, ciudadano danés</w:t>
      </w:r>
    </w:p>
    <w:p>
      <w:pPr>
        <w:pStyle w:val="Bodytext10"/>
        <w:keepNext w:val="0"/>
        <w:keepLines w:val="0"/>
        <w:widowControl w:val="0"/>
        <w:shd w:val="clear" w:color="auto" w:fill="auto"/>
        <w:bidi w:val="0"/>
        <w:spacing w:before="0" w:after="0"/>
        <w:ind w:left="540" w:right="0" w:firstLine="0"/>
        <w:jc w:val="left"/>
      </w:pPr>
      <w:r>
        <w:rPr>
          <w:rStyle w:val="Bodytext1"/>
          <w:rtl w:val="0"/>
        </w:rPr>
        <w:t>“Nosotros los daneses sabemos que toda la población apoya la resistencia a los opresores alemanes. El Consejo pide a la población danesa que ayude en todo lo posible a sus conciudadanos judíos que aún no han conseguido escapar al extranjero. Todo danés que ayude a los alemanes en la persecución de seres humanos es un traidor y será castigado como tal cuando Alemania sea derrotada”.</w:t>
      </w:r>
    </w:p>
    <w:p>
      <w:pPr>
        <w:pStyle w:val="Bodytext10"/>
        <w:keepNext w:val="0"/>
        <w:keepLines w:val="0"/>
        <w:widowControl w:val="0"/>
        <w:shd w:val="clear" w:color="auto" w:fill="auto"/>
        <w:bidi w:val="0"/>
        <w:spacing w:before="0" w:after="820"/>
        <w:ind w:left="0" w:right="0" w:firstLine="0"/>
        <w:jc w:val="right"/>
      </w:pPr>
      <w:r>
        <w:rPr>
          <w:rStyle w:val="Bodytext1"/>
          <w:rtl w:val="0"/>
        </w:rPr>
        <w:t>– Consejo Danés de Libertad</w:t>
      </w:r>
    </w:p>
    <w:p>
      <w:pPr>
        <w:pStyle w:val="Bodytext10"/>
        <w:keepNext w:val="0"/>
        <w:keepLines w:val="0"/>
        <w:widowControl w:val="0"/>
        <w:shd w:val="clear" w:color="auto" w:fill="auto"/>
        <w:bidi w:val="0"/>
        <w:spacing w:before="0" w:after="0"/>
        <w:ind w:left="0" w:right="0" w:firstLine="0"/>
        <w:jc w:val="both"/>
      </w:pPr>
      <w:r>
        <mc:AlternateContent>
          <mc:Choice Requires="wps">
            <w:drawing>
              <wp:anchor distT="165100" distB="3191510" distL="165100" distR="165100" simplePos="0" relativeHeight="251660288" behindDoc="0" locked="0" layoutInCell="1" allowOverlap="1">
                <wp:simplePos x="0" y="0"/>
                <wp:positionH relativeFrom="page">
                  <wp:posOffset>560705</wp:posOffset>
                </wp:positionH>
                <wp:positionV relativeFrom="margin">
                  <wp:posOffset>4940935</wp:posOffset>
                </wp:positionV>
                <wp:extent cx="316865" cy="320040"/>
                <wp:wrapSquare wrapText="bothSides"/>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316865" cy="320040"/>
                        </a:xfrm>
                        <a:prstGeom prst="rect">
                          <a:avLst/>
                        </a:prstGeom>
                        <a:noFill/>
                      </wps:spPr>
                      <wps:txbx>
                        <w:txbxContent>
                          <w:p>
                            <w:pPr>
                              <w:pStyle w:val="Bodytext60"/>
                              <w:keepNext w:val="0"/>
                              <w:keepLines w:val="0"/>
                              <w:widowControl w:val="0"/>
                              <w:shd w:val="clear" w:color="auto" w:fill="auto"/>
                              <w:bidi w:val="0"/>
                              <w:spacing w:before="0" w:after="0" w:line="240" w:lineRule="auto"/>
                              <w:ind w:left="0" w:right="0" w:firstLine="0"/>
                              <w:jc w:val="left"/>
                            </w:pPr>
                            <w:r>
                              <w:rPr>
                                <w:rStyle w:val="Bodytext6"/>
                                <w:rtl w:val="0"/>
                              </w:rPr>
                              <w:t>10</w:t>
                            </w:r>
                          </w:p>
                        </w:txbxContent>
                      </wps:txbx>
                      <wps:bodyPr wrap="none" lIns="0" tIns="0" rIns="0" bIns="0"/>
                    </wps:wsp>
                  </a:graphicData>
                </a:graphic>
              </wp:anchor>
            </w:drawing>
          </mc:Choice>
          <mc:Fallback>
            <w:pict>
              <v:shape id="_x0000_s1026" type="#_x0000_t202" style="width:24.95pt;height:25.2pt;margin-top:389.05pt;margin-left:44.15pt;mso-position-horizontal-relative:page;mso-position-vertical-relative:margin;mso-wrap-distance-bottom:251.3pt;position:absolute;z-index:-251654144" filled="f" stroked="f">
                <v:textbox inset="0,0,0,0">
                  <w:txbxContent>
                    <w:p>
                      <w:pPr>
                        <w:pStyle w:val="Bodytext60"/>
                        <w:keepNext w:val="0"/>
                        <w:keepLines w:val="0"/>
                        <w:widowControl w:val="0"/>
                        <w:shd w:val="clear" w:color="auto" w:fill="auto"/>
                        <w:bidi w:val="0"/>
                        <w:spacing w:before="0" w:after="0" w:line="240" w:lineRule="auto"/>
                        <w:ind w:left="0" w:right="0" w:firstLine="0"/>
                        <w:jc w:val="left"/>
                      </w:pPr>
                      <w:r>
                        <w:rPr>
                          <w:rStyle w:val="Bodytext6"/>
                        </w:rPr>
                        <w:t>10</w:t>
                      </w:r>
                    </w:p>
                  </w:txbxContent>
                </v:textbox>
                <w10:wrap type="square"/>
              </v:shape>
            </w:pict>
          </mc:Fallback>
        </mc:AlternateContent>
      </w:r>
      <w:r>
        <mc:AlternateContent>
          <mc:Choice Requires="wps">
            <w:drawing>
              <wp:anchor distT="3191510" distB="165100" distL="186690" distR="167640" simplePos="0" relativeHeight="251661312" behindDoc="0" locked="0" layoutInCell="1" allowOverlap="1">
                <wp:simplePos x="0" y="0"/>
                <wp:positionH relativeFrom="page">
                  <wp:posOffset>582295</wp:posOffset>
                </wp:positionH>
                <wp:positionV relativeFrom="margin">
                  <wp:posOffset>7967345</wp:posOffset>
                </wp:positionV>
                <wp:extent cx="292735" cy="320040"/>
                <wp:wrapSquare wrapText="bothSides"/>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292735" cy="320040"/>
                        </a:xfrm>
                        <a:prstGeom prst="rect">
                          <a:avLst/>
                        </a:prstGeom>
                        <a:noFill/>
                      </wps:spPr>
                      <wps:txbx>
                        <w:txbxContent>
                          <w:p>
                            <w:pPr>
                              <w:pStyle w:val="Bodytext60"/>
                              <w:keepNext w:val="0"/>
                              <w:keepLines w:val="0"/>
                              <w:widowControl w:val="0"/>
                              <w:shd w:val="clear" w:color="auto" w:fill="auto"/>
                              <w:bidi w:val="0"/>
                              <w:spacing w:before="0" w:after="0" w:line="240" w:lineRule="auto"/>
                              <w:ind w:left="0" w:right="0" w:firstLine="0"/>
                              <w:jc w:val="left"/>
                            </w:pPr>
                            <w:r>
                              <w:rPr>
                                <w:rStyle w:val="Bodytext6"/>
                                <w:rtl w:val="0"/>
                              </w:rPr>
                              <w:t>12</w:t>
                            </w:r>
                          </w:p>
                        </w:txbxContent>
                      </wps:txbx>
                      <wps:bodyPr wrap="none" lIns="0" tIns="0" rIns="0" bIns="0"/>
                    </wps:wsp>
                  </a:graphicData>
                </a:graphic>
              </wp:anchor>
            </w:drawing>
          </mc:Choice>
          <mc:Fallback>
            <w:pict>
              <v:shape id="_x0000_s1027" type="#_x0000_t202" style="width:23.05pt;height:25.2pt;margin-top:627.35pt;margin-left:45.85pt;mso-position-horizontal-relative:page;mso-position-vertical-relative:margin;mso-wrap-distance-left:14.7pt;mso-wrap-distance-right:13.2pt;mso-wrap-distance-top:251.3pt;position:absolute;z-index:-251653120" filled="f" stroked="f">
                <v:textbox inset="0,0,0,0">
                  <w:txbxContent>
                    <w:p>
                      <w:pPr>
                        <w:pStyle w:val="Bodytext60"/>
                        <w:keepNext w:val="0"/>
                        <w:keepLines w:val="0"/>
                        <w:widowControl w:val="0"/>
                        <w:shd w:val="clear" w:color="auto" w:fill="auto"/>
                        <w:bidi w:val="0"/>
                        <w:spacing w:before="0" w:after="0" w:line="240" w:lineRule="auto"/>
                        <w:ind w:left="0" w:right="0" w:firstLine="0"/>
                        <w:jc w:val="left"/>
                      </w:pPr>
                      <w:r>
                        <w:rPr>
                          <w:rStyle w:val="Bodytext6"/>
                        </w:rPr>
                        <w:t>12</w:t>
                      </w:r>
                    </w:p>
                  </w:txbxContent>
                </v:textbox>
                <w10:wrap type="square"/>
              </v:shape>
            </w:pict>
          </mc:Fallback>
        </mc:AlternateContent>
      </w:r>
      <w:r>
        <w:rPr>
          <w:rStyle w:val="Bodytext1"/>
          <w:rtl w:val="0"/>
        </w:rPr>
        <w:t>"Los judíos daneses son una parte viva del pueblo y, por lo tanto, toda la nación está profundamente afectada por las medidas que se han tomado y que deben considerarse como una infracción de la concepción danesa de justicia".</w:t>
      </w:r>
    </w:p>
    <w:p>
      <w:pPr>
        <w:pStyle w:val="Bodytext10"/>
        <w:keepNext w:val="0"/>
        <w:keepLines w:val="0"/>
        <w:widowControl w:val="0"/>
        <w:shd w:val="clear" w:color="auto" w:fill="auto"/>
        <w:bidi w:val="0"/>
        <w:spacing w:before="0" w:after="820"/>
        <w:ind w:left="3600" w:right="0" w:firstLine="0"/>
        <w:jc w:val="right"/>
      </w:pPr>
      <w:r>
        <w:rPr>
          <w:rStyle w:val="Bodytext1"/>
          <w:rtl w:val="0"/>
        </w:rPr>
        <w:t>– Declaración del Consejo de los Nueve (un grupo de líderes políticos) condenando la deportación de judíos daneses</w:t>
      </w:r>
    </w:p>
    <w:p>
      <w:pPr>
        <w:pStyle w:val="Bodytext10"/>
        <w:keepNext w:val="0"/>
        <w:keepLines w:val="0"/>
        <w:widowControl w:val="0"/>
        <w:shd w:val="clear" w:color="auto" w:fill="auto"/>
        <w:bidi w:val="0"/>
        <w:spacing w:before="0" w:after="0" w:line="286" w:lineRule="auto"/>
        <w:ind w:left="0" w:right="0" w:firstLine="0"/>
        <w:jc w:val="left"/>
      </w:pPr>
      <w:r>
        <w:rPr>
          <w:rStyle w:val="Bodytext1"/>
          <w:rtl w:val="0"/>
        </w:rPr>
        <w:t>“A pesar de los diferentes puntos de vista religiosos,… lucharemos para asegurar la garantía continua a nuestros hermanos y hermanas judíos de la misma libertad que nosotros atesoramos más que la vida misma. Los líderes de la Iglesia danesa tienen una comprensión clara del deber de ser ciudadanos respetuosos de la ley... nuestra conciencia nos obliga... a mantener la ley y protestar contra cualquier violación de los derechos”.</w:t>
      </w:r>
    </w:p>
    <w:p>
      <w:pPr>
        <w:pStyle w:val="Bodytext10"/>
        <w:keepNext w:val="0"/>
        <w:keepLines w:val="0"/>
        <w:widowControl w:val="0"/>
        <w:shd w:val="clear" w:color="auto" w:fill="auto"/>
        <w:bidi w:val="0"/>
        <w:spacing w:before="0" w:after="820" w:line="286" w:lineRule="auto"/>
        <w:ind w:left="4600" w:right="0" w:firstLine="0"/>
        <w:jc w:val="right"/>
      </w:pPr>
      <w:r>
        <w:rPr>
          <w:rStyle w:val="Bodytext1"/>
          <w:rtl w:val="0"/>
        </w:rPr>
        <w:t>– Protesta del obispo danés Fuglsang-Damgaard, leída en las iglesias danesas el domingo 3 de octubre de 1943</w:t>
      </w:r>
    </w:p>
    <w:p>
      <w:pPr>
        <w:pStyle w:val="Bodytext10"/>
        <w:keepNext w:val="0"/>
        <w:keepLines w:val="0"/>
        <w:widowControl w:val="0"/>
        <w:shd w:val="clear" w:color="auto" w:fill="auto"/>
        <w:bidi w:val="0"/>
        <w:spacing w:before="0" w:after="0" w:line="286" w:lineRule="auto"/>
        <w:ind w:left="0" w:right="0" w:firstLine="0"/>
        <w:jc w:val="left"/>
      </w:pPr>
      <w:r>
        <w:rPr>
          <w:rStyle w:val="Bodytext1"/>
          <w:rtl w:val="0"/>
        </w:rPr>
        <w:t>“A partir de ahora no hubo duda ni incertidumbre posible. Frente a estos actos de atrocidad abiertos, increíblemente sin sentido, no era una cuestión de punto de vista. Acción era la palabra. Incluso en condiciones graves o desesperadas, suele ser un sentimiento de felicidad poder dedicarse a una causa que uno está convencido de que es incondicionalmente justa y absolutamente vinculante. La situación en Dinamarca en aquel momento era precisamente así de sencilla. Ningún hombre honesto podría abstenerse de actuar después de esta incursión, cuando los perseguidos clamaron pidiendo ayuda”.</w:t>
      </w:r>
    </w:p>
    <w:p>
      <w:pPr>
        <w:pStyle w:val="Bodytext10"/>
        <w:keepNext w:val="0"/>
        <w:keepLines w:val="0"/>
        <w:widowControl w:val="0"/>
        <w:shd w:val="clear" w:color="auto" w:fill="auto"/>
        <w:bidi w:val="0"/>
        <w:spacing w:before="0" w:after="0" w:line="199" w:lineRule="auto"/>
        <w:ind w:left="0" w:right="0" w:firstLine="0"/>
        <w:jc w:val="right"/>
      </w:pPr>
      <w:r>
        <w:rPr>
          <w:rStyle w:val="Bodytext1"/>
          <w:rtl w:val="0"/>
        </w:rPr>
        <w:t>– Aage Bertelsen, ciudadano danés, octubre de 1943</w:t>
      </w:r>
    </w:p>
    <w:sectPr>
      <w:type w:val="continuous"/>
      <w:pgSz w:w="12240" w:h="15840"/>
      <w:pgMar w:top="637" w:right="1051" w:bottom="679" w:left="888" w:header="209"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9690100</wp:posOffset>
              </wp:positionV>
              <wp:extent cx="683387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7pt;margin-top:763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9C9D3"/>
      <w:sz w:val="11"/>
      <w:szCs w:val="11"/>
      <w:u w:val="none"/>
    </w:rPr>
  </w:style>
  <w:style w:type="character" w:customStyle="1" w:styleId="Bodytext6">
    <w:name w:val="Body text|6_"/>
    <w:basedOn w:val="DefaultParagraphFont"/>
    <w:link w:val="Bodytext60"/>
    <w:rPr>
      <w:rFonts w:ascii="Arial" w:eastAsia="Arial" w:hAnsi="Arial" w:cs="Arial"/>
      <w:bCs w:val="0"/>
      <w:i w:val="0"/>
      <w:iCs w:val="0"/>
      <w:smallCaps w:val="0"/>
      <w:strike w:val="0"/>
      <w:color w:val="007399"/>
      <w:sz w:val="42"/>
      <w:szCs w:val="42"/>
      <w:u w:val="none"/>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6"/>
      <w:szCs w:val="36"/>
      <w:u w:val="none"/>
    </w:rPr>
  </w:style>
  <w:style w:type="character" w:customStyle="1" w:styleId="Bodytext2">
    <w:name w:val="Body text|2_"/>
    <w:basedOn w:val="DefaultParagraphFont"/>
    <w:link w:val="Bodytext20"/>
    <w:rPr>
      <w:bCs w:val="0"/>
      <w:i w:val="0"/>
      <w:iCs w:val="0"/>
      <w:smallCaps w:val="0"/>
      <w:strike w:val="0"/>
      <w:sz w:val="20"/>
      <w:szCs w:val="20"/>
      <w:u w:val="none"/>
    </w:rPr>
  </w:style>
  <w:style w:type="character" w:customStyle="1" w:styleId="Bodytext1">
    <w:name w:val="Body text|1_"/>
    <w:basedOn w:val="DefaultParagraphFont"/>
    <w:link w:val="Bodytext10"/>
    <w:rPr>
      <w:rFonts w:ascii="Arial" w:eastAsia="Arial" w:hAnsi="Arial" w:cs="Arial"/>
      <w:bCs w:val="0"/>
      <w:i w:val="0"/>
      <w:iCs w:val="0"/>
      <w:smallCaps w:val="0"/>
      <w:strike w:val="0"/>
      <w:sz w:val="20"/>
      <w:szCs w:val="20"/>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7F7F7F"/>
      <w:sz w:val="16"/>
      <w:szCs w:val="1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spacing w:after="100"/>
      <w:jc w:val="right"/>
    </w:pPr>
    <w:rPr>
      <w:bCs w:val="0"/>
      <w:i w:val="0"/>
      <w:iCs w:val="0"/>
      <w:smallCaps w:val="0"/>
      <w:strike w:val="0"/>
      <w:color w:val="007399"/>
      <w:sz w:val="28"/>
      <w:szCs w:val="28"/>
      <w:u w:val="none"/>
    </w:rPr>
  </w:style>
  <w:style w:type="paragraph" w:customStyle="1" w:styleId="Bodytext40">
    <w:name w:val="Body text|4"/>
    <w:basedOn w:val="Normal"/>
    <w:link w:val="Bodytext4"/>
    <w:pPr>
      <w:widowControl w:val="0"/>
      <w:shd w:val="clear" w:color="auto" w:fill="auto"/>
      <w:jc w:val="right"/>
    </w:pPr>
    <w:rPr>
      <w:rFonts w:ascii="Arial" w:eastAsia="Arial" w:hAnsi="Arial" w:cs="Arial"/>
      <w:bCs w:val="0"/>
      <w:i w:val="0"/>
      <w:iCs w:val="0"/>
      <w:smallCaps w:val="0"/>
      <w:strike w:val="0"/>
      <w:color w:val="69C9D3"/>
      <w:sz w:val="11"/>
      <w:szCs w:val="11"/>
      <w:u w:val="none"/>
    </w:rPr>
  </w:style>
  <w:style w:type="paragraph" w:customStyle="1" w:styleId="Bodytext60">
    <w:name w:val="Body text|6"/>
    <w:basedOn w:val="Normal"/>
    <w:link w:val="Bodytext6"/>
    <w:pPr>
      <w:widowControl w:val="0"/>
      <w:shd w:val="clear" w:color="auto" w:fill="auto"/>
    </w:pPr>
    <w:rPr>
      <w:rFonts w:ascii="Arial" w:eastAsia="Arial" w:hAnsi="Arial" w:cs="Arial"/>
      <w:bCs w:val="0"/>
      <w:i w:val="0"/>
      <w:iCs w:val="0"/>
      <w:smallCaps w:val="0"/>
      <w:strike w:val="0"/>
      <w:color w:val="007399"/>
      <w:sz w:val="42"/>
      <w:szCs w:val="42"/>
      <w:u w:val="none"/>
    </w:rPr>
  </w:style>
  <w:style w:type="paragraph" w:customStyle="1" w:styleId="Heading110">
    <w:name w:val="Heading #1|1"/>
    <w:basedOn w:val="Normal"/>
    <w:link w:val="Heading11"/>
    <w:pPr>
      <w:widowControl w:val="0"/>
      <w:shd w:val="clear" w:color="auto" w:fill="auto"/>
      <w:spacing w:after="840"/>
      <w:ind w:left="900" w:hanging="720"/>
      <w:outlineLvl w:val="0"/>
    </w:pPr>
    <w:rPr>
      <w:rFonts w:ascii="Arial" w:eastAsia="Arial" w:hAnsi="Arial" w:cs="Arial"/>
      <w:bCs w:val="0"/>
      <w:i w:val="0"/>
      <w:iCs w:val="0"/>
      <w:smallCaps w:val="0"/>
      <w:strike w:val="0"/>
      <w:color w:val="007399"/>
      <w:sz w:val="36"/>
      <w:szCs w:val="36"/>
      <w:u w:val="none"/>
    </w:rPr>
  </w:style>
  <w:style w:type="paragraph" w:customStyle="1" w:styleId="Bodytext20">
    <w:name w:val="Body text|2"/>
    <w:basedOn w:val="Normal"/>
    <w:link w:val="Bodytext2"/>
    <w:pPr>
      <w:widowControl w:val="0"/>
      <w:shd w:val="clear" w:color="auto" w:fill="auto"/>
      <w:spacing w:after="460" w:line="295" w:lineRule="auto"/>
      <w:ind w:left="180"/>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line="283" w:lineRule="auto"/>
    </w:pPr>
    <w:rPr>
      <w:rFonts w:ascii="Arial" w:eastAsia="Arial" w:hAnsi="Arial" w:cs="Arial"/>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spacing w:line="283" w:lineRule="auto"/>
      <w:ind w:left="180"/>
    </w:pPr>
    <w:rPr>
      <w:rFonts w:ascii="Arial" w:eastAsia="Arial" w:hAnsi="Arial" w:cs="Arial"/>
      <w:bCs w:val="0"/>
      <w:i w:val="0"/>
      <w:iCs w:val="0"/>
      <w:smallCaps w:val="0"/>
      <w:strike w:val="0"/>
      <w:color w:val="7F7F7F"/>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yperlink" Target="https://www.holocaustrescue.org/danish-rescue-quote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