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0.11.0 -->
  <w:body>
    <w:p>
      <w:pPr>
        <w:pStyle w:val="Heading110"/>
        <w:keepNext/>
        <w:keepLines/>
        <w:widowControl w:val="0"/>
        <w:shd w:val="clear" w:color="auto" w:fill="auto"/>
        <w:bidi w:val="0"/>
        <w:spacing w:before="0" w:after="0" w:line="240" w:lineRule="auto"/>
        <w:ind w:left="0" w:right="0" w:firstLine="0"/>
        <w:jc w:val="both"/>
      </w:pPr>
      <w:bookmarkStart w:id="0" w:name="bookmark0"/>
      <w:r>
        <w:rPr>
          <w:rStyle w:val="Heading11"/>
          <w:b/>
          <w:bCs/>
          <w:rtl w:val="0"/>
        </w:rPr>
        <w:t>ESTUDIOS DEL COMPORTAMIENTO HUMANO INSPIRADOS EN EL HOLOCAUSTO</w:t>
      </w:r>
      <w:bookmarkEnd w:id="0"/>
    </w:p>
    <w:p>
      <w:pPr>
        <w:pStyle w:val="Heading210"/>
        <w:keepNext/>
        <w:keepLines/>
        <w:widowControl w:val="0"/>
        <w:shd w:val="clear" w:color="auto" w:fill="auto"/>
        <w:bidi w:val="0"/>
        <w:spacing w:before="0" w:line="240" w:lineRule="auto"/>
        <w:ind w:left="0" w:right="0" w:firstLine="0"/>
        <w:jc w:val="left"/>
      </w:pPr>
      <w:bookmarkStart w:id="1" w:name="bookmark2"/>
      <w:r>
        <w:rPr>
          <w:rStyle w:val="Heading21"/>
          <w:rtl w:val="0"/>
        </w:rPr>
        <w:t>] ECOS Y REFLEJOS</w:t>
      </w:r>
      <w:bookmarkEnd w:id="1"/>
    </w:p>
    <w:p>
      <w:pPr>
        <w:pStyle w:val="Bodytext50"/>
        <w:keepNext w:val="0"/>
        <w:keepLines w:val="0"/>
        <w:widowControl w:val="0"/>
        <w:shd w:val="clear" w:color="auto" w:fill="auto"/>
        <w:bidi w:val="0"/>
        <w:spacing w:before="0" w:after="0" w:line="240" w:lineRule="auto"/>
        <w:ind w:left="0" w:right="0" w:firstLine="0"/>
        <w:jc w:val="left"/>
        <w:sectPr>
          <w:footerReference w:type="default" r:id="rId4"/>
          <w:pgSz w:w="12240" w:h="15840"/>
          <w:pgMar w:top="547" w:right="1022" w:bottom="2339" w:left="1056" w:header="119" w:footer="3" w:gutter="0"/>
          <w:pgNumType w:start="1"/>
          <w:cols w:num="2" w:space="2469"/>
          <w:noEndnote/>
          <w:rtlGutter w:val="0"/>
          <w:docGrid w:linePitch="360"/>
        </w:sectPr>
      </w:pPr>
      <w:r>
        <w:rPr>
          <w:rStyle w:val="Bodytext5"/>
          <w:color w:val="007399"/>
          <w:rtl w:val="0"/>
        </w:rPr>
        <w:t>]</w:t>
      </w:r>
      <w:r>
        <w:rPr>
          <w:rStyle w:val="Bodytext5"/>
          <w:rtl w:val="0"/>
        </w:rPr>
        <w:t xml:space="preserve"> ENSEÑANDO EL HOLOCAUSTO. INSPIRANDO EL AULA.</w:t>
      </w: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before="15" w:after="15" w:line="240" w:lineRule="exact"/>
        <w:rPr>
          <w:sz w:val="19"/>
          <w:szCs w:val="19"/>
        </w:rPr>
      </w:pPr>
    </w:p>
    <w:p>
      <w:pPr>
        <w:widowControl w:val="0"/>
        <w:spacing w:line="1" w:lineRule="exact"/>
        <w:sectPr>
          <w:type w:val="continuous"/>
          <w:pgSz w:w="12240" w:h="15840"/>
          <w:pgMar w:top="842" w:right="0" w:bottom="1311" w:left="0" w:header="0" w:footer="3" w:gutter="0"/>
          <w:cols w:space="720"/>
          <w:noEndnote/>
          <w:rtlGutter w:val="0"/>
          <w:docGrid w:linePitch="360"/>
        </w:sectPr>
      </w:pPr>
    </w:p>
    <w:p>
      <w:pPr>
        <w:pStyle w:val="Heading410"/>
        <w:keepNext/>
        <w:keepLines/>
        <w:widowControl w:val="0"/>
        <w:shd w:val="clear" w:color="auto" w:fill="auto"/>
        <w:bidi w:val="0"/>
        <w:spacing w:before="0" w:after="840" w:line="240" w:lineRule="auto"/>
        <w:ind w:left="0" w:right="0" w:firstLine="0"/>
        <w:jc w:val="left"/>
      </w:pPr>
      <w:r>
        <mc:AlternateContent>
          <mc:Choice Requires="wps">
            <w:drawing>
              <wp:anchor distT="0" distB="0" distL="114300" distR="114300" simplePos="0" relativeHeight="251659264" behindDoc="0" locked="0" layoutInCell="1" allowOverlap="1">
                <wp:simplePos x="0" y="0"/>
                <wp:positionH relativeFrom="page">
                  <wp:posOffset>4114800</wp:posOffset>
                </wp:positionH>
                <wp:positionV relativeFrom="paragraph">
                  <wp:posOffset>825500</wp:posOffset>
                </wp:positionV>
                <wp:extent cx="2834640" cy="2011680"/>
                <wp:wrapSquare wrapText="left"/>
                <wp:docPr id="3" name="Shape 3"/>
                <wp:cNvGraphicFramePr/>
                <a:graphic xmlns:a="http://schemas.openxmlformats.org/drawingml/2006/main">
                  <a:graphicData uri="http://schemas.microsoft.com/office/word/2010/wordprocessingShape">
                    <wps:wsp xmlns:wps="http://schemas.microsoft.com/office/word/2010/wordprocessingShape">
                      <wps:cNvSpPr txBox="1"/>
                      <wps:spPr>
                        <a:xfrm>
                          <a:off x="0" y="0"/>
                          <a:ext cx="2834640" cy="2011680"/>
                        </a:xfrm>
                        <a:prstGeom prst="rect">
                          <a:avLst/>
                        </a:prstGeom>
                        <a:solidFill>
                          <a:srgbClr val="F7F4F4"/>
                        </a:solidFill>
                        <a:ln w="6350">
                          <a:solidFill>
                            <a:srgbClr val="000000"/>
                          </a:solidFill>
                        </a:ln>
                      </wps:spPr>
                      <wps:txbx>
                        <w:txbxContent>
                          <w:p>
                            <w:pPr>
                              <w:pStyle w:val="Bodytext40"/>
                              <w:keepNext w:val="0"/>
                              <w:keepLines w:val="0"/>
                              <w:widowControl w:val="0"/>
                              <w:shd w:val="clear" w:color="auto" w:fill="auto"/>
                              <w:bidi w:val="0"/>
                              <w:spacing w:after="0" w:line="240" w:lineRule="auto"/>
                              <w:ind w:right="0" w:firstLine="0"/>
                              <w:jc w:val="left"/>
                            </w:pPr>
                            <w:r>
                              <w:rPr>
                                <w:rStyle w:val="Bodytext4"/>
                                <w:rtl w:val="0"/>
                              </w:rPr>
                              <w:t>“EL HECHO ES QUE EL HOLOCAUSTO SIGNIFICA UN INMENSO FRACASO HUMANO. HIZO DAÑO A LA ÉTICA AL MOSTRAR CÓMO LAS ENSEÑANZAS ÉTICAS PODRÍAN SER ANULADAS O INCLUSO SUBVERTIDAS PARA SERVIR A LOS INTERESES DEL GENOCIDIO”.</w:t>
                            </w:r>
                          </w:p>
                          <w:p>
                            <w:pPr>
                              <w:pStyle w:val="Bodytext10"/>
                              <w:keepNext w:val="0"/>
                              <w:keepLines w:val="0"/>
                              <w:widowControl w:val="0"/>
                              <w:shd w:val="clear" w:color="auto" w:fill="auto"/>
                              <w:bidi w:val="0"/>
                              <w:spacing w:before="0" w:after="0" w:line="180" w:lineRule="auto"/>
                              <w:ind w:left="0" w:right="220" w:firstLine="0"/>
                              <w:jc w:val="right"/>
                              <w:rPr>
                                <w:sz w:val="19"/>
                                <w:szCs w:val="19"/>
                              </w:rPr>
                            </w:pPr>
                            <w:r>
                              <w:rPr>
                                <w:rStyle w:val="Bodytext1"/>
                                <w:color w:val="808285"/>
                                <w:sz w:val="19"/>
                                <w:szCs w:val="19"/>
                                <w:rtl w:val="0"/>
                              </w:rPr>
                              <w:t>1</w:t>
                            </w:r>
                          </w:p>
                          <w:p>
                            <w:pPr>
                              <w:pStyle w:val="Bodytext40"/>
                              <w:keepNext w:val="0"/>
                              <w:keepLines w:val="0"/>
                              <w:widowControl w:val="0"/>
                              <w:shd w:val="clear" w:color="auto" w:fill="auto"/>
                              <w:bidi w:val="0"/>
                              <w:spacing w:before="0" w:after="0" w:line="180" w:lineRule="auto"/>
                              <w:ind w:left="0" w:right="300" w:firstLine="0"/>
                              <w:jc w:val="right"/>
                            </w:pPr>
                            <w:r>
                              <w:rPr>
                                <w:rStyle w:val="Bodytext4"/>
                                <w:color w:val="BF4729"/>
                                <w:rtl w:val="0"/>
                              </w:rPr>
                              <w:t>- Rubenstein y Roth</w:t>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3" o:spid="_x0000_s1025" type="#_x0000_t202" style="width:223.2pt;height:158.4pt;margin-top:65pt;margin-left:324pt;mso-position-horizontal-relative:page;mso-wrap-distance-bottom:0;mso-wrap-distance-left:9pt;mso-wrap-distance-right:9pt;mso-wrap-distance-top:0;position:absolute;v-text-anchor:top;z-index:251658240" fillcolor="#f7f4f4" stroked="t" strokecolor="black" strokeweight="0.5pt">
                <v:textbox inset="0,0,0,0">
                  <w:txbxContent>
                    <w:p>
                      <w:pPr>
                        <w:pStyle w:val="Bodytext40"/>
                        <w:keepNext w:val="0"/>
                        <w:keepLines w:val="0"/>
                        <w:widowControl w:val="0"/>
                        <w:shd w:val="clear" w:color="auto" w:fill="auto"/>
                        <w:bidi w:val="0"/>
                        <w:spacing w:after="0" w:line="240" w:lineRule="auto"/>
                        <w:ind w:right="0" w:firstLine="0"/>
                        <w:jc w:val="left"/>
                      </w:pPr>
                      <w:r>
                        <w:rPr>
                          <w:rStyle w:val="Bodytext4"/>
                          <w:rtl w:val="0"/>
                        </w:rPr>
                        <w:t>“EL HECHO ES QUE EL HOLOCAUSTO SIGNIFICA UN INMENSO FRACASO HUMANO. HIZO DAÑO A LA ÉTICA AL MOSTRAR CÓMO LAS ENSEÑANZAS ÉTICAS PODRÍAN SER ANULADAS O INCLUSO SUBVERTIDAS PARA SERVIR A LOS INTERESES DEL GENOCIDIO”.</w:t>
                      </w:r>
                    </w:p>
                    <w:p>
                      <w:pPr>
                        <w:pStyle w:val="Bodytext10"/>
                        <w:keepNext w:val="0"/>
                        <w:keepLines w:val="0"/>
                        <w:widowControl w:val="0"/>
                        <w:shd w:val="clear" w:color="auto" w:fill="auto"/>
                        <w:bidi w:val="0"/>
                        <w:spacing w:before="0" w:after="0" w:line="180" w:lineRule="auto"/>
                        <w:ind w:left="0" w:right="220" w:firstLine="0"/>
                        <w:jc w:val="right"/>
                        <w:rPr>
                          <w:sz w:val="19"/>
                          <w:szCs w:val="19"/>
                        </w:rPr>
                      </w:pPr>
                      <w:r>
                        <w:rPr>
                          <w:rStyle w:val="Bodytext1"/>
                          <w:color w:val="808285"/>
                          <w:sz w:val="19"/>
                          <w:szCs w:val="19"/>
                          <w:rtl w:val="0"/>
                        </w:rPr>
                        <w:t>1</w:t>
                      </w:r>
                    </w:p>
                    <w:p>
                      <w:pPr>
                        <w:pStyle w:val="Bodytext40"/>
                        <w:keepNext w:val="0"/>
                        <w:keepLines w:val="0"/>
                        <w:widowControl w:val="0"/>
                        <w:shd w:val="clear" w:color="auto" w:fill="auto"/>
                        <w:bidi w:val="0"/>
                        <w:spacing w:before="0" w:after="0" w:line="180" w:lineRule="auto"/>
                        <w:ind w:left="0" w:right="300" w:firstLine="0"/>
                        <w:jc w:val="right"/>
                      </w:pPr>
                      <w:r>
                        <w:rPr>
                          <w:rStyle w:val="Bodytext4"/>
                          <w:color w:val="BF4729"/>
                          <w:rtl w:val="0"/>
                        </w:rPr>
                        <w:t>- Rubenstein y Roth</w:t>
                      </w:r>
                    </w:p>
                  </w:txbxContent>
                </v:textbox>
                <w10:wrap type="square" side="left"/>
              </v:shape>
            </w:pict>
          </mc:Fallback>
        </mc:AlternateContent>
      </w:r>
      <w:bookmarkStart w:id="2" w:name="bookmark4"/>
      <w:r>
        <w:rPr>
          <w:rStyle w:val="Heading41"/>
          <w:rtl w:val="0"/>
        </w:rPr>
        <w:t>¿CÓMO EL HOLOCAUSTO Y LAS INVESTIGACIONES QUE INSPIRÓ HAN INFORMADO NUESTRA COMPRENSIÓN DEL COMPORTAMIENTO HUMANO?</w:t>
      </w:r>
      <w:bookmarkEnd w:id="2"/>
    </w:p>
    <w:p>
      <w:pPr>
        <w:pStyle w:val="Bodytext30"/>
        <w:keepNext w:val="0"/>
        <w:keepLines w:val="0"/>
        <w:widowControl w:val="0"/>
        <w:shd w:val="clear" w:color="auto" w:fill="auto"/>
        <w:bidi w:val="0"/>
        <w:spacing w:before="0"/>
        <w:ind w:right="0" w:firstLine="0"/>
        <w:jc w:val="both"/>
      </w:pPr>
      <w:r>
        <w:rPr>
          <w:rStyle w:val="Bodytext3"/>
          <w:rtl w:val="0"/>
        </w:rPr>
        <w:t>El Holocausto desafió nuestra comprensión de cómo se comportan los seres humanos en diversas situaciones, y llevó al extremo las nociones de comportamiento humano adecuado. En las décadas siguientes, se han realizado muchos experimentos y estudios para investigar el comportamiento humano, sobre todo en los campos académicos de la psicología, la sociología, la educación y la ética.</w:t>
      </w:r>
    </w:p>
    <w:p>
      <w:pPr>
        <w:pStyle w:val="Heading310"/>
        <w:keepNext/>
        <w:keepLines/>
        <w:widowControl w:val="0"/>
        <w:shd w:val="clear" w:color="auto" w:fill="auto"/>
        <w:bidi w:val="0"/>
        <w:spacing w:before="0" w:after="260" w:line="240" w:lineRule="auto"/>
        <w:ind w:left="0" w:right="0" w:firstLine="0"/>
        <w:jc w:val="left"/>
      </w:pPr>
      <w:bookmarkStart w:id="3" w:name="bookmark6"/>
      <w:r>
        <w:rPr>
          <w:rStyle w:val="Heading31"/>
          <w:b/>
          <w:bCs/>
          <w:rtl w:val="0"/>
        </w:rPr>
        <w:t>ESTUDIOS SELECCIONADOS SOBRE EL COMPORTAMIENTO HUMANO INSPIRADOS EN EL HOLOCAUSTO</w:t>
      </w:r>
      <w:bookmarkEnd w:id="3"/>
    </w:p>
    <w:p>
      <w:pPr>
        <w:pStyle w:val="Heading410"/>
        <w:keepNext/>
        <w:keepLines/>
        <w:widowControl w:val="0"/>
        <w:shd w:val="clear" w:color="auto" w:fill="auto"/>
        <w:bidi w:val="0"/>
        <w:spacing w:before="0" w:line="240" w:lineRule="auto"/>
        <w:ind w:left="0" w:right="0" w:firstLine="0"/>
        <w:jc w:val="left"/>
        <w:rPr>
          <w:sz w:val="20"/>
          <w:szCs w:val="20"/>
        </w:rPr>
      </w:pPr>
      <w:bookmarkStart w:id="4" w:name="bookmark8"/>
      <w:r>
        <w:rPr>
          <w:rStyle w:val="Heading41"/>
          <w:color w:val="3FC1CC"/>
          <w:rtl w:val="0"/>
        </w:rPr>
        <w:t xml:space="preserve">Experimento </w:t>
      </w:r>
      <w:r>
        <w:rPr>
          <w:rStyle w:val="Heading41"/>
          <w:rFonts w:ascii="Times New Roman" w:eastAsia="Times New Roman" w:hAnsi="Times New Roman" w:cs="Times New Roman"/>
          <w:color w:val="808285"/>
          <w:sz w:val="20"/>
          <w:szCs w:val="20"/>
          <w:vertAlign w:val="superscript"/>
          <w:rtl w:val="0"/>
        </w:rPr>
        <w:t>2</w:t>
      </w:r>
      <w:r>
        <w:rPr>
          <w:rStyle w:val="Heading41"/>
          <w:color w:val="3FC1CC"/>
          <w:rtl w:val="0"/>
        </w:rPr>
        <w:t xml:space="preserve"> de la prisión de Stanford</w:t>
      </w:r>
      <w:bookmarkEnd w:id="4"/>
    </w:p>
    <w:p>
      <w:pPr>
        <w:pStyle w:val="Bodytext10"/>
        <w:keepNext w:val="0"/>
        <w:keepLines w:val="0"/>
        <w:widowControl w:val="0"/>
        <w:shd w:val="clear" w:color="auto" w:fill="auto"/>
        <w:bidi w:val="0"/>
        <w:spacing w:before="0"/>
        <w:ind w:left="0" w:right="0" w:firstLine="0"/>
        <w:jc w:val="left"/>
      </w:pPr>
      <w:r>
        <w:rPr>
          <w:rStyle w:val="Bodytext1"/>
          <w:rtl w:val="0"/>
        </w:rPr>
        <w:t>El experimento de la prisión de Stanford fue realizado por el psicólogo Dr. Philip Zimbardo en 1971. Simuló una prisión con voluntarios varones que se dividieron aleatoriamente en guardias y prisioneros. Planificado para dos semanas, fue abandonado después de seis días debido a la brutalidad de los “guardias” y las reacciones de estrés extremo exhibidas por los “prisioneros”.</w:t>
      </w:r>
    </w:p>
    <w:p>
      <w:pPr>
        <w:pStyle w:val="Bodytext10"/>
        <w:keepNext w:val="0"/>
        <w:keepLines w:val="0"/>
        <w:widowControl w:val="0"/>
        <w:shd w:val="clear" w:color="auto" w:fill="auto"/>
        <w:bidi w:val="0"/>
        <w:spacing w:before="0"/>
        <w:ind w:left="0" w:right="0" w:firstLine="0"/>
        <w:jc w:val="left"/>
      </w:pPr>
      <w:r>
        <w:rPr>
          <w:rStyle w:val="Bodytext1"/>
          <w:rtl w:val="0"/>
        </w:rPr>
        <w:t>Dos meses después del estudio, aquí está la reacción del prisionero #416, quien fue puesto en régimen de aislamiento durante varias horas:</w:t>
      </w:r>
    </w:p>
    <w:p>
      <w:pPr>
        <w:pStyle w:val="Bodytext10"/>
        <w:keepNext w:val="0"/>
        <w:keepLines w:val="0"/>
        <w:widowControl w:val="0"/>
        <w:shd w:val="clear" w:color="auto" w:fill="auto"/>
        <w:bidi w:val="0"/>
        <w:spacing w:before="0"/>
        <w:ind w:left="1000" w:right="0" w:firstLine="0"/>
        <w:jc w:val="left"/>
      </w:pPr>
      <w:r>
        <w:rPr>
          <w:rStyle w:val="Bodytext1"/>
          <w:rtl w:val="0"/>
        </w:rPr>
        <w:t>“Comencé a sentir que estaba perdiendo mi identidad, que la persona a la que llamé Clay, la persona que me puso en este lugar, la persona que se ofreció como voluntaria para ir a esta prisión – porque era una prisión para mí; Todavía es una prisión para mí. No lo considero un experimento o una simulación porque era una prisión dirigida por psicólogos en lugar de dirigida por el Estado. Empecé a sentir que esa identidad, la persona que yo era y que había decidido ir a prisión estaba distante de mí – era remota hasta que finalmente ya no era eso, era 416. Yo era realmente mi número”.</w:t>
      </w:r>
    </w:p>
    <w:p>
      <w:pPr>
        <w:pStyle w:val="Bodytext10"/>
        <w:keepNext w:val="0"/>
        <w:keepLines w:val="0"/>
        <w:widowControl w:val="0"/>
        <w:shd w:val="clear" w:color="auto" w:fill="auto"/>
        <w:bidi w:val="0"/>
        <w:spacing w:before="0" w:after="0" w:line="240" w:lineRule="auto"/>
        <w:ind w:left="2480" w:right="0" w:firstLine="0"/>
        <w:jc w:val="left"/>
        <w:rPr>
          <w:sz w:val="19"/>
          <w:szCs w:val="19"/>
        </w:rPr>
      </w:pPr>
      <w:r>
        <w:rPr>
          <w:rStyle w:val="Bodytext1"/>
          <w:color w:val="808285"/>
          <w:sz w:val="19"/>
          <w:szCs w:val="19"/>
          <w:rtl w:val="0"/>
        </w:rPr>
        <w:t>3</w:t>
      </w:r>
    </w:p>
    <w:p>
      <w:pPr>
        <w:pStyle w:val="Heading410"/>
        <w:keepNext/>
        <w:keepLines/>
        <w:widowControl w:val="0"/>
        <w:shd w:val="clear" w:color="auto" w:fill="auto"/>
        <w:bidi w:val="0"/>
        <w:spacing w:before="0" w:line="180" w:lineRule="auto"/>
        <w:ind w:left="0" w:right="0" w:firstLine="0"/>
        <w:jc w:val="left"/>
      </w:pPr>
      <w:bookmarkStart w:id="5" w:name="bookmark10"/>
      <w:r>
        <w:rPr>
          <w:rStyle w:val="Heading41"/>
          <w:color w:val="3FC1CC"/>
          <w:rtl w:val="0"/>
        </w:rPr>
        <w:t>Experimento de Milgram</w:t>
      </w:r>
      <w:bookmarkEnd w:id="5"/>
    </w:p>
    <w:p>
      <w:pPr>
        <w:pStyle w:val="Bodytext10"/>
        <w:keepNext w:val="0"/>
        <w:keepLines w:val="0"/>
        <w:widowControl w:val="0"/>
        <w:shd w:val="clear" w:color="auto" w:fill="auto"/>
        <w:bidi w:val="0"/>
        <w:spacing w:before="0"/>
        <w:ind w:left="0" w:right="0" w:firstLine="0"/>
        <w:jc w:val="left"/>
      </w:pPr>
      <w:r>
        <w:rPr>
          <w:rStyle w:val="Bodytext1"/>
          <w:rtl w:val="0"/>
        </w:rPr>
        <w:t>El Experimento Milgram comenzó en 1961, tres meses después de que finalizara el ensayo Eichmann realizado por el psicólogo social de la Universidad de Yale, el Dr. Stanley Milgram. Inspirado por la pregunta de cómo era posible que los nazis obedecieran órdenes que no eran éticas, inmorales y causaban daño a otros, el experimento buscó comprender la obediencia a figuras de autoridad en una serie de experimentos de psicología social donde el experimentador instruía a los participantes a administrar descargas eléctricas crecientes a otra persona, que pueden llegar a infligir un dolor significativo. El estudio encontró que una proporción muy alta de sujetos obedecería las instrucciones, aunque de mala gana.</w:t>
      </w:r>
    </w:p>
    <w:p>
      <w:pPr>
        <w:pStyle w:val="Bodytext10"/>
        <w:keepNext w:val="0"/>
        <w:keepLines w:val="0"/>
        <w:widowControl w:val="0"/>
        <w:shd w:val="clear" w:color="auto" w:fill="auto"/>
        <w:bidi w:val="0"/>
        <w:spacing w:before="0" w:after="360"/>
        <w:ind w:left="1000" w:right="0" w:firstLine="0"/>
        <w:jc w:val="left"/>
      </w:pPr>
      <w:r>
        <w:rPr>
          <w:rStyle w:val="Bodytext1"/>
          <w:rtl w:val="0"/>
        </w:rPr>
        <w:t>“Mientras era sujeto en 1964, aunque creía que estaba lastimando a alguien, ignoraba por completo por qué lo hacía. Pocas personas se dan cuenta de cuándo actúan según sus propias creencias y cuándo se someten dócilmente a la autoridad”.</w:t>
      </w:r>
    </w:p>
    <w:p>
      <w:pPr>
        <w:pStyle w:val="Heading410"/>
        <w:keepNext/>
        <w:keepLines/>
        <w:widowControl w:val="0"/>
        <w:shd w:val="clear" w:color="auto" w:fill="auto"/>
        <w:bidi w:val="0"/>
        <w:spacing w:before="0" w:line="240" w:lineRule="auto"/>
        <w:ind w:left="0" w:right="0" w:firstLine="0"/>
        <w:jc w:val="left"/>
        <w:rPr>
          <w:sz w:val="20"/>
          <w:szCs w:val="20"/>
        </w:rPr>
      </w:pPr>
      <w:bookmarkStart w:id="6" w:name="bookmark12"/>
      <w:r>
        <w:rPr>
          <w:rStyle w:val="Heading41"/>
          <w:color w:val="3FC1CC"/>
          <w:rtl w:val="0"/>
        </w:rPr>
        <w:t xml:space="preserve">La tercera ola </w:t>
      </w:r>
      <w:r>
        <w:rPr>
          <w:rStyle w:val="Heading41"/>
          <w:rFonts w:ascii="Times New Roman" w:eastAsia="Times New Roman" w:hAnsi="Times New Roman" w:cs="Times New Roman"/>
          <w:color w:val="808285"/>
          <w:sz w:val="20"/>
          <w:szCs w:val="20"/>
          <w:vertAlign w:val="superscript"/>
          <w:rtl w:val="0"/>
        </w:rPr>
        <w:t>4</w:t>
      </w:r>
      <w:bookmarkEnd w:id="6"/>
    </w:p>
    <w:p>
      <w:pPr>
        <w:pStyle w:val="Bodytext10"/>
        <w:keepNext w:val="0"/>
        <w:keepLines w:val="0"/>
        <w:widowControl w:val="0"/>
        <w:shd w:val="clear" w:color="auto" w:fill="auto"/>
        <w:bidi w:val="0"/>
        <w:spacing w:before="0"/>
        <w:ind w:left="0" w:right="0" w:firstLine="0"/>
        <w:jc w:val="left"/>
      </w:pPr>
      <w:r>
        <w:rPr>
          <w:rStyle w:val="Bodytext1"/>
          <w:rtl w:val="0"/>
        </w:rPr>
        <w:t>También conocido como The Wave, fue un movimiento social de cinco días creado por el maestro Ron Jones en la escuela secundaria Cubberley en Palo Alto, California, que involucró a estudiantes de décimo grado en 1967. Jones llevó a cabo una serie de ejercicios en su salón de clases para enfatizar la disciplina y la comunidad mientras rechazaba a ciertos grupos de personas en un intento de modelar el ascenso del fascismo en la Alemania nazi. El movimiento creció rápidamente hasta alcanzar cientos de estudiantes y se salió de control cuando los estudiantes que formaban parte del movimiento afirmaron y actuaron con superioridad que sus compañeros de clase antes de que terminara el experimento.</w:t>
      </w:r>
    </w:p>
    <w:p>
      <w:pPr>
        <w:pStyle w:val="Bodytext10"/>
        <w:keepNext w:val="0"/>
        <w:keepLines w:val="0"/>
        <w:widowControl w:val="0"/>
        <w:shd w:val="clear" w:color="auto" w:fill="auto"/>
        <w:bidi w:val="0"/>
        <w:spacing w:before="0" w:after="360"/>
        <w:ind w:left="0" w:right="0" w:firstLine="1000"/>
        <w:jc w:val="left"/>
      </w:pPr>
      <w:r>
        <w:rPr>
          <w:rStyle w:val="Bodytext1"/>
          <w:rtl w:val="0"/>
        </w:rPr>
        <w:t>"Ten cuidado a quién sigues porque nunca sabes adónde te llevarán".</w:t>
      </w:r>
    </w:p>
    <w:p>
      <w:pPr>
        <w:pStyle w:val="Heading410"/>
        <w:keepNext/>
        <w:keepLines/>
        <w:widowControl w:val="0"/>
        <w:shd w:val="clear" w:color="auto" w:fill="auto"/>
        <w:bidi w:val="0"/>
        <w:spacing w:before="0" w:line="240" w:lineRule="auto"/>
        <w:ind w:left="0" w:right="0" w:firstLine="0"/>
        <w:jc w:val="left"/>
        <w:rPr>
          <w:sz w:val="20"/>
          <w:szCs w:val="20"/>
        </w:rPr>
      </w:pPr>
      <w:bookmarkStart w:id="7" w:name="bookmark14"/>
      <w:r>
        <w:rPr>
          <w:rStyle w:val="Heading41"/>
          <w:color w:val="3FC1CC"/>
          <w:rtl w:val="0"/>
        </w:rPr>
        <w:t xml:space="preserve">Experimento </w:t>
      </w:r>
      <w:r>
        <w:rPr>
          <w:rStyle w:val="Heading41"/>
          <w:rFonts w:ascii="Times New Roman" w:eastAsia="Times New Roman" w:hAnsi="Times New Roman" w:cs="Times New Roman"/>
          <w:color w:val="808285"/>
          <w:sz w:val="20"/>
          <w:szCs w:val="20"/>
          <w:vertAlign w:val="superscript"/>
          <w:rtl w:val="0"/>
        </w:rPr>
        <w:t>5</w:t>
      </w:r>
      <w:r>
        <w:rPr>
          <w:rStyle w:val="Heading41"/>
          <w:color w:val="3FC1CC"/>
          <w:rtl w:val="0"/>
        </w:rPr>
        <w:t xml:space="preserve"> de sífilis de Tuskegee</w:t>
      </w:r>
      <w:bookmarkEnd w:id="7"/>
    </w:p>
    <w:p>
      <w:pPr>
        <w:pStyle w:val="Bodytext10"/>
        <w:keepNext w:val="0"/>
        <w:keepLines w:val="0"/>
        <w:widowControl w:val="0"/>
        <w:shd w:val="clear" w:color="auto" w:fill="auto"/>
        <w:bidi w:val="0"/>
        <w:spacing w:before="0"/>
        <w:ind w:left="0" w:right="0" w:firstLine="0"/>
        <w:jc w:val="left"/>
      </w:pPr>
      <w:r>
        <w:rPr>
          <w:rStyle w:val="Bodytext1"/>
          <w:rtl w:val="0"/>
        </w:rPr>
        <w:t xml:space="preserve">Aunque este experimento comenzó antes del Holocausto en 1932, continuó hasta 1972, cuando la indignación pública obligó a ponerle fin. Este estudio realizado por el Servicio de Salud Pública de los Estados Unidos y los Centros para el Control y la Prevención de Enfermedades investigó los efectos de la sífilis no tratada en hombres afroamericanos. Aunque en 1947 se había demostrado que la penicilina era un antibiótico viable para tratar la enfermedad, el estudio continuó y optó descaradamente por no tratar a los participantes infectados. Este estudio poco ético dio lugar a varias leyes y regulaciones federales para experimentos médicos, codificando en la ley de los Estados Unidos algunos de los principios del </w:t>
      </w:r>
      <w:hyperlink r:id="rId5" w:history="1">
        <w:r>
          <w:rPr>
            <w:rStyle w:val="Bodytext1"/>
            <w:color w:val="215E9E"/>
            <w:u w:val="single"/>
            <w:rtl w:val="0"/>
          </w:rPr>
          <w:t>Código de Ética Médica de Nuremberg</w:t>
        </w:r>
      </w:hyperlink>
      <w:r>
        <w:rPr>
          <w:rStyle w:val="Bodytext1"/>
          <w:rtl w:val="0"/>
        </w:rPr>
        <w:t xml:space="preserve"> .</w:t>
      </w:r>
    </w:p>
    <w:p>
      <w:pPr>
        <w:pStyle w:val="Bodytext10"/>
        <w:keepNext w:val="0"/>
        <w:keepLines w:val="0"/>
        <w:widowControl w:val="0"/>
        <w:shd w:val="clear" w:color="auto" w:fill="auto"/>
        <w:bidi w:val="0"/>
        <w:spacing w:before="0" w:after="420"/>
        <w:ind w:left="1000" w:right="0" w:firstLine="0"/>
        <w:jc w:val="left"/>
      </w:pPr>
      <w:r>
        <w:rPr>
          <w:rStyle w:val="Bodytext1"/>
          <w:rtl w:val="0"/>
        </w:rPr>
        <w:t>“Se supone que los médicos deben ayudar cuando necesitamos atención, pero incluso una vez que se descubrió una cura, se les negó la ayuda y su gobierno les mintió. Se supone que nuestro gobierno debe proteger los derechos de sus ciudadanos; sus derechos fueron pisoteados”.</w:t>
      </w:r>
    </w:p>
    <w:p>
      <w:pPr>
        <w:framePr w:w="10080" w:h="3571" w:hRule="atLeast" w:wrap="notBeside" w:vAnchor="text" w:hAnchor="text" w:x="44" w:y="1"/>
        <w:widowControl w:val="0"/>
        <w:rPr>
          <w:sz w:val="2"/>
          <w:szCs w:val="2"/>
        </w:rPr>
      </w:pPr>
      <w:r>
        <w:drawing>
          <wp:inline>
            <wp:extent cx="6400800" cy="2267585"/>
            <wp:docPr id="5" name="Picutre 5"/>
            <wp:cNvGraphicFramePr/>
            <a:graphic xmlns:a="http://schemas.openxmlformats.org/drawingml/2006/main">
              <a:graphicData uri="http://schemas.openxmlformats.org/drawingml/2006/picture">
                <pic:pic xmlns:pic="http://schemas.openxmlformats.org/drawingml/2006/picture">
                  <pic:nvPicPr>
                    <pic:cNvPr id="7902548" name="Picture 5"/>
                    <pic:cNvPicPr/>
                  </pic:nvPicPr>
                  <pic:blipFill>
                    <a:blip xmlns:r="http://schemas.openxmlformats.org/officeDocument/2006/relationships" r:embed="rId6"/>
                    <a:stretch>
                      <a:fillRect/>
                    </a:stretch>
                  </pic:blipFill>
                  <pic:spPr>
                    <a:xfrm>
                      <a:off x="0" y="0"/>
                      <a:ext cx="6400800" cy="2267585"/>
                    </a:xfrm>
                    <a:prstGeom prst="rect">
                      <a:avLst/>
                    </a:prstGeom>
                  </pic:spPr>
                </pic:pic>
              </a:graphicData>
            </a:graphic>
          </wp:inline>
        </w:drawing>
      </w:r>
    </w:p>
    <w:p>
      <w:pPr>
        <w:widowControl w:val="0"/>
        <w:spacing w:line="1" w:lineRule="exact"/>
      </w:pPr>
      <w:r>
        <mc:AlternateContent>
          <mc:Choice Requires="wps">
            <w:drawing>
              <wp:anchor distT="0" distB="0" distL="27305" distR="4428490" simplePos="0" relativeHeight="251661312" behindDoc="0" locked="0" layoutInCell="1" allowOverlap="1">
                <wp:simplePos x="0" y="0"/>
                <wp:positionH relativeFrom="column">
                  <wp:posOffset>1197610</wp:posOffset>
                </wp:positionH>
                <wp:positionV relativeFrom="paragraph">
                  <wp:posOffset>1624330</wp:posOffset>
                </wp:positionV>
                <wp:extent cx="1999615" cy="511810"/>
                <wp:wrapTopAndBottom/>
                <wp:docPr id="6" name="Shape 6"/>
                <wp:cNvGraphicFramePr/>
                <a:graphic xmlns:a="http://schemas.openxmlformats.org/drawingml/2006/main">
                  <a:graphicData uri="http://schemas.microsoft.com/office/word/2010/wordprocessingShape">
                    <wps:wsp xmlns:wps="http://schemas.microsoft.com/office/word/2010/wordprocessingShape">
                      <wps:cNvSpPr txBox="1"/>
                      <wps:spPr>
                        <a:xfrm>
                          <a:off x="0" y="0"/>
                          <a:ext cx="1999615" cy="511810"/>
                        </a:xfrm>
                        <a:prstGeom prst="rect">
                          <a:avLst/>
                        </a:prstGeom>
                        <a:noFill/>
                      </wps:spPr>
                      <wps:txbx>
                        <w:txbxContent>
                          <w:p>
                            <w:pPr>
                              <w:pStyle w:val="Picturecaption10"/>
                              <w:keepNext w:val="0"/>
                              <w:keepLines w:val="0"/>
                              <w:widowControl w:val="0"/>
                              <w:shd w:val="clear" w:color="auto" w:fill="auto"/>
                              <w:bidi w:val="0"/>
                              <w:spacing w:before="0" w:after="0"/>
                              <w:ind w:left="0" w:right="0" w:firstLine="0"/>
                              <w:jc w:val="right"/>
                            </w:pPr>
                            <w:r>
                              <w:rPr>
                                <w:rStyle w:val="Picturecaption1"/>
                                <w:rtl w:val="0"/>
                              </w:rPr>
                              <w:t>Fotografía de 1936, en la que un hombre supuestamente llamado August Landmesser no hace el saludo nazi</w:t>
                            </w:r>
                          </w:p>
                        </w:txbxContent>
                      </wps:txbx>
                      <wps:bodyPr lIns="0" tIns="0" rIns="0" bIns="0"/>
                    </wps:wsp>
                  </a:graphicData>
                </a:graphic>
              </wp:anchor>
            </w:drawing>
          </mc:Choice>
          <mc:Fallback>
            <w:pict>
              <v:shape id="Shape 6" o:spid="_x0000_s1026" type="#_x0000_t202" style="width:157.45pt;height:40.3pt;margin-top:127.9pt;margin-left:94.3pt;mso-wrap-distance-bottom:0;mso-wrap-distance-left:2.15pt;mso-wrap-distance-right:348.7pt;mso-wrap-distance-top:0;position:absolute;v-text-anchor:top;z-index:251660288" filled="f" fillcolor="this">
                <v:textbox inset="0,0,0,0">
                  <w:txbxContent>
                    <w:p>
                      <w:pPr>
                        <w:pStyle w:val="Picturecaption10"/>
                        <w:keepNext w:val="0"/>
                        <w:keepLines w:val="0"/>
                        <w:widowControl w:val="0"/>
                        <w:shd w:val="clear" w:color="auto" w:fill="auto"/>
                        <w:bidi w:val="0"/>
                        <w:spacing w:before="0" w:after="0"/>
                        <w:ind w:left="0" w:right="0" w:firstLine="0"/>
                        <w:jc w:val="right"/>
                      </w:pPr>
                      <w:r>
                        <w:rPr>
                          <w:rStyle w:val="Picturecaption1"/>
                          <w:rtl w:val="0"/>
                        </w:rPr>
                        <w:t>Fotografía de 1936, en la que un hombre supuestamente llamado August Landmesser no hace el saludo nazi</w:t>
                      </w:r>
                    </w:p>
                  </w:txbxContent>
                </v:textbox>
                <w10:wrap type="topAndBottom"/>
              </v:shape>
            </w:pict>
          </mc:Fallback>
        </mc:AlternateContent>
      </w:r>
    </w:p>
    <w:p>
      <w:pPr>
        <w:pStyle w:val="Heading310"/>
        <w:keepNext/>
        <w:keepLines/>
        <w:widowControl w:val="0"/>
        <w:shd w:val="clear" w:color="auto" w:fill="auto"/>
        <w:bidi w:val="0"/>
        <w:spacing w:before="0" w:line="240" w:lineRule="auto"/>
        <w:ind w:left="0" w:right="0" w:firstLine="0"/>
        <w:jc w:val="both"/>
      </w:pPr>
      <w:bookmarkStart w:id="8" w:name="bookmark16"/>
      <w:r>
        <w:rPr>
          <w:rStyle w:val="Heading31"/>
          <w:b/>
          <w:bCs/>
          <w:rtl w:val="0"/>
        </w:rPr>
        <w:t>ACTIVIDAD</w:t>
      </w:r>
      <w:bookmarkEnd w:id="8"/>
    </w:p>
    <w:p>
      <w:pPr>
        <w:pStyle w:val="Bodytext10"/>
        <w:keepNext w:val="0"/>
        <w:keepLines w:val="0"/>
        <w:widowControl w:val="0"/>
        <w:shd w:val="clear" w:color="auto" w:fill="auto"/>
        <w:bidi w:val="0"/>
        <w:spacing w:before="0" w:after="0"/>
        <w:ind w:left="0" w:right="0" w:firstLine="0"/>
        <w:jc w:val="both"/>
        <w:sectPr>
          <w:type w:val="continuous"/>
          <w:pgSz w:w="12240" w:h="15840"/>
          <w:pgMar w:top="842" w:right="1075" w:bottom="1311" w:left="998" w:header="414" w:footer="3" w:gutter="0"/>
          <w:cols w:space="720"/>
          <w:noEndnote/>
          <w:rtlGutter w:val="0"/>
          <w:docGrid w:linePitch="360"/>
        </w:sectPr>
      </w:pPr>
      <w:r>
        <w:rPr>
          <w:rStyle w:val="Bodytext1"/>
          <w:rtl w:val="0"/>
        </w:rPr>
        <w:t>Teniendo en cuenta el efecto del Holocausto y cómo su historia afectó y continúa afectando nuestra comprensión del comportamiento humano y utilizando los estudios de caso y las citas del folleto, en parejas o en grupos pequeños, cree un diagrama/organizador gráfico/cuadro visual que busque comprender las acciones de individuos y grupos y las responsabilidades de dichos individuos/grupos/gobiernos.</w:t>
      </w:r>
    </w:p>
    <w:p>
      <w:pPr>
        <w:pStyle w:val="Heading310"/>
        <w:keepNext/>
        <w:keepLines/>
        <w:widowControl w:val="0"/>
        <w:shd w:val="clear" w:color="auto" w:fill="auto"/>
        <w:bidi w:val="0"/>
        <w:spacing w:before="0" w:line="240" w:lineRule="auto"/>
        <w:ind w:left="0" w:right="0" w:firstLine="0"/>
        <w:jc w:val="left"/>
      </w:pPr>
      <w:bookmarkStart w:id="9" w:name="bookmark18"/>
      <w:r>
        <w:rPr>
          <w:rStyle w:val="Heading31"/>
          <w:b/>
          <w:bCs/>
          <w:rtl w:val="0"/>
        </w:rPr>
        <w:t>REFLEXIÓN FINAL</w:t>
      </w:r>
      <w:bookmarkEnd w:id="9"/>
    </w:p>
    <w:p>
      <w:pPr>
        <w:pStyle w:val="Bodytext10"/>
        <w:keepNext w:val="0"/>
        <w:keepLines w:val="0"/>
        <w:widowControl w:val="0"/>
        <w:shd w:val="clear" w:color="auto" w:fill="auto"/>
        <w:bidi w:val="0"/>
        <w:spacing w:before="0" w:after="10460"/>
        <w:ind w:left="0" w:right="0" w:firstLine="0"/>
        <w:jc w:val="left"/>
      </w:pPr>
      <w:r>
        <w:rPr>
          <w:rStyle w:val="Bodytext1"/>
          <w:rtl w:val="0"/>
        </w:rPr>
        <w:t>Después de completar la caracterización visual del comportamiento humano y sus responsabilidades, ¿cómo preservamos la esperanza en medio del fracaso de la humanidad en un mundo donde se perpetró el Holocausto?</w:t>
      </w:r>
    </w:p>
    <w:p>
      <w:pPr>
        <w:pStyle w:val="Bodytext20"/>
        <w:keepNext w:val="0"/>
        <w:keepLines w:val="0"/>
        <w:widowControl w:val="0"/>
        <w:shd w:val="clear" w:color="auto" w:fill="auto"/>
        <w:bidi w:val="0"/>
        <w:spacing w:before="0" w:line="240" w:lineRule="auto"/>
        <w:ind w:left="0" w:right="0" w:firstLine="0"/>
        <w:jc w:val="left"/>
      </w:pPr>
      <w:r>
        <w:rPr>
          <w:rStyle w:val="Bodytext2"/>
          <w:rtl w:val="0"/>
        </w:rPr>
        <w:t>1 Rubenstein, RL y Roth, JK (2003). Aproximaciones a Auschwitz: el Holocausto y su legado. Prensa de Westminster John Knox.</w:t>
      </w:r>
    </w:p>
    <w:p>
      <w:pPr>
        <w:pStyle w:val="Bodytext20"/>
        <w:keepNext w:val="0"/>
        <w:keepLines w:val="0"/>
        <w:widowControl w:val="0"/>
        <w:shd w:val="clear" w:color="auto" w:fill="auto"/>
        <w:bidi w:val="0"/>
        <w:spacing w:before="0" w:line="240" w:lineRule="auto"/>
        <w:ind w:left="0" w:right="0" w:firstLine="0"/>
        <w:jc w:val="left"/>
      </w:pPr>
      <w:r>
        <w:rPr>
          <w:rStyle w:val="Bodytext2"/>
          <w:rtl w:val="0"/>
        </w:rPr>
        <w:t xml:space="preserve">2 Zimbardo, PG (1999). Experimento de la prisión de Stanford. Obtenido de </w:t>
      </w:r>
      <w:hyperlink r:id="rId7" w:history="1">
        <w:r>
          <w:rPr>
            <w:rStyle w:val="Bodytext2"/>
            <w:color w:val="215E9E"/>
            <w:u w:val="single"/>
            <w:rtl w:val="0"/>
          </w:rPr>
          <w:t>https://www.prisonexp.org/</w:t>
        </w:r>
      </w:hyperlink>
    </w:p>
    <w:p>
      <w:pPr>
        <w:pStyle w:val="Bodytext20"/>
        <w:keepNext w:val="0"/>
        <w:keepLines w:val="0"/>
        <w:widowControl w:val="0"/>
        <w:shd w:val="clear" w:color="auto" w:fill="auto"/>
        <w:bidi w:val="0"/>
        <w:spacing w:before="0" w:line="240" w:lineRule="auto"/>
        <w:ind w:left="0" w:right="0" w:firstLine="0"/>
        <w:jc w:val="left"/>
      </w:pPr>
      <w:r>
        <w:rPr>
          <w:rStyle w:val="Bodytext2"/>
          <w:rtl w:val="0"/>
        </w:rPr>
        <w:t xml:space="preserve">3Stanley Milgram. (2021, 9 de septiembre). Enciclopedia del Nuevo Mundo, . Obtenido de </w:t>
      </w:r>
      <w:hyperlink r:id="rId8" w:history="1">
        <w:r>
          <w:rPr>
            <w:rStyle w:val="Bodytext2"/>
            <w:color w:val="215E9E"/>
            <w:u w:val="single"/>
            <w:rtl w:val="0"/>
          </w:rPr>
          <w:t>https://www.newworldencyclopedia.org/p/index.</w:t>
        </w:r>
      </w:hyperlink>
      <w:r>
        <w:rPr>
          <w:rStyle w:val="Bodytext2"/>
          <w:rtl w:val="0"/>
        </w:rPr>
        <w:t xml:space="preserve"> </w:t>
      </w:r>
      <w:hyperlink r:id="rId8" w:history="1">
        <w:r>
          <w:rPr>
            <w:rStyle w:val="Bodytext2"/>
            <w:color w:val="215E9E"/>
            <w:u w:val="single"/>
            <w:rtl w:val="0"/>
          </w:rPr>
          <w:t>php?title=Stanley_Milgram&amp;oldid=1057591</w:t>
        </w:r>
      </w:hyperlink>
      <w:r>
        <w:rPr>
          <w:rStyle w:val="Bodytext2"/>
          <w:rtl w:val="0"/>
        </w:rPr>
        <w:t xml:space="preserve"> .</w:t>
      </w:r>
    </w:p>
    <w:p>
      <w:pPr>
        <w:pStyle w:val="Bodytext20"/>
        <w:keepNext w:val="0"/>
        <w:keepLines w:val="0"/>
        <w:widowControl w:val="0"/>
        <w:shd w:val="clear" w:color="auto" w:fill="auto"/>
        <w:bidi w:val="0"/>
        <w:spacing w:before="0" w:line="240" w:lineRule="auto"/>
        <w:ind w:left="0" w:right="0" w:firstLine="0"/>
        <w:jc w:val="left"/>
      </w:pPr>
      <w:r>
        <w:rPr>
          <w:rStyle w:val="Bodytext2"/>
          <w:rtl w:val="0"/>
        </w:rPr>
        <w:t xml:space="preserve">4 TheWaveHome y Hancock, M. (2021). La ola a casa. Obtenido de </w:t>
      </w:r>
      <w:hyperlink r:id="rId9" w:history="1">
        <w:r>
          <w:rPr>
            <w:rStyle w:val="Bodytext2"/>
            <w:color w:val="215E9E"/>
            <w:u w:val="single"/>
            <w:rtl w:val="0"/>
          </w:rPr>
          <w:t>https://www.thewavehome.com/</w:t>
        </w:r>
      </w:hyperlink>
    </w:p>
    <w:p>
      <w:pPr>
        <w:pStyle w:val="Bodytext20"/>
        <w:keepNext w:val="0"/>
        <w:keepLines w:val="0"/>
        <w:widowControl w:val="0"/>
        <w:shd w:val="clear" w:color="auto" w:fill="auto"/>
        <w:bidi w:val="0"/>
        <w:spacing w:before="0" w:line="240" w:lineRule="auto"/>
        <w:ind w:left="0" w:right="0" w:firstLine="0"/>
        <w:jc w:val="left"/>
      </w:pPr>
      <w:r>
        <w:rPr>
          <w:rStyle w:val="Bodytext2"/>
          <w:rtl w:val="0"/>
        </w:rPr>
        <w:t xml:space="preserve">5 Clinton, WJ (1997, 16 de mayo). En Disculpa por el estudio realizado en Tuskegee. Administración Nacional de Archivos y Registros. </w:t>
      </w:r>
      <w:hyperlink r:id="rId10" w:history="1">
        <w:r>
          <w:rPr>
            <w:rStyle w:val="Bodytext2"/>
            <w:color w:val="215E9E"/>
            <w:u w:val="single"/>
            <w:rtl w:val="0"/>
          </w:rPr>
          <w:t>https://clintonwhitehouse4.</w:t>
        </w:r>
      </w:hyperlink>
      <w:r>
        <w:rPr>
          <w:rStyle w:val="Bodytext2"/>
          <w:rtl w:val="0"/>
        </w:rPr>
        <w:t xml:space="preserve"> </w:t>
      </w:r>
      <w:hyperlink r:id="rId10" w:history="1">
        <w:r>
          <w:rPr>
            <w:rStyle w:val="Bodytext2"/>
            <w:color w:val="215E9E"/>
            <w:u w:val="single"/>
            <w:rtl w:val="0"/>
          </w:rPr>
          <w:t>archives.gov/New/Remarks/Fri/19970516-898.html</w:t>
        </w:r>
      </w:hyperlink>
      <w:r>
        <w:rPr>
          <w:rStyle w:val="Bodytext2"/>
          <w:rtl w:val="0"/>
        </w:rPr>
        <w:t xml:space="preserve"> .</w:t>
      </w:r>
    </w:p>
    <w:sectPr>
      <w:pgSz w:w="12240" w:h="15840"/>
      <w:pgMar w:top="1080" w:right="1075" w:bottom="1080" w:left="1037" w:header="652" w:footer="3" w:gutter="0"/>
      <w:cols w:space="720"/>
      <w:noEndnote/>
      <w:rtlGutter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685800</wp:posOffset>
              </wp:positionH>
              <wp:positionV relativeFrom="page">
                <wp:posOffset>9394190</wp:posOffset>
              </wp:positionV>
              <wp:extent cx="6397625" cy="97790"/>
              <wp:wrapNone/>
              <wp:docPr id="1" name="Shape 1"/>
              <wp:cNvGraphicFramePr/>
              <a:graphic xmlns:a="http://schemas.openxmlformats.org/drawingml/2006/main">
                <a:graphicData uri="http://schemas.microsoft.com/office/word/2010/wordprocessingShape">
                  <wps:wsp xmlns:wps="http://schemas.microsoft.com/office/word/2010/wordprocessingShape">
                    <wps:cNvSpPr txBox="1"/>
                    <wps:spPr>
                      <a:xfrm>
                        <a:off x="0" y="0"/>
                        <a:ext cx="6397625" cy="97790"/>
                      </a:xfrm>
                      <a:prstGeom prst="rect">
                        <a:avLst/>
                      </a:prstGeom>
                      <a:noFill/>
                    </wps:spPr>
                    <wps:txbx>
                      <w:txbxContent>
                        <w:p>
                          <w:pPr>
                            <w:pStyle w:val="Headerorfooter20"/>
                            <w:keepNext w:val="0"/>
                            <w:keepLines w:val="0"/>
                            <w:widowControl w:val="0"/>
                            <w:shd w:val="clear" w:color="auto" w:fill="auto"/>
                            <w:tabs>
                              <w:tab w:val="right" w:pos="10075"/>
                            </w:tabs>
                            <w:bidi w:val="0"/>
                            <w:spacing w:before="0" w:after="0" w:line="240" w:lineRule="auto"/>
                            <w:ind w:left="0" w:right="0" w:firstLine="0"/>
                            <w:jc w:val="left"/>
                            <w:rPr>
                              <w:sz w:val="16"/>
                              <w:szCs w:val="16"/>
                            </w:rPr>
                          </w:pPr>
                          <w:r>
                            <w:rPr>
                              <w:rStyle w:val="Headerorfooter2"/>
                              <w:rFonts w:ascii="Arial" w:eastAsia="Arial" w:hAnsi="Arial" w:cs="Arial"/>
                              <w:sz w:val="16"/>
                              <w:szCs w:val="16"/>
                              <w:rtl w:val="0"/>
                            </w:rPr>
                            <w:t>JUSTICIA, VIDA Y MEMORIA DESPUÉS DEL HOLOCAUSTO</w:t>
                            <w:tab/>
                            <w:t>© Asociación Ecos y Reflexiones</w:t>
                          </w:r>
                        </w:p>
                      </w:txbxContent>
                    </wps:txbx>
                    <wps:bodyPr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2049" type="#_x0000_t202" style="width:503.75pt;height:7.7pt;margin-top:739.7pt;margin-left:54pt;mso-position-horizontal-relative:page;mso-position-vertical-relative:page;mso-wrap-distance-bottom:0;mso-wrap-distance-left:0;mso-wrap-distance-right:0;mso-wrap-distance-top:0;position:absolute;v-text-anchor:top;z-index:-251658240" filled="f" fillcolor="this">
              <v:textbox style="mso-fit-shape-to-text:t" inset="0,0,0,0">
                <w:txbxContent>
                  <w:p>
                    <w:pPr>
                      <w:pStyle w:val="Headerorfooter20"/>
                      <w:keepNext w:val="0"/>
                      <w:keepLines w:val="0"/>
                      <w:widowControl w:val="0"/>
                      <w:shd w:val="clear" w:color="auto" w:fill="auto"/>
                      <w:tabs>
                        <w:tab w:val="right" w:pos="10075"/>
                      </w:tabs>
                      <w:bidi w:val="0"/>
                      <w:spacing w:before="0" w:after="0" w:line="240" w:lineRule="auto"/>
                      <w:ind w:left="0" w:right="0" w:firstLine="0"/>
                      <w:jc w:val="left"/>
                      <w:rPr>
                        <w:sz w:val="16"/>
                        <w:szCs w:val="16"/>
                      </w:rPr>
                    </w:pPr>
                    <w:r>
                      <w:rPr>
                        <w:rStyle w:val="Headerorfooter2"/>
                        <w:rFonts w:ascii="Arial" w:eastAsia="Arial" w:hAnsi="Arial" w:cs="Arial"/>
                        <w:sz w:val="16"/>
                        <w:szCs w:val="16"/>
                        <w:rtl w:val="0"/>
                      </w:rPr>
                      <w:t>JUSTICIA, VIDA Y MEMORIA DESPUÉS DEL HOLOCAUSTO</w:t>
                      <w:tab/>
                      <w:t>© Asociación Ecos y Reflexiones</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100"/>
  <w:defaultTabStop w:val="720"/>
  <w:drawingGridHorizontalSpacing w:val="181"/>
  <w:drawingGridVerticalSpacing w:val="181"/>
  <w:characterSpacingControl w:val="compressPunctuation"/>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en-US"/>
      </w:rPr>
    </w:rPrDefault>
    <w:pPrDefault>
      <w:pPr>
        <w:keepNext w:val="0"/>
        <w:keepLines w:val="0"/>
        <w:widowControl w:val="0"/>
        <w:shd w:val="clear" w:color="auto" w:fill="auto"/>
        <w:bidi w:val="0"/>
        <w:spacing w:before="0" w:after="0" w:line="240" w:lineRule="auto"/>
        <w:ind w:left="0" w:right="0" w:firstLine="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default="1" w:styleId="DefaultParagraphFont">
    <w:name w:val="Default Paragraph Font"/>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customStyle="1" w:styleId="Heading11">
    <w:name w:val="Heading #1|1_"/>
    <w:basedOn w:val="DefaultParagraphFont"/>
    <w:link w:val="Heading110"/>
    <w:rPr>
      <w:rFonts w:ascii="Arial" w:eastAsia="Arial" w:hAnsi="Arial" w:cs="Arial"/>
      <w:b/>
      <w:bCs/>
      <w:i w:val="0"/>
      <w:iCs w:val="0"/>
      <w:smallCaps w:val="0"/>
      <w:strike w:val="0"/>
      <w:color w:val="007399"/>
      <w:sz w:val="36"/>
      <w:szCs w:val="36"/>
      <w:u w:val="none"/>
    </w:rPr>
  </w:style>
  <w:style w:type="character" w:customStyle="1" w:styleId="Headerorfooter2">
    <w:name w:val="Header or footer|2_"/>
    <w:basedOn w:val="DefaultParagraphFont"/>
    <w:link w:val="Headerorfooter20"/>
    <w:rPr>
      <w:bCs w:val="0"/>
      <w:i w:val="0"/>
      <w:iCs w:val="0"/>
      <w:smallCaps w:val="0"/>
      <w:strike w:val="0"/>
      <w:sz w:val="20"/>
      <w:szCs w:val="20"/>
      <w:u w:val="none"/>
    </w:rPr>
  </w:style>
  <w:style w:type="character" w:customStyle="1" w:styleId="Heading21">
    <w:name w:val="Heading #2|1_"/>
    <w:basedOn w:val="DefaultParagraphFont"/>
    <w:link w:val="Heading210"/>
    <w:rPr>
      <w:bCs w:val="0"/>
      <w:i w:val="0"/>
      <w:iCs w:val="0"/>
      <w:smallCaps w:val="0"/>
      <w:strike w:val="0"/>
      <w:color w:val="007399"/>
      <w:sz w:val="28"/>
      <w:szCs w:val="28"/>
      <w:u w:val="none"/>
    </w:rPr>
  </w:style>
  <w:style w:type="character" w:customStyle="1" w:styleId="Bodytext5">
    <w:name w:val="Body text|5_"/>
    <w:basedOn w:val="DefaultParagraphFont"/>
    <w:link w:val="Bodytext50"/>
    <w:rPr>
      <w:rFonts w:ascii="Arial" w:eastAsia="Arial" w:hAnsi="Arial" w:cs="Arial"/>
      <w:bCs w:val="0"/>
      <w:i w:val="0"/>
      <w:iCs w:val="0"/>
      <w:smallCaps w:val="0"/>
      <w:strike w:val="0"/>
      <w:color w:val="62C6CF"/>
      <w:sz w:val="12"/>
      <w:szCs w:val="12"/>
      <w:u w:val="none"/>
    </w:rPr>
  </w:style>
  <w:style w:type="character" w:customStyle="1" w:styleId="Bodytext4">
    <w:name w:val="Body text|4_"/>
    <w:basedOn w:val="DefaultParagraphFont"/>
    <w:link w:val="Bodytext40"/>
    <w:rPr>
      <w:rFonts w:ascii="Arial" w:eastAsia="Arial" w:hAnsi="Arial" w:cs="Arial"/>
      <w:bCs w:val="0"/>
      <w:i w:val="0"/>
      <w:iCs w:val="0"/>
      <w:smallCaps w:val="0"/>
      <w:strike w:val="0"/>
      <w:color w:val="4D384C"/>
      <w:u w:val="none"/>
    </w:rPr>
  </w:style>
  <w:style w:type="character" w:customStyle="1" w:styleId="Bodytext1">
    <w:name w:val="Body text|1_"/>
    <w:basedOn w:val="DefaultParagraphFont"/>
    <w:link w:val="Bodytext10"/>
    <w:rPr>
      <w:bCs w:val="0"/>
      <w:i w:val="0"/>
      <w:iCs w:val="0"/>
      <w:smallCaps w:val="0"/>
      <w:strike w:val="0"/>
      <w:sz w:val="20"/>
      <w:szCs w:val="20"/>
      <w:u w:val="none"/>
    </w:rPr>
  </w:style>
  <w:style w:type="character" w:customStyle="1" w:styleId="Heading41">
    <w:name w:val="Heading #4|1_"/>
    <w:basedOn w:val="DefaultParagraphFont"/>
    <w:link w:val="Heading410"/>
    <w:rPr>
      <w:rFonts w:ascii="Arial" w:eastAsia="Arial" w:hAnsi="Arial" w:cs="Arial"/>
      <w:bCs w:val="0"/>
      <w:i w:val="0"/>
      <w:iCs w:val="0"/>
      <w:smallCaps w:val="0"/>
      <w:strike w:val="0"/>
      <w:color w:val="007399"/>
      <w:u w:val="none"/>
    </w:rPr>
  </w:style>
  <w:style w:type="character" w:customStyle="1" w:styleId="Bodytext3">
    <w:name w:val="Body text|3_"/>
    <w:basedOn w:val="DefaultParagraphFont"/>
    <w:link w:val="Bodytext30"/>
    <w:rPr>
      <w:rFonts w:ascii="Arial" w:eastAsia="Arial" w:hAnsi="Arial" w:cs="Arial"/>
      <w:bCs w:val="0"/>
      <w:i w:val="0"/>
      <w:iCs w:val="0"/>
      <w:smallCaps w:val="0"/>
      <w:strike w:val="0"/>
      <w:sz w:val="18"/>
      <w:szCs w:val="18"/>
      <w:u w:val="none"/>
    </w:rPr>
  </w:style>
  <w:style w:type="character" w:customStyle="1" w:styleId="Heading31">
    <w:name w:val="Heading #3|1_"/>
    <w:basedOn w:val="DefaultParagraphFont"/>
    <w:link w:val="Heading310"/>
    <w:rPr>
      <w:rFonts w:ascii="Arial" w:eastAsia="Arial" w:hAnsi="Arial" w:cs="Arial"/>
      <w:b/>
      <w:bCs/>
      <w:i w:val="0"/>
      <w:iCs w:val="0"/>
      <w:smallCaps w:val="0"/>
      <w:strike w:val="0"/>
      <w:color w:val="3FC1CC"/>
      <w:u w:val="none"/>
    </w:rPr>
  </w:style>
  <w:style w:type="character" w:customStyle="1" w:styleId="Picturecaption1">
    <w:name w:val="Picture caption|1_"/>
    <w:basedOn w:val="DefaultParagraphFont"/>
    <w:link w:val="Picturecaption10"/>
    <w:rPr>
      <w:rFonts w:ascii="Arial" w:eastAsia="Arial" w:hAnsi="Arial" w:cs="Arial"/>
      <w:bCs w:val="0"/>
      <w:i w:val="0"/>
      <w:iCs w:val="0"/>
      <w:smallCaps w:val="0"/>
      <w:strike w:val="0"/>
      <w:color w:val="808285"/>
      <w:sz w:val="16"/>
      <w:szCs w:val="16"/>
      <w:u w:val="none"/>
    </w:rPr>
  </w:style>
  <w:style w:type="character" w:customStyle="1" w:styleId="Bodytext2">
    <w:name w:val="Body text|2_"/>
    <w:basedOn w:val="DefaultParagraphFont"/>
    <w:link w:val="Bodytext20"/>
    <w:rPr>
      <w:rFonts w:ascii="Arial" w:eastAsia="Arial" w:hAnsi="Arial" w:cs="Arial"/>
      <w:bCs w:val="0"/>
      <w:i w:val="0"/>
      <w:iCs w:val="0"/>
      <w:smallCaps w:val="0"/>
      <w:strike w:val="0"/>
      <w:color w:val="808285"/>
      <w:sz w:val="14"/>
      <w:szCs w:val="14"/>
      <w:u w:val="none"/>
    </w:rPr>
  </w:style>
  <w:style w:type="paragraph" w:customStyle="1" w:styleId="Heading110">
    <w:name w:val="Heading #1|1"/>
    <w:basedOn w:val="Normal"/>
    <w:link w:val="Heading11"/>
    <w:pPr>
      <w:widowControl w:val="0"/>
      <w:shd w:val="clear" w:color="auto" w:fill="auto"/>
      <w:outlineLvl w:val="0"/>
    </w:pPr>
    <w:rPr>
      <w:rFonts w:ascii="Arial" w:eastAsia="Arial" w:hAnsi="Arial" w:cs="Arial"/>
      <w:b/>
      <w:bCs/>
      <w:i w:val="0"/>
      <w:iCs w:val="0"/>
      <w:smallCaps w:val="0"/>
      <w:strike w:val="0"/>
      <w:color w:val="007399"/>
      <w:sz w:val="36"/>
      <w:szCs w:val="36"/>
      <w:u w:val="none"/>
    </w:rPr>
  </w:style>
  <w:style w:type="paragraph" w:customStyle="1" w:styleId="Headerorfooter20">
    <w:name w:val="Header or footer|2"/>
    <w:basedOn w:val="Normal"/>
    <w:link w:val="Headerorfooter2"/>
    <w:pPr>
      <w:widowControl w:val="0"/>
      <w:shd w:val="clear" w:color="auto" w:fill="auto"/>
    </w:pPr>
    <w:rPr>
      <w:bCs w:val="0"/>
      <w:i w:val="0"/>
      <w:iCs w:val="0"/>
      <w:smallCaps w:val="0"/>
      <w:strike w:val="0"/>
      <w:sz w:val="20"/>
      <w:szCs w:val="20"/>
      <w:u w:val="none"/>
    </w:rPr>
  </w:style>
  <w:style w:type="paragraph" w:customStyle="1" w:styleId="Heading210">
    <w:name w:val="Heading #2|1"/>
    <w:basedOn w:val="Normal"/>
    <w:link w:val="Heading21"/>
    <w:pPr>
      <w:widowControl w:val="0"/>
      <w:shd w:val="clear" w:color="auto" w:fill="auto"/>
      <w:spacing w:after="60"/>
      <w:outlineLvl w:val="1"/>
    </w:pPr>
    <w:rPr>
      <w:bCs w:val="0"/>
      <w:i w:val="0"/>
      <w:iCs w:val="0"/>
      <w:smallCaps w:val="0"/>
      <w:strike w:val="0"/>
      <w:color w:val="007399"/>
      <w:sz w:val="28"/>
      <w:szCs w:val="28"/>
      <w:u w:val="none"/>
    </w:rPr>
  </w:style>
  <w:style w:type="paragraph" w:customStyle="1" w:styleId="Bodytext50">
    <w:name w:val="Body text|5"/>
    <w:basedOn w:val="Normal"/>
    <w:link w:val="Bodytext5"/>
    <w:pPr>
      <w:widowControl w:val="0"/>
      <w:shd w:val="clear" w:color="auto" w:fill="auto"/>
    </w:pPr>
    <w:rPr>
      <w:rFonts w:ascii="Arial" w:eastAsia="Arial" w:hAnsi="Arial" w:cs="Arial"/>
      <w:bCs w:val="0"/>
      <w:i w:val="0"/>
      <w:iCs w:val="0"/>
      <w:smallCaps w:val="0"/>
      <w:strike w:val="0"/>
      <w:color w:val="62C6CF"/>
      <w:sz w:val="12"/>
      <w:szCs w:val="12"/>
      <w:u w:val="none"/>
    </w:rPr>
  </w:style>
  <w:style w:type="paragraph" w:customStyle="1" w:styleId="Bodytext40">
    <w:name w:val="Body text|4"/>
    <w:basedOn w:val="Normal"/>
    <w:link w:val="Bodytext4"/>
    <w:pPr>
      <w:widowControl w:val="0"/>
      <w:shd w:val="clear" w:color="auto" w:fill="auto"/>
      <w:spacing w:before="120"/>
      <w:ind w:left="280"/>
    </w:pPr>
    <w:rPr>
      <w:rFonts w:ascii="Arial" w:eastAsia="Arial" w:hAnsi="Arial" w:cs="Arial"/>
      <w:bCs w:val="0"/>
      <w:i w:val="0"/>
      <w:iCs w:val="0"/>
      <w:smallCaps w:val="0"/>
      <w:strike w:val="0"/>
      <w:color w:val="4D384C"/>
      <w:u w:val="none"/>
    </w:rPr>
  </w:style>
  <w:style w:type="paragraph" w:customStyle="1" w:styleId="Bodytext10">
    <w:name w:val="Body text|1"/>
    <w:basedOn w:val="Normal"/>
    <w:link w:val="Bodytext1"/>
    <w:pPr>
      <w:widowControl w:val="0"/>
      <w:shd w:val="clear" w:color="auto" w:fill="auto"/>
      <w:spacing w:after="260" w:line="271" w:lineRule="auto"/>
    </w:pPr>
    <w:rPr>
      <w:bCs w:val="0"/>
      <w:i w:val="0"/>
      <w:iCs w:val="0"/>
      <w:smallCaps w:val="0"/>
      <w:strike w:val="0"/>
      <w:sz w:val="20"/>
      <w:szCs w:val="20"/>
      <w:u w:val="none"/>
    </w:rPr>
  </w:style>
  <w:style w:type="paragraph" w:customStyle="1" w:styleId="Heading410">
    <w:name w:val="Heading #4|1"/>
    <w:basedOn w:val="Normal"/>
    <w:link w:val="Heading41"/>
    <w:pPr>
      <w:widowControl w:val="0"/>
      <w:shd w:val="clear" w:color="auto" w:fill="auto"/>
      <w:spacing w:after="200"/>
      <w:outlineLvl w:val="3"/>
    </w:pPr>
    <w:rPr>
      <w:rFonts w:ascii="Arial" w:eastAsia="Arial" w:hAnsi="Arial" w:cs="Arial"/>
      <w:bCs w:val="0"/>
      <w:i w:val="0"/>
      <w:iCs w:val="0"/>
      <w:smallCaps w:val="0"/>
      <w:strike w:val="0"/>
      <w:color w:val="007399"/>
      <w:u w:val="none"/>
    </w:rPr>
  </w:style>
  <w:style w:type="paragraph" w:customStyle="1" w:styleId="Bodytext30">
    <w:name w:val="Body text|3"/>
    <w:basedOn w:val="Normal"/>
    <w:link w:val="Bodytext3"/>
    <w:pPr>
      <w:widowControl w:val="0"/>
      <w:shd w:val="clear" w:color="auto" w:fill="auto"/>
      <w:spacing w:after="2080" w:line="348" w:lineRule="auto"/>
      <w:ind w:left="240"/>
    </w:pPr>
    <w:rPr>
      <w:rFonts w:ascii="Arial" w:eastAsia="Arial" w:hAnsi="Arial" w:cs="Arial"/>
      <w:bCs w:val="0"/>
      <w:i w:val="0"/>
      <w:iCs w:val="0"/>
      <w:smallCaps w:val="0"/>
      <w:strike w:val="0"/>
      <w:sz w:val="18"/>
      <w:szCs w:val="18"/>
      <w:u w:val="none"/>
    </w:rPr>
  </w:style>
  <w:style w:type="paragraph" w:customStyle="1" w:styleId="Heading310">
    <w:name w:val="Heading #3|1"/>
    <w:basedOn w:val="Normal"/>
    <w:link w:val="Heading31"/>
    <w:pPr>
      <w:widowControl w:val="0"/>
      <w:shd w:val="clear" w:color="auto" w:fill="auto"/>
      <w:spacing w:after="300"/>
      <w:outlineLvl w:val="2"/>
    </w:pPr>
    <w:rPr>
      <w:rFonts w:ascii="Arial" w:eastAsia="Arial" w:hAnsi="Arial" w:cs="Arial"/>
      <w:b/>
      <w:bCs/>
      <w:i w:val="0"/>
      <w:iCs w:val="0"/>
      <w:smallCaps w:val="0"/>
      <w:strike w:val="0"/>
      <w:color w:val="3FC1CC"/>
      <w:u w:val="none"/>
    </w:rPr>
  </w:style>
  <w:style w:type="paragraph" w:customStyle="1" w:styleId="Picturecaption10">
    <w:name w:val="Picture caption|1"/>
    <w:basedOn w:val="Normal"/>
    <w:link w:val="Picturecaption1"/>
    <w:pPr>
      <w:widowControl w:val="0"/>
      <w:shd w:val="clear" w:color="auto" w:fill="auto"/>
      <w:spacing w:line="341" w:lineRule="auto"/>
      <w:jc w:val="right"/>
    </w:pPr>
    <w:rPr>
      <w:rFonts w:ascii="Arial" w:eastAsia="Arial" w:hAnsi="Arial" w:cs="Arial"/>
      <w:bCs w:val="0"/>
      <w:i w:val="0"/>
      <w:iCs w:val="0"/>
      <w:smallCaps w:val="0"/>
      <w:strike w:val="0"/>
      <w:color w:val="808285"/>
      <w:sz w:val="16"/>
      <w:szCs w:val="16"/>
      <w:u w:val="none"/>
    </w:rPr>
  </w:style>
  <w:style w:type="paragraph" w:customStyle="1" w:styleId="Bodytext20">
    <w:name w:val="Body text|2"/>
    <w:basedOn w:val="Normal"/>
    <w:link w:val="Bodytext2"/>
    <w:pPr>
      <w:widowControl w:val="0"/>
      <w:shd w:val="clear" w:color="auto" w:fill="auto"/>
      <w:spacing w:after="160"/>
    </w:pPr>
    <w:rPr>
      <w:rFonts w:ascii="Arial" w:eastAsia="Arial" w:hAnsi="Arial" w:cs="Arial"/>
      <w:bCs w:val="0"/>
      <w:i w:val="0"/>
      <w:iCs w:val="0"/>
      <w:smallCaps w:val="0"/>
      <w:strike w:val="0"/>
      <w:color w:val="808285"/>
      <w:sz w:val="14"/>
      <w:szCs w:val="1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clintonwhitehouse4.archives.gov/New/Remarks/Fri/19970516-898.html" TargetMode="Externa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hyperlink" Target="https://www.ushmm.org/information/exhibitions/online-exhibitions/special-focus/doctors-trial/nuremberg-code" TargetMode="External" /><Relationship Id="rId6" Type="http://schemas.openxmlformats.org/officeDocument/2006/relationships/image" Target="media/image1.jpeg" /><Relationship Id="rId7" Type="http://schemas.openxmlformats.org/officeDocument/2006/relationships/hyperlink" Target="https://www.prisonexp.org/" TargetMode="External" /><Relationship Id="rId8" Type="http://schemas.openxmlformats.org/officeDocument/2006/relationships/hyperlink" Target="https://www.newworldencyclopedia.org/p/index.php?title=Stanley_Milgram&amp;oldid=1057591" TargetMode="External" /><Relationship Id="rId9" Type="http://schemas.openxmlformats.org/officeDocument/2006/relationships/hyperlink" Target="https://www.thewavehome.com/"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