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B826" w14:textId="77777777" w:rsidR="001D5A79" w:rsidRPr="00681D7F" w:rsidRDefault="001D5A79" w:rsidP="00EF1E09">
      <w:pPr>
        <w:pStyle w:val="Heading2"/>
        <w:spacing w:before="100" w:beforeAutospacing="1" w:after="100" w:afterAutospacing="1" w:line="360" w:lineRule="auto"/>
        <w:jc w:val="both"/>
        <w:rPr>
          <w:rFonts w:asciiTheme="majorBidi" w:hAnsiTheme="majorBidi"/>
          <w:b/>
          <w:bCs/>
          <w:sz w:val="24"/>
          <w:szCs w:val="24"/>
        </w:rPr>
      </w:pPr>
      <w:bookmarkStart w:id="0" w:name="_Toc163650187"/>
      <w:r w:rsidRPr="00681D7F">
        <w:rPr>
          <w:rFonts w:asciiTheme="majorBidi" w:hAnsiTheme="majorBidi"/>
          <w:b/>
          <w:bCs/>
          <w:sz w:val="24"/>
          <w:szCs w:val="24"/>
        </w:rPr>
        <w:t>Chapter 2. Behavioral Level</w:t>
      </w:r>
      <w:bookmarkEnd w:id="0"/>
      <w:r w:rsidRPr="00681D7F">
        <w:rPr>
          <w:rFonts w:asciiTheme="majorBidi" w:hAnsiTheme="majorBidi"/>
          <w:b/>
          <w:bCs/>
          <w:sz w:val="24"/>
          <w:szCs w:val="24"/>
        </w:rPr>
        <w:t xml:space="preserve"> </w:t>
      </w:r>
    </w:p>
    <w:sdt>
      <w:sdtPr>
        <w:rPr>
          <w:rFonts w:asciiTheme="minorHAnsi" w:eastAsiaTheme="minorHAnsi" w:hAnsiTheme="minorHAnsi" w:cstheme="minorBidi"/>
          <w:color w:val="auto"/>
          <w:sz w:val="22"/>
          <w:szCs w:val="22"/>
          <w:lang w:bidi="he-IL"/>
        </w:rPr>
        <w:id w:val="-1687055378"/>
        <w:docPartObj>
          <w:docPartGallery w:val="Table of Contents"/>
          <w:docPartUnique/>
        </w:docPartObj>
      </w:sdtPr>
      <w:sdtEndPr>
        <w:rPr>
          <w:b/>
          <w:bCs/>
          <w:noProof/>
        </w:rPr>
      </w:sdtEndPr>
      <w:sdtContent>
        <w:p w14:paraId="2D05A507" w14:textId="0318D805" w:rsidR="0094642A" w:rsidRDefault="00096338" w:rsidP="00EF1E09">
          <w:pPr>
            <w:pStyle w:val="TOCHeading"/>
            <w:spacing w:line="360" w:lineRule="auto"/>
            <w:jc w:val="both"/>
            <w:rPr>
              <w:noProof/>
            </w:rPr>
          </w:pPr>
          <w:r>
            <w:t>Contents</w:t>
          </w:r>
          <w:r>
            <w:fldChar w:fldCharType="begin"/>
          </w:r>
          <w:r>
            <w:instrText xml:space="preserve"> TOC \o "1-3" \h \z \u </w:instrText>
          </w:r>
          <w:r>
            <w:fldChar w:fldCharType="separate"/>
          </w:r>
        </w:p>
        <w:p w14:paraId="4C98D1E9" w14:textId="1F73826C"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87" w:history="1">
            <w:r w:rsidR="0094642A" w:rsidRPr="00863B7E">
              <w:rPr>
                <w:rStyle w:val="Hyperlink"/>
                <w:rFonts w:asciiTheme="majorBidi" w:hAnsiTheme="majorBidi"/>
                <w:b/>
                <w:bCs/>
                <w:noProof/>
              </w:rPr>
              <w:t>Chapter 2. Behavioral Level</w:t>
            </w:r>
            <w:r w:rsidR="0094642A">
              <w:rPr>
                <w:noProof/>
                <w:webHidden/>
              </w:rPr>
              <w:tab/>
            </w:r>
            <w:r w:rsidR="0094642A">
              <w:rPr>
                <w:noProof/>
                <w:webHidden/>
              </w:rPr>
              <w:fldChar w:fldCharType="begin"/>
            </w:r>
            <w:r w:rsidR="0094642A">
              <w:rPr>
                <w:noProof/>
                <w:webHidden/>
              </w:rPr>
              <w:instrText xml:space="preserve"> PAGEREF _Toc163650187 \h </w:instrText>
            </w:r>
            <w:r w:rsidR="0094642A">
              <w:rPr>
                <w:noProof/>
                <w:webHidden/>
              </w:rPr>
            </w:r>
            <w:r w:rsidR="0094642A">
              <w:rPr>
                <w:noProof/>
                <w:webHidden/>
              </w:rPr>
              <w:fldChar w:fldCharType="separate"/>
            </w:r>
            <w:r w:rsidR="0094642A">
              <w:rPr>
                <w:noProof/>
                <w:webHidden/>
              </w:rPr>
              <w:t>1</w:t>
            </w:r>
            <w:r w:rsidR="0094642A">
              <w:rPr>
                <w:noProof/>
                <w:webHidden/>
              </w:rPr>
              <w:fldChar w:fldCharType="end"/>
            </w:r>
          </w:hyperlink>
        </w:p>
        <w:p w14:paraId="1DB9C5B7" w14:textId="276CDFBB"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88" w:history="1">
            <w:r w:rsidR="0094642A" w:rsidRPr="00863B7E">
              <w:rPr>
                <w:rStyle w:val="Hyperlink"/>
                <w:noProof/>
              </w:rPr>
              <w:t>Why is Intrinsic Motivation Important for Compliance?</w:t>
            </w:r>
            <w:r w:rsidR="0094642A">
              <w:rPr>
                <w:noProof/>
                <w:webHidden/>
              </w:rPr>
              <w:tab/>
            </w:r>
            <w:r w:rsidR="0094642A">
              <w:rPr>
                <w:noProof/>
                <w:webHidden/>
              </w:rPr>
              <w:fldChar w:fldCharType="begin"/>
            </w:r>
            <w:r w:rsidR="0094642A">
              <w:rPr>
                <w:noProof/>
                <w:webHidden/>
              </w:rPr>
              <w:instrText xml:space="preserve"> PAGEREF _Toc163650188 \h </w:instrText>
            </w:r>
            <w:r w:rsidR="0094642A">
              <w:rPr>
                <w:noProof/>
                <w:webHidden/>
              </w:rPr>
            </w:r>
            <w:r w:rsidR="0094642A">
              <w:rPr>
                <w:noProof/>
                <w:webHidden/>
              </w:rPr>
              <w:fldChar w:fldCharType="separate"/>
            </w:r>
            <w:r w:rsidR="0094642A">
              <w:rPr>
                <w:noProof/>
                <w:webHidden/>
              </w:rPr>
              <w:t>2</w:t>
            </w:r>
            <w:r w:rsidR="0094642A">
              <w:rPr>
                <w:noProof/>
                <w:webHidden/>
              </w:rPr>
              <w:fldChar w:fldCharType="end"/>
            </w:r>
          </w:hyperlink>
        </w:p>
        <w:p w14:paraId="7AE2D0CC" w14:textId="7AD0FCBF"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89" w:history="1">
            <w:r w:rsidR="0094642A" w:rsidRPr="00863B7E">
              <w:rPr>
                <w:rStyle w:val="Hyperlink"/>
                <w:noProof/>
              </w:rPr>
              <w:t>An important clarification is needed on what is intrinsic motivation</w:t>
            </w:r>
            <w:r w:rsidR="0094642A">
              <w:rPr>
                <w:noProof/>
                <w:webHidden/>
              </w:rPr>
              <w:tab/>
            </w:r>
            <w:r w:rsidR="0094642A">
              <w:rPr>
                <w:noProof/>
                <w:webHidden/>
              </w:rPr>
              <w:fldChar w:fldCharType="begin"/>
            </w:r>
            <w:r w:rsidR="0094642A">
              <w:rPr>
                <w:noProof/>
                <w:webHidden/>
              </w:rPr>
              <w:instrText xml:space="preserve"> PAGEREF _Toc163650189 \h </w:instrText>
            </w:r>
            <w:r w:rsidR="0094642A">
              <w:rPr>
                <w:noProof/>
                <w:webHidden/>
              </w:rPr>
            </w:r>
            <w:r w:rsidR="0094642A">
              <w:rPr>
                <w:noProof/>
                <w:webHidden/>
              </w:rPr>
              <w:fldChar w:fldCharType="separate"/>
            </w:r>
            <w:r w:rsidR="0094642A">
              <w:rPr>
                <w:noProof/>
                <w:webHidden/>
              </w:rPr>
              <w:t>3</w:t>
            </w:r>
            <w:r w:rsidR="0094642A">
              <w:rPr>
                <w:noProof/>
                <w:webHidden/>
              </w:rPr>
              <w:fldChar w:fldCharType="end"/>
            </w:r>
          </w:hyperlink>
        </w:p>
        <w:p w14:paraId="6A7121B6" w14:textId="150D9A5D"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0" w:history="1">
            <w:r w:rsidR="0094642A" w:rsidRPr="00863B7E">
              <w:rPr>
                <w:rStyle w:val="Hyperlink"/>
                <w:noProof/>
              </w:rPr>
              <w:t>What does it mean to obey for intrinsic motivation?</w:t>
            </w:r>
            <w:r w:rsidR="0094642A">
              <w:rPr>
                <w:noProof/>
                <w:webHidden/>
              </w:rPr>
              <w:tab/>
            </w:r>
            <w:r w:rsidR="0094642A">
              <w:rPr>
                <w:noProof/>
                <w:webHidden/>
              </w:rPr>
              <w:fldChar w:fldCharType="begin"/>
            </w:r>
            <w:r w:rsidR="0094642A">
              <w:rPr>
                <w:noProof/>
                <w:webHidden/>
              </w:rPr>
              <w:instrText xml:space="preserve"> PAGEREF _Toc163650190 \h </w:instrText>
            </w:r>
            <w:r w:rsidR="0094642A">
              <w:rPr>
                <w:noProof/>
                <w:webHidden/>
              </w:rPr>
            </w:r>
            <w:r w:rsidR="0094642A">
              <w:rPr>
                <w:noProof/>
                <w:webHidden/>
              </w:rPr>
              <w:fldChar w:fldCharType="separate"/>
            </w:r>
            <w:r w:rsidR="0094642A">
              <w:rPr>
                <w:noProof/>
                <w:webHidden/>
              </w:rPr>
              <w:t>3</w:t>
            </w:r>
            <w:r w:rsidR="0094642A">
              <w:rPr>
                <w:noProof/>
                <w:webHidden/>
              </w:rPr>
              <w:fldChar w:fldCharType="end"/>
            </w:r>
          </w:hyperlink>
        </w:p>
        <w:p w14:paraId="112729D9" w14:textId="033245C4"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1" w:history="1">
            <w:r w:rsidR="0094642A" w:rsidRPr="00863B7E">
              <w:rPr>
                <w:rStyle w:val="Hyperlink"/>
                <w:noProof/>
              </w:rPr>
              <w:t>Is behavior under conditions of complete anonymity the way to discern between intrinsic and extrinsic motivations?</w:t>
            </w:r>
            <w:r w:rsidR="0094642A">
              <w:rPr>
                <w:noProof/>
                <w:webHidden/>
              </w:rPr>
              <w:tab/>
            </w:r>
            <w:r w:rsidR="0094642A">
              <w:rPr>
                <w:noProof/>
                <w:webHidden/>
              </w:rPr>
              <w:fldChar w:fldCharType="begin"/>
            </w:r>
            <w:r w:rsidR="0094642A">
              <w:rPr>
                <w:noProof/>
                <w:webHidden/>
              </w:rPr>
              <w:instrText xml:space="preserve"> PAGEREF _Toc163650191 \h </w:instrText>
            </w:r>
            <w:r w:rsidR="0094642A">
              <w:rPr>
                <w:noProof/>
                <w:webHidden/>
              </w:rPr>
            </w:r>
            <w:r w:rsidR="0094642A">
              <w:rPr>
                <w:noProof/>
                <w:webHidden/>
              </w:rPr>
              <w:fldChar w:fldCharType="separate"/>
            </w:r>
            <w:r w:rsidR="0094642A">
              <w:rPr>
                <w:noProof/>
                <w:webHidden/>
              </w:rPr>
              <w:t>5</w:t>
            </w:r>
            <w:r w:rsidR="0094642A">
              <w:rPr>
                <w:noProof/>
                <w:webHidden/>
              </w:rPr>
              <w:fldChar w:fldCharType="end"/>
            </w:r>
          </w:hyperlink>
        </w:p>
        <w:p w14:paraId="267D1E6F" w14:textId="3A7D51DB"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2" w:history="1">
            <w:r w:rsidR="0094642A" w:rsidRPr="00863B7E">
              <w:rPr>
                <w:rStyle w:val="Hyperlink"/>
                <w:rFonts w:ascii="David" w:hAnsi="David" w:cs="David"/>
                <w:noProof/>
              </w:rPr>
              <w:t>Compliance Motivations</w:t>
            </w:r>
            <w:r w:rsidR="0094642A">
              <w:rPr>
                <w:noProof/>
                <w:webHidden/>
              </w:rPr>
              <w:tab/>
            </w:r>
            <w:r w:rsidR="0094642A">
              <w:rPr>
                <w:noProof/>
                <w:webHidden/>
              </w:rPr>
              <w:fldChar w:fldCharType="begin"/>
            </w:r>
            <w:r w:rsidR="0094642A">
              <w:rPr>
                <w:noProof/>
                <w:webHidden/>
              </w:rPr>
              <w:instrText xml:space="preserve"> PAGEREF _Toc163650192 \h </w:instrText>
            </w:r>
            <w:r w:rsidR="0094642A">
              <w:rPr>
                <w:noProof/>
                <w:webHidden/>
              </w:rPr>
            </w:r>
            <w:r w:rsidR="0094642A">
              <w:rPr>
                <w:noProof/>
                <w:webHidden/>
              </w:rPr>
              <w:fldChar w:fldCharType="separate"/>
            </w:r>
            <w:r w:rsidR="0094642A">
              <w:rPr>
                <w:noProof/>
                <w:webHidden/>
              </w:rPr>
              <w:t>5</w:t>
            </w:r>
            <w:r w:rsidR="0094642A">
              <w:rPr>
                <w:noProof/>
                <w:webHidden/>
              </w:rPr>
              <w:fldChar w:fldCharType="end"/>
            </w:r>
          </w:hyperlink>
        </w:p>
        <w:p w14:paraId="29054F6F" w14:textId="7CC5DF02"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3" w:history="1">
            <w:r w:rsidR="0094642A" w:rsidRPr="00863B7E">
              <w:rPr>
                <w:rStyle w:val="Hyperlink"/>
                <w:rFonts w:ascii="David" w:hAnsi="David" w:cs="David"/>
                <w:noProof/>
              </w:rPr>
              <w:t>Defining what types of motivations could be seen as voluntary?</w:t>
            </w:r>
            <w:r w:rsidR="0094642A">
              <w:rPr>
                <w:noProof/>
                <w:webHidden/>
              </w:rPr>
              <w:tab/>
            </w:r>
            <w:r w:rsidR="0094642A">
              <w:rPr>
                <w:noProof/>
                <w:webHidden/>
              </w:rPr>
              <w:fldChar w:fldCharType="begin"/>
            </w:r>
            <w:r w:rsidR="0094642A">
              <w:rPr>
                <w:noProof/>
                <w:webHidden/>
              </w:rPr>
              <w:instrText xml:space="preserve"> PAGEREF _Toc163650193 \h </w:instrText>
            </w:r>
            <w:r w:rsidR="0094642A">
              <w:rPr>
                <w:noProof/>
                <w:webHidden/>
              </w:rPr>
            </w:r>
            <w:r w:rsidR="0094642A">
              <w:rPr>
                <w:noProof/>
                <w:webHidden/>
              </w:rPr>
              <w:fldChar w:fldCharType="separate"/>
            </w:r>
            <w:r w:rsidR="0094642A">
              <w:rPr>
                <w:noProof/>
                <w:webHidden/>
              </w:rPr>
              <w:t>6</w:t>
            </w:r>
            <w:r w:rsidR="0094642A">
              <w:rPr>
                <w:noProof/>
                <w:webHidden/>
              </w:rPr>
              <w:fldChar w:fldCharType="end"/>
            </w:r>
          </w:hyperlink>
        </w:p>
        <w:p w14:paraId="4BC51743" w14:textId="3DE53B71"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4" w:history="1">
            <w:r w:rsidR="0094642A" w:rsidRPr="00863B7E">
              <w:rPr>
                <w:rStyle w:val="Hyperlink"/>
                <w:rFonts w:ascii="David" w:hAnsi="David" w:cs="David"/>
                <w:noProof/>
              </w:rPr>
              <w:t>What compliance motivation could still be counted as voluntary?</w:t>
            </w:r>
            <w:r w:rsidR="0094642A">
              <w:rPr>
                <w:noProof/>
                <w:webHidden/>
              </w:rPr>
              <w:tab/>
            </w:r>
            <w:r w:rsidR="0094642A">
              <w:rPr>
                <w:noProof/>
                <w:webHidden/>
              </w:rPr>
              <w:fldChar w:fldCharType="begin"/>
            </w:r>
            <w:r w:rsidR="0094642A">
              <w:rPr>
                <w:noProof/>
                <w:webHidden/>
              </w:rPr>
              <w:instrText xml:space="preserve"> PAGEREF _Toc163650194 \h </w:instrText>
            </w:r>
            <w:r w:rsidR="0094642A">
              <w:rPr>
                <w:noProof/>
                <w:webHidden/>
              </w:rPr>
            </w:r>
            <w:r w:rsidR="0094642A">
              <w:rPr>
                <w:noProof/>
                <w:webHidden/>
              </w:rPr>
              <w:fldChar w:fldCharType="separate"/>
            </w:r>
            <w:r w:rsidR="0094642A">
              <w:rPr>
                <w:noProof/>
                <w:webHidden/>
              </w:rPr>
              <w:t>6</w:t>
            </w:r>
            <w:r w:rsidR="0094642A">
              <w:rPr>
                <w:noProof/>
                <w:webHidden/>
              </w:rPr>
              <w:fldChar w:fldCharType="end"/>
            </w:r>
          </w:hyperlink>
        </w:p>
        <w:p w14:paraId="631A392F" w14:textId="0B447F5E"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5" w:history="1">
            <w:r w:rsidR="0094642A" w:rsidRPr="00863B7E">
              <w:rPr>
                <w:rStyle w:val="Hyperlink"/>
                <w:noProof/>
              </w:rPr>
              <w:t>Price motivation</w:t>
            </w:r>
            <w:r w:rsidR="0094642A">
              <w:rPr>
                <w:noProof/>
                <w:webHidden/>
              </w:rPr>
              <w:tab/>
            </w:r>
            <w:r w:rsidR="0094642A">
              <w:rPr>
                <w:noProof/>
                <w:webHidden/>
              </w:rPr>
              <w:fldChar w:fldCharType="begin"/>
            </w:r>
            <w:r w:rsidR="0094642A">
              <w:rPr>
                <w:noProof/>
                <w:webHidden/>
              </w:rPr>
              <w:instrText xml:space="preserve"> PAGEREF _Toc163650195 \h </w:instrText>
            </w:r>
            <w:r w:rsidR="0094642A">
              <w:rPr>
                <w:noProof/>
                <w:webHidden/>
              </w:rPr>
            </w:r>
            <w:r w:rsidR="0094642A">
              <w:rPr>
                <w:noProof/>
                <w:webHidden/>
              </w:rPr>
              <w:fldChar w:fldCharType="separate"/>
            </w:r>
            <w:r w:rsidR="0094642A">
              <w:rPr>
                <w:noProof/>
                <w:webHidden/>
              </w:rPr>
              <w:t>6</w:t>
            </w:r>
            <w:r w:rsidR="0094642A">
              <w:rPr>
                <w:noProof/>
                <w:webHidden/>
              </w:rPr>
              <w:fldChar w:fldCharType="end"/>
            </w:r>
          </w:hyperlink>
        </w:p>
        <w:p w14:paraId="0010A3BC" w14:textId="617A3FCC"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6" w:history="1">
            <w:r w:rsidR="0094642A" w:rsidRPr="00863B7E">
              <w:rPr>
                <w:rStyle w:val="Hyperlink"/>
                <w:noProof/>
              </w:rPr>
              <w:t>Negative vs. Positive Incentives</w:t>
            </w:r>
            <w:r w:rsidR="0094642A">
              <w:rPr>
                <w:noProof/>
                <w:webHidden/>
              </w:rPr>
              <w:tab/>
            </w:r>
            <w:r w:rsidR="0094642A">
              <w:rPr>
                <w:noProof/>
                <w:webHidden/>
              </w:rPr>
              <w:fldChar w:fldCharType="begin"/>
            </w:r>
            <w:r w:rsidR="0094642A">
              <w:rPr>
                <w:noProof/>
                <w:webHidden/>
              </w:rPr>
              <w:instrText xml:space="preserve"> PAGEREF _Toc163650196 \h </w:instrText>
            </w:r>
            <w:r w:rsidR="0094642A">
              <w:rPr>
                <w:noProof/>
                <w:webHidden/>
              </w:rPr>
            </w:r>
            <w:r w:rsidR="0094642A">
              <w:rPr>
                <w:noProof/>
                <w:webHidden/>
              </w:rPr>
              <w:fldChar w:fldCharType="separate"/>
            </w:r>
            <w:r w:rsidR="0094642A">
              <w:rPr>
                <w:noProof/>
                <w:webHidden/>
              </w:rPr>
              <w:t>7</w:t>
            </w:r>
            <w:r w:rsidR="0094642A">
              <w:rPr>
                <w:noProof/>
                <w:webHidden/>
              </w:rPr>
              <w:fldChar w:fldCharType="end"/>
            </w:r>
          </w:hyperlink>
        </w:p>
        <w:p w14:paraId="196606BE" w14:textId="3107C21C"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7" w:history="1">
            <w:r w:rsidR="0094642A" w:rsidRPr="00863B7E">
              <w:rPr>
                <w:rStyle w:val="Hyperlink"/>
                <w:noProof/>
              </w:rPr>
              <w:t>Obligation to obey the law</w:t>
            </w:r>
            <w:r w:rsidR="0094642A">
              <w:rPr>
                <w:noProof/>
                <w:webHidden/>
              </w:rPr>
              <w:tab/>
            </w:r>
            <w:r w:rsidR="0094642A">
              <w:rPr>
                <w:noProof/>
                <w:webHidden/>
              </w:rPr>
              <w:fldChar w:fldCharType="begin"/>
            </w:r>
            <w:r w:rsidR="0094642A">
              <w:rPr>
                <w:noProof/>
                <w:webHidden/>
              </w:rPr>
              <w:instrText xml:space="preserve"> PAGEREF _Toc163650197 \h </w:instrText>
            </w:r>
            <w:r w:rsidR="0094642A">
              <w:rPr>
                <w:noProof/>
                <w:webHidden/>
              </w:rPr>
            </w:r>
            <w:r w:rsidR="0094642A">
              <w:rPr>
                <w:noProof/>
                <w:webHidden/>
              </w:rPr>
              <w:fldChar w:fldCharType="separate"/>
            </w:r>
            <w:r w:rsidR="0094642A">
              <w:rPr>
                <w:noProof/>
                <w:webHidden/>
              </w:rPr>
              <w:t>10</w:t>
            </w:r>
            <w:r w:rsidR="0094642A">
              <w:rPr>
                <w:noProof/>
                <w:webHidden/>
              </w:rPr>
              <w:fldChar w:fldCharType="end"/>
            </w:r>
          </w:hyperlink>
        </w:p>
        <w:p w14:paraId="7A1D5747" w14:textId="05172E5C"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8" w:history="1">
            <w:r w:rsidR="0094642A" w:rsidRPr="00863B7E">
              <w:rPr>
                <w:rStyle w:val="Hyperlink"/>
                <w:noProof/>
              </w:rPr>
              <w:t>Content Related Regulatory Approaches</w:t>
            </w:r>
            <w:r w:rsidR="0094642A">
              <w:rPr>
                <w:noProof/>
                <w:webHidden/>
              </w:rPr>
              <w:tab/>
            </w:r>
            <w:r w:rsidR="0094642A">
              <w:rPr>
                <w:noProof/>
                <w:webHidden/>
              </w:rPr>
              <w:fldChar w:fldCharType="begin"/>
            </w:r>
            <w:r w:rsidR="0094642A">
              <w:rPr>
                <w:noProof/>
                <w:webHidden/>
              </w:rPr>
              <w:instrText xml:space="preserve"> PAGEREF _Toc163650198 \h </w:instrText>
            </w:r>
            <w:r w:rsidR="0094642A">
              <w:rPr>
                <w:noProof/>
                <w:webHidden/>
              </w:rPr>
            </w:r>
            <w:r w:rsidR="0094642A">
              <w:rPr>
                <w:noProof/>
                <w:webHidden/>
              </w:rPr>
              <w:fldChar w:fldCharType="separate"/>
            </w:r>
            <w:r w:rsidR="0094642A">
              <w:rPr>
                <w:noProof/>
                <w:webHidden/>
              </w:rPr>
              <w:t>11</w:t>
            </w:r>
            <w:r w:rsidR="0094642A">
              <w:rPr>
                <w:noProof/>
                <w:webHidden/>
              </w:rPr>
              <w:fldChar w:fldCharType="end"/>
            </w:r>
          </w:hyperlink>
        </w:p>
        <w:p w14:paraId="52AA2563" w14:textId="515522E6"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199" w:history="1">
            <w:r w:rsidR="0094642A" w:rsidRPr="00863B7E">
              <w:rPr>
                <w:rStyle w:val="Hyperlink"/>
                <w:noProof/>
              </w:rPr>
              <w:t>The reason/science based motivation</w:t>
            </w:r>
            <w:r w:rsidR="0094642A">
              <w:rPr>
                <w:noProof/>
                <w:webHidden/>
              </w:rPr>
              <w:tab/>
            </w:r>
            <w:r w:rsidR="0094642A">
              <w:rPr>
                <w:noProof/>
                <w:webHidden/>
              </w:rPr>
              <w:fldChar w:fldCharType="begin"/>
            </w:r>
            <w:r w:rsidR="0094642A">
              <w:rPr>
                <w:noProof/>
                <w:webHidden/>
              </w:rPr>
              <w:instrText xml:space="preserve"> PAGEREF _Toc163650199 \h </w:instrText>
            </w:r>
            <w:r w:rsidR="0094642A">
              <w:rPr>
                <w:noProof/>
                <w:webHidden/>
              </w:rPr>
            </w:r>
            <w:r w:rsidR="0094642A">
              <w:rPr>
                <w:noProof/>
                <w:webHidden/>
              </w:rPr>
              <w:fldChar w:fldCharType="separate"/>
            </w:r>
            <w:r w:rsidR="0094642A">
              <w:rPr>
                <w:noProof/>
                <w:webHidden/>
              </w:rPr>
              <w:t>11</w:t>
            </w:r>
            <w:r w:rsidR="0094642A">
              <w:rPr>
                <w:noProof/>
                <w:webHidden/>
              </w:rPr>
              <w:fldChar w:fldCharType="end"/>
            </w:r>
          </w:hyperlink>
        </w:p>
        <w:p w14:paraId="646932A3" w14:textId="6589AA52"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00" w:history="1">
            <w:r w:rsidR="0094642A" w:rsidRPr="00863B7E">
              <w:rPr>
                <w:rStyle w:val="Hyperlink"/>
                <w:noProof/>
              </w:rPr>
              <w:t>Social motivation</w:t>
            </w:r>
            <w:r w:rsidR="0094642A">
              <w:rPr>
                <w:noProof/>
                <w:webHidden/>
              </w:rPr>
              <w:tab/>
            </w:r>
            <w:r w:rsidR="0094642A">
              <w:rPr>
                <w:noProof/>
                <w:webHidden/>
              </w:rPr>
              <w:fldChar w:fldCharType="begin"/>
            </w:r>
            <w:r w:rsidR="0094642A">
              <w:rPr>
                <w:noProof/>
                <w:webHidden/>
              </w:rPr>
              <w:instrText xml:space="preserve"> PAGEREF _Toc163650200 \h </w:instrText>
            </w:r>
            <w:r w:rsidR="0094642A">
              <w:rPr>
                <w:noProof/>
                <w:webHidden/>
              </w:rPr>
            </w:r>
            <w:r w:rsidR="0094642A">
              <w:rPr>
                <w:noProof/>
                <w:webHidden/>
              </w:rPr>
              <w:fldChar w:fldCharType="separate"/>
            </w:r>
            <w:r w:rsidR="0094642A">
              <w:rPr>
                <w:noProof/>
                <w:webHidden/>
              </w:rPr>
              <w:t>12</w:t>
            </w:r>
            <w:r w:rsidR="0094642A">
              <w:rPr>
                <w:noProof/>
                <w:webHidden/>
              </w:rPr>
              <w:fldChar w:fldCharType="end"/>
            </w:r>
          </w:hyperlink>
        </w:p>
        <w:p w14:paraId="32C871BB" w14:textId="0872B2F2" w:rsidR="0094642A" w:rsidRDefault="00000000" w:rsidP="00EF1E09">
          <w:pPr>
            <w:pStyle w:val="TOC3"/>
            <w:tabs>
              <w:tab w:val="right" w:leader="dot" w:pos="8296"/>
            </w:tabs>
            <w:spacing w:line="276" w:lineRule="auto"/>
            <w:jc w:val="both"/>
            <w:rPr>
              <w:rFonts w:eastAsiaTheme="minorEastAsia"/>
              <w:noProof/>
              <w:kern w:val="2"/>
              <w:sz w:val="24"/>
              <w:szCs w:val="24"/>
              <w14:ligatures w14:val="standardContextual"/>
            </w:rPr>
          </w:pPr>
          <w:hyperlink w:anchor="_Toc163650201" w:history="1">
            <w:r w:rsidR="0094642A" w:rsidRPr="00863B7E">
              <w:rPr>
                <w:rStyle w:val="Hyperlink"/>
                <w:rFonts w:ascii="David" w:hAnsi="David" w:cs="David"/>
                <w:noProof/>
              </w:rPr>
              <w:t>Intrinsic vs. extrinsic social compliance motivation</w:t>
            </w:r>
            <w:r w:rsidR="0094642A">
              <w:rPr>
                <w:noProof/>
                <w:webHidden/>
              </w:rPr>
              <w:tab/>
            </w:r>
            <w:r w:rsidR="0094642A">
              <w:rPr>
                <w:noProof/>
                <w:webHidden/>
              </w:rPr>
              <w:fldChar w:fldCharType="begin"/>
            </w:r>
            <w:r w:rsidR="0094642A">
              <w:rPr>
                <w:noProof/>
                <w:webHidden/>
              </w:rPr>
              <w:instrText xml:space="preserve"> PAGEREF _Toc163650201 \h </w:instrText>
            </w:r>
            <w:r w:rsidR="0094642A">
              <w:rPr>
                <w:noProof/>
                <w:webHidden/>
              </w:rPr>
            </w:r>
            <w:r w:rsidR="0094642A">
              <w:rPr>
                <w:noProof/>
                <w:webHidden/>
              </w:rPr>
              <w:fldChar w:fldCharType="separate"/>
            </w:r>
            <w:r w:rsidR="0094642A">
              <w:rPr>
                <w:noProof/>
                <w:webHidden/>
              </w:rPr>
              <w:t>12</w:t>
            </w:r>
            <w:r w:rsidR="0094642A">
              <w:rPr>
                <w:noProof/>
                <w:webHidden/>
              </w:rPr>
              <w:fldChar w:fldCharType="end"/>
            </w:r>
          </w:hyperlink>
        </w:p>
        <w:p w14:paraId="4EBFD698" w14:textId="7FF6EFA0"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02" w:history="1">
            <w:r w:rsidR="0094642A" w:rsidRPr="00863B7E">
              <w:rPr>
                <w:rStyle w:val="Hyperlink"/>
                <w:noProof/>
              </w:rPr>
              <w:t>Social norms as intrinsic motivation?</w:t>
            </w:r>
            <w:r w:rsidR="0094642A">
              <w:rPr>
                <w:noProof/>
                <w:webHidden/>
              </w:rPr>
              <w:tab/>
            </w:r>
            <w:r w:rsidR="0094642A">
              <w:rPr>
                <w:noProof/>
                <w:webHidden/>
              </w:rPr>
              <w:fldChar w:fldCharType="begin"/>
            </w:r>
            <w:r w:rsidR="0094642A">
              <w:rPr>
                <w:noProof/>
                <w:webHidden/>
              </w:rPr>
              <w:instrText xml:space="preserve"> PAGEREF _Toc163650202 \h </w:instrText>
            </w:r>
            <w:r w:rsidR="0094642A">
              <w:rPr>
                <w:noProof/>
                <w:webHidden/>
              </w:rPr>
            </w:r>
            <w:r w:rsidR="0094642A">
              <w:rPr>
                <w:noProof/>
                <w:webHidden/>
              </w:rPr>
              <w:fldChar w:fldCharType="separate"/>
            </w:r>
            <w:r w:rsidR="0094642A">
              <w:rPr>
                <w:noProof/>
                <w:webHidden/>
              </w:rPr>
              <w:t>14</w:t>
            </w:r>
            <w:r w:rsidR="0094642A">
              <w:rPr>
                <w:noProof/>
                <w:webHidden/>
              </w:rPr>
              <w:fldChar w:fldCharType="end"/>
            </w:r>
          </w:hyperlink>
        </w:p>
        <w:p w14:paraId="30985FE2" w14:textId="3519F6D3"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03" w:history="1">
            <w:r w:rsidR="0094642A" w:rsidRPr="00863B7E">
              <w:rPr>
                <w:rStyle w:val="Hyperlink"/>
                <w:noProof/>
              </w:rPr>
              <w:t>Social norms as a behavioral intervention</w:t>
            </w:r>
            <w:r w:rsidR="0094642A">
              <w:rPr>
                <w:noProof/>
                <w:webHidden/>
              </w:rPr>
              <w:tab/>
            </w:r>
            <w:r w:rsidR="0094642A">
              <w:rPr>
                <w:noProof/>
                <w:webHidden/>
              </w:rPr>
              <w:fldChar w:fldCharType="begin"/>
            </w:r>
            <w:r w:rsidR="0094642A">
              <w:rPr>
                <w:noProof/>
                <w:webHidden/>
              </w:rPr>
              <w:instrText xml:space="preserve"> PAGEREF _Toc163650203 \h </w:instrText>
            </w:r>
            <w:r w:rsidR="0094642A">
              <w:rPr>
                <w:noProof/>
                <w:webHidden/>
              </w:rPr>
            </w:r>
            <w:r w:rsidR="0094642A">
              <w:rPr>
                <w:noProof/>
                <w:webHidden/>
              </w:rPr>
              <w:fldChar w:fldCharType="separate"/>
            </w:r>
            <w:r w:rsidR="0094642A">
              <w:rPr>
                <w:noProof/>
                <w:webHidden/>
              </w:rPr>
              <w:t>15</w:t>
            </w:r>
            <w:r w:rsidR="0094642A">
              <w:rPr>
                <w:noProof/>
                <w:webHidden/>
              </w:rPr>
              <w:fldChar w:fldCharType="end"/>
            </w:r>
          </w:hyperlink>
        </w:p>
        <w:p w14:paraId="60A332B2" w14:textId="35A5AA64" w:rsidR="0094642A" w:rsidRDefault="00000000" w:rsidP="00EF1E09">
          <w:pPr>
            <w:pStyle w:val="TOC3"/>
            <w:tabs>
              <w:tab w:val="right" w:leader="dot" w:pos="8296"/>
            </w:tabs>
            <w:spacing w:line="276" w:lineRule="auto"/>
            <w:jc w:val="both"/>
            <w:rPr>
              <w:rFonts w:eastAsiaTheme="minorEastAsia"/>
              <w:noProof/>
              <w:kern w:val="2"/>
              <w:sz w:val="24"/>
              <w:szCs w:val="24"/>
              <w14:ligatures w14:val="standardContextual"/>
            </w:rPr>
          </w:pPr>
          <w:hyperlink w:anchor="_Toc163650204" w:history="1">
            <w:r w:rsidR="0094642A" w:rsidRPr="00863B7E">
              <w:rPr>
                <w:rStyle w:val="Hyperlink"/>
                <w:noProof/>
              </w:rPr>
              <w:t>Competing Intrinsic accounts of social motivation</w:t>
            </w:r>
            <w:r w:rsidR="0094642A">
              <w:rPr>
                <w:noProof/>
                <w:webHidden/>
              </w:rPr>
              <w:tab/>
            </w:r>
            <w:r w:rsidR="0094642A">
              <w:rPr>
                <w:noProof/>
                <w:webHidden/>
              </w:rPr>
              <w:fldChar w:fldCharType="begin"/>
            </w:r>
            <w:r w:rsidR="0094642A">
              <w:rPr>
                <w:noProof/>
                <w:webHidden/>
              </w:rPr>
              <w:instrText xml:space="preserve"> PAGEREF _Toc163650204 \h </w:instrText>
            </w:r>
            <w:r w:rsidR="0094642A">
              <w:rPr>
                <w:noProof/>
                <w:webHidden/>
              </w:rPr>
            </w:r>
            <w:r w:rsidR="0094642A">
              <w:rPr>
                <w:noProof/>
                <w:webHidden/>
              </w:rPr>
              <w:fldChar w:fldCharType="separate"/>
            </w:r>
            <w:r w:rsidR="0094642A">
              <w:rPr>
                <w:noProof/>
                <w:webHidden/>
              </w:rPr>
              <w:t>16</w:t>
            </w:r>
            <w:r w:rsidR="0094642A">
              <w:rPr>
                <w:noProof/>
                <w:webHidden/>
              </w:rPr>
              <w:fldChar w:fldCharType="end"/>
            </w:r>
          </w:hyperlink>
        </w:p>
        <w:p w14:paraId="6FDCCF72" w14:textId="016F0B74"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05" w:history="1">
            <w:r w:rsidR="0094642A" w:rsidRPr="00863B7E">
              <w:rPr>
                <w:rStyle w:val="Hyperlink"/>
                <w:noProof/>
              </w:rPr>
              <w:t>Morality as intrinsic motivation?</w:t>
            </w:r>
            <w:r w:rsidR="0094642A">
              <w:rPr>
                <w:noProof/>
                <w:webHidden/>
              </w:rPr>
              <w:tab/>
            </w:r>
            <w:r w:rsidR="0094642A">
              <w:rPr>
                <w:noProof/>
                <w:webHidden/>
              </w:rPr>
              <w:fldChar w:fldCharType="begin"/>
            </w:r>
            <w:r w:rsidR="0094642A">
              <w:rPr>
                <w:noProof/>
                <w:webHidden/>
              </w:rPr>
              <w:instrText xml:space="preserve"> PAGEREF _Toc163650205 \h </w:instrText>
            </w:r>
            <w:r w:rsidR="0094642A">
              <w:rPr>
                <w:noProof/>
                <w:webHidden/>
              </w:rPr>
            </w:r>
            <w:r w:rsidR="0094642A">
              <w:rPr>
                <w:noProof/>
                <w:webHidden/>
              </w:rPr>
              <w:fldChar w:fldCharType="separate"/>
            </w:r>
            <w:r w:rsidR="0094642A">
              <w:rPr>
                <w:noProof/>
                <w:webHidden/>
              </w:rPr>
              <w:t>17</w:t>
            </w:r>
            <w:r w:rsidR="0094642A">
              <w:rPr>
                <w:noProof/>
                <w:webHidden/>
              </w:rPr>
              <w:fldChar w:fldCharType="end"/>
            </w:r>
          </w:hyperlink>
        </w:p>
        <w:p w14:paraId="050F4121" w14:textId="34EDAE72"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06" w:history="1">
            <w:r w:rsidR="0094642A" w:rsidRPr="00863B7E">
              <w:rPr>
                <w:rStyle w:val="Hyperlink"/>
                <w:noProof/>
              </w:rPr>
              <w:t>The advantage of procedural justice over other forms of justice in generating voluntary compliance.</w:t>
            </w:r>
            <w:r w:rsidR="0094642A">
              <w:rPr>
                <w:noProof/>
                <w:webHidden/>
              </w:rPr>
              <w:tab/>
            </w:r>
            <w:r w:rsidR="0094642A">
              <w:rPr>
                <w:noProof/>
                <w:webHidden/>
              </w:rPr>
              <w:fldChar w:fldCharType="begin"/>
            </w:r>
            <w:r w:rsidR="0094642A">
              <w:rPr>
                <w:noProof/>
                <w:webHidden/>
              </w:rPr>
              <w:instrText xml:space="preserve"> PAGEREF _Toc163650206 \h </w:instrText>
            </w:r>
            <w:r w:rsidR="0094642A">
              <w:rPr>
                <w:noProof/>
                <w:webHidden/>
              </w:rPr>
            </w:r>
            <w:r w:rsidR="0094642A">
              <w:rPr>
                <w:noProof/>
                <w:webHidden/>
              </w:rPr>
              <w:fldChar w:fldCharType="separate"/>
            </w:r>
            <w:r w:rsidR="0094642A">
              <w:rPr>
                <w:noProof/>
                <w:webHidden/>
              </w:rPr>
              <w:t>20</w:t>
            </w:r>
            <w:r w:rsidR="0094642A">
              <w:rPr>
                <w:noProof/>
                <w:webHidden/>
              </w:rPr>
              <w:fldChar w:fldCharType="end"/>
            </w:r>
          </w:hyperlink>
        </w:p>
        <w:p w14:paraId="35423414" w14:textId="6868959A"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07" w:history="1">
            <w:r w:rsidR="0094642A" w:rsidRPr="00863B7E">
              <w:rPr>
                <w:rStyle w:val="Hyperlink"/>
                <w:noProof/>
              </w:rPr>
              <w:t>Legitimate laws and moral motivation</w:t>
            </w:r>
            <w:r w:rsidR="0094642A">
              <w:rPr>
                <w:noProof/>
                <w:webHidden/>
              </w:rPr>
              <w:tab/>
            </w:r>
            <w:r w:rsidR="0094642A">
              <w:rPr>
                <w:noProof/>
                <w:webHidden/>
              </w:rPr>
              <w:fldChar w:fldCharType="begin"/>
            </w:r>
            <w:r w:rsidR="0094642A">
              <w:rPr>
                <w:noProof/>
                <w:webHidden/>
              </w:rPr>
              <w:instrText xml:space="preserve"> PAGEREF _Toc163650207 \h </w:instrText>
            </w:r>
            <w:r w:rsidR="0094642A">
              <w:rPr>
                <w:noProof/>
                <w:webHidden/>
              </w:rPr>
            </w:r>
            <w:r w:rsidR="0094642A">
              <w:rPr>
                <w:noProof/>
                <w:webHidden/>
              </w:rPr>
              <w:fldChar w:fldCharType="separate"/>
            </w:r>
            <w:r w:rsidR="0094642A">
              <w:rPr>
                <w:noProof/>
                <w:webHidden/>
              </w:rPr>
              <w:t>20</w:t>
            </w:r>
            <w:r w:rsidR="0094642A">
              <w:rPr>
                <w:noProof/>
                <w:webHidden/>
              </w:rPr>
              <w:fldChar w:fldCharType="end"/>
            </w:r>
          </w:hyperlink>
        </w:p>
        <w:p w14:paraId="47D4B9BC" w14:textId="4BAAC32B"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08" w:history="1">
            <w:r w:rsidR="0094642A" w:rsidRPr="00863B7E">
              <w:rPr>
                <w:rStyle w:val="Hyperlink"/>
                <w:noProof/>
              </w:rPr>
              <w:t>Motivational postures paradigm</w:t>
            </w:r>
            <w:r w:rsidR="0094642A">
              <w:rPr>
                <w:noProof/>
                <w:webHidden/>
              </w:rPr>
              <w:tab/>
            </w:r>
            <w:r w:rsidR="0094642A">
              <w:rPr>
                <w:noProof/>
                <w:webHidden/>
              </w:rPr>
              <w:fldChar w:fldCharType="begin"/>
            </w:r>
            <w:r w:rsidR="0094642A">
              <w:rPr>
                <w:noProof/>
                <w:webHidden/>
              </w:rPr>
              <w:instrText xml:space="preserve"> PAGEREF _Toc163650208 \h </w:instrText>
            </w:r>
            <w:r w:rsidR="0094642A">
              <w:rPr>
                <w:noProof/>
                <w:webHidden/>
              </w:rPr>
            </w:r>
            <w:r w:rsidR="0094642A">
              <w:rPr>
                <w:noProof/>
                <w:webHidden/>
              </w:rPr>
              <w:fldChar w:fldCharType="separate"/>
            </w:r>
            <w:r w:rsidR="0094642A">
              <w:rPr>
                <w:noProof/>
                <w:webHidden/>
              </w:rPr>
              <w:t>21</w:t>
            </w:r>
            <w:r w:rsidR="0094642A">
              <w:rPr>
                <w:noProof/>
                <w:webHidden/>
              </w:rPr>
              <w:fldChar w:fldCharType="end"/>
            </w:r>
          </w:hyperlink>
        </w:p>
        <w:p w14:paraId="46E62C4D" w14:textId="5E6D17E3"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09" w:history="1">
            <w:r w:rsidR="0094642A" w:rsidRPr="00863B7E">
              <w:rPr>
                <w:rStyle w:val="Hyperlink"/>
                <w:noProof/>
              </w:rPr>
              <w:t>Conditional crowding out effect of intrinsic motivation</w:t>
            </w:r>
            <w:r w:rsidR="0094642A">
              <w:rPr>
                <w:noProof/>
                <w:webHidden/>
              </w:rPr>
              <w:tab/>
            </w:r>
            <w:r w:rsidR="0094642A">
              <w:rPr>
                <w:noProof/>
                <w:webHidden/>
              </w:rPr>
              <w:fldChar w:fldCharType="begin"/>
            </w:r>
            <w:r w:rsidR="0094642A">
              <w:rPr>
                <w:noProof/>
                <w:webHidden/>
              </w:rPr>
              <w:instrText xml:space="preserve"> PAGEREF _Toc163650209 \h </w:instrText>
            </w:r>
            <w:r w:rsidR="0094642A">
              <w:rPr>
                <w:noProof/>
                <w:webHidden/>
              </w:rPr>
            </w:r>
            <w:r w:rsidR="0094642A">
              <w:rPr>
                <w:noProof/>
                <w:webHidden/>
              </w:rPr>
              <w:fldChar w:fldCharType="separate"/>
            </w:r>
            <w:r w:rsidR="0094642A">
              <w:rPr>
                <w:noProof/>
                <w:webHidden/>
              </w:rPr>
              <w:t>23</w:t>
            </w:r>
            <w:r w:rsidR="0094642A">
              <w:rPr>
                <w:noProof/>
                <w:webHidden/>
              </w:rPr>
              <w:fldChar w:fldCharType="end"/>
            </w:r>
          </w:hyperlink>
        </w:p>
        <w:p w14:paraId="073E58FF" w14:textId="2ABBE364"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10" w:history="1">
            <w:r w:rsidR="0094642A" w:rsidRPr="00863B7E">
              <w:rPr>
                <w:rStyle w:val="Hyperlink"/>
                <w:noProof/>
              </w:rPr>
              <w:t>The Challenge of tailoring interventions, when level of intrinsic motivation varies across people</w:t>
            </w:r>
            <w:r w:rsidR="0094642A">
              <w:rPr>
                <w:noProof/>
                <w:webHidden/>
              </w:rPr>
              <w:tab/>
            </w:r>
            <w:r w:rsidR="0094642A">
              <w:rPr>
                <w:noProof/>
                <w:webHidden/>
              </w:rPr>
              <w:fldChar w:fldCharType="begin"/>
            </w:r>
            <w:r w:rsidR="0094642A">
              <w:rPr>
                <w:noProof/>
                <w:webHidden/>
              </w:rPr>
              <w:instrText xml:space="preserve"> PAGEREF _Toc163650210 \h </w:instrText>
            </w:r>
            <w:r w:rsidR="0094642A">
              <w:rPr>
                <w:noProof/>
                <w:webHidden/>
              </w:rPr>
            </w:r>
            <w:r w:rsidR="0094642A">
              <w:rPr>
                <w:noProof/>
                <w:webHidden/>
              </w:rPr>
              <w:fldChar w:fldCharType="separate"/>
            </w:r>
            <w:r w:rsidR="0094642A">
              <w:rPr>
                <w:noProof/>
                <w:webHidden/>
              </w:rPr>
              <w:t>24</w:t>
            </w:r>
            <w:r w:rsidR="0094642A">
              <w:rPr>
                <w:noProof/>
                <w:webHidden/>
              </w:rPr>
              <w:fldChar w:fldCharType="end"/>
            </w:r>
          </w:hyperlink>
        </w:p>
        <w:p w14:paraId="7DE8EC00" w14:textId="070B00EB"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11" w:history="1">
            <w:r w:rsidR="0094642A" w:rsidRPr="00863B7E">
              <w:rPr>
                <w:rStyle w:val="Hyperlink"/>
                <w:noProof/>
              </w:rPr>
              <w:t>Is Trust intrinsic or extrinsic?</w:t>
            </w:r>
            <w:r w:rsidR="0094642A">
              <w:rPr>
                <w:noProof/>
                <w:webHidden/>
              </w:rPr>
              <w:tab/>
            </w:r>
            <w:r w:rsidR="0094642A">
              <w:rPr>
                <w:noProof/>
                <w:webHidden/>
              </w:rPr>
              <w:fldChar w:fldCharType="begin"/>
            </w:r>
            <w:r w:rsidR="0094642A">
              <w:rPr>
                <w:noProof/>
                <w:webHidden/>
              </w:rPr>
              <w:instrText xml:space="preserve"> PAGEREF _Toc163650211 \h </w:instrText>
            </w:r>
            <w:r w:rsidR="0094642A">
              <w:rPr>
                <w:noProof/>
                <w:webHidden/>
              </w:rPr>
            </w:r>
            <w:r w:rsidR="0094642A">
              <w:rPr>
                <w:noProof/>
                <w:webHidden/>
              </w:rPr>
              <w:fldChar w:fldCharType="separate"/>
            </w:r>
            <w:r w:rsidR="0094642A">
              <w:rPr>
                <w:noProof/>
                <w:webHidden/>
              </w:rPr>
              <w:t>25</w:t>
            </w:r>
            <w:r w:rsidR="0094642A">
              <w:rPr>
                <w:noProof/>
                <w:webHidden/>
              </w:rPr>
              <w:fldChar w:fldCharType="end"/>
            </w:r>
          </w:hyperlink>
        </w:p>
        <w:p w14:paraId="6BB2B322" w14:textId="11DF689C" w:rsidR="0094642A" w:rsidRDefault="00000000" w:rsidP="00EF1E09">
          <w:pPr>
            <w:pStyle w:val="TOC2"/>
            <w:spacing w:line="276" w:lineRule="auto"/>
            <w:jc w:val="both"/>
            <w:rPr>
              <w:rFonts w:eastAsiaTheme="minorEastAsia"/>
              <w:noProof/>
              <w:kern w:val="2"/>
              <w:sz w:val="24"/>
              <w:szCs w:val="24"/>
              <w14:ligatures w14:val="standardContextual"/>
            </w:rPr>
          </w:pPr>
          <w:hyperlink w:anchor="_Toc163650212" w:history="1">
            <w:r w:rsidR="0094642A" w:rsidRPr="00863B7E">
              <w:rPr>
                <w:rStyle w:val="Hyperlink"/>
                <w:noProof/>
              </w:rPr>
              <w:t>Trust and deterrence additive or destructive?</w:t>
            </w:r>
            <w:r w:rsidR="0094642A">
              <w:rPr>
                <w:noProof/>
                <w:webHidden/>
              </w:rPr>
              <w:tab/>
            </w:r>
            <w:r w:rsidR="0094642A">
              <w:rPr>
                <w:noProof/>
                <w:webHidden/>
              </w:rPr>
              <w:fldChar w:fldCharType="begin"/>
            </w:r>
            <w:r w:rsidR="0094642A">
              <w:rPr>
                <w:noProof/>
                <w:webHidden/>
              </w:rPr>
              <w:instrText xml:space="preserve"> PAGEREF _Toc163650212 \h </w:instrText>
            </w:r>
            <w:r w:rsidR="0094642A">
              <w:rPr>
                <w:noProof/>
                <w:webHidden/>
              </w:rPr>
            </w:r>
            <w:r w:rsidR="0094642A">
              <w:rPr>
                <w:noProof/>
                <w:webHidden/>
              </w:rPr>
              <w:fldChar w:fldCharType="separate"/>
            </w:r>
            <w:r w:rsidR="0094642A">
              <w:rPr>
                <w:noProof/>
                <w:webHidden/>
              </w:rPr>
              <w:t>25</w:t>
            </w:r>
            <w:r w:rsidR="0094642A">
              <w:rPr>
                <w:noProof/>
                <w:webHidden/>
              </w:rPr>
              <w:fldChar w:fldCharType="end"/>
            </w:r>
          </w:hyperlink>
        </w:p>
        <w:p w14:paraId="79FE7070" w14:textId="2223C58C" w:rsidR="00096338" w:rsidRDefault="00096338" w:rsidP="00EF1E09">
          <w:pPr>
            <w:spacing w:line="276" w:lineRule="auto"/>
            <w:jc w:val="both"/>
          </w:pPr>
          <w:r>
            <w:rPr>
              <w:b/>
              <w:bCs/>
              <w:noProof/>
            </w:rPr>
            <w:fldChar w:fldCharType="end"/>
          </w:r>
        </w:p>
      </w:sdtContent>
    </w:sdt>
    <w:p w14:paraId="656AA29B" w14:textId="77777777" w:rsidR="001E787F" w:rsidRDefault="001E787F" w:rsidP="00EF1E09">
      <w:pPr>
        <w:spacing w:line="360" w:lineRule="auto"/>
        <w:jc w:val="both"/>
        <w:rPr>
          <w:rFonts w:ascii="David" w:hAnsi="David" w:cs="David"/>
        </w:rPr>
      </w:pPr>
    </w:p>
    <w:p w14:paraId="2BA03518" w14:textId="012B050C" w:rsidR="001C66B1" w:rsidRPr="0047237E" w:rsidRDefault="000F1024" w:rsidP="00EF1E09">
      <w:pPr>
        <w:spacing w:line="360" w:lineRule="auto"/>
        <w:jc w:val="both"/>
        <w:rPr>
          <w:rFonts w:ascii="David" w:hAnsi="David" w:cs="David"/>
        </w:rPr>
      </w:pPr>
      <w:r w:rsidRPr="000F1024">
        <w:rPr>
          <w:rFonts w:ascii="David" w:hAnsi="David" w:cs="David"/>
        </w:rPr>
        <w:lastRenderedPageBreak/>
        <w:t>In the previous chapter, we outline</w:t>
      </w:r>
      <w:r>
        <w:rPr>
          <w:rFonts w:ascii="David" w:hAnsi="David" w:cs="David"/>
        </w:rPr>
        <w:t>d the main purposes of the book</w:t>
      </w:r>
      <w:r w:rsidR="001E787F">
        <w:rPr>
          <w:rFonts w:ascii="David" w:hAnsi="David" w:cs="David"/>
        </w:rPr>
        <w:t xml:space="preserve">. </w:t>
      </w:r>
      <w:r w:rsidRPr="000F1024">
        <w:rPr>
          <w:rFonts w:ascii="David" w:hAnsi="David" w:cs="David"/>
        </w:rPr>
        <w:t xml:space="preserve">However, another important part of the discussion on </w:t>
      </w:r>
      <w:r w:rsidR="00D3361C" w:rsidRPr="000F1024">
        <w:rPr>
          <w:rFonts w:ascii="David" w:hAnsi="David" w:cs="David"/>
        </w:rPr>
        <w:t>whether</w:t>
      </w:r>
      <w:r w:rsidRPr="000F1024">
        <w:rPr>
          <w:rFonts w:ascii="David" w:hAnsi="David" w:cs="David"/>
        </w:rPr>
        <w:t xml:space="preserve"> the public can be trusted is related to </w:t>
      </w:r>
      <w:r>
        <w:rPr>
          <w:rFonts w:ascii="David" w:hAnsi="David" w:cs="David"/>
        </w:rPr>
        <w:t>individual motivation to comply</w:t>
      </w:r>
      <w:r w:rsidR="009E603E" w:rsidRPr="0047237E">
        <w:rPr>
          <w:rFonts w:ascii="David" w:hAnsi="David" w:cs="David"/>
        </w:rPr>
        <w:t xml:space="preserve">. </w:t>
      </w:r>
    </w:p>
    <w:p w14:paraId="154AAA7C" w14:textId="14EC333E" w:rsidR="009E603E" w:rsidRPr="0047237E" w:rsidRDefault="000F1024" w:rsidP="00EF1E09">
      <w:pPr>
        <w:spacing w:line="360" w:lineRule="auto"/>
        <w:jc w:val="both"/>
        <w:rPr>
          <w:rFonts w:ascii="David" w:hAnsi="David" w:cs="David"/>
        </w:rPr>
      </w:pPr>
      <w:r w:rsidRPr="000F1024">
        <w:rPr>
          <w:rFonts w:ascii="David" w:hAnsi="David" w:cs="David"/>
        </w:rPr>
        <w:t>Presumably, there are certain motivations that are more likely to enhance trustworthiness in people</w:t>
      </w:r>
      <w:r w:rsidR="009E603E" w:rsidRPr="0047237E">
        <w:rPr>
          <w:rFonts w:ascii="David" w:hAnsi="David" w:cs="David"/>
        </w:rPr>
        <w:t xml:space="preserve">. For example, </w:t>
      </w:r>
      <w:r w:rsidR="001E787F">
        <w:rPr>
          <w:rFonts w:ascii="David" w:hAnsi="David" w:cs="David"/>
        </w:rPr>
        <w:t xml:space="preserve">an action motivated by external circumstances, such as monitoring and incentives, seems less stable than actions that result from an intrinsic </w:t>
      </w:r>
      <w:r w:rsidR="00120AC2">
        <w:rPr>
          <w:rFonts w:ascii="David" w:hAnsi="David" w:cs="David"/>
        </w:rPr>
        <w:t xml:space="preserve">motivation that is from an agent's personality traits and beliefs. The stableness of such intrinsic motivations rings true even by law and economics accounts. </w:t>
      </w:r>
      <w:r w:rsidRPr="000F1024">
        <w:rPr>
          <w:rFonts w:ascii="David" w:hAnsi="David" w:cs="David"/>
        </w:rPr>
        <w:t>For instance, according to Robert Cooter's equilibrium account, internalization of legal norms is likely to produce stable civic acts in the public</w:t>
      </w:r>
      <w:r w:rsidR="00615CFE">
        <w:rPr>
          <w:rFonts w:ascii="David" w:hAnsi="David" w:cs="David"/>
        </w:rPr>
        <w:t>.</w:t>
      </w:r>
      <w:r w:rsidR="00615CFE" w:rsidRPr="0047237E">
        <w:rPr>
          <w:rStyle w:val="FootnoteReference"/>
          <w:rFonts w:ascii="David" w:hAnsi="David" w:cs="David"/>
        </w:rPr>
        <w:footnoteReference w:id="1"/>
      </w:r>
      <w:r w:rsidR="00A274FA" w:rsidRPr="0047237E">
        <w:rPr>
          <w:rFonts w:ascii="David" w:hAnsi="David" w:cs="David"/>
        </w:rPr>
        <w:t xml:space="preserve"> </w:t>
      </w:r>
    </w:p>
    <w:p w14:paraId="092F1AEA" w14:textId="69FB4587" w:rsidR="00CC5B5B" w:rsidRDefault="000F1024" w:rsidP="00EF1E09">
      <w:pPr>
        <w:spacing w:line="360" w:lineRule="auto"/>
        <w:jc w:val="both"/>
        <w:rPr>
          <w:rFonts w:ascii="David" w:hAnsi="David" w:cs="David"/>
        </w:rPr>
      </w:pPr>
      <w:r w:rsidRPr="000F1024">
        <w:rPr>
          <w:rFonts w:ascii="David" w:hAnsi="David" w:cs="David"/>
        </w:rPr>
        <w:t>It should, of course, be borne in mind that voluntary compliance is not contingent on changing individual motivation</w:t>
      </w:r>
      <w:r w:rsidR="00AA5E14">
        <w:rPr>
          <w:rFonts w:ascii="David" w:hAnsi="David" w:cs="David"/>
        </w:rPr>
        <w:t>.</w:t>
      </w:r>
      <w:r w:rsidR="00624811">
        <w:rPr>
          <w:rFonts w:ascii="David" w:hAnsi="David" w:cs="David"/>
        </w:rPr>
        <w:t xml:space="preserve"> As discussed in the previous chapter, voluntary compliance could mean more than one thing, and there are more thin definition</w:t>
      </w:r>
      <w:r w:rsidR="00066891">
        <w:rPr>
          <w:rFonts w:ascii="David" w:hAnsi="David" w:cs="David"/>
        </w:rPr>
        <w:t>s</w:t>
      </w:r>
      <w:r w:rsidR="00624811">
        <w:rPr>
          <w:rFonts w:ascii="David" w:hAnsi="David" w:cs="David"/>
        </w:rPr>
        <w:t xml:space="preserve"> of voluntary compliance which </w:t>
      </w:r>
      <w:proofErr w:type="gramStart"/>
      <w:r w:rsidR="00624811">
        <w:rPr>
          <w:rFonts w:ascii="David" w:hAnsi="David" w:cs="David"/>
        </w:rPr>
        <w:t>is</w:t>
      </w:r>
      <w:proofErr w:type="gramEnd"/>
      <w:r w:rsidR="00624811">
        <w:rPr>
          <w:rFonts w:ascii="David" w:hAnsi="David" w:cs="David"/>
        </w:rPr>
        <w:t xml:space="preserve"> not driven by intrinsic motivation on one hand but are also not coerced. However</w:t>
      </w:r>
      <w:r w:rsidR="00066891">
        <w:rPr>
          <w:rFonts w:ascii="David" w:hAnsi="David" w:cs="David"/>
        </w:rPr>
        <w:t>,</w:t>
      </w:r>
      <w:r w:rsidR="00624811">
        <w:rPr>
          <w:rFonts w:ascii="David" w:hAnsi="David" w:cs="David"/>
        </w:rPr>
        <w:t xml:space="preserve"> in many ways, </w:t>
      </w:r>
      <w:r w:rsidR="00066891">
        <w:rPr>
          <w:rFonts w:ascii="David" w:hAnsi="David" w:cs="David"/>
        </w:rPr>
        <w:t xml:space="preserve">compliance motivation is the driving force behind the change this book wishes to bring in both regulation and compliance literatures.  </w:t>
      </w:r>
      <w:r w:rsidRPr="000F1024">
        <w:rPr>
          <w:rFonts w:ascii="David" w:hAnsi="David" w:cs="David"/>
        </w:rPr>
        <w:t>Moreover, motivation theories do not presume to suggest that changing individuals' motivation is a solution to all societal problems</w:t>
      </w:r>
      <w:r w:rsidR="000970FE" w:rsidRPr="0047237E">
        <w:rPr>
          <w:rFonts w:ascii="David" w:hAnsi="David" w:cs="David"/>
        </w:rPr>
        <w:t>.</w:t>
      </w:r>
      <w:r w:rsidR="00F047D0" w:rsidRPr="0047237E">
        <w:rPr>
          <w:rStyle w:val="FootnoteReference"/>
          <w:rFonts w:ascii="David" w:hAnsi="David" w:cs="David"/>
        </w:rPr>
        <w:footnoteReference w:id="2"/>
      </w:r>
      <w:r w:rsidR="000970FE">
        <w:rPr>
          <w:rFonts w:ascii="David" w:hAnsi="David" w:cs="David"/>
        </w:rPr>
        <w:t xml:space="preserve"> </w:t>
      </w:r>
    </w:p>
    <w:p w14:paraId="6E83E6F8" w14:textId="40783071" w:rsidR="00A274FA" w:rsidRDefault="00F047D0" w:rsidP="00EF1E09">
      <w:pPr>
        <w:spacing w:line="360" w:lineRule="auto"/>
        <w:jc w:val="both"/>
        <w:rPr>
          <w:rFonts w:ascii="David" w:hAnsi="David" w:cs="David"/>
        </w:rPr>
      </w:pPr>
      <w:r>
        <w:rPr>
          <w:rFonts w:ascii="David" w:hAnsi="David" w:cs="David"/>
        </w:rPr>
        <w:t>Nonetheless</w:t>
      </w:r>
      <w:r w:rsidR="00A274FA" w:rsidRPr="0047237E">
        <w:rPr>
          <w:rFonts w:ascii="David" w:hAnsi="David" w:cs="David"/>
        </w:rPr>
        <w:t xml:space="preserve">, </w:t>
      </w:r>
      <w:r w:rsidR="00CC5B5B">
        <w:rPr>
          <w:rFonts w:ascii="David" w:hAnsi="David" w:cs="David"/>
        </w:rPr>
        <w:t xml:space="preserve">motivation theories </w:t>
      </w:r>
      <w:r w:rsidR="00A274FA" w:rsidRPr="0047237E">
        <w:rPr>
          <w:rFonts w:ascii="David" w:hAnsi="David" w:cs="David"/>
        </w:rPr>
        <w:t xml:space="preserve">challenge </w:t>
      </w:r>
      <w:r>
        <w:rPr>
          <w:rFonts w:ascii="David" w:hAnsi="David" w:cs="David"/>
        </w:rPr>
        <w:t xml:space="preserve">dominant </w:t>
      </w:r>
      <w:r w:rsidR="00CC5B5B">
        <w:rPr>
          <w:rFonts w:ascii="David" w:hAnsi="David" w:cs="David"/>
        </w:rPr>
        <w:t>accounts</w:t>
      </w:r>
      <w:r>
        <w:rPr>
          <w:rFonts w:ascii="David" w:hAnsi="David" w:cs="David"/>
        </w:rPr>
        <w:t xml:space="preserve">, such as nudges theory, </w:t>
      </w:r>
      <w:r w:rsidR="00D94C59">
        <w:rPr>
          <w:rFonts w:ascii="David" w:hAnsi="David" w:cs="David"/>
        </w:rPr>
        <w:t xml:space="preserve">which </w:t>
      </w:r>
      <w:r>
        <w:rPr>
          <w:rFonts w:ascii="David" w:hAnsi="David" w:cs="David"/>
        </w:rPr>
        <w:t xml:space="preserve">attempt to </w:t>
      </w:r>
      <w:proofErr w:type="gramStart"/>
      <w:r>
        <w:rPr>
          <w:rFonts w:ascii="David" w:hAnsi="David" w:cs="David"/>
        </w:rPr>
        <w:t>changes</w:t>
      </w:r>
      <w:proofErr w:type="gramEnd"/>
      <w:r>
        <w:rPr>
          <w:rFonts w:ascii="David" w:hAnsi="David" w:cs="David"/>
        </w:rPr>
        <w:t xml:space="preserve"> individuals' behavior while ignoring their underlying</w:t>
      </w:r>
      <w:r w:rsidR="00A274FA" w:rsidRPr="0047237E">
        <w:rPr>
          <w:rFonts w:ascii="David" w:hAnsi="David" w:cs="David"/>
        </w:rPr>
        <w:t xml:space="preserve"> motivation</w:t>
      </w:r>
      <w:r>
        <w:rPr>
          <w:rFonts w:ascii="David" w:hAnsi="David" w:cs="David"/>
        </w:rPr>
        <w:t>.</w:t>
      </w:r>
      <w:r w:rsidR="00AA5E14">
        <w:rPr>
          <w:rFonts w:ascii="David" w:hAnsi="David" w:cs="David"/>
        </w:rPr>
        <w:t xml:space="preserve"> </w:t>
      </w:r>
      <w:r w:rsidR="000F1024" w:rsidRPr="000F1024">
        <w:rPr>
          <w:rFonts w:ascii="David" w:hAnsi="David" w:cs="David"/>
        </w:rPr>
        <w:t xml:space="preserve">Hence, the aim of this </w:t>
      </w:r>
      <w:r w:rsidR="00B34976">
        <w:rPr>
          <w:rFonts w:ascii="David" w:hAnsi="David" w:cs="David"/>
        </w:rPr>
        <w:t>c</w:t>
      </w:r>
      <w:r w:rsidR="000F1024" w:rsidRPr="000F1024">
        <w:rPr>
          <w:rFonts w:ascii="David" w:hAnsi="David" w:cs="David"/>
        </w:rPr>
        <w:t>hapter is to examine whether motivation analysis could reduce and limit the role of the state in monitoring individual behaviors</w:t>
      </w:r>
      <w:r w:rsidR="008B4F78" w:rsidRPr="0047237E">
        <w:rPr>
          <w:rFonts w:ascii="David" w:hAnsi="David" w:cs="David"/>
        </w:rPr>
        <w:t xml:space="preserve">. </w:t>
      </w:r>
      <w:r w:rsidR="00852AD1" w:rsidRPr="0047237E">
        <w:rPr>
          <w:rFonts w:ascii="David" w:hAnsi="David" w:cs="David"/>
        </w:rPr>
        <w:t xml:space="preserve"> </w:t>
      </w:r>
    </w:p>
    <w:p w14:paraId="3AF73F8D" w14:textId="77777777" w:rsidR="008E4B6D" w:rsidRDefault="008E4B6D" w:rsidP="00EF1E09">
      <w:pPr>
        <w:pStyle w:val="Heading2"/>
        <w:spacing w:line="360" w:lineRule="auto"/>
        <w:jc w:val="both"/>
      </w:pPr>
      <w:bookmarkStart w:id="1" w:name="_Toc163650188"/>
      <w:r>
        <w:t>Why is Intrinsic Motivation Important for Compliance?</w:t>
      </w:r>
      <w:bookmarkEnd w:id="1"/>
    </w:p>
    <w:p w14:paraId="1CC1E717" w14:textId="6752FDCA" w:rsidR="00860E39" w:rsidRDefault="008E4B6D" w:rsidP="0044682A">
      <w:pPr>
        <w:spacing w:line="360" w:lineRule="auto"/>
        <w:jc w:val="both"/>
        <w:rPr>
          <w:rFonts w:ascii="David" w:hAnsi="David" w:cs="David"/>
        </w:rPr>
      </w:pPr>
      <w:r>
        <w:rPr>
          <w:rFonts w:ascii="David" w:hAnsi="David" w:cs="David"/>
        </w:rPr>
        <w:t>As discussed in the previous chapter, m</w:t>
      </w:r>
      <w:r w:rsidRPr="006A7457">
        <w:rPr>
          <w:rFonts w:ascii="David" w:hAnsi="David" w:cs="David"/>
        </w:rPr>
        <w:t xml:space="preserve">uch of the literature on compliance, </w:t>
      </w:r>
      <w:r>
        <w:rPr>
          <w:rFonts w:ascii="David" w:hAnsi="David" w:cs="David"/>
        </w:rPr>
        <w:t>has</w:t>
      </w:r>
      <w:r w:rsidRPr="006A7457">
        <w:rPr>
          <w:rFonts w:ascii="David" w:hAnsi="David" w:cs="David"/>
        </w:rPr>
        <w:t xml:space="preserve"> championed the advantage of intrinsic motivation to compliance.</w:t>
      </w:r>
      <w:r w:rsidRPr="006A7457">
        <w:rPr>
          <w:rStyle w:val="FootnoteReference"/>
          <w:rFonts w:ascii="David" w:hAnsi="David" w:cs="David"/>
        </w:rPr>
        <w:footnoteReference w:id="3"/>
      </w:r>
      <w:r>
        <w:rPr>
          <w:rFonts w:ascii="David" w:hAnsi="David" w:cs="David"/>
        </w:rPr>
        <w:t xml:space="preserve"> </w:t>
      </w:r>
      <w:r w:rsidR="00A22405">
        <w:rPr>
          <w:rFonts w:ascii="David" w:hAnsi="David" w:cs="David"/>
        </w:rPr>
        <w:t xml:space="preserve">This advantage is grounded in </w:t>
      </w:r>
      <w:r w:rsidR="00E25119">
        <w:rPr>
          <w:rFonts w:ascii="David" w:hAnsi="David" w:cs="David"/>
        </w:rPr>
        <w:t>three</w:t>
      </w:r>
      <w:r w:rsidR="00A22405">
        <w:rPr>
          <w:rFonts w:ascii="David" w:hAnsi="David" w:cs="David"/>
        </w:rPr>
        <w:t xml:space="preserve"> significant characteristics</w:t>
      </w:r>
      <w:r w:rsidR="00E25119">
        <w:rPr>
          <w:rFonts w:ascii="David" w:hAnsi="David" w:cs="David"/>
        </w:rPr>
        <w:t>:</w:t>
      </w:r>
      <w:r w:rsidR="00A22405">
        <w:rPr>
          <w:rFonts w:ascii="David" w:hAnsi="David" w:cs="David"/>
        </w:rPr>
        <w:t xml:space="preserve"> </w:t>
      </w:r>
      <w:r>
        <w:rPr>
          <w:rFonts w:ascii="David" w:hAnsi="David" w:cs="David"/>
        </w:rPr>
        <w:t>when people are intrinsically motivated</w:t>
      </w:r>
      <w:r w:rsidR="00E25119">
        <w:rPr>
          <w:rFonts w:ascii="David" w:hAnsi="David" w:cs="David"/>
        </w:rPr>
        <w:t xml:space="preserve"> fulfil a given task</w:t>
      </w:r>
      <w:r>
        <w:rPr>
          <w:rFonts w:ascii="David" w:hAnsi="David" w:cs="David"/>
        </w:rPr>
        <w:t xml:space="preserve">, there is less need </w:t>
      </w:r>
      <w:r w:rsidR="00E25119">
        <w:rPr>
          <w:rFonts w:ascii="David" w:hAnsi="David" w:cs="David"/>
        </w:rPr>
        <w:t xml:space="preserve">to monitor their compliance with the task’s instructions, </w:t>
      </w:r>
      <w:r>
        <w:rPr>
          <w:rFonts w:ascii="David" w:hAnsi="David" w:cs="David"/>
        </w:rPr>
        <w:t>the</w:t>
      </w:r>
      <w:r w:rsidR="00E25119">
        <w:rPr>
          <w:rFonts w:ascii="David" w:hAnsi="David" w:cs="David"/>
        </w:rPr>
        <w:t>ir</w:t>
      </w:r>
      <w:r>
        <w:rPr>
          <w:rFonts w:ascii="David" w:hAnsi="David" w:cs="David"/>
        </w:rPr>
        <w:t xml:space="preserve"> compliance is more resilient, and </w:t>
      </w:r>
      <w:r w:rsidR="00E25119">
        <w:rPr>
          <w:rFonts w:ascii="David" w:hAnsi="David" w:cs="David"/>
        </w:rPr>
        <w:t xml:space="preserve">their performance is </w:t>
      </w:r>
      <w:r>
        <w:rPr>
          <w:rFonts w:ascii="David" w:hAnsi="David" w:cs="David"/>
        </w:rPr>
        <w:t xml:space="preserve">more likely to </w:t>
      </w:r>
      <w:r w:rsidR="00E25119">
        <w:rPr>
          <w:rFonts w:ascii="David" w:hAnsi="David" w:cs="David"/>
        </w:rPr>
        <w:t xml:space="preserve">be above and beyond </w:t>
      </w:r>
      <w:r w:rsidR="00AD1AC9">
        <w:rPr>
          <w:rFonts w:ascii="David" w:hAnsi="David" w:cs="David"/>
        </w:rPr>
        <w:t>the required behavior</w:t>
      </w:r>
      <w:r w:rsidR="00F00FC2">
        <w:rPr>
          <w:rStyle w:val="FootnoteReference"/>
          <w:rFonts w:ascii="David" w:hAnsi="David" w:cs="David"/>
        </w:rPr>
        <w:footnoteReference w:id="4"/>
      </w:r>
      <w:r w:rsidR="00AD1AC9">
        <w:rPr>
          <w:rFonts w:ascii="David" w:hAnsi="David" w:cs="David"/>
        </w:rPr>
        <w:t xml:space="preserve">. Hence, one </w:t>
      </w:r>
      <w:r w:rsidR="00AD1AC9">
        <w:rPr>
          <w:rFonts w:ascii="David" w:hAnsi="David" w:cs="David"/>
        </w:rPr>
        <w:lastRenderedPageBreak/>
        <w:t xml:space="preserve">could intuitively see </w:t>
      </w:r>
      <w:r w:rsidR="003E206A">
        <w:rPr>
          <w:rFonts w:ascii="David" w:hAnsi="David" w:cs="David"/>
        </w:rPr>
        <w:t>the advantage of intrinsically motivated behavior in the context of legal compliance.</w:t>
      </w:r>
      <w:r>
        <w:rPr>
          <w:rStyle w:val="FootnoteReference"/>
        </w:rPr>
        <w:footnoteReference w:id="5"/>
      </w:r>
      <w:r w:rsidR="00D3361C">
        <w:rPr>
          <w:rFonts w:ascii="David" w:hAnsi="David" w:cs="David" w:hint="cs"/>
          <w:rtl/>
        </w:rPr>
        <w:t xml:space="preserve"> </w:t>
      </w:r>
      <w:r w:rsidR="003E206A">
        <w:rPr>
          <w:rFonts w:ascii="David" w:hAnsi="David" w:cs="David"/>
        </w:rPr>
        <w:t xml:space="preserve">Spelling-out this advantage </w:t>
      </w:r>
      <w:r w:rsidR="00E34C03">
        <w:rPr>
          <w:rFonts w:ascii="David" w:hAnsi="David" w:cs="David"/>
        </w:rPr>
        <w:t>to</w:t>
      </w:r>
      <w:r w:rsidR="003E206A">
        <w:rPr>
          <w:rFonts w:ascii="David" w:hAnsi="David" w:cs="David"/>
        </w:rPr>
        <w:t xml:space="preserve"> </w:t>
      </w:r>
      <w:r w:rsidR="00860E39">
        <w:rPr>
          <w:rFonts w:ascii="David" w:hAnsi="David" w:cs="David"/>
        </w:rPr>
        <w:t xml:space="preserve">the scholarship on </w:t>
      </w:r>
      <w:r w:rsidR="003E206A">
        <w:rPr>
          <w:rFonts w:ascii="David" w:hAnsi="David" w:cs="David"/>
        </w:rPr>
        <w:t>legal compliance, nonetheless, requires</w:t>
      </w:r>
      <w:r w:rsidR="00E34C03">
        <w:rPr>
          <w:rFonts w:ascii="David" w:hAnsi="David" w:cs="David"/>
        </w:rPr>
        <w:t xml:space="preserve"> a closer look at the </w:t>
      </w:r>
      <w:proofErr w:type="gramStart"/>
      <w:r w:rsidR="00E34C03">
        <w:rPr>
          <w:rFonts w:ascii="David" w:hAnsi="David" w:cs="David"/>
        </w:rPr>
        <w:t>aforementioned three</w:t>
      </w:r>
      <w:proofErr w:type="gramEnd"/>
      <w:r w:rsidR="00E34C03">
        <w:rPr>
          <w:rFonts w:ascii="David" w:hAnsi="David" w:cs="David"/>
        </w:rPr>
        <w:t xml:space="preserve"> characteristics of intrinsically motivated behavior. </w:t>
      </w:r>
      <w:r w:rsidR="00860E39">
        <w:rPr>
          <w:rFonts w:ascii="David" w:hAnsi="David" w:cs="David"/>
        </w:rPr>
        <w:t xml:space="preserve">This is the goal of the current section. </w:t>
      </w:r>
    </w:p>
    <w:p w14:paraId="5A44E6EC" w14:textId="77777777" w:rsidR="004443EB" w:rsidRDefault="004443EB" w:rsidP="00EF1E09">
      <w:pPr>
        <w:pStyle w:val="Heading2"/>
        <w:spacing w:line="360" w:lineRule="auto"/>
        <w:jc w:val="both"/>
        <w:rPr>
          <w:rtl/>
        </w:rPr>
      </w:pPr>
      <w:bookmarkStart w:id="2" w:name="_Toc163650189"/>
      <w:bookmarkStart w:id="3" w:name="_Hlk133568108"/>
      <w:r>
        <w:t xml:space="preserve">An important clarification is needed on what is intrinsic </w:t>
      </w:r>
      <w:proofErr w:type="gramStart"/>
      <w:r>
        <w:t>motivation</w:t>
      </w:r>
      <w:bookmarkEnd w:id="2"/>
      <w:proofErr w:type="gramEnd"/>
      <w:r>
        <w:t xml:space="preserve"> </w:t>
      </w:r>
    </w:p>
    <w:bookmarkEnd w:id="3"/>
    <w:p w14:paraId="205BD4B6" w14:textId="7EBCC43E" w:rsidR="004443EB" w:rsidRDefault="004443EB" w:rsidP="00EF1E09">
      <w:pPr>
        <w:spacing w:line="360" w:lineRule="auto"/>
        <w:jc w:val="both"/>
      </w:pPr>
      <w:r>
        <w:t>In psychology, the definition of intrinsic motivation is related to self-determination,</w:t>
      </w:r>
      <w:r>
        <w:rPr>
          <w:rStyle w:val="FootnoteReference"/>
        </w:rPr>
        <w:footnoteReference w:id="6"/>
      </w:r>
      <w:r>
        <w:t xml:space="preserve"> and behaviors which increase peoples’ autonomy, enjoyment, and competence benefit from behaving in a certain way, that is when the behavior </w:t>
      </w:r>
      <w:r w:rsidR="00D3361C">
        <w:t>is</w:t>
      </w:r>
      <w:r>
        <w:t xml:space="preserve"> somewhat rewarding for the individual.</w:t>
      </w:r>
      <w:r>
        <w:rPr>
          <w:rStyle w:val="FootnoteReference"/>
        </w:rPr>
        <w:footnoteReference w:id="7"/>
      </w:r>
      <w:r>
        <w:t xml:space="preserve">  Extrinsic motivation is seen as such when the behavior is being done </w:t>
      </w:r>
      <w:r w:rsidR="00D536E4">
        <w:t xml:space="preserve">reasons unrelated to the action itself. </w:t>
      </w:r>
      <w:r>
        <w:t xml:space="preserve"> Traditionally in motivation research, the focus is mostly on what is the internal source of motivation and how it relates to the self, and less so </w:t>
      </w:r>
      <w:proofErr w:type="gramStart"/>
      <w:r>
        <w:t xml:space="preserve">with </w:t>
      </w:r>
      <w:r w:rsidRPr="007406B1">
        <w:t xml:space="preserve">regard </w:t>
      </w:r>
      <w:r w:rsidR="00D3361C" w:rsidRPr="007406B1">
        <w:t>to</w:t>
      </w:r>
      <w:proofErr w:type="gramEnd"/>
      <w:r w:rsidR="00D3361C" w:rsidRPr="007406B1">
        <w:t xml:space="preserve"> an</w:t>
      </w:r>
      <w:r w:rsidRPr="007406B1">
        <w:t xml:space="preserve"> entity like the law, </w:t>
      </w:r>
      <w:proofErr w:type="gramStart"/>
      <w:r w:rsidRPr="007406B1">
        <w:t>which be</w:t>
      </w:r>
      <w:proofErr w:type="gramEnd"/>
      <w:r w:rsidRPr="007406B1">
        <w:t xml:space="preserve"> definition is external to the person.</w:t>
      </w:r>
      <w:r>
        <w:t xml:space="preserve"> </w:t>
      </w:r>
    </w:p>
    <w:p w14:paraId="7DFC0FF2" w14:textId="6702F102" w:rsidR="004443EB" w:rsidRDefault="004443EB" w:rsidP="00EF1E09">
      <w:pPr>
        <w:spacing w:line="360" w:lineRule="auto"/>
        <w:jc w:val="both"/>
      </w:pPr>
      <w:r>
        <w:t>The difference between these two views, might be related to the question of how to treat factors such as fairness legitimacy, and morality which in the legal literature are seen as part of the intrinsic motivation, but in pure psychological definition of scholars like Deci,</w:t>
      </w:r>
      <w:r>
        <w:rPr>
          <w:rStyle w:val="FootnoteReference"/>
        </w:rPr>
        <w:footnoteReference w:id="8"/>
      </w:r>
      <w:r>
        <w:t xml:space="preserve"> might not be seen as such as they are not related to the activity itself but to questions such as whether the social institutions that require it are just and accepted by others. Some of the differences might be related to the question that when speaking about compliance the behavior itself is in many cases not driven by the individual choice but imposed upon it and in some cases, it might be internalized by the individual</w:t>
      </w:r>
      <w:r w:rsidR="00194820">
        <w:t>, although it wasn’t originally their choice</w:t>
      </w:r>
      <w:r>
        <w:t xml:space="preserve">.  </w:t>
      </w:r>
    </w:p>
    <w:p w14:paraId="5D3EA4FA" w14:textId="77777777" w:rsidR="00B8485B" w:rsidRDefault="00B8485B" w:rsidP="00EF1E09">
      <w:pPr>
        <w:pStyle w:val="Heading2"/>
        <w:spacing w:line="360" w:lineRule="auto"/>
        <w:jc w:val="both"/>
        <w:rPr>
          <w:rtl/>
        </w:rPr>
      </w:pPr>
      <w:bookmarkStart w:id="4" w:name="_Toc163650190"/>
      <w:bookmarkStart w:id="5" w:name="_Hlk133565338"/>
    </w:p>
    <w:p w14:paraId="2886C3F9" w14:textId="3476052D" w:rsidR="008E4B6D" w:rsidRDefault="008E4B6D" w:rsidP="00EF1E09">
      <w:pPr>
        <w:pStyle w:val="Heading2"/>
        <w:spacing w:line="360" w:lineRule="auto"/>
        <w:jc w:val="both"/>
      </w:pPr>
      <w:r>
        <w:t>What does it mean to obey for intrinsic motivation?</w:t>
      </w:r>
      <w:bookmarkEnd w:id="4"/>
      <w:r w:rsidR="00D536E4">
        <w:t xml:space="preserve"> </w:t>
      </w:r>
      <w:proofErr w:type="gramStart"/>
      <w:r w:rsidR="00D536E4">
        <w:t>Between  Reason</w:t>
      </w:r>
      <w:proofErr w:type="gramEnd"/>
      <w:r w:rsidR="00D536E4">
        <w:t>, Morality and procedural Justice</w:t>
      </w:r>
    </w:p>
    <w:bookmarkEnd w:id="5"/>
    <w:p w14:paraId="499DAA61" w14:textId="40140772" w:rsidR="00B8485B" w:rsidRDefault="008E4B6D" w:rsidP="00EF1E09">
      <w:pPr>
        <w:spacing w:line="360" w:lineRule="auto"/>
        <w:jc w:val="both"/>
        <w:rPr>
          <w:rtl/>
        </w:rPr>
      </w:pPr>
      <w:r w:rsidRPr="007043BC">
        <w:t xml:space="preserve">Interestingly while there’s a growing consensus that compliance by intrinsic motivation is important on many accounts there are many different </w:t>
      </w:r>
      <w:r w:rsidR="00D3361C" w:rsidRPr="007043BC">
        <w:t>understandings</w:t>
      </w:r>
      <w:r w:rsidRPr="007043BC">
        <w:t xml:space="preserve"> </w:t>
      </w:r>
      <w:proofErr w:type="gramStart"/>
      <w:r w:rsidRPr="007043BC">
        <w:t>to</w:t>
      </w:r>
      <w:proofErr w:type="gramEnd"/>
      <w:r w:rsidRPr="007043BC">
        <w:t xml:space="preserve"> what it </w:t>
      </w:r>
      <w:proofErr w:type="gramStart"/>
      <w:r w:rsidRPr="007043BC">
        <w:t>actually means</w:t>
      </w:r>
      <w:proofErr w:type="gramEnd"/>
      <w:r w:rsidRPr="007043BC">
        <w:t>. In principle, it is possible to think about three parallel approaches.</w:t>
      </w:r>
    </w:p>
    <w:p w14:paraId="0631D9BE" w14:textId="500B5702" w:rsidR="00570CBB" w:rsidRDefault="008E4B6D" w:rsidP="00EF1E09">
      <w:pPr>
        <w:spacing w:line="360" w:lineRule="auto"/>
        <w:jc w:val="both"/>
        <w:rPr>
          <w:rtl/>
        </w:rPr>
      </w:pPr>
      <w:r w:rsidRPr="007043BC">
        <w:lastRenderedPageBreak/>
        <w:t xml:space="preserve"> One is persuasion in the logic or science behind the law</w:t>
      </w:r>
      <w:r>
        <w:t>.</w:t>
      </w:r>
      <w:r>
        <w:rPr>
          <w:rStyle w:val="FootnoteReference"/>
        </w:rPr>
        <w:footnoteReference w:id="9"/>
      </w:r>
      <w:r>
        <w:t xml:space="preserve"> </w:t>
      </w:r>
      <w:r w:rsidRPr="007043BC">
        <w:t xml:space="preserve">This approach could be attributed even to Plato, where </w:t>
      </w:r>
      <w:r w:rsidRPr="00451269">
        <w:t>the mechanisms of intrinsic motivation have expanded beyond morality.</w:t>
      </w:r>
      <w:r>
        <w:rPr>
          <w:rStyle w:val="FootnoteReference"/>
        </w:rPr>
        <w:footnoteReference w:id="10"/>
      </w:r>
      <w:r w:rsidRPr="00451269">
        <w:t xml:space="preserve"> Argued in a paper on </w:t>
      </w:r>
      <w:proofErr w:type="spellStart"/>
      <w:r w:rsidRPr="00451269">
        <w:t>plato’s</w:t>
      </w:r>
      <w:proofErr w:type="spellEnd"/>
      <w:r w:rsidRPr="00451269">
        <w:t xml:space="preserve"> laws that with persuasion and understanding of the logic behind the law,</w:t>
      </w:r>
      <w:r>
        <w:rPr>
          <w:rStyle w:val="FootnoteReference"/>
        </w:rPr>
        <w:footnoteReference w:id="11"/>
      </w:r>
      <w:r w:rsidRPr="00451269">
        <w:t xml:space="preserve"> people are more likely to obey out of their own free will. This approach is also in line with the work of Zamir et al</w:t>
      </w:r>
      <w:r w:rsidR="00D3361C">
        <w:t>,</w:t>
      </w:r>
      <w:r w:rsidR="00F00FC2">
        <w:rPr>
          <w:rStyle w:val="FootnoteReference"/>
        </w:rPr>
        <w:footnoteReference w:id="12"/>
      </w:r>
      <w:r w:rsidRPr="00451269">
        <w:t xml:space="preserve"> on reason giving as a potential nudge for compliance which focuses on showing various signs the logic behind a request have increased the level of compliance. </w:t>
      </w:r>
    </w:p>
    <w:p w14:paraId="396C48CF" w14:textId="2B72A404" w:rsidR="005B1A98" w:rsidRDefault="008E4B6D" w:rsidP="00EF1E09">
      <w:pPr>
        <w:spacing w:line="360" w:lineRule="auto"/>
        <w:jc w:val="both"/>
      </w:pPr>
      <w:r w:rsidRPr="00451269">
        <w:t>another approach that is related to the content of the law but from a different direction is related to an argument which attempts to show that obeying the law is the moral thing to do</w:t>
      </w:r>
      <w:r>
        <w:t>.</w:t>
      </w:r>
      <w:r>
        <w:rPr>
          <w:rStyle w:val="FootnoteReference"/>
        </w:rPr>
        <w:footnoteReference w:id="13"/>
      </w:r>
      <w:r w:rsidRPr="00451269">
        <w:t xml:space="preserve"> This could be attributed either to the potential harm caused by the violation of the law on various victims.</w:t>
      </w:r>
      <w:r>
        <w:rPr>
          <w:rStyle w:val="FootnoteReference"/>
        </w:rPr>
        <w:footnoteReference w:id="14"/>
      </w:r>
      <w:r w:rsidRPr="00451269">
        <w:t xml:space="preserve"> Nonetheless, the notion of morality while always being seen as part of intrinsic motivation is not necessarily related to the law itself. For example, morality could be seen to be related to the general feeling of guilt</w:t>
      </w:r>
      <w:r w:rsidR="00194820">
        <w:t>,</w:t>
      </w:r>
      <w:r w:rsidRPr="00451269">
        <w:t xml:space="preserve"> people might have</w:t>
      </w:r>
      <w:r w:rsidR="005B1A98">
        <w:rPr>
          <w:rFonts w:hint="cs"/>
          <w:rtl/>
        </w:rPr>
        <w:t>,</w:t>
      </w:r>
      <w:r w:rsidRPr="00451269">
        <w:t xml:space="preserve"> </w:t>
      </w:r>
      <w:r w:rsidR="00194820">
        <w:t>which is more related to</w:t>
      </w:r>
      <w:r w:rsidRPr="00451269">
        <w:t xml:space="preserve"> the personality of the individual than to the content of the law.</w:t>
      </w:r>
      <w:r>
        <w:rPr>
          <w:rStyle w:val="FootnoteReference"/>
        </w:rPr>
        <w:footnoteReference w:id="15"/>
      </w:r>
      <w:r w:rsidRPr="00451269">
        <w:t xml:space="preserve"> However, there can be a possible connection between persuasion and morality in the sense that it is more immoral to violate laws that make sense than laws that do</w:t>
      </w:r>
      <w:r w:rsidR="005B1A98">
        <w:t>es</w:t>
      </w:r>
      <w:r w:rsidRPr="00451269">
        <w:t xml:space="preserve">n’t make sense. </w:t>
      </w:r>
    </w:p>
    <w:p w14:paraId="2FC511A3" w14:textId="2940E3B4" w:rsidR="008E4B6D" w:rsidRPr="00451269" w:rsidRDefault="008E4B6D" w:rsidP="00EF1E09">
      <w:pPr>
        <w:spacing w:line="360" w:lineRule="auto"/>
        <w:jc w:val="both"/>
      </w:pPr>
      <w:r w:rsidRPr="00451269">
        <w:t>Finally, a third “intrinsic motivation” mechanism is related to procedural justice and legitimacy.</w:t>
      </w:r>
      <w:r>
        <w:rPr>
          <w:rStyle w:val="FootnoteReference"/>
        </w:rPr>
        <w:footnoteReference w:id="16"/>
      </w:r>
      <w:r w:rsidRPr="00451269">
        <w:t xml:space="preserve"> </w:t>
      </w:r>
      <w:r w:rsidR="002F1C32">
        <w:t>As discussed below in more details n</w:t>
      </w:r>
      <w:r w:rsidRPr="00451269">
        <w:t xml:space="preserve">umerous studies highlighted the importance of procedural justice that underlies the functioning of the legal system whose laws people are </w:t>
      </w:r>
      <w:r w:rsidRPr="00451269">
        <w:lastRenderedPageBreak/>
        <w:t>expected to obey</w:t>
      </w:r>
      <w:r>
        <w:t>.</w:t>
      </w:r>
      <w:r>
        <w:rPr>
          <w:rStyle w:val="FootnoteReference"/>
        </w:rPr>
        <w:footnoteReference w:id="17"/>
      </w:r>
      <w:r w:rsidRPr="00451269">
        <w:t xml:space="preserve"> Legitimacy also increases compliance to the law.</w:t>
      </w:r>
      <w:r>
        <w:rPr>
          <w:rStyle w:val="FootnoteReference"/>
        </w:rPr>
        <w:footnoteReference w:id="18"/>
      </w:r>
      <w:r w:rsidRPr="00451269">
        <w:t xml:space="preserve"> Accordingly, it was found that a procedurally just treatment of citizens by agents of the criminal justice system, usually the police, has the effect of increasing the citizen's compliance with the law. The citizens perceptions of procedurally just treatment are closely tied to perceptions of police legitimacy, and that is strongly associated with legal compliance.</w:t>
      </w:r>
      <w:r>
        <w:rPr>
          <w:rStyle w:val="FootnoteReference"/>
        </w:rPr>
        <w:footnoteReference w:id="19"/>
      </w:r>
      <w:r w:rsidR="00904DAA">
        <w:t xml:space="preserve"> </w:t>
      </w:r>
      <w:r w:rsidRPr="00451269">
        <w:t>Interestingly, while perception of morality is seen as important in experimental studies, especially when it comes to experimental field studies, didn’t find an advantage of morality. For example, Barak Ariel found that deterrence and moral persuasion used in letters sent, using randomized field experiments, does not produce significantly greater compliance as it comes to tax reports.</w:t>
      </w:r>
      <w:r>
        <w:rPr>
          <w:rStyle w:val="FootnoteReference"/>
        </w:rPr>
        <w:footnoteReference w:id="20"/>
      </w:r>
      <w:r w:rsidRPr="00451269">
        <w:t xml:space="preserve"> </w:t>
      </w:r>
    </w:p>
    <w:p w14:paraId="36427315" w14:textId="77777777" w:rsidR="008E4B6D" w:rsidRDefault="008E4B6D" w:rsidP="00EF1E09">
      <w:pPr>
        <w:shd w:val="clear" w:color="auto" w:fill="FFFFFF"/>
        <w:spacing w:after="0" w:line="360" w:lineRule="auto"/>
        <w:jc w:val="both"/>
        <w:rPr>
          <w:rFonts w:asciiTheme="majorBidi" w:hAnsiTheme="majorBidi" w:cstheme="majorBidi"/>
          <w:sz w:val="20"/>
          <w:szCs w:val="20"/>
        </w:rPr>
      </w:pPr>
    </w:p>
    <w:p w14:paraId="74CE5D3C" w14:textId="6E734C3A" w:rsidR="008E4B6D" w:rsidRDefault="008E4B6D" w:rsidP="00EF1E09">
      <w:pPr>
        <w:pStyle w:val="Heading2"/>
        <w:spacing w:line="360" w:lineRule="auto"/>
        <w:jc w:val="both"/>
      </w:pPr>
      <w:bookmarkStart w:id="7" w:name="_Toc163650191"/>
      <w:r>
        <w:t xml:space="preserve">Is behavior </w:t>
      </w:r>
      <w:r w:rsidR="00194820">
        <w:t xml:space="preserve">without any type of </w:t>
      </w:r>
      <w:proofErr w:type="gramStart"/>
      <w:r w:rsidR="00194820">
        <w:t>monitoring,</w:t>
      </w:r>
      <w:proofErr w:type="gramEnd"/>
      <w:r>
        <w:t xml:space="preserve"> the way to discern between intrinsic and extrinsic motivations?</w:t>
      </w:r>
      <w:bookmarkEnd w:id="7"/>
    </w:p>
    <w:p w14:paraId="5ABC406E" w14:textId="240FF94A" w:rsidR="00904DAA" w:rsidRPr="00904DAA" w:rsidRDefault="00904DAA" w:rsidP="00EF1E09">
      <w:pPr>
        <w:spacing w:line="360" w:lineRule="auto"/>
        <w:jc w:val="both"/>
        <w:rPr>
          <w:rtl/>
        </w:rPr>
      </w:pPr>
      <w:r>
        <w:t xml:space="preserve">A major problem for researchers and even more so for policy maker is to be able to separate between intrinsic and extrinsic motivation, which might not necessarily be </w:t>
      </w:r>
      <w:r w:rsidR="00FA5312">
        <w:t>as mutually exclusive as some might assume</w:t>
      </w:r>
      <w:r w:rsidR="002F3376">
        <w:t>.</w:t>
      </w:r>
      <w:r w:rsidR="00FA5312">
        <w:rPr>
          <w:rStyle w:val="FootnoteReference"/>
        </w:rPr>
        <w:footnoteReference w:id="21"/>
      </w:r>
    </w:p>
    <w:p w14:paraId="2BDBC055" w14:textId="58402F3A" w:rsidR="008E4B6D" w:rsidRDefault="008E4B6D" w:rsidP="00EF1E09">
      <w:pPr>
        <w:spacing w:line="360" w:lineRule="auto"/>
        <w:jc w:val="both"/>
      </w:pPr>
      <w:r>
        <w:t xml:space="preserve">There are few ways to ask what </w:t>
      </w:r>
      <w:proofErr w:type="gramStart"/>
      <w:r>
        <w:t>is</w:t>
      </w:r>
      <w:r w:rsidR="004443EB">
        <w:t>,</w:t>
      </w:r>
      <w:r>
        <w:t xml:space="preserve"> internalized</w:t>
      </w:r>
      <w:proofErr w:type="gramEnd"/>
      <w:r>
        <w:t xml:space="preserve"> compliance as it should be understood in regulatory and compliance </w:t>
      </w:r>
      <w:r w:rsidR="00D3361C">
        <w:t>research,</w:t>
      </w:r>
      <w:r>
        <w:t xml:space="preserve"> and this should probably be narrower than what might be expected under the conditions of compliance research. For example, if to be seen as internalized, we might want to be in a situation, where the person has become a 100</w:t>
      </w:r>
      <w:r w:rsidR="005B1A98">
        <w:t>%</w:t>
      </w:r>
      <w:r>
        <w:t xml:space="preserve"> full believer in the law, it might become and unrealistic and even problematic position to be in, as we might not want people to become true believers in any law, without any doubts which might be legitimate in democratic regimes. </w:t>
      </w:r>
    </w:p>
    <w:p w14:paraId="684BB1F7" w14:textId="0C51D44A" w:rsidR="008E4B6D" w:rsidRPr="0047237E" w:rsidRDefault="008E4B6D" w:rsidP="00EF1E09">
      <w:pPr>
        <w:spacing w:line="360" w:lineRule="auto"/>
        <w:jc w:val="both"/>
        <w:rPr>
          <w:rFonts w:ascii="David" w:hAnsi="David" w:cs="David"/>
        </w:rPr>
      </w:pPr>
      <w:r>
        <w:t xml:space="preserve">Hence a looser definition, which might be more suitable for our book argument is that internalized compliance, is such that </w:t>
      </w:r>
      <w:proofErr w:type="gramStart"/>
      <w:r>
        <w:t>happen</w:t>
      </w:r>
      <w:proofErr w:type="gramEnd"/>
      <w:r>
        <w:t xml:space="preserve"> when no monitoring exists. Even if people are not true believers </w:t>
      </w:r>
      <w:proofErr w:type="gramStart"/>
      <w:r>
        <w:t>for</w:t>
      </w:r>
      <w:proofErr w:type="gramEnd"/>
      <w:r>
        <w:t xml:space="preserve"> our purposes this level of compliance could be seen as intrinsic.</w:t>
      </w:r>
    </w:p>
    <w:p w14:paraId="1978A0C3" w14:textId="7B9C759E" w:rsidR="000513E7" w:rsidRPr="0047237E" w:rsidRDefault="000513E7" w:rsidP="00EF1E09">
      <w:pPr>
        <w:pStyle w:val="Heading2"/>
        <w:spacing w:line="360" w:lineRule="auto"/>
        <w:jc w:val="both"/>
        <w:rPr>
          <w:rFonts w:ascii="David" w:hAnsi="David" w:cs="David"/>
          <w:sz w:val="22"/>
          <w:szCs w:val="22"/>
        </w:rPr>
      </w:pPr>
    </w:p>
    <w:p w14:paraId="53854D92" w14:textId="64187620" w:rsidR="00FA49EE" w:rsidRPr="0047237E" w:rsidRDefault="00173ACD" w:rsidP="00EF1E09">
      <w:pPr>
        <w:pStyle w:val="Heading2"/>
        <w:spacing w:line="360" w:lineRule="auto"/>
        <w:jc w:val="both"/>
        <w:rPr>
          <w:rFonts w:ascii="David" w:hAnsi="David" w:cs="David"/>
          <w:sz w:val="22"/>
          <w:szCs w:val="22"/>
        </w:rPr>
      </w:pPr>
      <w:bookmarkStart w:id="8" w:name="_Toc163650192"/>
      <w:r w:rsidRPr="0047237E">
        <w:rPr>
          <w:rFonts w:ascii="David" w:hAnsi="David" w:cs="David"/>
          <w:sz w:val="22"/>
          <w:szCs w:val="22"/>
        </w:rPr>
        <w:t>Compliance Motivation</w:t>
      </w:r>
      <w:r w:rsidR="000C3C0F" w:rsidRPr="0047237E">
        <w:rPr>
          <w:rFonts w:ascii="David" w:hAnsi="David" w:cs="David"/>
          <w:sz w:val="22"/>
          <w:szCs w:val="22"/>
        </w:rPr>
        <w:t>s</w:t>
      </w:r>
      <w:bookmarkEnd w:id="8"/>
    </w:p>
    <w:p w14:paraId="72B2291F" w14:textId="37E0842C" w:rsidR="000C3C0F" w:rsidRPr="0047237E" w:rsidRDefault="000C3C0F" w:rsidP="00EF1E09">
      <w:pPr>
        <w:spacing w:line="360" w:lineRule="auto"/>
        <w:jc w:val="both"/>
        <w:rPr>
          <w:rFonts w:ascii="David" w:hAnsi="David" w:cs="David"/>
        </w:rPr>
      </w:pPr>
    </w:p>
    <w:p w14:paraId="5B4E92F1" w14:textId="51492EA0" w:rsidR="002B343B" w:rsidRDefault="00F1090C" w:rsidP="0044682A">
      <w:pPr>
        <w:spacing w:line="360" w:lineRule="auto"/>
        <w:jc w:val="both"/>
        <w:rPr>
          <w:rFonts w:ascii="David" w:hAnsi="David" w:cs="David"/>
        </w:rPr>
      </w:pPr>
      <w:r w:rsidRPr="0047237E">
        <w:rPr>
          <w:rFonts w:ascii="David" w:hAnsi="David" w:cs="David"/>
        </w:rPr>
        <w:t>The classical argument for the importance of understanding motivation in compliance in general</w:t>
      </w:r>
      <w:r w:rsidR="006259DF">
        <w:rPr>
          <w:rFonts w:ascii="David" w:hAnsi="David" w:cs="David"/>
        </w:rPr>
        <w:t>,</w:t>
      </w:r>
      <w:r w:rsidRPr="0047237E">
        <w:rPr>
          <w:rFonts w:ascii="David" w:hAnsi="David" w:cs="David"/>
        </w:rPr>
        <w:t xml:space="preserve"> and in voluntary </w:t>
      </w:r>
      <w:r w:rsidR="00F501CF" w:rsidRPr="0047237E">
        <w:rPr>
          <w:rFonts w:ascii="David" w:hAnsi="David" w:cs="David"/>
        </w:rPr>
        <w:t>compliance</w:t>
      </w:r>
      <w:r w:rsidRPr="0047237E">
        <w:rPr>
          <w:rFonts w:ascii="David" w:hAnsi="David" w:cs="David"/>
        </w:rPr>
        <w:t xml:space="preserve"> in particular</w:t>
      </w:r>
      <w:r w:rsidR="00F501CF" w:rsidRPr="0047237E">
        <w:rPr>
          <w:rFonts w:ascii="David" w:hAnsi="David" w:cs="David"/>
        </w:rPr>
        <w:t>,</w:t>
      </w:r>
      <w:r w:rsidRPr="0047237E">
        <w:rPr>
          <w:rFonts w:ascii="David" w:hAnsi="David" w:cs="David"/>
        </w:rPr>
        <w:t xml:space="preserve"> is related to the assumed advantage of intrinsic over extrinsic motivation.  This argument suggests that when people are motivated by intrinsic motivation, enforcement is not only cheaper but also might lead people to behave in ways which could not be achieved by mere deterrence</w:t>
      </w:r>
      <w:r w:rsidRPr="0047237E">
        <w:rPr>
          <w:rFonts w:ascii="David" w:hAnsi="David" w:cs="David"/>
          <w:lang w:val="en"/>
        </w:rPr>
        <w:t>.</w:t>
      </w:r>
      <w:r w:rsidR="006259DF">
        <w:rPr>
          <w:rStyle w:val="FootnoteReference"/>
          <w:rFonts w:ascii="David" w:hAnsi="David" w:cs="David"/>
        </w:rPr>
        <w:footnoteReference w:id="22"/>
      </w:r>
      <w:r w:rsidRPr="0047237E">
        <w:rPr>
          <w:rFonts w:ascii="David" w:hAnsi="David" w:cs="David"/>
          <w:lang w:val="en"/>
        </w:rPr>
        <w:t xml:space="preserve"> </w:t>
      </w:r>
      <w:r w:rsidRPr="0047237E">
        <w:rPr>
          <w:rFonts w:ascii="David" w:hAnsi="David" w:cs="David"/>
        </w:rPr>
        <w:t xml:space="preserve"> In many areas where behavior beyond compliance is desirable, there is a clear advantage for the non-instrumental motivation to human behavior</w:t>
      </w:r>
      <w:r w:rsidR="006259DF">
        <w:rPr>
          <w:rFonts w:ascii="David" w:hAnsi="David" w:cs="David"/>
        </w:rPr>
        <w:t>.</w:t>
      </w:r>
      <w:r w:rsidR="006259DF">
        <w:rPr>
          <w:rStyle w:val="FootnoteReference"/>
          <w:rFonts w:ascii="David" w:hAnsi="David" w:cs="David"/>
        </w:rPr>
        <w:footnoteReference w:id="23"/>
      </w:r>
      <w:r w:rsidRPr="0047237E">
        <w:rPr>
          <w:rFonts w:ascii="David" w:hAnsi="David" w:cs="David"/>
        </w:rPr>
        <w:t xml:space="preserve"> This advantage seems to be the main justification for </w:t>
      </w:r>
      <w:r w:rsidR="00A733B8">
        <w:rPr>
          <w:rFonts w:ascii="David" w:hAnsi="David" w:cs="David"/>
        </w:rPr>
        <w:t xml:space="preserve">a </w:t>
      </w:r>
      <w:r w:rsidR="00523264">
        <w:rPr>
          <w:rFonts w:ascii="David" w:hAnsi="David" w:cs="David"/>
        </w:rPr>
        <w:t xml:space="preserve">legal </w:t>
      </w:r>
      <w:r w:rsidR="00A733B8">
        <w:rPr>
          <w:rFonts w:ascii="David" w:hAnsi="David" w:cs="David"/>
        </w:rPr>
        <w:t>design, which is</w:t>
      </w:r>
      <w:r w:rsidR="00523264">
        <w:rPr>
          <w:rFonts w:ascii="David" w:hAnsi="David" w:cs="David"/>
        </w:rPr>
        <w:t xml:space="preserve"> attune </w:t>
      </w:r>
      <w:r w:rsidR="00A733B8" w:rsidRPr="00A733B8">
        <w:rPr>
          <w:rFonts w:ascii="David" w:hAnsi="David" w:cs="David"/>
        </w:rPr>
        <w:t>to the most likely dominant motivation in any given situation</w:t>
      </w:r>
      <w:r w:rsidRPr="0047237E">
        <w:rPr>
          <w:rFonts w:ascii="David" w:hAnsi="David" w:cs="David"/>
        </w:rPr>
        <w:t xml:space="preserve">.  </w:t>
      </w:r>
      <w:r w:rsidR="00523264">
        <w:rPr>
          <w:rFonts w:ascii="David" w:hAnsi="David" w:cs="David"/>
        </w:rPr>
        <w:t xml:space="preserve">This type of legal </w:t>
      </w:r>
      <w:r w:rsidR="002B343B">
        <w:rPr>
          <w:rFonts w:ascii="David" w:hAnsi="David" w:cs="David"/>
        </w:rPr>
        <w:t>designed</w:t>
      </w:r>
      <w:r w:rsidR="00523264">
        <w:rPr>
          <w:rFonts w:ascii="David" w:hAnsi="David" w:cs="David"/>
        </w:rPr>
        <w:t xml:space="preserve"> </w:t>
      </w:r>
      <w:r w:rsidR="002B343B">
        <w:rPr>
          <w:rFonts w:ascii="David" w:hAnsi="David" w:cs="David"/>
        </w:rPr>
        <w:t xml:space="preserve">is likely produce a general acceptance of the policy as </w:t>
      </w:r>
      <w:r w:rsidRPr="0047237E">
        <w:rPr>
          <w:rFonts w:ascii="David" w:hAnsi="David" w:cs="David"/>
        </w:rPr>
        <w:t>just, reasonable, or legitimate</w:t>
      </w:r>
      <w:r w:rsidR="002B343B">
        <w:rPr>
          <w:rFonts w:ascii="David" w:hAnsi="David" w:cs="David"/>
        </w:rPr>
        <w:t>, and in turn,</w:t>
      </w:r>
      <w:r w:rsidRPr="0047237E">
        <w:rPr>
          <w:rFonts w:ascii="David" w:hAnsi="David" w:cs="David"/>
        </w:rPr>
        <w:t xml:space="preserve"> is likely to cause people to rely on their intrinsic motivation when complying with </w:t>
      </w:r>
      <w:r w:rsidR="002B343B">
        <w:rPr>
          <w:rFonts w:ascii="David" w:hAnsi="David" w:cs="David"/>
        </w:rPr>
        <w:t>it</w:t>
      </w:r>
      <w:r w:rsidRPr="0047237E">
        <w:rPr>
          <w:rFonts w:ascii="David" w:hAnsi="David" w:cs="David"/>
        </w:rPr>
        <w:t xml:space="preserve">.  </w:t>
      </w:r>
    </w:p>
    <w:p w14:paraId="30001C65" w14:textId="6F4616DB" w:rsidR="00AB7245" w:rsidRPr="0047237E" w:rsidRDefault="0031184E" w:rsidP="0044682A">
      <w:pPr>
        <w:spacing w:line="360" w:lineRule="auto"/>
        <w:jc w:val="both"/>
        <w:rPr>
          <w:rFonts w:ascii="David" w:hAnsi="David" w:cs="David"/>
        </w:rPr>
      </w:pPr>
      <w:r w:rsidRPr="0047237E">
        <w:rPr>
          <w:rFonts w:ascii="David" w:hAnsi="David" w:cs="David"/>
        </w:rPr>
        <w:t>However, the main challenge of t</w:t>
      </w:r>
      <w:r w:rsidR="002B343B">
        <w:rPr>
          <w:rFonts w:ascii="David" w:hAnsi="David" w:cs="David"/>
        </w:rPr>
        <w:t xml:space="preserve">he </w:t>
      </w:r>
      <w:proofErr w:type="gramStart"/>
      <w:r w:rsidR="002B343B">
        <w:rPr>
          <w:rFonts w:ascii="David" w:hAnsi="David" w:cs="David"/>
        </w:rPr>
        <w:t xml:space="preserve">aforementioned </w:t>
      </w:r>
      <w:r w:rsidRPr="0047237E">
        <w:rPr>
          <w:rFonts w:ascii="David" w:hAnsi="David" w:cs="David"/>
        </w:rPr>
        <w:t>theory</w:t>
      </w:r>
      <w:proofErr w:type="gramEnd"/>
      <w:r w:rsidRPr="0047237E">
        <w:rPr>
          <w:rFonts w:ascii="David" w:hAnsi="David" w:cs="David"/>
        </w:rPr>
        <w:t xml:space="preserve"> is</w:t>
      </w:r>
      <w:r w:rsidR="002B343B">
        <w:rPr>
          <w:rFonts w:ascii="David" w:hAnsi="David" w:cs="David"/>
        </w:rPr>
        <w:t xml:space="preserve"> clear. One's</w:t>
      </w:r>
      <w:r w:rsidRPr="0047237E">
        <w:rPr>
          <w:rFonts w:ascii="David" w:hAnsi="David" w:cs="David"/>
        </w:rPr>
        <w:t xml:space="preserve"> ability to predict </w:t>
      </w:r>
      <w:r w:rsidR="002B343B">
        <w:rPr>
          <w:rFonts w:ascii="David" w:hAnsi="David" w:cs="David"/>
        </w:rPr>
        <w:t xml:space="preserve">and </w:t>
      </w:r>
      <w:proofErr w:type="gramStart"/>
      <w:r w:rsidR="002B343B">
        <w:rPr>
          <w:rFonts w:ascii="David" w:hAnsi="David" w:cs="David"/>
        </w:rPr>
        <w:t>spell-out</w:t>
      </w:r>
      <w:proofErr w:type="gramEnd"/>
      <w:r w:rsidR="002B343B">
        <w:rPr>
          <w:rFonts w:ascii="David" w:hAnsi="David" w:cs="David"/>
        </w:rPr>
        <w:t xml:space="preserve"> which </w:t>
      </w:r>
      <w:r w:rsidRPr="0047237E">
        <w:rPr>
          <w:rFonts w:ascii="David" w:hAnsi="David" w:cs="David"/>
        </w:rPr>
        <w:t>intrinsic motivation will indeed be superior to extrinsic one</w:t>
      </w:r>
      <w:r w:rsidR="002B343B">
        <w:rPr>
          <w:rFonts w:ascii="David" w:hAnsi="David" w:cs="David"/>
        </w:rPr>
        <w:t>,</w:t>
      </w:r>
      <w:r w:rsidRPr="0047237E">
        <w:rPr>
          <w:rFonts w:ascii="David" w:hAnsi="David" w:cs="David"/>
        </w:rPr>
        <w:t xml:space="preserve"> without data collectio</w:t>
      </w:r>
      <w:r w:rsidR="00C23B0B" w:rsidRPr="0047237E">
        <w:rPr>
          <w:rFonts w:ascii="David" w:hAnsi="David" w:cs="David"/>
        </w:rPr>
        <w:t>n for every given situation</w:t>
      </w:r>
      <w:r w:rsidR="002B343B">
        <w:rPr>
          <w:rFonts w:ascii="David" w:hAnsi="David" w:cs="David"/>
        </w:rPr>
        <w:t>, seems at least cumbersome</w:t>
      </w:r>
      <w:r w:rsidR="00C23B0B" w:rsidRPr="0047237E">
        <w:rPr>
          <w:rFonts w:ascii="David" w:hAnsi="David" w:cs="David"/>
        </w:rPr>
        <w:t xml:space="preserve">. </w:t>
      </w:r>
      <w:r w:rsidR="006C09C7">
        <w:rPr>
          <w:rFonts w:ascii="David" w:hAnsi="David" w:cs="David"/>
        </w:rPr>
        <w:t>Nonetheless, this indeterminacy</w:t>
      </w:r>
      <w:r w:rsidR="00531FB8">
        <w:rPr>
          <w:rFonts w:ascii="David" w:hAnsi="David" w:cs="David"/>
        </w:rPr>
        <w:t xml:space="preserve"> or </w:t>
      </w:r>
      <w:r w:rsidR="00D3361C">
        <w:rPr>
          <w:rFonts w:ascii="David" w:hAnsi="David" w:cs="David"/>
        </w:rPr>
        <w:t>low predictability</w:t>
      </w:r>
      <w:r w:rsidR="006C09C7">
        <w:rPr>
          <w:rFonts w:ascii="David" w:hAnsi="David" w:cs="David"/>
        </w:rPr>
        <w:t xml:space="preserve"> might be moderated in some "victimless" areas of legal behavior (such as in corporate contexts, for instance). </w:t>
      </w:r>
      <w:r w:rsidR="00930227">
        <w:rPr>
          <w:rFonts w:ascii="David" w:hAnsi="David" w:cs="David"/>
        </w:rPr>
        <w:t xml:space="preserve">However, we shall see in the remainder of the current Chapter that even if the indeterminacy is mitigated in these victimless contexts, a host of related </w:t>
      </w:r>
      <w:proofErr w:type="gramStart"/>
      <w:r w:rsidR="00930227">
        <w:rPr>
          <w:rFonts w:ascii="David" w:hAnsi="David" w:cs="David"/>
        </w:rPr>
        <w:t>question</w:t>
      </w:r>
      <w:proofErr w:type="gramEnd"/>
      <w:r w:rsidR="00930227">
        <w:rPr>
          <w:rFonts w:ascii="David" w:hAnsi="David" w:cs="David"/>
        </w:rPr>
        <w:t xml:space="preserve"> arise.  For instance, are </w:t>
      </w:r>
      <w:r w:rsidR="00AB7245" w:rsidRPr="0047237E">
        <w:rPr>
          <w:rFonts w:ascii="David" w:hAnsi="David" w:cs="David"/>
        </w:rPr>
        <w:t xml:space="preserve">we </w:t>
      </w:r>
      <w:r w:rsidR="00930227">
        <w:rPr>
          <w:rFonts w:ascii="David" w:hAnsi="David" w:cs="David"/>
        </w:rPr>
        <w:t xml:space="preserve">likely to </w:t>
      </w:r>
      <w:r w:rsidR="00AB7245" w:rsidRPr="0047237E">
        <w:rPr>
          <w:rFonts w:ascii="David" w:hAnsi="David" w:cs="David"/>
        </w:rPr>
        <w:t>see higher levels of voluntary compliance</w:t>
      </w:r>
      <w:r w:rsidR="00930227">
        <w:rPr>
          <w:rFonts w:ascii="David" w:hAnsi="David" w:cs="David"/>
        </w:rPr>
        <w:t xml:space="preserve"> in these contexts</w:t>
      </w:r>
      <w:r w:rsidR="00AB7245" w:rsidRPr="0047237E">
        <w:rPr>
          <w:rFonts w:ascii="David" w:hAnsi="David" w:cs="David"/>
        </w:rPr>
        <w:t xml:space="preserve">? </w:t>
      </w:r>
      <w:r w:rsidR="00930227">
        <w:rPr>
          <w:rFonts w:ascii="David" w:hAnsi="David" w:cs="David"/>
        </w:rPr>
        <w:t xml:space="preserve">Could </w:t>
      </w:r>
      <w:r w:rsidR="00930227" w:rsidRPr="0047237E">
        <w:rPr>
          <w:rFonts w:ascii="David" w:hAnsi="David" w:cs="David"/>
        </w:rPr>
        <w:t xml:space="preserve">the proportion of people </w:t>
      </w:r>
      <w:r w:rsidR="00930227">
        <w:rPr>
          <w:rFonts w:ascii="David" w:hAnsi="David" w:cs="David"/>
        </w:rPr>
        <w:t>engaging</w:t>
      </w:r>
      <w:r w:rsidR="00930227" w:rsidRPr="0047237E">
        <w:rPr>
          <w:rFonts w:ascii="David" w:hAnsi="David" w:cs="David"/>
        </w:rPr>
        <w:t xml:space="preserve"> in voluntary compliance </w:t>
      </w:r>
      <w:r w:rsidR="00AB7245" w:rsidRPr="0047237E">
        <w:rPr>
          <w:rFonts w:ascii="David" w:hAnsi="David" w:cs="David"/>
        </w:rPr>
        <w:t>be determined in advance</w:t>
      </w:r>
      <w:r w:rsidR="00A733B8">
        <w:rPr>
          <w:rFonts w:ascii="David" w:hAnsi="David" w:cs="David"/>
        </w:rPr>
        <w:t>?</w:t>
      </w:r>
      <w:r w:rsidR="00AB7245" w:rsidRPr="0047237E">
        <w:rPr>
          <w:rFonts w:ascii="David" w:hAnsi="David" w:cs="David"/>
        </w:rPr>
        <w:t xml:space="preserve"> What is the durability or erosion of voluntary compliance over time? </w:t>
      </w:r>
      <w:r w:rsidR="00635254" w:rsidRPr="0047237E">
        <w:rPr>
          <w:rFonts w:ascii="David" w:hAnsi="David" w:cs="David"/>
        </w:rPr>
        <w:t xml:space="preserve">Is there a </w:t>
      </w:r>
      <w:proofErr w:type="gramStart"/>
      <w:r w:rsidR="00635254" w:rsidRPr="0047237E">
        <w:rPr>
          <w:rFonts w:ascii="David" w:hAnsi="David" w:cs="David"/>
        </w:rPr>
        <w:t>different</w:t>
      </w:r>
      <w:proofErr w:type="gramEnd"/>
      <w:r w:rsidR="00635254" w:rsidRPr="0047237E">
        <w:rPr>
          <w:rFonts w:ascii="David" w:hAnsi="David" w:cs="David"/>
        </w:rPr>
        <w:t xml:space="preserve"> between different types of intrinsic motivations? Are there behaviors which are more likely to be</w:t>
      </w:r>
      <w:r w:rsidR="007566C5" w:rsidRPr="0047237E">
        <w:rPr>
          <w:rFonts w:ascii="David" w:hAnsi="David" w:cs="David"/>
        </w:rPr>
        <w:t xml:space="preserve"> positively</w:t>
      </w:r>
      <w:r w:rsidR="00635254" w:rsidRPr="0047237E">
        <w:rPr>
          <w:rFonts w:ascii="David" w:hAnsi="David" w:cs="David"/>
        </w:rPr>
        <w:t xml:space="preserve"> </w:t>
      </w:r>
      <w:r w:rsidR="00D3361C" w:rsidRPr="0047237E">
        <w:rPr>
          <w:rFonts w:ascii="David" w:hAnsi="David" w:cs="David"/>
        </w:rPr>
        <w:t>affected</w:t>
      </w:r>
      <w:r w:rsidR="00635254" w:rsidRPr="0047237E">
        <w:rPr>
          <w:rFonts w:ascii="David" w:hAnsi="David" w:cs="David"/>
        </w:rPr>
        <w:t xml:space="preserve"> by intrinsic motivation?</w:t>
      </w:r>
      <w:r w:rsidR="007566C5" w:rsidRPr="0047237E">
        <w:rPr>
          <w:rFonts w:ascii="David" w:hAnsi="David" w:cs="David"/>
        </w:rPr>
        <w:t xml:space="preserve"> </w:t>
      </w:r>
      <w:r w:rsidR="00A733B8">
        <w:rPr>
          <w:rFonts w:ascii="David" w:hAnsi="David" w:cs="David"/>
        </w:rPr>
        <w:t>Moreover, a</w:t>
      </w:r>
      <w:r w:rsidR="007566C5" w:rsidRPr="0047237E">
        <w:rPr>
          <w:rFonts w:ascii="David" w:hAnsi="David" w:cs="David"/>
        </w:rPr>
        <w:t>t the same time</w:t>
      </w:r>
      <w:r w:rsidR="00A733B8">
        <w:rPr>
          <w:rFonts w:ascii="David" w:hAnsi="David" w:cs="David"/>
        </w:rPr>
        <w:t>,</w:t>
      </w:r>
      <w:r w:rsidR="007566C5" w:rsidRPr="0047237E">
        <w:rPr>
          <w:rFonts w:ascii="David" w:hAnsi="David" w:cs="David"/>
        </w:rPr>
        <w:t xml:space="preserve"> we will also examine in </w:t>
      </w:r>
      <w:proofErr w:type="gramStart"/>
      <w:r w:rsidR="00531FB8">
        <w:rPr>
          <w:rFonts w:ascii="David" w:hAnsi="David" w:cs="David"/>
        </w:rPr>
        <w:t>current</w:t>
      </w:r>
      <w:proofErr w:type="gramEnd"/>
      <w:r w:rsidR="00531FB8">
        <w:rPr>
          <w:rFonts w:ascii="David" w:hAnsi="David" w:cs="David"/>
        </w:rPr>
        <w:t xml:space="preserve"> Chapter,</w:t>
      </w:r>
      <w:r w:rsidR="00531FB8" w:rsidRPr="0047237E">
        <w:rPr>
          <w:rFonts w:ascii="David" w:hAnsi="David" w:cs="David"/>
        </w:rPr>
        <w:t xml:space="preserve"> </w:t>
      </w:r>
      <w:r w:rsidR="00531FB8">
        <w:rPr>
          <w:rFonts w:ascii="David" w:hAnsi="David" w:cs="David"/>
        </w:rPr>
        <w:t xml:space="preserve">and in subsequent ones, </w:t>
      </w:r>
      <w:r w:rsidR="007566C5" w:rsidRPr="0047237E">
        <w:rPr>
          <w:rFonts w:ascii="David" w:hAnsi="David" w:cs="David"/>
        </w:rPr>
        <w:t xml:space="preserve">the </w:t>
      </w:r>
      <w:r w:rsidR="00635254" w:rsidRPr="0047237E">
        <w:rPr>
          <w:rFonts w:ascii="David" w:hAnsi="David" w:cs="David"/>
        </w:rPr>
        <w:t xml:space="preserve">risks of attempting to change people's intrinsic motivation. </w:t>
      </w:r>
    </w:p>
    <w:p w14:paraId="0F4E2AEE" w14:textId="4C4F11B0" w:rsidR="00AB7245" w:rsidRPr="0047237E" w:rsidRDefault="00AB7245" w:rsidP="00EF1E09">
      <w:pPr>
        <w:pStyle w:val="Heading2"/>
        <w:spacing w:line="360" w:lineRule="auto"/>
        <w:jc w:val="both"/>
        <w:rPr>
          <w:rFonts w:ascii="David" w:hAnsi="David" w:cs="David"/>
          <w:sz w:val="22"/>
          <w:szCs w:val="22"/>
        </w:rPr>
      </w:pPr>
      <w:bookmarkStart w:id="9" w:name="_Toc163650193"/>
      <w:r w:rsidRPr="0047237E">
        <w:rPr>
          <w:rFonts w:ascii="David" w:hAnsi="David" w:cs="David"/>
          <w:sz w:val="22"/>
          <w:szCs w:val="22"/>
        </w:rPr>
        <w:t>Defining what types of motivation</w:t>
      </w:r>
      <w:r w:rsidR="00066545" w:rsidRPr="0047237E">
        <w:rPr>
          <w:rFonts w:ascii="David" w:hAnsi="David" w:cs="David"/>
          <w:sz w:val="22"/>
          <w:szCs w:val="22"/>
        </w:rPr>
        <w:t>s</w:t>
      </w:r>
      <w:r w:rsidRPr="0047237E">
        <w:rPr>
          <w:rFonts w:ascii="David" w:hAnsi="David" w:cs="David"/>
          <w:sz w:val="22"/>
          <w:szCs w:val="22"/>
        </w:rPr>
        <w:t xml:space="preserve"> could be seen as voluntary?</w:t>
      </w:r>
      <w:bookmarkEnd w:id="9"/>
    </w:p>
    <w:p w14:paraId="73DE8327" w14:textId="77777777" w:rsidR="00DA554A" w:rsidRPr="00DA554A" w:rsidRDefault="00DA554A" w:rsidP="00EF1E09">
      <w:pPr>
        <w:spacing w:before="100" w:beforeAutospacing="1" w:after="100" w:afterAutospacing="1" w:line="360" w:lineRule="auto"/>
        <w:jc w:val="both"/>
        <w:rPr>
          <w:rFonts w:ascii="Arial" w:eastAsia="Times New Roman" w:hAnsi="Arial" w:cs="Arial"/>
          <w:sz w:val="20"/>
          <w:szCs w:val="20"/>
        </w:rPr>
      </w:pPr>
      <w:r w:rsidRPr="00DA554A">
        <w:rPr>
          <w:rFonts w:ascii="Segoe UI" w:eastAsia="Times New Roman" w:hAnsi="Segoe UI" w:cs="Segoe UI"/>
          <w:sz w:val="18"/>
          <w:szCs w:val="18"/>
        </w:rPr>
        <w:t xml:space="preserve">As described in the Introduction, one of the hardest challenges in discussing voluntary compliance is spelling-out the relevant notion voluntariness. However, yet another related challenge is </w:t>
      </w:r>
      <w:proofErr w:type="gramStart"/>
      <w:r w:rsidRPr="00DA554A">
        <w:rPr>
          <w:rFonts w:ascii="Segoe UI" w:eastAsia="Times New Roman" w:hAnsi="Segoe UI" w:cs="Segoe UI"/>
          <w:sz w:val="18"/>
          <w:szCs w:val="18"/>
        </w:rPr>
        <w:t>explicate</w:t>
      </w:r>
      <w:proofErr w:type="gramEnd"/>
      <w:r w:rsidRPr="00DA554A">
        <w:rPr>
          <w:rFonts w:ascii="Segoe UI" w:eastAsia="Times New Roman" w:hAnsi="Segoe UI" w:cs="Segoe UI"/>
          <w:sz w:val="18"/>
          <w:szCs w:val="18"/>
        </w:rPr>
        <w:t xml:space="preserve"> the effect of motivation on the scope of voluntariness. For instance, should we count situations where people are deterred to comply as mere compliance rather than voluntary compliance? What about cases where </w:t>
      </w:r>
      <w:r w:rsidRPr="00DA554A">
        <w:rPr>
          <w:rFonts w:ascii="Segoe UI" w:eastAsia="Times New Roman" w:hAnsi="Segoe UI" w:cs="Segoe UI"/>
          <w:sz w:val="18"/>
          <w:szCs w:val="18"/>
        </w:rPr>
        <w:lastRenderedPageBreak/>
        <w:t xml:space="preserve">an individual motivation to comply is instrumental – in that it pays to behave according to what the state </w:t>
      </w:r>
      <w:proofErr w:type="gramStart"/>
      <w:r w:rsidRPr="00DA554A">
        <w:rPr>
          <w:rFonts w:ascii="Segoe UI" w:eastAsia="Times New Roman" w:hAnsi="Segoe UI" w:cs="Segoe UI"/>
          <w:sz w:val="18"/>
          <w:szCs w:val="18"/>
        </w:rPr>
        <w:t>want</w:t>
      </w:r>
      <w:proofErr w:type="gramEnd"/>
      <w:r w:rsidRPr="00DA554A">
        <w:rPr>
          <w:rFonts w:ascii="Segoe UI" w:eastAsia="Times New Roman" w:hAnsi="Segoe UI" w:cs="Segoe UI"/>
          <w:sz w:val="18"/>
          <w:szCs w:val="18"/>
        </w:rPr>
        <w:t xml:space="preserve">, or simply harder not to comply? </w:t>
      </w:r>
    </w:p>
    <w:p w14:paraId="34FE58D2" w14:textId="7EBD95A6" w:rsidR="002B14D8" w:rsidRPr="00224655" w:rsidRDefault="00416BC8" w:rsidP="00EF1E09">
      <w:pPr>
        <w:pStyle w:val="Heading2"/>
        <w:spacing w:line="360" w:lineRule="auto"/>
        <w:jc w:val="both"/>
      </w:pPr>
      <w:bookmarkStart w:id="10" w:name="_Toc163650194"/>
      <w:r w:rsidRPr="0047237E">
        <w:rPr>
          <w:rFonts w:ascii="David" w:hAnsi="David" w:cs="David"/>
          <w:sz w:val="22"/>
          <w:szCs w:val="22"/>
        </w:rPr>
        <w:t>What compliance motivation could still be counted as voluntary?</w:t>
      </w:r>
      <w:bookmarkEnd w:id="10"/>
      <w:r w:rsidRPr="0047237E">
        <w:rPr>
          <w:rFonts w:ascii="David" w:hAnsi="David" w:cs="David"/>
          <w:sz w:val="22"/>
          <w:szCs w:val="22"/>
        </w:rPr>
        <w:t xml:space="preserve"> </w:t>
      </w:r>
    </w:p>
    <w:p w14:paraId="128B7644" w14:textId="7740508E" w:rsidR="00416BC8" w:rsidRDefault="00432962" w:rsidP="00EF1E09">
      <w:pPr>
        <w:pStyle w:val="Heading2"/>
        <w:spacing w:line="360" w:lineRule="auto"/>
        <w:jc w:val="both"/>
      </w:pPr>
      <w:r w:rsidRPr="0047237E">
        <w:rPr>
          <w:rFonts w:ascii="David" w:hAnsi="David" w:cs="David"/>
        </w:rPr>
        <w:t xml:space="preserve">There could be few distinctions between what exactly </w:t>
      </w:r>
      <w:r w:rsidR="00D3361C" w:rsidRPr="0047237E">
        <w:rPr>
          <w:rFonts w:ascii="David" w:hAnsi="David" w:cs="David"/>
        </w:rPr>
        <w:t>we mean</w:t>
      </w:r>
      <w:r w:rsidRPr="0047237E">
        <w:rPr>
          <w:rFonts w:ascii="David" w:hAnsi="David" w:cs="David"/>
        </w:rPr>
        <w:t xml:space="preserve"> in voluntary compliance</w:t>
      </w:r>
      <w:r w:rsidR="002B14D8" w:rsidRPr="0047237E">
        <w:rPr>
          <w:rFonts w:ascii="David" w:hAnsi="David" w:cs="David"/>
        </w:rPr>
        <w:t>.</w:t>
      </w:r>
      <w:r w:rsidR="00224655" w:rsidRPr="00224655">
        <w:rPr>
          <w:rFonts w:ascii="David" w:hAnsi="David" w:cs="David"/>
        </w:rPr>
        <w:t xml:space="preserve"> </w:t>
      </w:r>
      <w:r w:rsidR="00224655" w:rsidRPr="00542652">
        <w:rPr>
          <w:rFonts w:ascii="David" w:hAnsi="David" w:cs="David"/>
        </w:rPr>
        <w:t>We will outline them in short, but overall, since the discussion in this book, attempts to be as inclusive as possible to allow for a meaningful comparison</w:t>
      </w:r>
      <w:r w:rsidR="00BA0C3F">
        <w:rPr>
          <w:rFonts w:ascii="David" w:hAnsi="David" w:cs="David"/>
        </w:rPr>
        <w:t>.</w:t>
      </w:r>
      <w:r w:rsidR="00224655" w:rsidRPr="00542652">
        <w:rPr>
          <w:rFonts w:ascii="David" w:hAnsi="David" w:cs="David"/>
        </w:rPr>
        <w:t xml:space="preserve"> It is possible to make a distinction between what the individual feel vs. what is the objective reality. </w:t>
      </w:r>
      <w:r w:rsidR="00F43907" w:rsidRPr="00542652">
        <w:rPr>
          <w:rFonts w:ascii="David" w:hAnsi="David" w:cs="David"/>
        </w:rPr>
        <w:t>So,</w:t>
      </w:r>
      <w:r w:rsidR="00224655" w:rsidRPr="00542652">
        <w:rPr>
          <w:rFonts w:ascii="David" w:hAnsi="David" w:cs="David"/>
        </w:rPr>
        <w:t xml:space="preserve"> if people feel that they are coerced subjectively, even if they have a choice</w:t>
      </w:r>
      <w:r w:rsidR="00BA0C3F">
        <w:rPr>
          <w:rFonts w:ascii="David" w:hAnsi="David" w:cs="David"/>
        </w:rPr>
        <w:t>,</w:t>
      </w:r>
      <w:r w:rsidR="00224655" w:rsidRPr="00542652">
        <w:rPr>
          <w:rFonts w:ascii="David" w:hAnsi="David" w:cs="David"/>
        </w:rPr>
        <w:t xml:space="preserve"> </w:t>
      </w:r>
      <w:proofErr w:type="gramStart"/>
      <w:r w:rsidR="00952CAA">
        <w:rPr>
          <w:rFonts w:ascii="David" w:hAnsi="David" w:cs="David"/>
        </w:rPr>
        <w:t>I</w:t>
      </w:r>
      <w:r w:rsidR="00952CAA">
        <w:rPr>
          <w:rStyle w:val="cf01"/>
        </w:rPr>
        <w:t>n</w:t>
      </w:r>
      <w:proofErr w:type="gramEnd"/>
      <w:r w:rsidR="00952CAA">
        <w:rPr>
          <w:rStyle w:val="cf11"/>
        </w:rPr>
        <w:t xml:space="preserve"> </w:t>
      </w:r>
      <w:r w:rsidR="00952CAA">
        <w:rPr>
          <w:rStyle w:val="cf01"/>
        </w:rPr>
        <w:t>instances</w:t>
      </w:r>
      <w:r w:rsidR="00952CAA">
        <w:rPr>
          <w:rStyle w:val="cf11"/>
        </w:rPr>
        <w:t xml:space="preserve"> </w:t>
      </w:r>
      <w:r w:rsidR="00952CAA">
        <w:rPr>
          <w:rStyle w:val="cf01"/>
        </w:rPr>
        <w:t>where</w:t>
      </w:r>
      <w:r w:rsidR="00952CAA">
        <w:rPr>
          <w:rStyle w:val="cf11"/>
        </w:rPr>
        <w:t xml:space="preserve"> </w:t>
      </w:r>
      <w:r w:rsidR="00952CAA">
        <w:rPr>
          <w:rStyle w:val="cf01"/>
        </w:rPr>
        <w:t>individuals</w:t>
      </w:r>
      <w:r w:rsidR="00952CAA">
        <w:rPr>
          <w:rStyle w:val="cf11"/>
        </w:rPr>
        <w:t xml:space="preserve"> </w:t>
      </w:r>
      <w:r w:rsidR="00952CAA">
        <w:rPr>
          <w:rStyle w:val="cf01"/>
        </w:rPr>
        <w:t>perceive</w:t>
      </w:r>
      <w:r w:rsidR="00952CAA">
        <w:rPr>
          <w:rStyle w:val="cf11"/>
        </w:rPr>
        <w:t xml:space="preserve"> </w:t>
      </w:r>
      <w:r w:rsidR="00952CAA">
        <w:rPr>
          <w:rStyle w:val="cf01"/>
        </w:rPr>
        <w:t>a</w:t>
      </w:r>
      <w:r w:rsidR="00952CAA">
        <w:rPr>
          <w:rStyle w:val="cf11"/>
        </w:rPr>
        <w:t xml:space="preserve"> </w:t>
      </w:r>
      <w:r w:rsidR="00952CAA">
        <w:rPr>
          <w:rStyle w:val="cf01"/>
        </w:rPr>
        <w:t>sum</w:t>
      </w:r>
      <w:r w:rsidR="00952CAA">
        <w:rPr>
          <w:rStyle w:val="cf11"/>
        </w:rPr>
        <w:t xml:space="preserve"> </w:t>
      </w:r>
      <w:r w:rsidR="00952CAA">
        <w:rPr>
          <w:rStyle w:val="cf01"/>
        </w:rPr>
        <w:t>of</w:t>
      </w:r>
      <w:r w:rsidR="00952CAA">
        <w:rPr>
          <w:rStyle w:val="cf11"/>
        </w:rPr>
        <w:t xml:space="preserve"> </w:t>
      </w:r>
      <w:r w:rsidR="00952CAA">
        <w:rPr>
          <w:rStyle w:val="cf01"/>
        </w:rPr>
        <w:t>money</w:t>
      </w:r>
      <w:r w:rsidR="00952CAA">
        <w:rPr>
          <w:rStyle w:val="cf11"/>
        </w:rPr>
        <w:t xml:space="preserve"> </w:t>
      </w:r>
      <w:r w:rsidR="00952CAA">
        <w:rPr>
          <w:rStyle w:val="cf01"/>
        </w:rPr>
        <w:t>to</w:t>
      </w:r>
      <w:r w:rsidR="00952CAA">
        <w:rPr>
          <w:rStyle w:val="cf11"/>
        </w:rPr>
        <w:t xml:space="preserve"> </w:t>
      </w:r>
      <w:r w:rsidR="00952CAA">
        <w:rPr>
          <w:rStyle w:val="cf01"/>
        </w:rPr>
        <w:t>be</w:t>
      </w:r>
      <w:r w:rsidR="00952CAA">
        <w:rPr>
          <w:rStyle w:val="cf11"/>
        </w:rPr>
        <w:t xml:space="preserve"> </w:t>
      </w:r>
      <w:r w:rsidR="00952CAA">
        <w:rPr>
          <w:rStyle w:val="cf01"/>
        </w:rPr>
        <w:t>excessively</w:t>
      </w:r>
      <w:r w:rsidR="00952CAA">
        <w:rPr>
          <w:rStyle w:val="cf11"/>
        </w:rPr>
        <w:t xml:space="preserve"> </w:t>
      </w:r>
      <w:r w:rsidR="00952CAA">
        <w:rPr>
          <w:rStyle w:val="cf01"/>
        </w:rPr>
        <w:t>high</w:t>
      </w:r>
      <w:r w:rsidR="00952CAA">
        <w:rPr>
          <w:rStyle w:val="cf11"/>
        </w:rPr>
        <w:t xml:space="preserve">, </w:t>
      </w:r>
      <w:r w:rsidR="00952CAA">
        <w:rPr>
          <w:rStyle w:val="cf01"/>
        </w:rPr>
        <w:t>they</w:t>
      </w:r>
      <w:r w:rsidR="00952CAA">
        <w:rPr>
          <w:rStyle w:val="cf11"/>
        </w:rPr>
        <w:t xml:space="preserve"> </w:t>
      </w:r>
      <w:r w:rsidR="00952CAA">
        <w:rPr>
          <w:rStyle w:val="cf01"/>
        </w:rPr>
        <w:t>may</w:t>
      </w:r>
      <w:r w:rsidR="00952CAA">
        <w:rPr>
          <w:rStyle w:val="cf11"/>
        </w:rPr>
        <w:t xml:space="preserve"> </w:t>
      </w:r>
      <w:r w:rsidR="00952CAA">
        <w:rPr>
          <w:rStyle w:val="cf01"/>
        </w:rPr>
        <w:t>interpret</w:t>
      </w:r>
      <w:r w:rsidR="00952CAA">
        <w:rPr>
          <w:rStyle w:val="cf11"/>
        </w:rPr>
        <w:t xml:space="preserve"> </w:t>
      </w:r>
      <w:r w:rsidR="00952CAA">
        <w:rPr>
          <w:rStyle w:val="cf01"/>
        </w:rPr>
        <w:t>it</w:t>
      </w:r>
      <w:r w:rsidR="00952CAA">
        <w:rPr>
          <w:rStyle w:val="cf11"/>
        </w:rPr>
        <w:t xml:space="preserve"> </w:t>
      </w:r>
      <w:r w:rsidR="00952CAA">
        <w:rPr>
          <w:rStyle w:val="cf01"/>
        </w:rPr>
        <w:t>as</w:t>
      </w:r>
      <w:r w:rsidR="00952CAA">
        <w:rPr>
          <w:rStyle w:val="cf11"/>
        </w:rPr>
        <w:t xml:space="preserve"> </w:t>
      </w:r>
      <w:r w:rsidR="00952CAA">
        <w:rPr>
          <w:rStyle w:val="cf01"/>
        </w:rPr>
        <w:t>diminishing</w:t>
      </w:r>
      <w:r w:rsidR="00952CAA">
        <w:rPr>
          <w:rStyle w:val="cf11"/>
        </w:rPr>
        <w:t xml:space="preserve"> </w:t>
      </w:r>
      <w:r w:rsidR="00952CAA">
        <w:rPr>
          <w:rStyle w:val="cf01"/>
        </w:rPr>
        <w:t>their</w:t>
      </w:r>
      <w:r w:rsidR="00952CAA">
        <w:rPr>
          <w:rStyle w:val="cf11"/>
        </w:rPr>
        <w:t xml:space="preserve"> </w:t>
      </w:r>
      <w:r w:rsidR="00952CAA">
        <w:rPr>
          <w:rStyle w:val="cf01"/>
        </w:rPr>
        <w:t>capacity</w:t>
      </w:r>
      <w:r w:rsidR="00952CAA">
        <w:rPr>
          <w:rStyle w:val="cf11"/>
        </w:rPr>
        <w:t xml:space="preserve"> </w:t>
      </w:r>
      <w:r w:rsidR="00952CAA">
        <w:rPr>
          <w:rStyle w:val="cf01"/>
        </w:rPr>
        <w:t>to</w:t>
      </w:r>
      <w:r w:rsidR="00952CAA">
        <w:rPr>
          <w:rStyle w:val="cf11"/>
        </w:rPr>
        <w:t xml:space="preserve"> </w:t>
      </w:r>
      <w:r w:rsidR="00952CAA">
        <w:rPr>
          <w:rStyle w:val="cf01"/>
        </w:rPr>
        <w:t>exercise</w:t>
      </w:r>
      <w:r w:rsidR="00952CAA">
        <w:rPr>
          <w:rStyle w:val="cf11"/>
        </w:rPr>
        <w:t xml:space="preserve"> </w:t>
      </w:r>
      <w:r w:rsidR="00952CAA">
        <w:rPr>
          <w:rStyle w:val="cf01"/>
        </w:rPr>
        <w:t>free</w:t>
      </w:r>
      <w:r w:rsidR="00952CAA">
        <w:rPr>
          <w:rStyle w:val="cf11"/>
        </w:rPr>
        <w:t xml:space="preserve"> </w:t>
      </w:r>
      <w:proofErr w:type="spellStart"/>
      <w:r w:rsidR="00952CAA">
        <w:rPr>
          <w:rStyle w:val="cf01"/>
        </w:rPr>
        <w:t>choice</w:t>
      </w:r>
      <w:bookmarkStart w:id="11" w:name="_Toc163650195"/>
      <w:r w:rsidR="00416BC8">
        <w:t>Price</w:t>
      </w:r>
      <w:proofErr w:type="spellEnd"/>
      <w:r w:rsidR="00416BC8">
        <w:t xml:space="preserve"> motivation</w:t>
      </w:r>
      <w:bookmarkEnd w:id="11"/>
    </w:p>
    <w:p w14:paraId="20752528" w14:textId="7E99F2FE" w:rsidR="00416BC8" w:rsidRPr="0047237E" w:rsidRDefault="00416BC8" w:rsidP="0044682A">
      <w:pPr>
        <w:spacing w:line="360" w:lineRule="auto"/>
        <w:jc w:val="both"/>
        <w:rPr>
          <w:rFonts w:ascii="David" w:hAnsi="David" w:cs="David"/>
          <w:lang w:val="en"/>
        </w:rPr>
      </w:pPr>
      <w:r w:rsidRPr="0047237E">
        <w:rPr>
          <w:rFonts w:ascii="David" w:hAnsi="David" w:cs="David"/>
        </w:rPr>
        <w:t>On many accounts, the literature that discusses this approach is the richest one, given the centrality of both deterrence and incentives within legal scholarship</w:t>
      </w:r>
      <w:r w:rsidR="007275A6">
        <w:rPr>
          <w:rFonts w:ascii="David" w:hAnsi="David" w:cs="David"/>
        </w:rPr>
        <w:t>.</w:t>
      </w:r>
      <w:r w:rsidR="0028647B">
        <w:rPr>
          <w:rStyle w:val="FootnoteReference"/>
          <w:rFonts w:ascii="David" w:hAnsi="David" w:cs="David"/>
        </w:rPr>
        <w:footnoteReference w:id="24"/>
      </w:r>
      <w:r w:rsidRPr="0047237E">
        <w:rPr>
          <w:rFonts w:ascii="David" w:hAnsi="David" w:cs="David"/>
          <w:lang w:val="en"/>
        </w:rPr>
        <w:t xml:space="preserve"> Many scholars have argued that </w:t>
      </w:r>
      <w:r w:rsidRPr="0047237E">
        <w:rPr>
          <w:rFonts w:ascii="David" w:hAnsi="David" w:cs="David"/>
          <w:color w:val="000000"/>
        </w:rPr>
        <w:t>perceptions of the severity and certainty of punishment have no effect on delinquent behavior</w:t>
      </w:r>
      <w:r w:rsidR="00F43907">
        <w:rPr>
          <w:rFonts w:ascii="David" w:hAnsi="David" w:cs="David"/>
          <w:color w:val="000000"/>
        </w:rPr>
        <w:t>,</w:t>
      </w:r>
      <w:r w:rsidR="0028647B">
        <w:rPr>
          <w:rStyle w:val="FootnoteReference"/>
          <w:rFonts w:ascii="David" w:hAnsi="David" w:cs="David"/>
          <w:color w:val="000000"/>
        </w:rPr>
        <w:footnoteReference w:id="25"/>
      </w:r>
      <w:r w:rsidRPr="0047237E">
        <w:rPr>
          <w:rFonts w:ascii="David" w:hAnsi="David" w:cs="David"/>
          <w:color w:val="000000"/>
        </w:rPr>
        <w:t xml:space="preserve"> </w:t>
      </w:r>
      <w:r w:rsidRPr="0047237E">
        <w:rPr>
          <w:rFonts w:ascii="David" w:hAnsi="David" w:cs="David"/>
        </w:rPr>
        <w:t>limits of deterrence in explaining both self-reported and actual compliance</w:t>
      </w:r>
      <w:r w:rsidR="00E11A80">
        <w:rPr>
          <w:rFonts w:ascii="David" w:hAnsi="David" w:cs="David"/>
        </w:rPr>
        <w:t>.</w:t>
      </w:r>
      <w:r w:rsidR="0028647B">
        <w:rPr>
          <w:rStyle w:val="FootnoteReference"/>
          <w:rFonts w:ascii="David" w:hAnsi="David" w:cs="David"/>
        </w:rPr>
        <w:footnoteReference w:id="26"/>
      </w:r>
      <w:r w:rsidRPr="0047237E">
        <w:rPr>
          <w:rFonts w:ascii="David" w:hAnsi="David" w:cs="David"/>
        </w:rPr>
        <w:t xml:space="preserve"> Or because they </w:t>
      </w:r>
      <w:r w:rsidRPr="0047237E">
        <w:rPr>
          <w:rFonts w:ascii="David" w:hAnsi="David" w:cs="David"/>
          <w:lang w:val="en"/>
        </w:rPr>
        <w:t>have little awareness of the law in the books</w:t>
      </w:r>
      <w:r w:rsidR="00E11A80">
        <w:rPr>
          <w:rFonts w:ascii="David" w:hAnsi="David" w:cs="David"/>
          <w:lang w:val="en"/>
        </w:rPr>
        <w:t>.</w:t>
      </w:r>
      <w:r w:rsidR="0028647B">
        <w:rPr>
          <w:rStyle w:val="FootnoteReference"/>
          <w:rFonts w:ascii="David" w:hAnsi="David" w:cs="David"/>
          <w:lang w:val="en"/>
        </w:rPr>
        <w:footnoteReference w:id="27"/>
      </w:r>
      <w:r w:rsidRPr="0047237E">
        <w:rPr>
          <w:rFonts w:ascii="David" w:hAnsi="David" w:cs="David"/>
          <w:lang w:val="en"/>
        </w:rPr>
        <w:t xml:space="preserve"> </w:t>
      </w:r>
    </w:p>
    <w:p w14:paraId="0FEDDBC8" w14:textId="6EE507C8" w:rsidR="00171B24" w:rsidRDefault="00416BC8" w:rsidP="0044682A">
      <w:pPr>
        <w:spacing w:line="360" w:lineRule="auto"/>
        <w:jc w:val="both"/>
        <w:rPr>
          <w:rFonts w:ascii="David" w:hAnsi="David" w:cs="David"/>
          <w:color w:val="000000"/>
        </w:rPr>
      </w:pPr>
      <w:r w:rsidRPr="0047237E">
        <w:rPr>
          <w:rFonts w:ascii="David" w:hAnsi="David" w:cs="David"/>
          <w:lang w:val="en"/>
        </w:rPr>
        <w:t>A common argument within this body of literature is that people are not very sensitive to the severity of a punishment, but rather to its probability of detection</w:t>
      </w:r>
      <w:r w:rsidR="00F43907">
        <w:rPr>
          <w:rFonts w:ascii="David" w:hAnsi="David" w:cs="David"/>
          <w:lang w:val="en"/>
        </w:rPr>
        <w:t>.</w:t>
      </w:r>
      <w:r w:rsidR="0028647B">
        <w:rPr>
          <w:rStyle w:val="FootnoteReference"/>
          <w:rFonts w:ascii="David" w:hAnsi="David" w:cs="David"/>
          <w:lang w:val="en"/>
        </w:rPr>
        <w:footnoteReference w:id="28"/>
      </w:r>
      <w:r w:rsidRPr="0047237E">
        <w:rPr>
          <w:rFonts w:ascii="David" w:hAnsi="David" w:cs="David"/>
          <w:color w:val="000000"/>
        </w:rPr>
        <w:t xml:space="preserve">  Other analyses which reviewed much of the literature for and against deterrence concluded that, using the right measurements, deterrence is an important policy tool</w:t>
      </w:r>
      <w:r w:rsidR="00F43907">
        <w:rPr>
          <w:rFonts w:ascii="David" w:hAnsi="David" w:cs="David"/>
          <w:color w:val="000000"/>
        </w:rPr>
        <w:t>.</w:t>
      </w:r>
      <w:r w:rsidR="008D41A8" w:rsidRPr="0047237E">
        <w:rPr>
          <w:rStyle w:val="FootnoteReference"/>
          <w:rFonts w:ascii="David" w:hAnsi="David" w:cs="David"/>
          <w:color w:val="000000"/>
        </w:rPr>
        <w:footnoteReference w:id="29"/>
      </w:r>
      <w:r w:rsidRPr="0047237E">
        <w:rPr>
          <w:rFonts w:ascii="David" w:hAnsi="David" w:cs="David"/>
          <w:color w:val="000000"/>
        </w:rPr>
        <w:t xml:space="preserve">  Plonsky and Kineret</w:t>
      </w:r>
      <w:r w:rsidR="009D7911">
        <w:rPr>
          <w:rFonts w:ascii="David" w:hAnsi="David" w:cs="David"/>
          <w:color w:val="000000"/>
        </w:rPr>
        <w:t xml:space="preserve"> </w:t>
      </w:r>
      <w:r w:rsidRPr="0047237E">
        <w:rPr>
          <w:rFonts w:ascii="David" w:hAnsi="David" w:cs="David"/>
          <w:color w:val="000000"/>
        </w:rPr>
        <w:t xml:space="preserve">have demonstrated in a PNAS paper that detection likelihood </w:t>
      </w:r>
      <w:r w:rsidR="009D7911">
        <w:rPr>
          <w:rFonts w:ascii="David" w:hAnsi="David" w:cs="David"/>
          <w:color w:val="000000"/>
        </w:rPr>
        <w:t xml:space="preserve">is more important than its severity. </w:t>
      </w:r>
      <w:r w:rsidRPr="0047237E">
        <w:rPr>
          <w:rFonts w:ascii="David" w:hAnsi="David" w:cs="David"/>
          <w:color w:val="000000"/>
        </w:rPr>
        <w:t xml:space="preserve">They argue that </w:t>
      </w:r>
      <w:r w:rsidR="0045345C" w:rsidRPr="0047237E">
        <w:rPr>
          <w:rFonts w:ascii="David" w:hAnsi="David" w:cs="David"/>
          <w:color w:val="000000"/>
        </w:rPr>
        <w:t>policy combining a high probability of inspection with a low severity of fines was more effective than an economically equivalent policy that combined a low probability of inspection with a high severity of fines.</w:t>
      </w:r>
      <w:r w:rsidR="00E11A80" w:rsidRPr="0047237E">
        <w:rPr>
          <w:rStyle w:val="FootnoteReference"/>
          <w:rFonts w:ascii="David" w:hAnsi="David" w:cs="David"/>
          <w:color w:val="000000"/>
        </w:rPr>
        <w:footnoteReference w:id="30"/>
      </w:r>
      <w:r w:rsidR="00171B24">
        <w:rPr>
          <w:rFonts w:ascii="David" w:hAnsi="David" w:cs="David"/>
          <w:color w:val="000000"/>
        </w:rPr>
        <w:t xml:space="preserve"> </w:t>
      </w:r>
    </w:p>
    <w:p w14:paraId="677B2325" w14:textId="63686A75" w:rsidR="00811B88" w:rsidRDefault="000B6461" w:rsidP="00EF1E09">
      <w:pPr>
        <w:spacing w:line="360" w:lineRule="auto"/>
        <w:jc w:val="both"/>
        <w:rPr>
          <w:rtl/>
        </w:rPr>
      </w:pPr>
      <w:r w:rsidRPr="0047237E">
        <w:rPr>
          <w:rFonts w:ascii="David" w:eastAsia="Arial" w:hAnsi="David" w:cs="David"/>
        </w:rPr>
        <w:t xml:space="preserve">Given the aim of the book to understand the balance between compliance and voluntary compliance, the price model seems to offer the clearest tradeoff between the two approaches </w:t>
      </w:r>
      <w:r w:rsidRPr="0047237E">
        <w:rPr>
          <w:rFonts w:ascii="David" w:eastAsia="Arial" w:hAnsi="David" w:cs="David"/>
        </w:rPr>
        <w:lastRenderedPageBreak/>
        <w:t>where sanctions are seen as the most typical approach to compliance</w:t>
      </w:r>
      <w:r w:rsidRPr="0047237E">
        <w:rPr>
          <w:rStyle w:val="FootnoteReference"/>
          <w:rFonts w:ascii="David" w:eastAsia="Arial" w:hAnsi="David" w:cs="David"/>
        </w:rPr>
        <w:footnoteReference w:id="31"/>
      </w:r>
      <w:r w:rsidRPr="0047237E">
        <w:rPr>
          <w:rFonts w:ascii="David" w:eastAsia="Arial" w:hAnsi="David" w:cs="David"/>
        </w:rPr>
        <w:t xml:space="preserve"> and rewards as one of the most typical approaches to cooperation</w:t>
      </w:r>
      <w:r w:rsidRPr="0047237E">
        <w:rPr>
          <w:rStyle w:val="FootnoteReference"/>
          <w:rFonts w:ascii="David" w:eastAsia="Arial" w:hAnsi="David" w:cs="David"/>
        </w:rPr>
        <w:footnoteReference w:id="32"/>
      </w:r>
      <w:r w:rsidRPr="0047237E">
        <w:rPr>
          <w:rFonts w:ascii="David" w:eastAsia="Arial" w:hAnsi="David" w:cs="David"/>
        </w:rPr>
        <w:t xml:space="preserve">.  However, in accordance with the argument developed in chapter 1 about the meaning of voluntary, it is clearly the case that at some point, incentives could be seen as preventing the ability of people to choose freely. Furthermore, the most straightforward in </w:t>
      </w:r>
      <w:r w:rsidR="00F43907" w:rsidRPr="0047237E">
        <w:rPr>
          <w:rFonts w:ascii="David" w:eastAsia="Arial" w:hAnsi="David" w:cs="David"/>
        </w:rPr>
        <w:t xml:space="preserve">this </w:t>
      </w:r>
      <w:proofErr w:type="gramStart"/>
      <w:r w:rsidR="00F43907" w:rsidRPr="0047237E">
        <w:rPr>
          <w:rFonts w:ascii="David" w:eastAsia="Arial" w:hAnsi="David" w:cs="David"/>
        </w:rPr>
        <w:t>context</w:t>
      </w:r>
      <w:r w:rsidRPr="0047237E">
        <w:rPr>
          <w:rFonts w:ascii="David" w:eastAsia="Arial" w:hAnsi="David" w:cs="David"/>
        </w:rPr>
        <w:t>,</w:t>
      </w:r>
      <w:proofErr w:type="gramEnd"/>
      <w:r w:rsidRPr="0047237E">
        <w:rPr>
          <w:rFonts w:ascii="David" w:eastAsia="Arial" w:hAnsi="David" w:cs="David"/>
        </w:rPr>
        <w:t xml:space="preserve"> is related to the research about crowding out and the effect of incentive on intrinsic motivation, is obviously the clearest among them. </w:t>
      </w:r>
      <w:proofErr w:type="gramStart"/>
      <w:r w:rsidR="009A637D" w:rsidRPr="00A94D58">
        <w:rPr>
          <w:rFonts w:ascii="David" w:eastAsia="Arial" w:hAnsi="David" w:cs="David"/>
        </w:rPr>
        <w:t>I</w:t>
      </w:r>
      <w:r w:rsidR="00811B88" w:rsidRPr="00A94D58">
        <w:rPr>
          <w:rFonts w:ascii="David" w:eastAsia="Arial" w:hAnsi="David" w:cs="David"/>
        </w:rPr>
        <w:t>ncentives</w:t>
      </w:r>
      <w:proofErr w:type="gramEnd"/>
      <w:r w:rsidR="00811B88" w:rsidRPr="00A94D58">
        <w:rPr>
          <w:rFonts w:ascii="David" w:eastAsia="Arial" w:hAnsi="David" w:cs="David"/>
        </w:rPr>
        <w:t xml:space="preserve"> </w:t>
      </w:r>
      <w:r w:rsidR="009A637D" w:rsidRPr="00A94D58">
        <w:rPr>
          <w:rFonts w:ascii="David" w:eastAsia="Arial" w:hAnsi="David" w:cs="David"/>
        </w:rPr>
        <w:t>fines and voluntary compliance.</w:t>
      </w:r>
      <w:r w:rsidR="009A637D">
        <w:t xml:space="preserve"> </w:t>
      </w:r>
    </w:p>
    <w:p w14:paraId="2621169E" w14:textId="77777777" w:rsidR="00752A83" w:rsidRDefault="00752A83" w:rsidP="00EF1E09">
      <w:pPr>
        <w:spacing w:line="360" w:lineRule="auto"/>
        <w:jc w:val="both"/>
        <w:rPr>
          <w:rtl/>
        </w:rPr>
      </w:pPr>
    </w:p>
    <w:p w14:paraId="505D1253" w14:textId="1C526F0F" w:rsidR="0022450E" w:rsidRPr="0022450E" w:rsidRDefault="00752A83" w:rsidP="00EF1E09">
      <w:pPr>
        <w:pStyle w:val="Heading2"/>
        <w:spacing w:line="360" w:lineRule="auto"/>
        <w:jc w:val="both"/>
        <w:rPr>
          <w:rtl/>
        </w:rPr>
      </w:pPr>
      <w:bookmarkStart w:id="12" w:name="_Toc163650196"/>
      <w:r>
        <w:t>Negative vs. Positive Incentives</w:t>
      </w:r>
      <w:bookmarkEnd w:id="12"/>
    </w:p>
    <w:p w14:paraId="21B18BEE" w14:textId="6F116CF4" w:rsidR="00811B88" w:rsidRPr="0047237E" w:rsidRDefault="00811B88" w:rsidP="00EF1E09">
      <w:pPr>
        <w:spacing w:line="360" w:lineRule="auto"/>
        <w:jc w:val="both"/>
        <w:rPr>
          <w:rFonts w:ascii="David" w:hAnsi="David" w:cs="David"/>
          <w:rtl/>
        </w:rPr>
      </w:pPr>
      <w:r w:rsidRPr="0047237E">
        <w:rPr>
          <w:rFonts w:ascii="David" w:hAnsi="David" w:cs="David"/>
        </w:rPr>
        <w:t xml:space="preserve">Prospect theory </w:t>
      </w:r>
      <w:r w:rsidR="00F501CF" w:rsidRPr="0047237E">
        <w:rPr>
          <w:rFonts w:ascii="David" w:hAnsi="David" w:cs="David"/>
        </w:rPr>
        <w:t>is one of the most basic paradigms</w:t>
      </w:r>
      <w:r w:rsidR="00171B24">
        <w:rPr>
          <w:rFonts w:ascii="David" w:hAnsi="David" w:cs="David"/>
        </w:rPr>
        <w:t xml:space="preserve"> </w:t>
      </w:r>
      <w:r w:rsidR="00171B24" w:rsidRPr="00A94D58">
        <w:rPr>
          <w:rFonts w:ascii="David" w:eastAsia="Arial" w:hAnsi="David" w:cs="David"/>
        </w:rPr>
        <w:t>de</w:t>
      </w:r>
      <w:r w:rsidR="00A94D58">
        <w:rPr>
          <w:rFonts w:ascii="David" w:hAnsi="David" w:cs="David"/>
        </w:rPr>
        <w:t>ve</w:t>
      </w:r>
      <w:r w:rsidR="00171B24" w:rsidRPr="00A94D58">
        <w:rPr>
          <w:rFonts w:ascii="David" w:eastAsia="Arial" w:hAnsi="David" w:cs="David"/>
        </w:rPr>
        <w:t>loped</w:t>
      </w:r>
      <w:r w:rsidR="00171B24">
        <w:rPr>
          <w:rFonts w:ascii="David" w:hAnsi="David" w:cs="David"/>
        </w:rPr>
        <w:t xml:space="preserve"> by Tversky and </w:t>
      </w:r>
      <w:proofErr w:type="spellStart"/>
      <w:r w:rsidR="00171B24">
        <w:rPr>
          <w:rFonts w:ascii="David" w:hAnsi="David" w:cs="David"/>
        </w:rPr>
        <w:t>Kahaneman</w:t>
      </w:r>
      <w:proofErr w:type="spellEnd"/>
      <w:r w:rsidR="00171B24">
        <w:rPr>
          <w:rFonts w:ascii="David" w:hAnsi="David" w:cs="David"/>
        </w:rPr>
        <w:t xml:space="preserve"> which emerged into</w:t>
      </w:r>
      <w:r w:rsidR="00F501CF" w:rsidRPr="0047237E">
        <w:rPr>
          <w:rFonts w:ascii="David" w:hAnsi="David" w:cs="David"/>
        </w:rPr>
        <w:t xml:space="preserve"> </w:t>
      </w:r>
      <w:r w:rsidR="00171B24">
        <w:rPr>
          <w:rFonts w:ascii="David" w:hAnsi="David" w:cs="David"/>
        </w:rPr>
        <w:t xml:space="preserve">what has been known </w:t>
      </w:r>
      <w:r w:rsidR="00F43907">
        <w:rPr>
          <w:rFonts w:ascii="David" w:hAnsi="David" w:cs="David"/>
        </w:rPr>
        <w:t xml:space="preserve">as </w:t>
      </w:r>
      <w:r w:rsidR="00F43907" w:rsidRPr="0047237E">
        <w:rPr>
          <w:rFonts w:ascii="David" w:hAnsi="David" w:cs="David"/>
        </w:rPr>
        <w:t>behavioral</w:t>
      </w:r>
      <w:r w:rsidR="00F501CF" w:rsidRPr="0047237E">
        <w:rPr>
          <w:rFonts w:ascii="David" w:hAnsi="David" w:cs="David"/>
        </w:rPr>
        <w:t xml:space="preserve"> economics</w:t>
      </w:r>
      <w:r w:rsidR="00F43907">
        <w:rPr>
          <w:rFonts w:ascii="David" w:hAnsi="David" w:cs="David"/>
        </w:rPr>
        <w:t>.</w:t>
      </w:r>
      <w:r w:rsidR="003313B8" w:rsidRPr="0047237E">
        <w:rPr>
          <w:rStyle w:val="FootnoteReference"/>
          <w:rFonts w:ascii="David" w:hAnsi="David" w:cs="David"/>
        </w:rPr>
        <w:footnoteReference w:id="33"/>
      </w:r>
      <w:r w:rsidR="00F501CF" w:rsidRPr="0047237E">
        <w:rPr>
          <w:rFonts w:ascii="David" w:hAnsi="David" w:cs="David"/>
        </w:rPr>
        <w:t xml:space="preserve"> </w:t>
      </w:r>
    </w:p>
    <w:p w14:paraId="138C5E3C" w14:textId="7B3AC02F" w:rsidR="00811B88" w:rsidRPr="0047237E" w:rsidRDefault="00F501CF" w:rsidP="00EF1E09">
      <w:pPr>
        <w:spacing w:line="360" w:lineRule="auto"/>
        <w:jc w:val="both"/>
        <w:rPr>
          <w:rFonts w:ascii="David" w:hAnsi="David" w:cs="David"/>
        </w:rPr>
      </w:pPr>
      <w:r w:rsidRPr="0047237E">
        <w:rPr>
          <w:rFonts w:ascii="David" w:hAnsi="David" w:cs="David"/>
        </w:rPr>
        <w:t>Loss aversion and the law has been subject of much discussion</w:t>
      </w:r>
      <w:r w:rsidR="00F43907">
        <w:rPr>
          <w:rFonts w:ascii="David" w:hAnsi="David" w:cs="David"/>
        </w:rPr>
        <w:t>,</w:t>
      </w:r>
      <w:r w:rsidRPr="0047237E">
        <w:rPr>
          <w:rStyle w:val="FootnoteReference"/>
          <w:rFonts w:ascii="David" w:hAnsi="David" w:cs="David"/>
        </w:rPr>
        <w:footnoteReference w:id="34"/>
      </w:r>
      <w:r w:rsidR="003313B8" w:rsidRPr="0047237E">
        <w:rPr>
          <w:rFonts w:ascii="David" w:hAnsi="David" w:cs="David"/>
        </w:rPr>
        <w:t xml:space="preserve"> within the law and many have </w:t>
      </w:r>
      <w:r w:rsidR="00A94D58" w:rsidRPr="0047237E">
        <w:rPr>
          <w:rFonts w:ascii="David" w:hAnsi="David" w:cs="David"/>
        </w:rPr>
        <w:t>analyzed</w:t>
      </w:r>
      <w:r w:rsidR="003313B8" w:rsidRPr="0047237E">
        <w:rPr>
          <w:rFonts w:ascii="David" w:hAnsi="David" w:cs="David"/>
        </w:rPr>
        <w:t xml:space="preserve"> and examined the vast majority of contexts in which </w:t>
      </w:r>
      <w:r w:rsidR="00811B88" w:rsidRPr="0047237E">
        <w:rPr>
          <w:rFonts w:ascii="David" w:hAnsi="David" w:cs="David"/>
        </w:rPr>
        <w:t>Losses more painful than gains</w:t>
      </w:r>
      <w:r w:rsidR="003313B8" w:rsidRPr="0047237E">
        <w:rPr>
          <w:rFonts w:ascii="David" w:hAnsi="David" w:cs="David"/>
        </w:rPr>
        <w:t>.</w:t>
      </w:r>
      <w:r w:rsidR="00F41B4A" w:rsidRPr="0047237E">
        <w:rPr>
          <w:rStyle w:val="FootnoteReference"/>
          <w:rFonts w:ascii="David" w:hAnsi="David" w:cs="David"/>
        </w:rPr>
        <w:footnoteReference w:id="35"/>
      </w:r>
      <w:r w:rsidR="003313B8" w:rsidRPr="0047237E">
        <w:rPr>
          <w:rFonts w:ascii="David" w:hAnsi="David" w:cs="David"/>
        </w:rPr>
        <w:t xml:space="preserve"> In a joint work with T</w:t>
      </w:r>
      <w:r w:rsidR="00A94D58">
        <w:rPr>
          <w:rFonts w:ascii="David" w:hAnsi="David" w:cs="David"/>
        </w:rPr>
        <w:t>e</w:t>
      </w:r>
      <w:r w:rsidR="003313B8" w:rsidRPr="0047237E">
        <w:rPr>
          <w:rFonts w:ascii="David" w:hAnsi="David" w:cs="David"/>
        </w:rPr>
        <w:t>ichman and Schor,</w:t>
      </w:r>
      <w:r w:rsidR="00F41B4A" w:rsidRPr="0047237E">
        <w:rPr>
          <w:rStyle w:val="FootnoteReference"/>
          <w:rFonts w:ascii="David" w:hAnsi="David" w:cs="David"/>
        </w:rPr>
        <w:footnoteReference w:id="36"/>
      </w:r>
      <w:r w:rsidR="003313B8" w:rsidRPr="0047237E">
        <w:rPr>
          <w:rFonts w:ascii="David" w:hAnsi="David" w:cs="David"/>
        </w:rPr>
        <w:t xml:space="preserve"> we have shown that people will engage in a much more </w:t>
      </w:r>
      <w:r w:rsidR="00952CAA">
        <w:rPr>
          <w:rFonts w:ascii="David" w:hAnsi="David" w:cs="David"/>
        </w:rPr>
        <w:t xml:space="preserve">aggressive and </w:t>
      </w:r>
      <w:proofErr w:type="spellStart"/>
      <w:proofErr w:type="gramStart"/>
      <w:r w:rsidR="00952CAA">
        <w:rPr>
          <w:rFonts w:ascii="David" w:hAnsi="David" w:cs="David"/>
        </w:rPr>
        <w:t>self motivated</w:t>
      </w:r>
      <w:proofErr w:type="spellEnd"/>
      <w:proofErr w:type="gramEnd"/>
      <w:r w:rsidR="00952CAA" w:rsidRPr="0047237E">
        <w:rPr>
          <w:rFonts w:ascii="David" w:hAnsi="David" w:cs="David"/>
        </w:rPr>
        <w:t xml:space="preserve"> </w:t>
      </w:r>
      <w:r w:rsidR="003313B8" w:rsidRPr="0047237E">
        <w:rPr>
          <w:rFonts w:ascii="David" w:hAnsi="David" w:cs="David"/>
        </w:rPr>
        <w:t>interpretation</w:t>
      </w:r>
      <w:r w:rsidR="00952CAA">
        <w:rPr>
          <w:rFonts w:ascii="David" w:hAnsi="David" w:cs="David"/>
        </w:rPr>
        <w:t xml:space="preserve"> of their contractual obligations</w:t>
      </w:r>
      <w:r w:rsidR="003313B8" w:rsidRPr="0047237E">
        <w:rPr>
          <w:rFonts w:ascii="David" w:hAnsi="David" w:cs="David"/>
        </w:rPr>
        <w:t xml:space="preserve"> to avoid a loss. </w:t>
      </w:r>
    </w:p>
    <w:p w14:paraId="3672610C" w14:textId="1ACC3738" w:rsidR="003313B8" w:rsidRPr="0047237E" w:rsidRDefault="003313B8" w:rsidP="00EF1E09">
      <w:pPr>
        <w:spacing w:line="360" w:lineRule="auto"/>
        <w:jc w:val="both"/>
        <w:rPr>
          <w:rFonts w:ascii="David" w:hAnsi="David" w:cs="David"/>
          <w:rtl/>
        </w:rPr>
      </w:pPr>
      <w:r w:rsidRPr="0047237E">
        <w:rPr>
          <w:rFonts w:ascii="David" w:hAnsi="David" w:cs="David"/>
        </w:rPr>
        <w:t xml:space="preserve">In many ways, fines </w:t>
      </w:r>
      <w:r w:rsidR="00952CAA">
        <w:rPr>
          <w:rFonts w:ascii="David" w:hAnsi="David" w:cs="David"/>
        </w:rPr>
        <w:t>vs.</w:t>
      </w:r>
      <w:r w:rsidR="009A521B" w:rsidRPr="0047237E">
        <w:rPr>
          <w:rFonts w:ascii="David" w:hAnsi="David" w:cs="David"/>
        </w:rPr>
        <w:t xml:space="preserve"> </w:t>
      </w:r>
      <w:proofErr w:type="spellStart"/>
      <w:r w:rsidR="009A521B" w:rsidRPr="0047237E">
        <w:rPr>
          <w:rFonts w:ascii="David" w:hAnsi="David" w:cs="David"/>
        </w:rPr>
        <w:t>incentives</w:t>
      </w:r>
      <w:r w:rsidR="00952CAA">
        <w:rPr>
          <w:rFonts w:ascii="David" w:hAnsi="David" w:cs="David"/>
        </w:rPr>
        <w:t>is</w:t>
      </w:r>
      <w:proofErr w:type="spellEnd"/>
      <w:r w:rsidR="00952CAA">
        <w:rPr>
          <w:rFonts w:ascii="David" w:hAnsi="David" w:cs="David"/>
        </w:rPr>
        <w:t xml:space="preserve"> beyond the differences </w:t>
      </w:r>
      <w:proofErr w:type="gramStart"/>
      <w:r w:rsidR="00952CAA">
        <w:rPr>
          <w:rFonts w:ascii="David" w:hAnsi="David" w:cs="David"/>
        </w:rPr>
        <w:t xml:space="preserve">between </w:t>
      </w:r>
      <w:r w:rsidR="009A521B" w:rsidRPr="0047237E">
        <w:rPr>
          <w:rFonts w:ascii="David" w:hAnsi="David" w:cs="David"/>
        </w:rPr>
        <w:t xml:space="preserve"> loss</w:t>
      </w:r>
      <w:proofErr w:type="gramEnd"/>
      <w:r w:rsidR="009A521B" w:rsidRPr="0047237E">
        <w:rPr>
          <w:rFonts w:ascii="David" w:hAnsi="David" w:cs="David"/>
        </w:rPr>
        <w:t xml:space="preserve"> vs. gains, as there is a social and normative component which is added to fines. </w:t>
      </w:r>
      <w:r w:rsidR="00F41B4A" w:rsidRPr="0047237E">
        <w:rPr>
          <w:rStyle w:val="FootnoteReference"/>
          <w:rFonts w:ascii="David" w:hAnsi="David" w:cs="David"/>
        </w:rPr>
        <w:footnoteReference w:id="37"/>
      </w:r>
      <w:r w:rsidR="009A521B" w:rsidRPr="0047237E">
        <w:rPr>
          <w:rFonts w:ascii="David" w:hAnsi="David" w:cs="David"/>
        </w:rPr>
        <w:t xml:space="preserve">For example, getting a fine </w:t>
      </w:r>
      <w:r w:rsidR="00952CAA">
        <w:rPr>
          <w:rFonts w:ascii="David" w:hAnsi="David" w:cs="David"/>
        </w:rPr>
        <w:t>could</w:t>
      </w:r>
      <w:r w:rsidR="009A521B" w:rsidRPr="0047237E">
        <w:rPr>
          <w:rFonts w:ascii="David" w:hAnsi="David" w:cs="David"/>
        </w:rPr>
        <w:t xml:space="preserve"> </w:t>
      </w:r>
      <w:proofErr w:type="spellStart"/>
      <w:r w:rsidR="009A521B" w:rsidRPr="0047237E">
        <w:rPr>
          <w:rFonts w:ascii="David" w:hAnsi="David" w:cs="David"/>
        </w:rPr>
        <w:t>includes</w:t>
      </w:r>
      <w:proofErr w:type="spellEnd"/>
      <w:r w:rsidR="009A521B" w:rsidRPr="0047237E">
        <w:rPr>
          <w:rFonts w:ascii="David" w:hAnsi="David" w:cs="David"/>
        </w:rPr>
        <w:t xml:space="preserve"> social stigmatization</w:t>
      </w:r>
      <w:r w:rsidR="005A5E50" w:rsidRPr="0047237E">
        <w:rPr>
          <w:rFonts w:ascii="David" w:hAnsi="David" w:cs="David"/>
        </w:rPr>
        <w:t xml:space="preserve"> because of the expressive function of laws in general and p</w:t>
      </w:r>
      <w:r w:rsidR="006759BF" w:rsidRPr="0047237E">
        <w:rPr>
          <w:rFonts w:ascii="David" w:hAnsi="David" w:cs="David"/>
        </w:rPr>
        <w:t>unishment in particular</w:t>
      </w:r>
      <w:r w:rsidR="009A521B" w:rsidRPr="0047237E">
        <w:rPr>
          <w:rFonts w:ascii="David" w:hAnsi="David" w:cs="David"/>
        </w:rPr>
        <w:t>,</w:t>
      </w:r>
      <w:r w:rsidR="00F41B4A" w:rsidRPr="0047237E">
        <w:rPr>
          <w:rStyle w:val="FootnoteReference"/>
          <w:rFonts w:ascii="David" w:hAnsi="David" w:cs="David"/>
        </w:rPr>
        <w:footnoteReference w:id="38"/>
      </w:r>
      <w:r w:rsidR="009A521B" w:rsidRPr="0047237E">
        <w:rPr>
          <w:rFonts w:ascii="David" w:hAnsi="David" w:cs="David"/>
        </w:rPr>
        <w:t xml:space="preserve"> </w:t>
      </w:r>
      <w:r w:rsidR="00F41B4A" w:rsidRPr="0047237E">
        <w:rPr>
          <w:rFonts w:ascii="David" w:hAnsi="David" w:cs="David"/>
        </w:rPr>
        <w:t>reputation</w:t>
      </w:r>
      <w:r w:rsidR="009A521B" w:rsidRPr="0047237E">
        <w:rPr>
          <w:rFonts w:ascii="David" w:hAnsi="David" w:cs="David"/>
        </w:rPr>
        <w:t xml:space="preserve"> loss</w:t>
      </w:r>
      <w:r w:rsidR="00F43907">
        <w:rPr>
          <w:rFonts w:ascii="David" w:hAnsi="David" w:cs="David"/>
        </w:rPr>
        <w:t>,</w:t>
      </w:r>
      <w:r w:rsidR="006759BF" w:rsidRPr="0047237E">
        <w:rPr>
          <w:rStyle w:val="FootnoteReference"/>
          <w:rFonts w:ascii="David" w:hAnsi="David" w:cs="David"/>
        </w:rPr>
        <w:footnoteReference w:id="39"/>
      </w:r>
      <w:r w:rsidR="009A521B" w:rsidRPr="0047237E">
        <w:rPr>
          <w:rFonts w:ascii="David" w:hAnsi="David" w:cs="David"/>
        </w:rPr>
        <w:t xml:space="preserve"> and sometimes even a record. </w:t>
      </w:r>
      <w:r w:rsidR="00F43907" w:rsidRPr="0047237E">
        <w:rPr>
          <w:rFonts w:ascii="David" w:hAnsi="David" w:cs="David"/>
        </w:rPr>
        <w:t>Very few</w:t>
      </w:r>
      <w:r w:rsidR="009A521B" w:rsidRPr="0047237E">
        <w:rPr>
          <w:rFonts w:ascii="David" w:hAnsi="David" w:cs="David"/>
        </w:rPr>
        <w:t xml:space="preserve"> people will know of </w:t>
      </w:r>
      <w:r w:rsidR="005A5E50" w:rsidRPr="0047237E">
        <w:rPr>
          <w:rFonts w:ascii="David" w:hAnsi="David" w:cs="David"/>
        </w:rPr>
        <w:t xml:space="preserve">the fact that someone doesn’t get the incentive. </w:t>
      </w:r>
      <w:r w:rsidR="00E00260" w:rsidRPr="0047237E">
        <w:rPr>
          <w:rFonts w:ascii="David" w:hAnsi="David" w:cs="David"/>
        </w:rPr>
        <w:t xml:space="preserve">Even with the fine is a price paradigm which </w:t>
      </w:r>
      <w:proofErr w:type="spellStart"/>
      <w:r w:rsidR="00E00260" w:rsidRPr="0047237E">
        <w:rPr>
          <w:rFonts w:ascii="David" w:hAnsi="David" w:cs="David"/>
        </w:rPr>
        <w:t>attemts</w:t>
      </w:r>
      <w:proofErr w:type="spellEnd"/>
      <w:r w:rsidR="00E00260" w:rsidRPr="0047237E">
        <w:rPr>
          <w:rFonts w:ascii="David" w:hAnsi="David" w:cs="David"/>
        </w:rPr>
        <w:t xml:space="preserve"> to equalize fines and prices, there are much to discuss and explain why this </w:t>
      </w:r>
      <w:proofErr w:type="gramStart"/>
      <w:r w:rsidR="00E00260" w:rsidRPr="0047237E">
        <w:rPr>
          <w:rFonts w:ascii="David" w:hAnsi="David" w:cs="David"/>
        </w:rPr>
        <w:t>particular paradigm</w:t>
      </w:r>
      <w:proofErr w:type="gramEnd"/>
      <w:r w:rsidR="00E00260" w:rsidRPr="0047237E">
        <w:rPr>
          <w:rFonts w:ascii="David" w:hAnsi="David" w:cs="David"/>
        </w:rPr>
        <w:t xml:space="preserve"> was not representative of other fines</w:t>
      </w:r>
      <w:r w:rsidR="00F41B4A" w:rsidRPr="0047237E">
        <w:rPr>
          <w:rFonts w:ascii="David" w:hAnsi="David" w:cs="David"/>
        </w:rPr>
        <w:t>.</w:t>
      </w:r>
      <w:r w:rsidR="00C37706">
        <w:rPr>
          <w:rStyle w:val="FootnoteReference"/>
          <w:rFonts w:ascii="David" w:hAnsi="David" w:cs="David"/>
        </w:rPr>
        <w:footnoteReference w:id="40"/>
      </w:r>
      <w:r w:rsidR="00E00260" w:rsidRPr="0047237E">
        <w:rPr>
          <w:rFonts w:ascii="David" w:hAnsi="David" w:cs="David"/>
        </w:rPr>
        <w:t xml:space="preserve"> </w:t>
      </w:r>
    </w:p>
    <w:p w14:paraId="560853C8" w14:textId="77777777" w:rsidR="00173ACD" w:rsidRPr="0047237E" w:rsidRDefault="00173ACD" w:rsidP="00EF1E09">
      <w:pPr>
        <w:spacing w:line="360" w:lineRule="auto"/>
        <w:jc w:val="both"/>
        <w:rPr>
          <w:rFonts w:ascii="David" w:hAnsi="David" w:cs="David"/>
        </w:rPr>
      </w:pPr>
    </w:p>
    <w:p w14:paraId="2BD3D0EC" w14:textId="276F1631" w:rsidR="00B652D4" w:rsidRPr="0047237E" w:rsidRDefault="00171B24" w:rsidP="0044682A">
      <w:pPr>
        <w:spacing w:line="360" w:lineRule="auto"/>
        <w:jc w:val="both"/>
        <w:rPr>
          <w:rFonts w:ascii="David" w:eastAsia="Arial" w:hAnsi="David" w:cs="David"/>
          <w:bCs/>
        </w:rPr>
      </w:pPr>
      <w:r>
        <w:rPr>
          <w:rFonts w:ascii="David" w:eastAsia="Arial" w:hAnsi="David" w:cs="David"/>
          <w:bCs/>
        </w:rPr>
        <w:t xml:space="preserve">Despite economic perspective on the resemblances of negative and positive </w:t>
      </w:r>
      <w:proofErr w:type="gramStart"/>
      <w:r>
        <w:rPr>
          <w:rFonts w:ascii="David" w:eastAsia="Arial" w:hAnsi="David" w:cs="David"/>
          <w:bCs/>
        </w:rPr>
        <w:t>incentives,  To</w:t>
      </w:r>
      <w:proofErr w:type="gramEnd"/>
      <w:r>
        <w:rPr>
          <w:rFonts w:ascii="David" w:eastAsia="Arial" w:hAnsi="David" w:cs="David"/>
          <w:bCs/>
        </w:rPr>
        <w:t xml:space="preserve"> what most people negative incentives undermine the notion of voluntarism, while positive incentives </w:t>
      </w:r>
      <w:r>
        <w:rPr>
          <w:rFonts w:ascii="David" w:eastAsia="Arial" w:hAnsi="David" w:cs="David"/>
          <w:bCs/>
        </w:rPr>
        <w:lastRenderedPageBreak/>
        <w:t>are not necessarily doing that</w:t>
      </w:r>
      <w:r w:rsidR="00B652D4" w:rsidRPr="0047237E">
        <w:rPr>
          <w:rFonts w:ascii="David" w:eastAsia="Arial" w:hAnsi="David" w:cs="David"/>
          <w:bCs/>
        </w:rPr>
        <w:t xml:space="preserve">. As we will outline in the following paragraphs. Is it the case that people can choose not to get the positive incentive more </w:t>
      </w:r>
      <w:proofErr w:type="gramStart"/>
      <w:r w:rsidR="00B652D4" w:rsidRPr="0047237E">
        <w:rPr>
          <w:rFonts w:ascii="David" w:eastAsia="Arial" w:hAnsi="David" w:cs="David"/>
          <w:bCs/>
        </w:rPr>
        <w:t>that</w:t>
      </w:r>
      <w:proofErr w:type="gramEnd"/>
      <w:r w:rsidR="00B652D4" w:rsidRPr="0047237E">
        <w:rPr>
          <w:rFonts w:ascii="David" w:eastAsia="Arial" w:hAnsi="David" w:cs="David"/>
          <w:bCs/>
        </w:rPr>
        <w:t xml:space="preserve"> they can choose to be sanctioned. </w:t>
      </w:r>
    </w:p>
    <w:p w14:paraId="4A9796B8" w14:textId="6BB32E24" w:rsidR="00B652D4" w:rsidRPr="0047237E" w:rsidRDefault="00B652D4" w:rsidP="0044682A">
      <w:pPr>
        <w:spacing w:line="360" w:lineRule="auto"/>
        <w:jc w:val="both"/>
        <w:rPr>
          <w:rFonts w:ascii="David" w:eastAsia="Arial" w:hAnsi="David" w:cs="David"/>
          <w:bCs/>
        </w:rPr>
      </w:pPr>
      <w:r w:rsidRPr="0047237E">
        <w:rPr>
          <w:rFonts w:ascii="David" w:eastAsia="Arial" w:hAnsi="David" w:cs="David"/>
          <w:bCs/>
        </w:rPr>
        <w:t xml:space="preserve">While economists tend to argue for the </w:t>
      </w:r>
      <w:r w:rsidR="00010AF5" w:rsidRPr="0047237E">
        <w:rPr>
          <w:rFonts w:ascii="David" w:eastAsia="Arial" w:hAnsi="David" w:cs="David"/>
          <w:bCs/>
        </w:rPr>
        <w:t>symmetry</w:t>
      </w:r>
      <w:r w:rsidRPr="0047237E">
        <w:rPr>
          <w:rFonts w:ascii="David" w:eastAsia="Arial" w:hAnsi="David" w:cs="David"/>
          <w:bCs/>
        </w:rPr>
        <w:t xml:space="preserve"> between being sanction to not be rewarded</w:t>
      </w:r>
      <w:r w:rsidR="00AD3F70">
        <w:rPr>
          <w:rFonts w:ascii="David" w:eastAsia="Arial" w:hAnsi="David" w:cs="David"/>
          <w:bCs/>
        </w:rPr>
        <w:t>,</w:t>
      </w:r>
      <w:r w:rsidR="00010AF5" w:rsidRPr="0047237E">
        <w:rPr>
          <w:rStyle w:val="FootnoteReference"/>
          <w:rFonts w:ascii="David" w:eastAsia="Arial" w:hAnsi="David" w:cs="David"/>
          <w:bCs/>
        </w:rPr>
        <w:footnoteReference w:id="41"/>
      </w:r>
      <w:r w:rsidRPr="0047237E">
        <w:rPr>
          <w:rFonts w:ascii="David" w:eastAsia="Arial" w:hAnsi="David" w:cs="David"/>
          <w:bCs/>
        </w:rPr>
        <w:t xml:space="preserve"> </w:t>
      </w:r>
      <w:r w:rsidR="00403B05" w:rsidRPr="0047237E">
        <w:rPr>
          <w:rFonts w:ascii="David" w:eastAsia="Arial" w:hAnsi="David" w:cs="David"/>
          <w:bCs/>
        </w:rPr>
        <w:t xml:space="preserve">hence the contribution of prospect theory on the difference between risk and loss aversion. </w:t>
      </w:r>
    </w:p>
    <w:p w14:paraId="44D36896" w14:textId="53FDFAD6" w:rsidR="0029645C" w:rsidRDefault="00403B05" w:rsidP="0044682A">
      <w:pPr>
        <w:spacing w:line="360" w:lineRule="auto"/>
        <w:jc w:val="both"/>
        <w:rPr>
          <w:rFonts w:ascii="David" w:eastAsia="Arial" w:hAnsi="David" w:cs="David"/>
          <w:sz w:val="24"/>
          <w:szCs w:val="24"/>
        </w:rPr>
      </w:pPr>
      <w:r w:rsidRPr="0047237E">
        <w:rPr>
          <w:rFonts w:ascii="David" w:eastAsia="Arial" w:hAnsi="David" w:cs="David"/>
          <w:bCs/>
        </w:rPr>
        <w:t xml:space="preserve">For most legal scholars, not such symmetry exists, because even just paying a </w:t>
      </w:r>
      <w:proofErr w:type="gramStart"/>
      <w:r w:rsidRPr="0047237E">
        <w:rPr>
          <w:rFonts w:ascii="David" w:eastAsia="Arial" w:hAnsi="David" w:cs="David"/>
          <w:bCs/>
        </w:rPr>
        <w:t>fine is</w:t>
      </w:r>
      <w:proofErr w:type="gramEnd"/>
      <w:r w:rsidRPr="0047237E">
        <w:rPr>
          <w:rFonts w:ascii="David" w:eastAsia="Arial" w:hAnsi="David" w:cs="David"/>
          <w:bCs/>
        </w:rPr>
        <w:t xml:space="preserve"> seems to be </w:t>
      </w:r>
      <w:r w:rsidR="00010AF5" w:rsidRPr="0047237E">
        <w:rPr>
          <w:rFonts w:ascii="David" w:eastAsia="Arial" w:hAnsi="David" w:cs="David"/>
          <w:bCs/>
        </w:rPr>
        <w:t>carrying</w:t>
      </w:r>
      <w:r w:rsidRPr="0047237E">
        <w:rPr>
          <w:rFonts w:ascii="David" w:eastAsia="Arial" w:hAnsi="David" w:cs="David"/>
          <w:bCs/>
        </w:rPr>
        <w:t xml:space="preserve"> a moral and a social baggage which could not be associated with not winning the reward. </w:t>
      </w:r>
      <w:r w:rsidR="00951316" w:rsidRPr="00961CA5">
        <w:rPr>
          <w:rFonts w:ascii="David" w:eastAsia="Arial" w:hAnsi="David" w:cs="David"/>
          <w:sz w:val="24"/>
          <w:szCs w:val="24"/>
        </w:rPr>
        <w:t>Rewards refer to (positive) incentives that reward citizens or companies for compliant behavior</w:t>
      </w:r>
      <w:r w:rsidR="00AD3F70">
        <w:rPr>
          <w:rFonts w:ascii="David" w:eastAsia="Arial" w:hAnsi="David" w:cs="David"/>
          <w:sz w:val="24"/>
          <w:szCs w:val="24"/>
        </w:rPr>
        <w:t>.</w:t>
      </w:r>
      <w:r w:rsidR="003D7C3D" w:rsidRPr="00961CA5">
        <w:rPr>
          <w:rStyle w:val="FootnoteReference"/>
          <w:rFonts w:ascii="David" w:eastAsia="Arial" w:hAnsi="David" w:cs="David"/>
          <w:sz w:val="24"/>
          <w:szCs w:val="24"/>
        </w:rPr>
        <w:footnoteReference w:id="42"/>
      </w:r>
    </w:p>
    <w:p w14:paraId="545214D2" w14:textId="3CE55818" w:rsidR="00B12E1E" w:rsidRDefault="00951316" w:rsidP="0044682A">
      <w:pPr>
        <w:spacing w:line="360" w:lineRule="auto"/>
        <w:jc w:val="both"/>
        <w:rPr>
          <w:rFonts w:ascii="David" w:eastAsia="Arial" w:hAnsi="David" w:cs="David"/>
          <w:sz w:val="24"/>
          <w:szCs w:val="24"/>
        </w:rPr>
      </w:pPr>
      <w:r w:rsidRPr="00961CA5">
        <w:rPr>
          <w:rFonts w:ascii="David" w:eastAsia="Arial" w:hAnsi="David" w:cs="David"/>
          <w:sz w:val="24"/>
          <w:szCs w:val="24"/>
        </w:rPr>
        <w:t xml:space="preserve"> </w:t>
      </w:r>
      <w:r w:rsidRPr="00961CA5">
        <w:rPr>
          <w:rFonts w:ascii="David" w:eastAsia="Arial" w:hAnsi="David" w:cs="David"/>
          <w:sz w:val="24"/>
          <w:szCs w:val="24"/>
        </w:rPr>
        <w:tab/>
      </w:r>
      <w:r w:rsidR="0029645C">
        <w:rPr>
          <w:rFonts w:ascii="David" w:eastAsia="Arial" w:hAnsi="David" w:cs="David"/>
          <w:sz w:val="24"/>
          <w:szCs w:val="24"/>
        </w:rPr>
        <w:t>W</w:t>
      </w:r>
      <w:r w:rsidR="00D053BF" w:rsidRPr="00961CA5">
        <w:rPr>
          <w:rFonts w:ascii="David" w:eastAsia="Arial" w:hAnsi="David" w:cs="David"/>
          <w:sz w:val="24"/>
          <w:szCs w:val="24"/>
        </w:rPr>
        <w:t>ithin the research on rewards, we can focus for example on lottery prizes</w:t>
      </w:r>
      <w:r w:rsidR="00AD3F70">
        <w:rPr>
          <w:rFonts w:ascii="David" w:eastAsia="Arial" w:hAnsi="David" w:cs="David"/>
          <w:sz w:val="24"/>
          <w:szCs w:val="24"/>
        </w:rPr>
        <w:t>,</w:t>
      </w:r>
      <w:r w:rsidR="009C5C33" w:rsidRPr="00961CA5">
        <w:rPr>
          <w:rStyle w:val="FootnoteReference"/>
          <w:rFonts w:ascii="David" w:eastAsia="Arial" w:hAnsi="David" w:cs="David"/>
          <w:sz w:val="24"/>
          <w:szCs w:val="24"/>
        </w:rPr>
        <w:footnoteReference w:id="43"/>
      </w:r>
      <w:r w:rsidR="00D053BF" w:rsidRPr="00961CA5">
        <w:rPr>
          <w:rFonts w:ascii="David" w:eastAsia="Arial" w:hAnsi="David" w:cs="David"/>
          <w:sz w:val="24"/>
          <w:szCs w:val="24"/>
        </w:rPr>
        <w:t xml:space="preserve"> </w:t>
      </w:r>
      <w:r w:rsidRPr="00961CA5">
        <w:rPr>
          <w:rFonts w:ascii="David" w:eastAsia="Arial" w:hAnsi="David" w:cs="David"/>
          <w:sz w:val="24"/>
          <w:szCs w:val="24"/>
        </w:rPr>
        <w:t>Other studies examine monetary payments or restitutions</w:t>
      </w:r>
      <w:r w:rsidR="00AD3F70">
        <w:rPr>
          <w:rFonts w:ascii="David" w:eastAsia="Arial" w:hAnsi="David" w:cs="David"/>
          <w:sz w:val="24"/>
          <w:szCs w:val="24"/>
        </w:rPr>
        <w:t>,</w:t>
      </w:r>
      <w:r w:rsidR="009C5C33" w:rsidRPr="00961CA5">
        <w:rPr>
          <w:rStyle w:val="FootnoteReference"/>
          <w:rFonts w:ascii="David" w:eastAsia="Arial" w:hAnsi="David" w:cs="David"/>
          <w:sz w:val="24"/>
          <w:szCs w:val="24"/>
        </w:rPr>
        <w:footnoteReference w:id="44"/>
      </w:r>
      <w:r w:rsidRPr="00961CA5">
        <w:rPr>
          <w:rFonts w:ascii="David" w:eastAsia="Arial" w:hAnsi="David" w:cs="David"/>
          <w:sz w:val="24"/>
          <w:szCs w:val="24"/>
        </w:rPr>
        <w:t xml:space="preserve"> government benefits</w:t>
      </w:r>
      <w:r w:rsidR="00AD3F70">
        <w:rPr>
          <w:rFonts w:ascii="David" w:eastAsia="Arial" w:hAnsi="David" w:cs="David"/>
          <w:sz w:val="24"/>
          <w:szCs w:val="24"/>
        </w:rPr>
        <w:t>,</w:t>
      </w:r>
      <w:r w:rsidR="009C5C33" w:rsidRPr="00961CA5">
        <w:rPr>
          <w:rStyle w:val="FootnoteReference"/>
          <w:rFonts w:ascii="David" w:eastAsia="Arial" w:hAnsi="David" w:cs="David"/>
          <w:sz w:val="24"/>
          <w:szCs w:val="24"/>
        </w:rPr>
        <w:footnoteReference w:id="45"/>
      </w:r>
      <w:r w:rsidRPr="00961CA5">
        <w:rPr>
          <w:rFonts w:ascii="David" w:eastAsia="Arial" w:hAnsi="David" w:cs="David"/>
          <w:sz w:val="24"/>
          <w:szCs w:val="24"/>
        </w:rPr>
        <w:t xml:space="preserve"> subsidies</w:t>
      </w:r>
      <w:r w:rsidR="00AD3F70">
        <w:rPr>
          <w:rFonts w:ascii="David" w:eastAsia="Arial" w:hAnsi="David" w:cs="David"/>
          <w:sz w:val="24"/>
          <w:szCs w:val="24"/>
        </w:rPr>
        <w:t>,</w:t>
      </w:r>
      <w:r w:rsidR="00D410EF" w:rsidRPr="00961CA5">
        <w:rPr>
          <w:rStyle w:val="FootnoteReference"/>
          <w:rFonts w:ascii="David" w:eastAsia="Arial" w:hAnsi="David" w:cs="David"/>
          <w:sz w:val="24"/>
          <w:szCs w:val="24"/>
        </w:rPr>
        <w:footnoteReference w:id="46"/>
      </w:r>
      <w:r w:rsidRPr="00961CA5">
        <w:rPr>
          <w:rFonts w:ascii="David" w:eastAsia="Arial" w:hAnsi="David" w:cs="David"/>
          <w:sz w:val="24"/>
          <w:szCs w:val="24"/>
        </w:rPr>
        <w:t xml:space="preserve"> non-monetary rewards</w:t>
      </w:r>
      <w:r w:rsidR="00AD3F70">
        <w:rPr>
          <w:rFonts w:ascii="David" w:eastAsia="Arial" w:hAnsi="David" w:cs="David"/>
          <w:sz w:val="24"/>
          <w:szCs w:val="24"/>
        </w:rPr>
        <w:t>,</w:t>
      </w:r>
      <w:r w:rsidR="00D410EF" w:rsidRPr="00961CA5">
        <w:rPr>
          <w:rStyle w:val="FootnoteReference"/>
          <w:rFonts w:ascii="David" w:eastAsia="Arial" w:hAnsi="David" w:cs="David"/>
          <w:sz w:val="24"/>
          <w:szCs w:val="24"/>
        </w:rPr>
        <w:footnoteReference w:id="47"/>
      </w:r>
      <w:r w:rsidRPr="00961CA5">
        <w:rPr>
          <w:rFonts w:ascii="David" w:eastAsia="Arial" w:hAnsi="David" w:cs="David"/>
          <w:sz w:val="24"/>
          <w:szCs w:val="24"/>
        </w:rPr>
        <w:t xml:space="preserve"> and social rewards like praise. Also, some studies focus on rewards in the form of collective goods or benefits</w:t>
      </w:r>
      <w:r w:rsidR="00D410EF" w:rsidRPr="00961CA5">
        <w:rPr>
          <w:rStyle w:val="FootnoteReference"/>
          <w:rFonts w:ascii="David" w:eastAsia="Arial" w:hAnsi="David" w:cs="David"/>
          <w:sz w:val="24"/>
          <w:szCs w:val="24"/>
        </w:rPr>
        <w:footnoteReference w:id="48"/>
      </w:r>
      <w:r w:rsidRPr="00961CA5">
        <w:rPr>
          <w:rFonts w:ascii="David" w:eastAsia="Arial" w:hAnsi="David" w:cs="David"/>
          <w:sz w:val="24"/>
          <w:szCs w:val="24"/>
        </w:rPr>
        <w:t xml:space="preserve">. </w:t>
      </w:r>
      <w:r w:rsidR="00D053BF" w:rsidRPr="00961CA5">
        <w:rPr>
          <w:rFonts w:ascii="David" w:eastAsia="Arial" w:hAnsi="David" w:cs="David"/>
          <w:sz w:val="24"/>
          <w:szCs w:val="24"/>
        </w:rPr>
        <w:t>The contexts in which rewards were mostly studied with focus on rewards are for example in taxation</w:t>
      </w:r>
      <w:r w:rsidR="00AD3F70">
        <w:rPr>
          <w:rFonts w:ascii="David" w:eastAsia="Arial" w:hAnsi="David" w:cs="David"/>
          <w:sz w:val="24"/>
          <w:szCs w:val="24"/>
        </w:rPr>
        <w:t>,</w:t>
      </w:r>
      <w:r w:rsidR="00D053BF" w:rsidRPr="00961CA5">
        <w:rPr>
          <w:rStyle w:val="FootnoteReference"/>
          <w:rFonts w:ascii="David" w:eastAsia="Arial" w:hAnsi="David" w:cs="David"/>
          <w:sz w:val="24"/>
          <w:szCs w:val="24"/>
        </w:rPr>
        <w:footnoteReference w:id="49"/>
      </w:r>
      <w:r w:rsidR="00D053BF" w:rsidRPr="00961CA5">
        <w:rPr>
          <w:rFonts w:ascii="David" w:eastAsia="Arial" w:hAnsi="David" w:cs="David"/>
          <w:sz w:val="24"/>
          <w:szCs w:val="24"/>
        </w:rPr>
        <w:t xml:space="preserve"> and </w:t>
      </w:r>
      <w:r w:rsidR="00D053BF" w:rsidRPr="00961CA5">
        <w:rPr>
          <w:rFonts w:ascii="David" w:eastAsia="Arial" w:hAnsi="David" w:cs="David"/>
          <w:sz w:val="24"/>
          <w:szCs w:val="24"/>
        </w:rPr>
        <w:lastRenderedPageBreak/>
        <w:t xml:space="preserve">the </w:t>
      </w:r>
      <w:r w:rsidR="00F4076D" w:rsidRPr="00961CA5">
        <w:rPr>
          <w:rFonts w:ascii="David" w:eastAsia="Arial" w:hAnsi="David" w:cs="David"/>
          <w:sz w:val="24"/>
          <w:szCs w:val="24"/>
        </w:rPr>
        <w:t>environment</w:t>
      </w:r>
      <w:r w:rsidR="00AD3F70">
        <w:rPr>
          <w:rFonts w:ascii="David" w:eastAsia="Arial" w:hAnsi="David" w:cs="David"/>
          <w:sz w:val="24"/>
          <w:szCs w:val="24"/>
        </w:rPr>
        <w:t>,</w:t>
      </w:r>
      <w:r w:rsidR="00F4076D" w:rsidRPr="00961CA5">
        <w:rPr>
          <w:rStyle w:val="FootnoteReference"/>
          <w:rFonts w:ascii="David" w:eastAsia="Arial" w:hAnsi="David" w:cs="David"/>
          <w:sz w:val="24"/>
          <w:szCs w:val="24"/>
        </w:rPr>
        <w:footnoteReference w:id="50"/>
      </w:r>
      <w:r w:rsidR="00D053BF" w:rsidRPr="00961CA5">
        <w:rPr>
          <w:rFonts w:ascii="David" w:eastAsia="Arial" w:hAnsi="David" w:cs="David"/>
          <w:sz w:val="24"/>
          <w:szCs w:val="24"/>
        </w:rPr>
        <w:t xml:space="preserve"> as will be developed in the chapters discussing cooperation in these contexts. In</w:t>
      </w:r>
      <w:r w:rsidR="00F4076D" w:rsidRPr="00961CA5">
        <w:rPr>
          <w:rFonts w:ascii="David" w:eastAsia="Arial" w:hAnsi="David" w:cs="David"/>
          <w:sz w:val="24"/>
          <w:szCs w:val="24"/>
        </w:rPr>
        <w:t xml:space="preserve"> </w:t>
      </w:r>
      <w:r w:rsidR="00D053BF" w:rsidRPr="00961CA5">
        <w:rPr>
          <w:rFonts w:ascii="David" w:eastAsia="Arial" w:hAnsi="David" w:cs="David"/>
          <w:sz w:val="24"/>
          <w:szCs w:val="24"/>
        </w:rPr>
        <w:t>addition some other studies focused on the efficacy in rewards in more specific context such as  fare dodging</w:t>
      </w:r>
      <w:r w:rsidR="00AD3F70">
        <w:rPr>
          <w:rFonts w:ascii="David" w:eastAsia="Arial" w:hAnsi="David" w:cs="David"/>
          <w:sz w:val="24"/>
          <w:szCs w:val="24"/>
        </w:rPr>
        <w:t>,</w:t>
      </w:r>
      <w:r w:rsidR="00D053BF" w:rsidRPr="00961CA5">
        <w:rPr>
          <w:rStyle w:val="FootnoteReference"/>
          <w:rFonts w:ascii="David" w:eastAsia="Arial" w:hAnsi="David" w:cs="David"/>
          <w:sz w:val="24"/>
          <w:szCs w:val="24"/>
        </w:rPr>
        <w:footnoteReference w:id="51"/>
      </w:r>
      <w:r w:rsidR="00D053BF" w:rsidRPr="00961CA5">
        <w:rPr>
          <w:rFonts w:ascii="David" w:eastAsia="Arial" w:hAnsi="David" w:cs="David"/>
          <w:sz w:val="24"/>
          <w:szCs w:val="24"/>
        </w:rPr>
        <w:t xml:space="preserve"> voter registration</w:t>
      </w:r>
      <w:r w:rsidR="00AD3F70">
        <w:rPr>
          <w:rFonts w:ascii="David" w:eastAsia="Arial" w:hAnsi="David" w:cs="David"/>
          <w:sz w:val="24"/>
          <w:szCs w:val="24"/>
        </w:rPr>
        <w:t>,</w:t>
      </w:r>
      <w:r w:rsidR="00D053BF" w:rsidRPr="00961CA5">
        <w:rPr>
          <w:rStyle w:val="FootnoteReference"/>
          <w:rFonts w:ascii="David" w:eastAsia="Arial" w:hAnsi="David" w:cs="David"/>
          <w:sz w:val="24"/>
          <w:szCs w:val="24"/>
        </w:rPr>
        <w:footnoteReference w:id="52"/>
      </w:r>
      <w:r w:rsidR="00AD3F70">
        <w:rPr>
          <w:rFonts w:ascii="David" w:eastAsia="Arial" w:hAnsi="David" w:cs="David"/>
          <w:sz w:val="24"/>
          <w:szCs w:val="24"/>
        </w:rPr>
        <w:t>)</w:t>
      </w:r>
      <w:r w:rsidRPr="00961CA5">
        <w:rPr>
          <w:rFonts w:ascii="David" w:eastAsia="Arial" w:hAnsi="David" w:cs="David"/>
          <w:sz w:val="24"/>
          <w:szCs w:val="24"/>
        </w:rPr>
        <w:tab/>
        <w:t>Taken</w:t>
      </w:r>
      <w:r w:rsidR="00AD3F70">
        <w:rPr>
          <w:rFonts w:ascii="David" w:eastAsia="Arial" w:hAnsi="David" w:cs="David"/>
          <w:sz w:val="24"/>
          <w:szCs w:val="24"/>
        </w:rPr>
        <w:t xml:space="preserve"> </w:t>
      </w:r>
      <w:r w:rsidRPr="00961CA5">
        <w:rPr>
          <w:rFonts w:ascii="David" w:eastAsia="Arial" w:hAnsi="David" w:cs="David"/>
          <w:sz w:val="24"/>
          <w:szCs w:val="24"/>
        </w:rPr>
        <w:t xml:space="preserve">together, the available evidence on the effect of rewards is fairly limited </w:t>
      </w:r>
      <w:r w:rsidR="00610E4E" w:rsidRPr="00961CA5">
        <w:rPr>
          <w:rFonts w:ascii="David" w:eastAsia="Arial" w:hAnsi="David" w:cs="David"/>
          <w:sz w:val="24"/>
          <w:szCs w:val="24"/>
        </w:rPr>
        <w:t>with some</w:t>
      </w:r>
      <w:r w:rsidR="002124FC" w:rsidRPr="00961CA5">
        <w:rPr>
          <w:rFonts w:ascii="David" w:eastAsia="Arial" w:hAnsi="David" w:cs="David"/>
          <w:sz w:val="24"/>
          <w:szCs w:val="24"/>
        </w:rPr>
        <w:t xml:space="preserve"> experimental and some</w:t>
      </w:r>
      <w:r w:rsidR="00610E4E" w:rsidRPr="00961CA5">
        <w:rPr>
          <w:rFonts w:ascii="David" w:eastAsia="Arial" w:hAnsi="David" w:cs="David"/>
          <w:sz w:val="24"/>
          <w:szCs w:val="24"/>
        </w:rPr>
        <w:t xml:space="preserve"> field studies</w:t>
      </w:r>
      <w:r w:rsidR="00AD3F70">
        <w:rPr>
          <w:rFonts w:ascii="David" w:eastAsia="Arial" w:hAnsi="David" w:cs="David"/>
          <w:sz w:val="24"/>
          <w:szCs w:val="24"/>
        </w:rPr>
        <w:t>.</w:t>
      </w:r>
      <w:r w:rsidR="002124FC" w:rsidRPr="00961CA5">
        <w:rPr>
          <w:rStyle w:val="FootnoteReference"/>
          <w:rFonts w:ascii="David" w:eastAsia="Arial" w:hAnsi="David" w:cs="David"/>
          <w:sz w:val="24"/>
          <w:szCs w:val="24"/>
        </w:rPr>
        <w:footnoteReference w:id="53"/>
      </w:r>
      <w:r w:rsidR="0029645C">
        <w:rPr>
          <w:rFonts w:ascii="David" w:eastAsia="Arial" w:hAnsi="David" w:cs="David"/>
          <w:sz w:val="24"/>
          <w:szCs w:val="24"/>
        </w:rPr>
        <w:t xml:space="preserve"> </w:t>
      </w:r>
      <w:r w:rsidR="00B12E1E" w:rsidRPr="00961CA5">
        <w:rPr>
          <w:rFonts w:ascii="David" w:eastAsia="Arial" w:hAnsi="David" w:cs="David"/>
          <w:sz w:val="24"/>
          <w:szCs w:val="24"/>
        </w:rPr>
        <w:t xml:space="preserve">Thus, with the limited evidence on the scope of the effect of rewards, we are still likely to believe that incentives are </w:t>
      </w:r>
      <w:r w:rsidR="00432962" w:rsidRPr="00961CA5">
        <w:rPr>
          <w:rFonts w:ascii="David" w:eastAsia="Arial" w:hAnsi="David" w:cs="David"/>
          <w:sz w:val="24"/>
          <w:szCs w:val="24"/>
        </w:rPr>
        <w:t>only partially harming the ability of people to choose to abstain from taking a certain behavior</w:t>
      </w:r>
      <w:r w:rsidR="004E39E6" w:rsidRPr="00961CA5">
        <w:rPr>
          <w:rFonts w:ascii="David" w:eastAsia="Arial" w:hAnsi="David" w:cs="David"/>
          <w:sz w:val="24"/>
          <w:szCs w:val="24"/>
        </w:rPr>
        <w:t>.</w:t>
      </w:r>
    </w:p>
    <w:p w14:paraId="5C47319F" w14:textId="77777777" w:rsidR="00007C82" w:rsidRDefault="00007C82" w:rsidP="00EF1E09">
      <w:pPr>
        <w:pStyle w:val="Heading2"/>
        <w:spacing w:line="360" w:lineRule="auto"/>
        <w:jc w:val="both"/>
      </w:pPr>
      <w:bookmarkStart w:id="13" w:name="_Toc163650197"/>
      <w:r>
        <w:t xml:space="preserve">Obligation to obey the </w:t>
      </w:r>
      <w:proofErr w:type="gramStart"/>
      <w:r>
        <w:t>law</w:t>
      </w:r>
      <w:bookmarkEnd w:id="13"/>
      <w:proofErr w:type="gramEnd"/>
    </w:p>
    <w:p w14:paraId="324790B5" w14:textId="45715893" w:rsidR="00007C82" w:rsidRDefault="00007C82" w:rsidP="00EF1E09">
      <w:pPr>
        <w:spacing w:line="360" w:lineRule="auto"/>
        <w:jc w:val="both"/>
      </w:pPr>
      <w:r>
        <w:t xml:space="preserve">In some of the studies we have collaborated on the duty to obey the law with Van </w:t>
      </w:r>
      <w:proofErr w:type="spellStart"/>
      <w:r>
        <w:t>Rooije</w:t>
      </w:r>
      <w:proofErr w:type="spellEnd"/>
      <w:r>
        <w:t xml:space="preserve"> and Fine, we have examined the obligation to obey the law as an independent concept to that of other compliance motivations</w:t>
      </w:r>
      <w:r w:rsidR="00AD3F70">
        <w:t>.</w:t>
      </w:r>
      <w:r>
        <w:rPr>
          <w:rStyle w:val="FootnoteReference"/>
        </w:rPr>
        <w:footnoteReference w:id="54"/>
      </w:r>
    </w:p>
    <w:p w14:paraId="7E873176" w14:textId="77777777" w:rsidR="00007C82" w:rsidRPr="002436E2" w:rsidRDefault="00007C82" w:rsidP="00EF1E09">
      <w:pPr>
        <w:spacing w:line="360" w:lineRule="auto"/>
        <w:jc w:val="both"/>
      </w:pPr>
      <w:r w:rsidRPr="002436E2">
        <w:t>In our investigation of individual differences in the perceived acceptability of legal rule violations, we developed and validated the Rule Orientation scale. This novel measure assesses the degree to which individuals perceive rules in a rigid, inflexible manner or in a way that acknowledges exceptions. We drew upon diverse bodies of literature, including research on neutralization, moral flexibility, and moral disengagement, to identify key circumstances under which individuals may find it justifiable to violate the law. These circumstances encompass lack of knowledge of the law, a cost-benefit analysis favoring violation, social norms supporting rule-breaking, conflicts between laws and personal morals, and a perceived lack of procedural justice in lawmaking and enforcement. The Rule Orientation scale captures individual variation in the acceptance of these justifications for illegal behavior.</w:t>
      </w:r>
    </w:p>
    <w:p w14:paraId="23818789" w14:textId="77777777" w:rsidR="00007C82" w:rsidRPr="002436E2" w:rsidRDefault="00007C82" w:rsidP="00EF1E09">
      <w:pPr>
        <w:spacing w:line="360" w:lineRule="auto"/>
        <w:jc w:val="both"/>
      </w:pPr>
      <w:r w:rsidRPr="002436E2">
        <w:lastRenderedPageBreak/>
        <w:t>Through our initial empirical studies, we established the convergent and discriminant validity of the Rule Orientation scale by systematically comparing it with existing measures of legal and moral reasoning. We found that Rule Orientation significantly predicted the intention to engage in various low-level crimes, even after controlling for the effects of deterrent threats, subjective perceptions of punishment severity, and perceived social norms. In a second study, we examined the relationship between Rule Orientation and digital offending behavior across different enforcement contexts. Our findings suggest that individuals with low Rule Orientation may be capable of justifying offending behavior regardless of the presence of an explicit enforcement campaign, their perceptions of sanction severity, or their beliefs about the social acceptability of law violation. These studies underscore the crucial role of individual differences in rule orientation in understanding ethical decision-making, criminal decision-making, and other facets of legal decision-making.</w:t>
      </w:r>
    </w:p>
    <w:p w14:paraId="3B395C6D" w14:textId="3A1CF5EE" w:rsidR="00007C82" w:rsidRDefault="00007C82" w:rsidP="00EF1E09">
      <w:pPr>
        <w:spacing w:line="360" w:lineRule="auto"/>
        <w:jc w:val="both"/>
      </w:pPr>
      <w:r>
        <w:t>In a follow up study</w:t>
      </w:r>
      <w:r w:rsidR="009B4F1C">
        <w:t>,</w:t>
      </w:r>
      <w:r>
        <w:rPr>
          <w:rStyle w:val="FootnoteReference"/>
        </w:rPr>
        <w:footnoteReference w:id="55"/>
      </w:r>
      <w:r>
        <w:t xml:space="preserve"> that focused on national differences in the rule orientation </w:t>
      </w:r>
      <w:proofErr w:type="gramStart"/>
      <w:r>
        <w:t>scale</w:t>
      </w:r>
      <w:proofErr w:type="gramEnd"/>
    </w:p>
    <w:p w14:paraId="229B8A48" w14:textId="77777777" w:rsidR="00007C82" w:rsidRPr="00007C82" w:rsidRDefault="00007C82" w:rsidP="00EF1E09">
      <w:pPr>
        <w:spacing w:line="360" w:lineRule="auto"/>
        <w:jc w:val="both"/>
      </w:pPr>
      <w:r w:rsidRPr="00007C82">
        <w:t>In our exploration of national differences in the Obligation to Obey the Law (OOL), we analyzed data from a survey conducted among a convenience sample (n = 716) of law students in the Netherlands, the United States, Israel, and China. Despite the existing research on procedural justice and OOL suggesting potential differences, our data did not reveal significant variations in OOL across these markedly different national populations. We sought to understand why no such differences were found and what implications these findings have for our understanding of OOL and compliance more broadly.</w:t>
      </w:r>
    </w:p>
    <w:p w14:paraId="4414A6FA" w14:textId="77777777" w:rsidR="00007C82" w:rsidRDefault="00007C82" w:rsidP="00EF1E09">
      <w:pPr>
        <w:spacing w:line="360" w:lineRule="auto"/>
        <w:jc w:val="both"/>
      </w:pPr>
      <w:r w:rsidRPr="00007C82">
        <w:t>Our study builds upon the growing body of research on OOL, which has recently begun to examine the concept as distinct from legitimacy. This renewed interest has led to the development of new measures to capture OOL and investigations into various influences on OOL, such as procedural justice, impulsivity, morality, values, teacher legitimacy, and parental influence. However, prior studies have primarily focused on specific national contexts, with no direct comparative analysis of OOL across different legal and political systems. Our research addresses this gap by providing an exploratory comparative study of OOL in four countries with diverse legal, political, and cultural characteristics, paving the way for future comparative research on this important topic.</w:t>
      </w:r>
    </w:p>
    <w:p w14:paraId="67568ED9" w14:textId="77777777" w:rsidR="00007C82" w:rsidRPr="00007C82" w:rsidRDefault="00007C82" w:rsidP="00EF1E09">
      <w:pPr>
        <w:spacing w:line="360" w:lineRule="auto"/>
        <w:jc w:val="both"/>
      </w:pPr>
      <w:r w:rsidRPr="00007C82">
        <w:t xml:space="preserve">The findings of our study suggest that OOL is more closely aligned with individuals' personal characteristics, morals, and early socialization, rather than the broader legal system and </w:t>
      </w:r>
      <w:r w:rsidRPr="00007C82">
        <w:lastRenderedPageBreak/>
        <w:t xml:space="preserve">cultural values of their respective countries. This conclusion highlights the need for a new research agenda that addresses the limitations of our exploratory study, which used a </w:t>
      </w:r>
      <w:proofErr w:type="gramStart"/>
      <w:r w:rsidRPr="00007C82">
        <w:t>convenience</w:t>
      </w:r>
      <w:proofErr w:type="gramEnd"/>
      <w:r w:rsidRPr="00007C82">
        <w:t xml:space="preserve"> sample of law students and could not account for all possible relevant differences between the countries. Future research should be designed to assess the mechanisms through which national legal and cultural contexts influence OOL, by including measures of procedural justice, deterrence, moral reasoning, and socialization, as well as considering multiple types of OOL (e.g., consensual versus coercive). Such research is highly relevant not only for questions of policing and crime control but also for understanding how societies shape the obligation to obey the law, which is crucial for their overall functioning and the rule of law.</w:t>
      </w:r>
    </w:p>
    <w:p w14:paraId="54EF9208" w14:textId="39BA19E8" w:rsidR="00CF6791" w:rsidRPr="00CF6791" w:rsidRDefault="00432C21" w:rsidP="00EF1E09">
      <w:pPr>
        <w:pStyle w:val="Heading2"/>
        <w:spacing w:line="360" w:lineRule="auto"/>
        <w:jc w:val="both"/>
        <w:rPr>
          <w:rtl/>
        </w:rPr>
      </w:pPr>
      <w:bookmarkStart w:id="14" w:name="_Toc163650198"/>
      <w:r>
        <w:t>C</w:t>
      </w:r>
      <w:r w:rsidR="007B3A14">
        <w:t xml:space="preserve">ontent </w:t>
      </w:r>
      <w:r>
        <w:t>R</w:t>
      </w:r>
      <w:r w:rsidR="007B3A14">
        <w:t>elated</w:t>
      </w:r>
      <w:r w:rsidR="0029645C">
        <w:t xml:space="preserve"> </w:t>
      </w:r>
      <w:bookmarkEnd w:id="14"/>
      <w:r w:rsidR="001206CB">
        <w:t xml:space="preserve">compliance motivations in the following paragraph we will outline </w:t>
      </w:r>
      <w:proofErr w:type="gramStart"/>
      <w:r w:rsidR="001206CB">
        <w:t>the some</w:t>
      </w:r>
      <w:proofErr w:type="gramEnd"/>
      <w:r w:rsidR="001206CB">
        <w:t xml:space="preserve"> of the compliance motivations which are related to the law itself rather than to the institution. </w:t>
      </w:r>
    </w:p>
    <w:p w14:paraId="3B1C19DF" w14:textId="6D135A98" w:rsidR="00CE6F0D" w:rsidRDefault="00FA49EE" w:rsidP="00EF1E09">
      <w:pPr>
        <w:pStyle w:val="Heading2"/>
        <w:spacing w:line="360" w:lineRule="auto"/>
        <w:jc w:val="both"/>
      </w:pPr>
      <w:bookmarkStart w:id="15" w:name="_Toc163650199"/>
      <w:r w:rsidRPr="00DE5FD6">
        <w:t xml:space="preserve">The </w:t>
      </w:r>
      <w:r w:rsidR="00DE70F9">
        <w:t xml:space="preserve">reason/science based </w:t>
      </w:r>
      <w:proofErr w:type="gramStart"/>
      <w:r w:rsidR="00DE70F9">
        <w:t>motivation</w:t>
      </w:r>
      <w:bookmarkEnd w:id="15"/>
      <w:proofErr w:type="gramEnd"/>
      <w:r w:rsidR="00DE70F9">
        <w:t xml:space="preserve"> </w:t>
      </w:r>
      <w:r w:rsidRPr="00DE5FD6">
        <w:t xml:space="preserve"> </w:t>
      </w:r>
    </w:p>
    <w:p w14:paraId="2603841B" w14:textId="68C3EB1F" w:rsidR="00CE6F0D" w:rsidRPr="0047237E" w:rsidRDefault="00CE6F0D" w:rsidP="00EF1E09">
      <w:pPr>
        <w:spacing w:line="360" w:lineRule="auto"/>
        <w:jc w:val="both"/>
        <w:rPr>
          <w:rFonts w:ascii="David" w:hAnsi="David" w:cs="David"/>
        </w:rPr>
      </w:pPr>
      <w:r w:rsidRPr="0047237E">
        <w:rPr>
          <w:rFonts w:ascii="David" w:hAnsi="David" w:cs="David"/>
        </w:rPr>
        <w:t xml:space="preserve">Both the reason and the morality approach are basically focusing on a law that communicates with people that its content is either accurate scientifically or </w:t>
      </w:r>
      <w:r w:rsidR="007B3A14" w:rsidRPr="0047237E">
        <w:rPr>
          <w:rFonts w:ascii="David" w:hAnsi="David" w:cs="David"/>
        </w:rPr>
        <w:t xml:space="preserve">justified morally. </w:t>
      </w:r>
    </w:p>
    <w:p w14:paraId="64AE44D4" w14:textId="1A875934" w:rsidR="002F7C97" w:rsidRPr="0047237E" w:rsidRDefault="002F7C97" w:rsidP="00EF1E09">
      <w:pPr>
        <w:spacing w:line="360" w:lineRule="auto"/>
        <w:jc w:val="both"/>
        <w:rPr>
          <w:rFonts w:ascii="David" w:hAnsi="David" w:cs="David"/>
        </w:rPr>
      </w:pPr>
      <w:r w:rsidRPr="0047237E">
        <w:rPr>
          <w:rFonts w:ascii="David" w:hAnsi="David" w:cs="David"/>
        </w:rPr>
        <w:t>In the context of covid for example, it became clear that part of the compliance is related to the fact that the laws were based on some epidemiological science</w:t>
      </w:r>
      <w:r w:rsidR="009B4F1C">
        <w:rPr>
          <w:rFonts w:ascii="David" w:hAnsi="David" w:cs="David"/>
        </w:rPr>
        <w:t>.</w:t>
      </w:r>
      <w:r w:rsidR="00706348" w:rsidRPr="0047237E">
        <w:rPr>
          <w:rStyle w:val="FootnoteReference"/>
          <w:rFonts w:ascii="David" w:hAnsi="David" w:cs="David"/>
        </w:rPr>
        <w:footnoteReference w:id="56"/>
      </w:r>
      <w:r w:rsidRPr="0047237E">
        <w:rPr>
          <w:rFonts w:ascii="David" w:hAnsi="David" w:cs="David"/>
        </w:rPr>
        <w:t xml:space="preserve"> Trust of the people in the science behind the law, were crucial to </w:t>
      </w:r>
      <w:proofErr w:type="spellStart"/>
      <w:r w:rsidRPr="0047237E">
        <w:rPr>
          <w:rFonts w:ascii="David" w:hAnsi="David" w:cs="David"/>
        </w:rPr>
        <w:t>deicision</w:t>
      </w:r>
      <w:proofErr w:type="spellEnd"/>
      <w:r w:rsidRPr="0047237E">
        <w:rPr>
          <w:rFonts w:ascii="David" w:hAnsi="David" w:cs="David"/>
        </w:rPr>
        <w:t xml:space="preserve"> to comply, making this a pure example of intrinsic compliance, where the law is being obey because it is stating the right thing to do. </w:t>
      </w:r>
    </w:p>
    <w:p w14:paraId="6E803EF3" w14:textId="48372397" w:rsidR="00F83BBB" w:rsidRPr="00EF1E09" w:rsidRDefault="00FA49EE" w:rsidP="0044682A">
      <w:pPr>
        <w:spacing w:line="360" w:lineRule="auto"/>
        <w:jc w:val="both"/>
        <w:rPr>
          <w:rFonts w:ascii="David" w:hAnsi="David" w:cs="David"/>
          <w:color w:val="000000" w:themeColor="text1"/>
        </w:rPr>
      </w:pPr>
      <w:r w:rsidRPr="0047237E">
        <w:rPr>
          <w:rFonts w:ascii="David" w:hAnsi="David" w:cs="David"/>
        </w:rPr>
        <w:t>The second regulatory approach assumes a reason-driven individual.  According to this approach, the main assumption about human motivation is of an individual who looks to regulators to be convinced of the wisdom of engaging in constructive and efficient behavior while abstaining from destructive behavior.  According to this informational account of the law, the legislative process aggregates information to produce a decision that is superior to the opinion of any individual legislator.  As a result, if a legislative body prohibits public smoking, people might be less likely to smoke publicly because the process of enacting the legislation leads people to update their beliefs</w:t>
      </w:r>
      <w:r w:rsidR="009B4F1C">
        <w:rPr>
          <w:rFonts w:ascii="David" w:hAnsi="David" w:cs="David"/>
        </w:rPr>
        <w:t>.</w:t>
      </w:r>
      <w:r w:rsidR="00EA7BC9">
        <w:rPr>
          <w:rStyle w:val="FootnoteReference"/>
          <w:rFonts w:ascii="David" w:hAnsi="David" w:cs="David"/>
        </w:rPr>
        <w:footnoteReference w:id="57"/>
      </w:r>
      <w:r w:rsidRPr="0047237E">
        <w:rPr>
          <w:rFonts w:ascii="David" w:hAnsi="David" w:cs="David"/>
        </w:rPr>
        <w:t xml:space="preserve">  </w:t>
      </w:r>
      <w:r w:rsidRPr="0047237E">
        <w:rPr>
          <w:rFonts w:ascii="David" w:hAnsi="David" w:cs="David"/>
          <w:spacing w:val="4"/>
        </w:rPr>
        <w:t>Kagan</w:t>
      </w:r>
      <w:r w:rsidR="00EA7BC9">
        <w:rPr>
          <w:rFonts w:ascii="David" w:hAnsi="David" w:cs="David"/>
          <w:spacing w:val="4"/>
        </w:rPr>
        <w:t xml:space="preserve"> et al</w:t>
      </w:r>
      <w:r w:rsidR="009B4F1C">
        <w:rPr>
          <w:rFonts w:ascii="David" w:hAnsi="David" w:cs="David"/>
          <w:spacing w:val="4"/>
        </w:rPr>
        <w:t>,</w:t>
      </w:r>
      <w:r w:rsidR="00EA7BC9">
        <w:rPr>
          <w:rStyle w:val="FootnoteReference"/>
          <w:rFonts w:ascii="David" w:hAnsi="David" w:cs="David"/>
          <w:spacing w:val="4"/>
        </w:rPr>
        <w:footnoteReference w:id="58"/>
      </w:r>
      <w:r w:rsidRPr="0047237E">
        <w:rPr>
          <w:rFonts w:ascii="David" w:hAnsi="David" w:cs="David"/>
          <w:spacing w:val="4"/>
        </w:rPr>
        <w:t xml:space="preserve"> have taken a somewhat different view of informative functioning </w:t>
      </w:r>
      <w:r w:rsidRPr="0047237E">
        <w:rPr>
          <w:rFonts w:ascii="David" w:hAnsi="David" w:cs="David"/>
          <w:spacing w:val="-4"/>
        </w:rPr>
        <w:t xml:space="preserve">in an environmental context.  They </w:t>
      </w:r>
      <w:r w:rsidRPr="0047237E">
        <w:rPr>
          <w:rFonts w:ascii="David" w:hAnsi="David" w:cs="David"/>
        </w:rPr>
        <w:t xml:space="preserve">show how the law clarifies the boundary between </w:t>
      </w:r>
      <w:proofErr w:type="gramStart"/>
      <w:r w:rsidRPr="0047237E">
        <w:rPr>
          <w:rFonts w:ascii="David" w:hAnsi="David" w:cs="David"/>
        </w:rPr>
        <w:t>activity</w:t>
      </w:r>
      <w:proofErr w:type="gramEnd"/>
      <w:r w:rsidRPr="0047237E">
        <w:rPr>
          <w:rFonts w:ascii="David" w:hAnsi="David" w:cs="David"/>
        </w:rPr>
        <w:t xml:space="preserve"> which is harmful to the environment and activity which should be tolerated.  An additional context, where the substantive focus of the policy maker was aimed toward information processing by the individual, is in the legislation of traffic laws.  In this area, it is common to view informative campaigns that attempt to use scientific knowledge to increase </w:t>
      </w:r>
      <w:r w:rsidRPr="0047237E">
        <w:rPr>
          <w:rFonts w:ascii="David" w:hAnsi="David" w:cs="David"/>
        </w:rPr>
        <w:lastRenderedPageBreak/>
        <w:t>peoples' response to these laws</w:t>
      </w:r>
      <w:r w:rsidR="00195D99">
        <w:rPr>
          <w:rStyle w:val="FootnoteReference"/>
          <w:rFonts w:ascii="David" w:hAnsi="David" w:cs="David"/>
        </w:rPr>
        <w:footnoteReference w:id="59"/>
      </w:r>
      <w:r w:rsidRPr="0047237E">
        <w:rPr>
          <w:rFonts w:ascii="David" w:hAnsi="David" w:cs="David"/>
        </w:rPr>
        <w:t xml:space="preserve"> This model also resembles</w:t>
      </w:r>
      <w:r w:rsidR="00286583" w:rsidRPr="0047237E">
        <w:rPr>
          <w:rFonts w:ascii="David" w:hAnsi="David" w:cs="David"/>
        </w:rPr>
        <w:t xml:space="preserve"> the work </w:t>
      </w:r>
      <w:proofErr w:type="gramStart"/>
      <w:r w:rsidR="00286583" w:rsidRPr="0047237E">
        <w:rPr>
          <w:rFonts w:ascii="David" w:hAnsi="David" w:cs="David"/>
        </w:rPr>
        <w:t>of</w:t>
      </w:r>
      <w:r w:rsidRPr="0047237E">
        <w:rPr>
          <w:rFonts w:ascii="David" w:hAnsi="David" w:cs="David"/>
        </w:rPr>
        <w:t xml:space="preserve">  Gray</w:t>
      </w:r>
      <w:proofErr w:type="gramEnd"/>
      <w:r w:rsidRPr="0047237E">
        <w:rPr>
          <w:rFonts w:ascii="David" w:hAnsi="David" w:cs="David"/>
        </w:rPr>
        <w:t xml:space="preserve"> and </w:t>
      </w:r>
      <w:r w:rsidRPr="00EF1E09">
        <w:rPr>
          <w:rFonts w:ascii="David" w:hAnsi="David" w:cs="David"/>
          <w:color w:val="000000" w:themeColor="text1"/>
        </w:rPr>
        <w:t xml:space="preserve">Silbey (2010) taxonomy of how regulators are being perceived in various organizations. One of the models, </w:t>
      </w:r>
      <w:r w:rsidR="00573D91" w:rsidRPr="00EF1E09">
        <w:rPr>
          <w:rFonts w:ascii="David" w:hAnsi="David" w:cs="David"/>
          <w:color w:val="000000" w:themeColor="text1"/>
        </w:rPr>
        <w:t>"T</w:t>
      </w:r>
      <w:r w:rsidRPr="00EF1E09">
        <w:rPr>
          <w:rFonts w:ascii="David" w:hAnsi="David" w:cs="David"/>
          <w:color w:val="000000" w:themeColor="text1"/>
        </w:rPr>
        <w:t>he regulator as an ally</w:t>
      </w:r>
      <w:r w:rsidR="00573D91" w:rsidRPr="00EF1E09">
        <w:rPr>
          <w:rFonts w:ascii="David" w:hAnsi="David" w:cs="David"/>
          <w:color w:val="000000" w:themeColor="text1"/>
        </w:rPr>
        <w:t>"</w:t>
      </w:r>
      <w:r w:rsidRPr="00EF1E09">
        <w:rPr>
          <w:rFonts w:ascii="David" w:hAnsi="David" w:cs="David"/>
          <w:color w:val="000000" w:themeColor="text1"/>
        </w:rPr>
        <w:t xml:space="preserve"> primes on the perceived expertise and knowledge of </w:t>
      </w:r>
      <w:r w:rsidR="00F43907" w:rsidRPr="00F43907">
        <w:rPr>
          <w:rFonts w:ascii="David" w:hAnsi="David" w:cs="David"/>
          <w:color w:val="000000" w:themeColor="text1"/>
        </w:rPr>
        <w:t>regulators by</w:t>
      </w:r>
      <w:r w:rsidRPr="00EF1E09">
        <w:rPr>
          <w:rFonts w:ascii="David" w:hAnsi="David" w:cs="David"/>
          <w:color w:val="000000" w:themeColor="text1"/>
        </w:rPr>
        <w:t xml:space="preserve"> the people they regulate. </w:t>
      </w:r>
      <w:r w:rsidR="00BE0176" w:rsidRPr="00EF1E09">
        <w:rPr>
          <w:rFonts w:ascii="David" w:hAnsi="David" w:cs="David"/>
          <w:color w:val="000000" w:themeColor="text1"/>
        </w:rPr>
        <w:t xml:space="preserve"> Recent work by </w:t>
      </w:r>
      <w:r w:rsidR="00F83BBB" w:rsidRPr="00EF1E09">
        <w:rPr>
          <w:rFonts w:ascii="David" w:hAnsi="David" w:cs="David"/>
          <w:color w:val="000000" w:themeColor="text1"/>
        </w:rPr>
        <w:t>Zamir et al</w:t>
      </w:r>
      <w:r w:rsidR="00690F9A" w:rsidRPr="00EF1E09">
        <w:rPr>
          <w:rStyle w:val="FootnoteReference"/>
          <w:rFonts w:ascii="David" w:hAnsi="David" w:cs="David"/>
          <w:color w:val="000000" w:themeColor="text1"/>
        </w:rPr>
        <w:footnoteReference w:id="60"/>
      </w:r>
      <w:r w:rsidR="0029645C" w:rsidRPr="00EF1E09">
        <w:rPr>
          <w:rFonts w:ascii="David" w:hAnsi="David" w:cs="David"/>
          <w:color w:val="000000" w:themeColor="text1"/>
        </w:rPr>
        <w:t xml:space="preserve">, which was mentioned above, </w:t>
      </w:r>
      <w:r w:rsidR="00BE0176" w:rsidRPr="00EF1E09">
        <w:rPr>
          <w:rFonts w:ascii="David" w:hAnsi="David" w:cs="David"/>
          <w:color w:val="000000" w:themeColor="text1"/>
        </w:rPr>
        <w:t xml:space="preserve">demonstrate the potential of this idea. They </w:t>
      </w:r>
      <w:r w:rsidR="00F83BBB" w:rsidRPr="00EF1E09">
        <w:rPr>
          <w:rFonts w:ascii="David" w:hAnsi="David" w:cs="David"/>
          <w:color w:val="000000" w:themeColor="text1"/>
        </w:rPr>
        <w:t xml:space="preserve">have examined experimentally the effect of </w:t>
      </w:r>
      <w:proofErr w:type="gramStart"/>
      <w:r w:rsidR="00F83BBB" w:rsidRPr="00EF1E09">
        <w:rPr>
          <w:rFonts w:ascii="David" w:hAnsi="David" w:cs="David"/>
          <w:color w:val="000000" w:themeColor="text1"/>
        </w:rPr>
        <w:t>nudges</w:t>
      </w:r>
      <w:proofErr w:type="gramEnd"/>
      <w:r w:rsidR="00F83BBB" w:rsidRPr="00EF1E09">
        <w:rPr>
          <w:rFonts w:ascii="David" w:hAnsi="David" w:cs="David"/>
          <w:color w:val="000000" w:themeColor="text1"/>
        </w:rPr>
        <w:t xml:space="preserve"> which are </w:t>
      </w:r>
      <w:r w:rsidR="00C63DD0" w:rsidRPr="00EF1E09">
        <w:rPr>
          <w:rFonts w:ascii="David" w:hAnsi="David" w:cs="David"/>
          <w:color w:val="000000" w:themeColor="text1"/>
        </w:rPr>
        <w:t>basically</w:t>
      </w:r>
      <w:r w:rsidR="00690F9A" w:rsidRPr="00EF1E09">
        <w:rPr>
          <w:rFonts w:ascii="David" w:hAnsi="David" w:cs="David"/>
          <w:color w:val="000000" w:themeColor="text1"/>
        </w:rPr>
        <w:t xml:space="preserve"> explanation</w:t>
      </w:r>
      <w:r w:rsidR="00C63DD0" w:rsidRPr="00EF1E09">
        <w:rPr>
          <w:rFonts w:ascii="David" w:hAnsi="David" w:cs="David"/>
          <w:color w:val="000000" w:themeColor="text1"/>
        </w:rPr>
        <w:t>s</w:t>
      </w:r>
      <w:r w:rsidR="00690F9A" w:rsidRPr="00EF1E09">
        <w:rPr>
          <w:rFonts w:ascii="David" w:hAnsi="David" w:cs="David"/>
          <w:color w:val="000000" w:themeColor="text1"/>
        </w:rPr>
        <w:t xml:space="preserve"> as to why one should obey </w:t>
      </w:r>
      <w:r w:rsidR="00C63DD0" w:rsidRPr="00EF1E09">
        <w:rPr>
          <w:rFonts w:ascii="David" w:hAnsi="David" w:cs="David"/>
          <w:color w:val="000000" w:themeColor="text1"/>
        </w:rPr>
        <w:t>certain request (e.g. where not to park, or how not to throw paper to the toilet.</w:t>
      </w:r>
      <w:r w:rsidR="00690F9A" w:rsidRPr="00EF1E09">
        <w:rPr>
          <w:rFonts w:ascii="David" w:hAnsi="David" w:cs="David"/>
          <w:color w:val="000000" w:themeColor="text1"/>
        </w:rPr>
        <w:t xml:space="preserve"> They show using vignette studies that when people are given reasons to </w:t>
      </w:r>
      <w:proofErr w:type="gramStart"/>
      <w:r w:rsidR="00690F9A" w:rsidRPr="00EF1E09">
        <w:rPr>
          <w:rFonts w:ascii="David" w:hAnsi="David" w:cs="David"/>
          <w:color w:val="000000" w:themeColor="text1"/>
        </w:rPr>
        <w:t>obey</w:t>
      </w:r>
      <w:proofErr w:type="gramEnd"/>
      <w:r w:rsidR="00690F9A" w:rsidRPr="00EF1E09">
        <w:rPr>
          <w:rFonts w:ascii="David" w:hAnsi="David" w:cs="David"/>
          <w:color w:val="000000" w:themeColor="text1"/>
        </w:rPr>
        <w:t xml:space="preserve"> they are more likely to do so</w:t>
      </w:r>
      <w:r w:rsidR="00C63DD0" w:rsidRPr="00EF1E09">
        <w:rPr>
          <w:rFonts w:ascii="David" w:hAnsi="David" w:cs="David"/>
          <w:color w:val="000000" w:themeColor="text1"/>
        </w:rPr>
        <w:t xml:space="preserve"> relative to situations where there are no explanations</w:t>
      </w:r>
      <w:r w:rsidR="00690F9A" w:rsidRPr="00EF1E09">
        <w:rPr>
          <w:rFonts w:ascii="David" w:hAnsi="David" w:cs="David"/>
          <w:color w:val="000000" w:themeColor="text1"/>
        </w:rPr>
        <w:t xml:space="preserve">. </w:t>
      </w:r>
      <w:r w:rsidR="00847906" w:rsidRPr="00EF1E09">
        <w:rPr>
          <w:rFonts w:ascii="David" w:hAnsi="David" w:cs="David"/>
          <w:color w:val="000000" w:themeColor="text1"/>
        </w:rPr>
        <w:t xml:space="preserve"> </w:t>
      </w:r>
    </w:p>
    <w:p w14:paraId="4CDB0126" w14:textId="0A29F8BB" w:rsidR="00260B1A" w:rsidRDefault="003D7C3D" w:rsidP="00EF1E09">
      <w:pPr>
        <w:pStyle w:val="Heading2"/>
        <w:spacing w:line="360" w:lineRule="auto"/>
        <w:jc w:val="both"/>
      </w:pPr>
      <w:bookmarkStart w:id="16" w:name="_Toc163650200"/>
      <w:r>
        <w:t xml:space="preserve">Social </w:t>
      </w:r>
      <w:r w:rsidR="00260B1A">
        <w:t>motivation</w:t>
      </w:r>
      <w:bookmarkEnd w:id="16"/>
      <w:r w:rsidR="00260B1A">
        <w:t xml:space="preserve"> </w:t>
      </w:r>
    </w:p>
    <w:p w14:paraId="5821CA1D" w14:textId="049D0CFC" w:rsidR="00B243E1" w:rsidRPr="0047237E" w:rsidRDefault="00260B1A" w:rsidP="00EF1E09">
      <w:pPr>
        <w:spacing w:line="360" w:lineRule="auto"/>
        <w:jc w:val="both"/>
        <w:rPr>
          <w:rFonts w:ascii="David" w:hAnsi="David" w:cs="David"/>
        </w:rPr>
      </w:pPr>
      <w:r w:rsidRPr="0047237E">
        <w:rPr>
          <w:rFonts w:ascii="David" w:hAnsi="David" w:cs="David"/>
        </w:rPr>
        <w:t xml:space="preserve">Social motivation, could in fact be divided to related but distinctive </w:t>
      </w:r>
      <w:r w:rsidR="00F43907" w:rsidRPr="0047237E">
        <w:rPr>
          <w:rFonts w:ascii="David" w:hAnsi="David" w:cs="David"/>
        </w:rPr>
        <w:t>subcategories</w:t>
      </w:r>
      <w:r w:rsidRPr="0047237E">
        <w:rPr>
          <w:rFonts w:ascii="David" w:hAnsi="David" w:cs="David"/>
        </w:rPr>
        <w:t xml:space="preserve"> with different implications to </w:t>
      </w:r>
      <w:r w:rsidR="00B243E1" w:rsidRPr="0047237E">
        <w:rPr>
          <w:rFonts w:ascii="David" w:hAnsi="David" w:cs="David"/>
        </w:rPr>
        <w:t xml:space="preserve">their likelihood in maintaining voluntary </w:t>
      </w:r>
      <w:proofErr w:type="gramStart"/>
      <w:r w:rsidR="00B243E1" w:rsidRPr="0047237E">
        <w:rPr>
          <w:rFonts w:ascii="David" w:hAnsi="David" w:cs="David"/>
        </w:rPr>
        <w:t>compliance</w:t>
      </w:r>
      <w:proofErr w:type="gramEnd"/>
    </w:p>
    <w:p w14:paraId="75634D30" w14:textId="069A4A48" w:rsidR="00260B1A" w:rsidRPr="0047237E" w:rsidRDefault="00B243E1" w:rsidP="00EF1E09">
      <w:pPr>
        <w:spacing w:line="360" w:lineRule="auto"/>
        <w:jc w:val="both"/>
        <w:rPr>
          <w:rFonts w:ascii="David" w:hAnsi="David" w:cs="David"/>
        </w:rPr>
      </w:pPr>
      <w:r w:rsidRPr="0047237E">
        <w:rPr>
          <w:rFonts w:ascii="David" w:hAnsi="David" w:cs="David"/>
        </w:rPr>
        <w:t>Social</w:t>
      </w:r>
      <w:r w:rsidR="00260B1A" w:rsidRPr="0047237E">
        <w:rPr>
          <w:rFonts w:ascii="David" w:hAnsi="David" w:cs="David"/>
        </w:rPr>
        <w:t xml:space="preserve"> norm</w:t>
      </w:r>
      <w:r w:rsidRPr="0047237E">
        <w:rPr>
          <w:rFonts w:ascii="David" w:hAnsi="David" w:cs="David"/>
        </w:rPr>
        <w:t xml:space="preserve">s </w:t>
      </w:r>
      <w:proofErr w:type="gramStart"/>
      <w:r w:rsidRPr="0047237E">
        <w:rPr>
          <w:rFonts w:ascii="David" w:hAnsi="David" w:cs="David"/>
        </w:rPr>
        <w:t>is</w:t>
      </w:r>
      <w:proofErr w:type="gramEnd"/>
      <w:r w:rsidRPr="0047237E">
        <w:rPr>
          <w:rFonts w:ascii="David" w:hAnsi="David" w:cs="David"/>
        </w:rPr>
        <w:t xml:space="preserve"> a rich literature that focuses on the prevailing norms and the effect of both its descriptive and injunctive components </w:t>
      </w:r>
      <w:r w:rsidR="00006BCD" w:rsidRPr="0047237E">
        <w:rPr>
          <w:rFonts w:ascii="David" w:hAnsi="David" w:cs="David"/>
        </w:rPr>
        <w:t>on how people behave</w:t>
      </w:r>
      <w:r w:rsidR="005447E9">
        <w:rPr>
          <w:rFonts w:ascii="David" w:hAnsi="David" w:cs="David"/>
        </w:rPr>
        <w:t>.</w:t>
      </w:r>
      <w:r w:rsidR="00006BCD" w:rsidRPr="0047237E">
        <w:rPr>
          <w:rStyle w:val="FootnoteReference"/>
          <w:rFonts w:ascii="David" w:hAnsi="David" w:cs="David"/>
        </w:rPr>
        <w:footnoteReference w:id="61"/>
      </w:r>
      <w:r w:rsidR="00006BCD" w:rsidRPr="0047237E">
        <w:rPr>
          <w:rFonts w:ascii="David" w:hAnsi="David" w:cs="David"/>
        </w:rPr>
        <w:t xml:space="preserve">  </w:t>
      </w:r>
    </w:p>
    <w:p w14:paraId="0389CF9D" w14:textId="7C4EE058" w:rsidR="009123D7" w:rsidRPr="0047237E" w:rsidRDefault="006769C0" w:rsidP="00EF1E09">
      <w:pPr>
        <w:spacing w:line="360" w:lineRule="auto"/>
        <w:jc w:val="both"/>
        <w:rPr>
          <w:rFonts w:ascii="David" w:hAnsi="David" w:cs="David"/>
        </w:rPr>
      </w:pPr>
      <w:r w:rsidRPr="0047237E">
        <w:rPr>
          <w:rFonts w:ascii="David" w:hAnsi="David" w:cs="David"/>
        </w:rPr>
        <w:t>When looking at the distinction between intrinsic and extrinsic</w:t>
      </w:r>
      <w:r w:rsidR="00690148">
        <w:rPr>
          <w:rFonts w:ascii="David" w:hAnsi="David" w:cs="David"/>
        </w:rPr>
        <w:t xml:space="preserve"> motivation</w:t>
      </w:r>
      <w:r w:rsidRPr="0047237E">
        <w:rPr>
          <w:rFonts w:ascii="David" w:hAnsi="David" w:cs="David"/>
        </w:rPr>
        <w:t xml:space="preserve">, when it comes to </w:t>
      </w:r>
      <w:r w:rsidR="009123D7" w:rsidRPr="0047237E">
        <w:rPr>
          <w:rFonts w:ascii="David" w:hAnsi="David" w:cs="David"/>
        </w:rPr>
        <w:t xml:space="preserve">Intrinsic related to </w:t>
      </w:r>
      <w:r w:rsidR="00573D91">
        <w:rPr>
          <w:rFonts w:ascii="David" w:hAnsi="David" w:cs="David"/>
        </w:rPr>
        <w:t xml:space="preserve">behavioral and </w:t>
      </w:r>
      <w:r w:rsidR="00F43907">
        <w:rPr>
          <w:rFonts w:ascii="David" w:hAnsi="David" w:cs="David"/>
        </w:rPr>
        <w:t xml:space="preserve">social </w:t>
      </w:r>
      <w:r w:rsidR="00F43907" w:rsidRPr="0047237E">
        <w:rPr>
          <w:rFonts w:ascii="David" w:hAnsi="David" w:cs="David"/>
        </w:rPr>
        <w:t>concepts</w:t>
      </w:r>
      <w:r w:rsidR="009123D7" w:rsidRPr="0047237E">
        <w:rPr>
          <w:rFonts w:ascii="David" w:hAnsi="David" w:cs="David"/>
        </w:rPr>
        <w:t xml:space="preserve"> like solidarity and social </w:t>
      </w:r>
      <w:proofErr w:type="gramStart"/>
      <w:r w:rsidR="009123D7" w:rsidRPr="0047237E">
        <w:rPr>
          <w:rFonts w:ascii="David" w:hAnsi="David" w:cs="David"/>
        </w:rPr>
        <w:t>identity</w:t>
      </w:r>
      <w:proofErr w:type="gramEnd"/>
      <w:r w:rsidR="009123D7" w:rsidRPr="0047237E">
        <w:rPr>
          <w:rFonts w:ascii="David" w:hAnsi="David" w:cs="David"/>
        </w:rPr>
        <w:t xml:space="preserve"> </w:t>
      </w:r>
    </w:p>
    <w:p w14:paraId="05AF0936" w14:textId="28B1DCA3" w:rsidR="009123D7" w:rsidRPr="0047237E" w:rsidRDefault="009123D7" w:rsidP="00EF1E09">
      <w:pPr>
        <w:spacing w:line="360" w:lineRule="auto"/>
        <w:jc w:val="both"/>
        <w:rPr>
          <w:rFonts w:ascii="David" w:hAnsi="David" w:cs="David"/>
          <w:rtl/>
        </w:rPr>
      </w:pPr>
      <w:r w:rsidRPr="0047237E">
        <w:rPr>
          <w:rFonts w:ascii="David" w:hAnsi="David" w:cs="David"/>
        </w:rPr>
        <w:t xml:space="preserve">Extrinsic is related to things like </w:t>
      </w:r>
      <w:r w:rsidR="006769C0" w:rsidRPr="0047237E">
        <w:rPr>
          <w:rFonts w:ascii="David" w:hAnsi="David" w:cs="David"/>
        </w:rPr>
        <w:t>reputation</w:t>
      </w:r>
      <w:r w:rsidRPr="0047237E">
        <w:rPr>
          <w:rFonts w:ascii="David" w:hAnsi="David" w:cs="David"/>
        </w:rPr>
        <w:t xml:space="preserve"> and social approval </w:t>
      </w:r>
      <w:r w:rsidR="006769C0" w:rsidRPr="0047237E">
        <w:rPr>
          <w:rFonts w:ascii="David" w:hAnsi="David" w:cs="David"/>
        </w:rPr>
        <w:t xml:space="preserve">and intrinsic is related to concepts such solidarity and social identities. </w:t>
      </w:r>
    </w:p>
    <w:p w14:paraId="5A379D3D" w14:textId="5216BEC5" w:rsidR="00D335D7" w:rsidRPr="0047237E" w:rsidRDefault="00D335D7" w:rsidP="00EF1E09">
      <w:pPr>
        <w:pStyle w:val="Heading3"/>
        <w:bidi w:val="0"/>
        <w:spacing w:line="360" w:lineRule="auto"/>
        <w:jc w:val="both"/>
        <w:rPr>
          <w:rFonts w:ascii="David" w:hAnsi="David" w:cs="David"/>
          <w:sz w:val="22"/>
          <w:szCs w:val="22"/>
        </w:rPr>
      </w:pPr>
      <w:bookmarkStart w:id="17" w:name="_Toc163650201"/>
      <w:r w:rsidRPr="0047237E">
        <w:rPr>
          <w:rFonts w:ascii="David" w:hAnsi="David" w:cs="David"/>
          <w:sz w:val="22"/>
          <w:szCs w:val="22"/>
        </w:rPr>
        <w:t>Intrinsic vs. extrinsic social compliance motivation</w:t>
      </w:r>
      <w:bookmarkEnd w:id="17"/>
      <w:r w:rsidRPr="0047237E">
        <w:rPr>
          <w:rFonts w:ascii="David" w:hAnsi="David" w:cs="David"/>
          <w:sz w:val="22"/>
          <w:szCs w:val="22"/>
        </w:rPr>
        <w:t xml:space="preserve"> </w:t>
      </w:r>
    </w:p>
    <w:p w14:paraId="194E9F20" w14:textId="694B2AAC" w:rsidR="00CF6791" w:rsidRPr="0047237E" w:rsidRDefault="000E7BAF" w:rsidP="00EF1E09">
      <w:pPr>
        <w:spacing w:line="360" w:lineRule="auto"/>
        <w:jc w:val="both"/>
        <w:rPr>
          <w:rFonts w:ascii="David" w:hAnsi="David" w:cs="David"/>
        </w:rPr>
      </w:pPr>
      <w:r>
        <w:rPr>
          <w:rFonts w:ascii="David" w:hAnsi="David" w:cs="David"/>
        </w:rPr>
        <w:t xml:space="preserve">As suggested social norms </w:t>
      </w:r>
      <w:r w:rsidR="00CF6791" w:rsidRPr="0047237E">
        <w:rPr>
          <w:rFonts w:ascii="David" w:hAnsi="David" w:cs="David"/>
        </w:rPr>
        <w:t>is one of</w:t>
      </w:r>
      <w:r w:rsidR="008B6F59" w:rsidRPr="0047237E">
        <w:rPr>
          <w:rFonts w:ascii="David" w:hAnsi="David" w:cs="David"/>
        </w:rPr>
        <w:t xml:space="preserve"> strongest motivators for behavior could be seen as either related to the procedure – in a sense that if most other people obey, you should obey too or as related to the content of the law where in some context the law will deal with the social values people believe in. </w:t>
      </w:r>
      <w:r w:rsidR="00FC57EC" w:rsidRPr="0047237E">
        <w:rPr>
          <w:rFonts w:ascii="David" w:hAnsi="David" w:cs="David"/>
        </w:rPr>
        <w:t>I</w:t>
      </w:r>
      <w:r w:rsidR="008B6F59" w:rsidRPr="0047237E">
        <w:rPr>
          <w:rFonts w:ascii="David" w:hAnsi="David" w:cs="David"/>
        </w:rPr>
        <w:t>n these context</w:t>
      </w:r>
      <w:r w:rsidR="00FC57EC" w:rsidRPr="0047237E">
        <w:rPr>
          <w:rFonts w:ascii="David" w:hAnsi="David" w:cs="David"/>
        </w:rPr>
        <w:t xml:space="preserve">s, </w:t>
      </w:r>
      <w:r w:rsidR="008B6F59" w:rsidRPr="0047237E">
        <w:rPr>
          <w:rFonts w:ascii="David" w:hAnsi="David" w:cs="David"/>
        </w:rPr>
        <w:t xml:space="preserve">the law is not related to </w:t>
      </w:r>
      <w:r w:rsidR="00FC57EC" w:rsidRPr="0047237E">
        <w:rPr>
          <w:rFonts w:ascii="David" w:hAnsi="David" w:cs="David"/>
        </w:rPr>
        <w:t xml:space="preserve">either being correct or </w:t>
      </w:r>
      <w:proofErr w:type="gramStart"/>
      <w:r w:rsidR="00FC57EC" w:rsidRPr="0047237E">
        <w:rPr>
          <w:rFonts w:ascii="David" w:hAnsi="David" w:cs="David"/>
        </w:rPr>
        <w:t>just</w:t>
      </w:r>
      <w:proofErr w:type="gramEnd"/>
      <w:r w:rsidR="00FC57EC" w:rsidRPr="0047237E">
        <w:rPr>
          <w:rFonts w:ascii="David" w:hAnsi="David" w:cs="David"/>
        </w:rPr>
        <w:t xml:space="preserve"> but it causes people to feel that their social identity will be </w:t>
      </w:r>
      <w:r w:rsidR="00B363C6" w:rsidRPr="0047237E">
        <w:rPr>
          <w:rFonts w:ascii="David" w:hAnsi="David" w:cs="David"/>
        </w:rPr>
        <w:t>enhanced</w:t>
      </w:r>
      <w:r w:rsidR="00FC57EC" w:rsidRPr="0047237E">
        <w:rPr>
          <w:rFonts w:ascii="David" w:hAnsi="David" w:cs="David"/>
        </w:rPr>
        <w:t xml:space="preserve"> if they comply with the law.</w:t>
      </w:r>
      <w:r w:rsidR="00714E06">
        <w:rPr>
          <w:rStyle w:val="FootnoteReference"/>
          <w:rFonts w:ascii="David" w:hAnsi="David" w:cs="David"/>
        </w:rPr>
        <w:footnoteReference w:id="62"/>
      </w:r>
    </w:p>
    <w:p w14:paraId="2BFA6E3E" w14:textId="447D1027" w:rsidR="00BA5670" w:rsidRDefault="00FC57EC" w:rsidP="00EF1E09">
      <w:pPr>
        <w:spacing w:line="360" w:lineRule="auto"/>
        <w:jc w:val="both"/>
        <w:rPr>
          <w:rFonts w:ascii="David" w:hAnsi="David" w:cs="David"/>
        </w:rPr>
      </w:pPr>
      <w:r w:rsidRPr="0047237E">
        <w:rPr>
          <w:rFonts w:ascii="David" w:hAnsi="David" w:cs="David"/>
        </w:rPr>
        <w:t xml:space="preserve">In that regard </w:t>
      </w:r>
      <w:proofErr w:type="gramStart"/>
      <w:r w:rsidRPr="0047237E">
        <w:rPr>
          <w:rFonts w:ascii="David" w:hAnsi="David" w:cs="David"/>
        </w:rPr>
        <w:t>the social</w:t>
      </w:r>
      <w:proofErr w:type="gramEnd"/>
      <w:r w:rsidRPr="0047237E">
        <w:rPr>
          <w:rFonts w:ascii="David" w:hAnsi="David" w:cs="David"/>
        </w:rPr>
        <w:t xml:space="preserve"> motivation is a hybrid creature between</w:t>
      </w:r>
      <w:r w:rsidR="00106439">
        <w:rPr>
          <w:rFonts w:ascii="David" w:hAnsi="David" w:cs="David"/>
        </w:rPr>
        <w:t xml:space="preserve"> </w:t>
      </w:r>
      <w:r w:rsidR="0094642A">
        <w:rPr>
          <w:rFonts w:ascii="David" w:hAnsi="David" w:cs="David"/>
        </w:rPr>
        <w:t>t</w:t>
      </w:r>
      <w:r w:rsidR="00106439">
        <w:rPr>
          <w:rFonts w:ascii="David" w:hAnsi="David" w:cs="David"/>
        </w:rPr>
        <w:t xml:space="preserve">he procedure – that it how many others are </w:t>
      </w:r>
      <w:r w:rsidR="00783182">
        <w:rPr>
          <w:rFonts w:ascii="David" w:hAnsi="David" w:cs="David"/>
        </w:rPr>
        <w:t xml:space="preserve">complying and the content – how similar are the social and the legal </w:t>
      </w:r>
      <w:r w:rsidR="00690148">
        <w:rPr>
          <w:rFonts w:ascii="David" w:hAnsi="David" w:cs="David"/>
        </w:rPr>
        <w:t xml:space="preserve">values. </w:t>
      </w:r>
      <w:proofErr w:type="gramStart"/>
      <w:r w:rsidR="00690148">
        <w:rPr>
          <w:rFonts w:ascii="David" w:hAnsi="David" w:cs="David"/>
        </w:rPr>
        <w:t xml:space="preserve">Similarly, </w:t>
      </w:r>
      <w:r w:rsidR="00BA5670" w:rsidRPr="0047237E">
        <w:rPr>
          <w:rFonts w:ascii="David" w:hAnsi="David" w:cs="David"/>
        </w:rPr>
        <w:t xml:space="preserve"> this</w:t>
      </w:r>
      <w:proofErr w:type="gramEnd"/>
      <w:r w:rsidR="00BA5670" w:rsidRPr="0047237E">
        <w:rPr>
          <w:rFonts w:ascii="David" w:hAnsi="David" w:cs="David"/>
        </w:rPr>
        <w:t xml:space="preserve"> case the attempt to examine whether social norms could be seen as </w:t>
      </w:r>
      <w:r w:rsidR="005149FA">
        <w:rPr>
          <w:rFonts w:ascii="David" w:hAnsi="David" w:cs="David"/>
        </w:rPr>
        <w:t>coercive</w:t>
      </w:r>
      <w:r w:rsidR="00BA5670" w:rsidRPr="0047237E">
        <w:rPr>
          <w:rFonts w:ascii="David" w:hAnsi="David" w:cs="David"/>
        </w:rPr>
        <w:t xml:space="preserve"> or as </w:t>
      </w:r>
      <w:proofErr w:type="gramStart"/>
      <w:r w:rsidR="00BA5670" w:rsidRPr="0047237E">
        <w:rPr>
          <w:rFonts w:ascii="David" w:hAnsi="David" w:cs="David"/>
        </w:rPr>
        <w:t>a voluntary</w:t>
      </w:r>
      <w:proofErr w:type="gramEnd"/>
      <w:r w:rsidR="00BA5670" w:rsidRPr="0047237E">
        <w:rPr>
          <w:rFonts w:ascii="David" w:hAnsi="David" w:cs="David"/>
        </w:rPr>
        <w:t xml:space="preserve"> we need to recognize </w:t>
      </w:r>
      <w:r w:rsidR="005149FA">
        <w:rPr>
          <w:rFonts w:ascii="David" w:hAnsi="David" w:cs="David"/>
        </w:rPr>
        <w:t xml:space="preserve">that  it carry both extrinsic and intrinsic attribute in ways which are hard to determine. </w:t>
      </w:r>
      <w:r w:rsidR="00BA5670" w:rsidRPr="0047237E">
        <w:rPr>
          <w:rFonts w:ascii="David" w:hAnsi="David" w:cs="David"/>
        </w:rPr>
        <w:t xml:space="preserve">The external one – is that </w:t>
      </w:r>
      <w:r w:rsidR="005B0C68" w:rsidRPr="0047237E">
        <w:rPr>
          <w:rFonts w:ascii="David" w:hAnsi="David" w:cs="David"/>
        </w:rPr>
        <w:t xml:space="preserve">you should obey the law since many other </w:t>
      </w:r>
      <w:proofErr w:type="gramStart"/>
      <w:r w:rsidR="005B0C68" w:rsidRPr="0047237E">
        <w:rPr>
          <w:rFonts w:ascii="David" w:hAnsi="David" w:cs="David"/>
        </w:rPr>
        <w:t>do</w:t>
      </w:r>
      <w:proofErr w:type="gramEnd"/>
      <w:r w:rsidR="005B0C68" w:rsidRPr="0047237E">
        <w:rPr>
          <w:rFonts w:ascii="David" w:hAnsi="David" w:cs="David"/>
        </w:rPr>
        <w:t xml:space="preserve">, is not </w:t>
      </w:r>
      <w:r w:rsidR="005B0C68" w:rsidRPr="0047237E">
        <w:rPr>
          <w:rFonts w:ascii="David" w:hAnsi="David" w:cs="David"/>
        </w:rPr>
        <w:lastRenderedPageBreak/>
        <w:t xml:space="preserve">necessarily the case (expressive law) and might be problematic as people might be tempted to underestimate the proportion of </w:t>
      </w:r>
      <w:r w:rsidR="00EA3094" w:rsidRPr="0047237E">
        <w:rPr>
          <w:rFonts w:ascii="David" w:hAnsi="David" w:cs="David"/>
        </w:rPr>
        <w:t>compliers</w:t>
      </w:r>
      <w:r w:rsidR="00AF41DE">
        <w:rPr>
          <w:rFonts w:ascii="David" w:hAnsi="David" w:cs="David"/>
        </w:rPr>
        <w:t>.</w:t>
      </w:r>
      <w:r w:rsidR="00573D91">
        <w:rPr>
          <w:rStyle w:val="FootnoteReference"/>
          <w:rFonts w:ascii="David" w:hAnsi="David" w:cs="David"/>
        </w:rPr>
        <w:footnoteReference w:id="63"/>
      </w:r>
      <w:r w:rsidR="005B0C68" w:rsidRPr="0047237E">
        <w:rPr>
          <w:rFonts w:ascii="David" w:hAnsi="David" w:cs="David"/>
        </w:rPr>
        <w:t xml:space="preserve"> </w:t>
      </w:r>
      <w:r w:rsidR="00A45E8C">
        <w:rPr>
          <w:rFonts w:ascii="David" w:hAnsi="David" w:cs="David"/>
        </w:rPr>
        <w:t xml:space="preserve"> </w:t>
      </w:r>
    </w:p>
    <w:p w14:paraId="612D5AFE" w14:textId="5DE32618" w:rsidR="00630A79" w:rsidRPr="0047237E" w:rsidRDefault="0094642A" w:rsidP="00EF1E09">
      <w:pPr>
        <w:spacing w:line="360" w:lineRule="auto"/>
        <w:jc w:val="both"/>
        <w:rPr>
          <w:rFonts w:ascii="David" w:hAnsi="David" w:cs="David"/>
        </w:rPr>
      </w:pPr>
      <w:r>
        <w:rPr>
          <w:rFonts w:ascii="David" w:hAnsi="David" w:cs="David"/>
        </w:rPr>
        <w:t>Within the perspective of social norms as an external motivation</w:t>
      </w:r>
      <w:r w:rsidR="00A45E8C">
        <w:rPr>
          <w:rFonts w:ascii="David" w:hAnsi="David" w:cs="David"/>
        </w:rPr>
        <w:t xml:space="preserve"> and as a cost people might pay for behaving against the prevailing social norms</w:t>
      </w:r>
      <w:r>
        <w:rPr>
          <w:rFonts w:ascii="David" w:hAnsi="David" w:cs="David"/>
        </w:rPr>
        <w:t xml:space="preserve">, the important work on altruistic punishment </w:t>
      </w:r>
      <w:r w:rsidR="007921FC">
        <w:rPr>
          <w:rFonts w:ascii="David" w:hAnsi="David" w:cs="David"/>
        </w:rPr>
        <w:t xml:space="preserve">of deviance by others </w:t>
      </w:r>
      <w:r>
        <w:rPr>
          <w:rFonts w:ascii="David" w:hAnsi="David" w:cs="David"/>
        </w:rPr>
        <w:t xml:space="preserve">seems to be especially important. </w:t>
      </w:r>
      <w:r w:rsidR="00630A79" w:rsidRPr="0047237E">
        <w:rPr>
          <w:rFonts w:ascii="David" w:hAnsi="David" w:cs="David"/>
        </w:rPr>
        <w:t>Ernst Fher</w:t>
      </w:r>
      <w:r w:rsidR="00A45E8C">
        <w:rPr>
          <w:rFonts w:ascii="David" w:hAnsi="David" w:cs="David"/>
        </w:rPr>
        <w:t xml:space="preserve"> and Simon </w:t>
      </w:r>
      <w:proofErr w:type="spellStart"/>
      <w:r w:rsidR="00A45E8C">
        <w:rPr>
          <w:rFonts w:ascii="David" w:hAnsi="David" w:cs="David"/>
        </w:rPr>
        <w:t>Gachter</w:t>
      </w:r>
      <w:proofErr w:type="spellEnd"/>
      <w:r w:rsidR="00A45E8C">
        <w:rPr>
          <w:rStyle w:val="FootnoteReference"/>
          <w:rFonts w:ascii="David" w:hAnsi="David" w:cs="David"/>
        </w:rPr>
        <w:footnoteReference w:id="64"/>
      </w:r>
      <w:r w:rsidR="00630A79" w:rsidRPr="0047237E">
        <w:rPr>
          <w:rFonts w:ascii="David" w:hAnsi="David" w:cs="David"/>
        </w:rPr>
        <w:t xml:space="preserve">, have argued </w:t>
      </w:r>
      <w:proofErr w:type="gramStart"/>
      <w:r w:rsidR="00630A79" w:rsidRPr="0047237E">
        <w:rPr>
          <w:rFonts w:ascii="David" w:hAnsi="David" w:cs="David"/>
        </w:rPr>
        <w:t>that  when</w:t>
      </w:r>
      <w:proofErr w:type="gramEnd"/>
      <w:r w:rsidR="00630A79" w:rsidRPr="0047237E">
        <w:rPr>
          <w:rFonts w:ascii="David" w:hAnsi="David" w:cs="David"/>
        </w:rPr>
        <w:t xml:space="preserve"> removing the likelihood of approval from others, people are far less altruistic</w:t>
      </w:r>
      <w:r w:rsidR="00630A79">
        <w:rPr>
          <w:rFonts w:ascii="David" w:hAnsi="David" w:cs="David"/>
        </w:rPr>
        <w:t xml:space="preserve">. </w:t>
      </w:r>
      <w:r w:rsidR="00630A79" w:rsidRPr="0047237E">
        <w:rPr>
          <w:rFonts w:ascii="David" w:hAnsi="David" w:cs="David"/>
        </w:rPr>
        <w:t>Nonetheless, this research has received lots of criticism</w:t>
      </w:r>
      <w:commentRangeStart w:id="18"/>
      <w:r w:rsidR="00F9387B">
        <w:rPr>
          <w:rFonts w:ascii="David" w:hAnsi="David" w:cs="David"/>
        </w:rPr>
        <w:t>.</w:t>
      </w:r>
      <w:r w:rsidR="00630A79">
        <w:rPr>
          <w:rStyle w:val="FootnoteReference"/>
          <w:rFonts w:ascii="David" w:hAnsi="David" w:cs="David"/>
        </w:rPr>
        <w:footnoteReference w:id="65"/>
      </w:r>
      <w:commentRangeEnd w:id="18"/>
      <w:r w:rsidR="00F9387B">
        <w:rPr>
          <w:rStyle w:val="CommentReference"/>
          <w:rFonts w:ascii="Calibri" w:eastAsia="Calibri" w:hAnsi="Calibri" w:cs="Arial"/>
          <w:rtl/>
        </w:rPr>
        <w:commentReference w:id="18"/>
      </w:r>
      <w:r w:rsidR="00630A79" w:rsidRPr="0047237E">
        <w:rPr>
          <w:rFonts w:ascii="David" w:hAnsi="David" w:cs="David"/>
        </w:rPr>
        <w:t xml:space="preserve"> </w:t>
      </w:r>
      <w:r w:rsidR="007921FC">
        <w:rPr>
          <w:rFonts w:ascii="David" w:hAnsi="David" w:cs="David"/>
        </w:rPr>
        <w:t xml:space="preserve">At the same time, social norms in legal context has also an intrinsic component related to expressive law, socialization and internalization as will be shown in the next paragraph that focus on the understanding of   social norms in law and economics. </w:t>
      </w:r>
    </w:p>
    <w:p w14:paraId="1D59555B" w14:textId="01897B3A" w:rsidR="0094642A" w:rsidRDefault="0094642A" w:rsidP="00EF1E09">
      <w:pPr>
        <w:pStyle w:val="Heading2"/>
        <w:spacing w:line="360" w:lineRule="auto"/>
        <w:jc w:val="both"/>
      </w:pPr>
      <w:r>
        <w:t>Social norms in law and economics</w:t>
      </w:r>
    </w:p>
    <w:p w14:paraId="3E2D0E43" w14:textId="0E102B49" w:rsidR="003D25FF" w:rsidRPr="0047237E" w:rsidRDefault="003D25FF" w:rsidP="00EF1E09">
      <w:pPr>
        <w:spacing w:line="360" w:lineRule="auto"/>
        <w:jc w:val="both"/>
        <w:rPr>
          <w:rFonts w:ascii="David" w:hAnsi="David" w:cs="David"/>
        </w:rPr>
      </w:pPr>
      <w:r w:rsidRPr="0047237E">
        <w:rPr>
          <w:rFonts w:ascii="David" w:hAnsi="David" w:cs="David"/>
        </w:rPr>
        <w:t xml:space="preserve">Law and economics scholars have </w:t>
      </w:r>
      <w:proofErr w:type="gramStart"/>
      <w:r w:rsidRPr="0047237E">
        <w:rPr>
          <w:rFonts w:ascii="David" w:hAnsi="David" w:cs="David"/>
        </w:rPr>
        <w:t>engage</w:t>
      </w:r>
      <w:proofErr w:type="gramEnd"/>
      <w:r w:rsidRPr="0047237E">
        <w:rPr>
          <w:rFonts w:ascii="David" w:hAnsi="David" w:cs="David"/>
        </w:rPr>
        <w:t xml:space="preserve"> in the informative approach to social norm and various models about signaling and reputation</w:t>
      </w:r>
      <w:r w:rsidR="0050054D" w:rsidRPr="0047237E">
        <w:rPr>
          <w:rFonts w:ascii="David" w:hAnsi="David" w:cs="David"/>
        </w:rPr>
        <w:t xml:space="preserve"> mostly captured under the notion of expressive law</w:t>
      </w:r>
      <w:r w:rsidR="00443965">
        <w:rPr>
          <w:rStyle w:val="FootnoteReference"/>
          <w:rFonts w:ascii="David" w:hAnsi="David" w:cs="David"/>
        </w:rPr>
        <w:footnoteReference w:id="66"/>
      </w:r>
      <w:r w:rsidR="0039519E">
        <w:rPr>
          <w:rFonts w:ascii="David" w:hAnsi="David" w:cs="David"/>
        </w:rPr>
        <w:t xml:space="preserve">. </w:t>
      </w:r>
      <w:r w:rsidR="0063712D" w:rsidRPr="0047237E">
        <w:rPr>
          <w:rFonts w:ascii="David" w:hAnsi="David" w:cs="David"/>
        </w:rPr>
        <w:t>McAdams attitudinal theory of expressive law suggests that enacting law solves a pluralistic ignorance problem by signaling the underlying attitudes of a community or society.  Under this approach, the main legal motivation of people is to seek the approval of others</w:t>
      </w:r>
      <w:r w:rsidR="00224655" w:rsidRPr="00C860E9">
        <w:rPr>
          <w:rFonts w:ascii="David" w:hAnsi="David" w:cs="David"/>
        </w:rPr>
        <w:t>.</w:t>
      </w:r>
    </w:p>
    <w:p w14:paraId="440FA71A" w14:textId="208C93F2" w:rsidR="003D25FF" w:rsidRPr="0047237E" w:rsidRDefault="003D25FF" w:rsidP="0044682A">
      <w:pPr>
        <w:spacing w:line="360" w:lineRule="auto"/>
        <w:jc w:val="both"/>
        <w:rPr>
          <w:rFonts w:ascii="David" w:hAnsi="David" w:cs="David"/>
        </w:rPr>
      </w:pPr>
      <w:r w:rsidRPr="0047237E">
        <w:rPr>
          <w:rFonts w:ascii="David" w:hAnsi="David" w:cs="David"/>
        </w:rPr>
        <w:t xml:space="preserve"> Posner</w:t>
      </w:r>
      <w:r w:rsidR="00076BEC">
        <w:rPr>
          <w:rStyle w:val="FootnoteReference"/>
          <w:rFonts w:ascii="David" w:hAnsi="David" w:cs="David"/>
        </w:rPr>
        <w:footnoteReference w:id="67"/>
      </w:r>
      <w:r w:rsidRPr="0047237E">
        <w:rPr>
          <w:rFonts w:ascii="David" w:hAnsi="David" w:cs="David"/>
        </w:rPr>
        <w:t xml:space="preserve"> returning to his famous model of signaling, where </w:t>
      </w:r>
      <w:r w:rsidR="0063712D" w:rsidRPr="0047237E">
        <w:rPr>
          <w:rFonts w:ascii="David" w:hAnsi="David" w:cs="David"/>
        </w:rPr>
        <w:t xml:space="preserve">for example </w:t>
      </w:r>
      <w:r w:rsidRPr="0047237E">
        <w:rPr>
          <w:rFonts w:ascii="David" w:hAnsi="David" w:cs="David"/>
        </w:rPr>
        <w:t>paying taxes, individuals signal to their surroundings that they belong to a good type of people or the various models of using shaming to increase compliance</w:t>
      </w:r>
      <w:r w:rsidR="00A50C26">
        <w:rPr>
          <w:rFonts w:ascii="David" w:hAnsi="David" w:cs="David"/>
        </w:rPr>
        <w:t>.</w:t>
      </w:r>
      <w:r w:rsidR="00A50C26">
        <w:rPr>
          <w:rStyle w:val="FootnoteReference"/>
          <w:rFonts w:ascii="David" w:hAnsi="David" w:cs="David"/>
        </w:rPr>
        <w:footnoteReference w:id="68"/>
      </w:r>
      <w:r w:rsidRPr="0047237E">
        <w:rPr>
          <w:rFonts w:ascii="David" w:hAnsi="David" w:cs="David"/>
        </w:rPr>
        <w:t xml:space="preserve"> </w:t>
      </w:r>
    </w:p>
    <w:p w14:paraId="1483C7C7" w14:textId="6C5C3783" w:rsidR="005B0C68" w:rsidRPr="0047237E" w:rsidRDefault="00DD2DC2" w:rsidP="00EF1E09">
      <w:pPr>
        <w:spacing w:line="360" w:lineRule="auto"/>
        <w:jc w:val="both"/>
        <w:rPr>
          <w:rFonts w:ascii="David" w:hAnsi="David" w:cs="David"/>
        </w:rPr>
      </w:pPr>
      <w:r w:rsidRPr="0047237E">
        <w:rPr>
          <w:rFonts w:ascii="David" w:hAnsi="David" w:cs="David"/>
        </w:rPr>
        <w:t xml:space="preserve">But even according to such approaches where law signals to people what </w:t>
      </w:r>
      <w:proofErr w:type="gramStart"/>
      <w:r w:rsidRPr="0047237E">
        <w:rPr>
          <w:rFonts w:ascii="David" w:hAnsi="David" w:cs="David"/>
        </w:rPr>
        <w:t>is</w:t>
      </w:r>
      <w:proofErr w:type="gramEnd"/>
      <w:r w:rsidRPr="0047237E">
        <w:rPr>
          <w:rFonts w:ascii="David" w:hAnsi="David" w:cs="David"/>
        </w:rPr>
        <w:t xml:space="preserve"> the prevailing norms or what’s the right </w:t>
      </w:r>
      <w:r w:rsidR="0037592A" w:rsidRPr="0047237E">
        <w:rPr>
          <w:rFonts w:ascii="David" w:hAnsi="David" w:cs="David"/>
        </w:rPr>
        <w:t>thing</w:t>
      </w:r>
      <w:r w:rsidRPr="0047237E">
        <w:rPr>
          <w:rFonts w:ascii="David" w:hAnsi="David" w:cs="David"/>
        </w:rPr>
        <w:t xml:space="preserve"> to do, to get ahead, there is </w:t>
      </w:r>
      <w:r w:rsidR="00933F0E" w:rsidRPr="0047237E">
        <w:rPr>
          <w:rFonts w:ascii="David" w:hAnsi="David" w:cs="David"/>
        </w:rPr>
        <w:t>a need for this norm to be seen as representing the majority view</w:t>
      </w:r>
      <w:r w:rsidR="00A26369">
        <w:rPr>
          <w:rFonts w:ascii="David" w:hAnsi="David" w:cs="David"/>
        </w:rPr>
        <w:t>.</w:t>
      </w:r>
      <w:r w:rsidR="0037592A">
        <w:rPr>
          <w:rFonts w:ascii="David" w:hAnsi="David" w:cs="David"/>
        </w:rPr>
        <w:t xml:space="preserve"> </w:t>
      </w:r>
      <w:r w:rsidR="005B0C68" w:rsidRPr="0047237E">
        <w:rPr>
          <w:rFonts w:ascii="David" w:hAnsi="David" w:cs="David"/>
        </w:rPr>
        <w:t>Also</w:t>
      </w:r>
      <w:r w:rsidR="00D070F5">
        <w:rPr>
          <w:rFonts w:ascii="David" w:hAnsi="David" w:cs="David"/>
        </w:rPr>
        <w:t>,</w:t>
      </w:r>
      <w:r w:rsidR="005B0C68" w:rsidRPr="0047237E">
        <w:rPr>
          <w:rFonts w:ascii="David" w:hAnsi="David" w:cs="David"/>
        </w:rPr>
        <w:t xml:space="preserve"> many laws are simply not that popular</w:t>
      </w:r>
      <w:r w:rsidR="00260B1A" w:rsidRPr="0047237E">
        <w:rPr>
          <w:rFonts w:ascii="David" w:hAnsi="David" w:cs="David"/>
        </w:rPr>
        <w:t>, at least not at first, which makes the ability to rely on social norms</w:t>
      </w:r>
      <w:r w:rsidR="001B6CF1">
        <w:rPr>
          <w:rFonts w:ascii="David" w:hAnsi="David" w:cs="David"/>
        </w:rPr>
        <w:t xml:space="preserve"> highly problematic in </w:t>
      </w:r>
      <w:proofErr w:type="gramStart"/>
      <w:r w:rsidR="001B6CF1">
        <w:rPr>
          <w:rFonts w:ascii="David" w:hAnsi="David" w:cs="David"/>
        </w:rPr>
        <w:t>all of</w:t>
      </w:r>
      <w:proofErr w:type="gramEnd"/>
      <w:r w:rsidR="001B6CF1">
        <w:rPr>
          <w:rFonts w:ascii="David" w:hAnsi="David" w:cs="David"/>
        </w:rPr>
        <w:t xml:space="preserve"> the cases where the law is not popular at least at first. </w:t>
      </w:r>
    </w:p>
    <w:p w14:paraId="52FC40D8" w14:textId="77777777" w:rsidR="0037592A" w:rsidRDefault="005B0C68" w:rsidP="00EF1E09">
      <w:pPr>
        <w:spacing w:line="360" w:lineRule="auto"/>
        <w:jc w:val="both"/>
        <w:rPr>
          <w:rFonts w:ascii="David" w:hAnsi="David" w:cs="David"/>
        </w:rPr>
      </w:pPr>
      <w:r w:rsidRPr="0047237E">
        <w:rPr>
          <w:rFonts w:ascii="David" w:hAnsi="David" w:cs="David"/>
        </w:rPr>
        <w:t xml:space="preserve">Also in a segmented society, there might be communities that don’t care at all about the </w:t>
      </w:r>
      <w:r w:rsidR="001B6CF1">
        <w:rPr>
          <w:rFonts w:ascii="David" w:hAnsi="David" w:cs="David"/>
        </w:rPr>
        <w:t>l</w:t>
      </w:r>
      <w:r w:rsidRPr="0047237E">
        <w:rPr>
          <w:rFonts w:ascii="David" w:hAnsi="David" w:cs="David"/>
        </w:rPr>
        <w:t>aw and their norms might be the most important one for people</w:t>
      </w:r>
      <w:r w:rsidR="001B6CF1">
        <w:rPr>
          <w:rFonts w:ascii="David" w:hAnsi="David" w:cs="David"/>
        </w:rPr>
        <w:t xml:space="preserve"> from these communities. </w:t>
      </w:r>
      <w:r w:rsidR="0037592A" w:rsidRPr="0047237E">
        <w:rPr>
          <w:rFonts w:ascii="David" w:hAnsi="David" w:cs="David"/>
        </w:rPr>
        <w:t xml:space="preserve">Even when speaking about a prevailing norm, the assumption of many scholars is of </w:t>
      </w:r>
      <w:proofErr w:type="gramStart"/>
      <w:r w:rsidR="0037592A" w:rsidRPr="0047237E">
        <w:rPr>
          <w:rFonts w:ascii="David" w:hAnsi="David" w:cs="David"/>
        </w:rPr>
        <w:t>an</w:t>
      </w:r>
      <w:proofErr w:type="gramEnd"/>
      <w:r w:rsidR="0037592A" w:rsidRPr="0047237E">
        <w:rPr>
          <w:rFonts w:ascii="David" w:hAnsi="David" w:cs="David"/>
        </w:rPr>
        <w:t xml:space="preserve"> homogenous society. </w:t>
      </w:r>
      <w:r w:rsidR="0037592A" w:rsidRPr="0047237E">
        <w:rPr>
          <w:rFonts w:ascii="David" w:hAnsi="David" w:cs="David"/>
        </w:rPr>
        <w:lastRenderedPageBreak/>
        <w:t>This is for example the underlying message of the work of Scott</w:t>
      </w:r>
      <w:r w:rsidR="0037592A">
        <w:rPr>
          <w:rStyle w:val="FootnoteReference"/>
          <w:rFonts w:ascii="David" w:hAnsi="David" w:cs="David"/>
        </w:rPr>
        <w:footnoteReference w:id="69"/>
      </w:r>
      <w:r w:rsidR="0037592A" w:rsidRPr="0047237E">
        <w:rPr>
          <w:rFonts w:ascii="David" w:hAnsi="David" w:cs="David"/>
        </w:rPr>
        <w:t xml:space="preserve">, McAdams and Nadler. There </w:t>
      </w:r>
      <w:proofErr w:type="gramStart"/>
      <w:r w:rsidR="0037592A" w:rsidRPr="0047237E">
        <w:rPr>
          <w:rFonts w:ascii="David" w:hAnsi="David" w:cs="David"/>
        </w:rPr>
        <w:t>is</w:t>
      </w:r>
      <w:proofErr w:type="gramEnd"/>
      <w:r w:rsidR="0037592A" w:rsidRPr="0047237E">
        <w:rPr>
          <w:rFonts w:ascii="David" w:hAnsi="David" w:cs="David"/>
        </w:rPr>
        <w:t xml:space="preserve"> some unified norms and the main problem is that people don't always know about, if not for the expressive function of the law that reveals to them what is the majority of people thinking.</w:t>
      </w:r>
    </w:p>
    <w:p w14:paraId="5DA4EEA9" w14:textId="412BA513" w:rsidR="000B52D1" w:rsidRPr="0047237E" w:rsidRDefault="005B0C68" w:rsidP="00EF1E09">
      <w:pPr>
        <w:spacing w:line="360" w:lineRule="auto"/>
        <w:jc w:val="both"/>
        <w:rPr>
          <w:rFonts w:ascii="David" w:hAnsi="David" w:cs="David"/>
        </w:rPr>
      </w:pPr>
      <w:r w:rsidRPr="0047237E">
        <w:rPr>
          <w:rFonts w:ascii="David" w:hAnsi="David" w:cs="David"/>
        </w:rPr>
        <w:t xml:space="preserve">When laws are being discussed in the abstract than it easy to talk about social </w:t>
      </w:r>
      <w:r w:rsidR="00500E23" w:rsidRPr="0047237E">
        <w:rPr>
          <w:rFonts w:ascii="David" w:hAnsi="David" w:cs="David"/>
        </w:rPr>
        <w:t>identity</w:t>
      </w:r>
      <w:r w:rsidRPr="0047237E">
        <w:rPr>
          <w:rFonts w:ascii="David" w:hAnsi="David" w:cs="David"/>
        </w:rPr>
        <w:t xml:space="preserve"> and social </w:t>
      </w:r>
      <w:r w:rsidR="00F43907" w:rsidRPr="0047237E">
        <w:rPr>
          <w:rFonts w:ascii="David" w:hAnsi="David" w:cs="David"/>
        </w:rPr>
        <w:t>values,</w:t>
      </w:r>
      <w:r w:rsidRPr="0047237E">
        <w:rPr>
          <w:rFonts w:ascii="David" w:hAnsi="David" w:cs="David"/>
        </w:rPr>
        <w:t xml:space="preserve"> but it is simply not the case that all laws are such that they could be related to people values. </w:t>
      </w:r>
      <w:proofErr w:type="gramStart"/>
      <w:r w:rsidR="00F4325C">
        <w:rPr>
          <w:rFonts w:ascii="David" w:hAnsi="David" w:cs="David"/>
        </w:rPr>
        <w:t>furthermore</w:t>
      </w:r>
      <w:proofErr w:type="gramEnd"/>
      <w:r w:rsidR="00F4325C">
        <w:rPr>
          <w:rFonts w:ascii="David" w:hAnsi="David" w:cs="David"/>
        </w:rPr>
        <w:t>, it might very well be the case that the important of intrinsic motivation might depends on the type of law, henc</w:t>
      </w:r>
      <w:r w:rsidR="00F43907">
        <w:rPr>
          <w:rFonts w:ascii="David" w:hAnsi="David" w:cs="David"/>
        </w:rPr>
        <w:t>e</w:t>
      </w:r>
      <w:r w:rsidR="00F4325C">
        <w:rPr>
          <w:rFonts w:ascii="David" w:hAnsi="David" w:cs="David"/>
        </w:rPr>
        <w:t xml:space="preserve"> making the need to understand on what law we are talking about, even more important. It could be that laws related to peoples' daily life, intrinsic motivation might be even more important than in laws which are obeyed less frequently, where the interaction with the state </w:t>
      </w:r>
      <w:r w:rsidR="00AF7C3D">
        <w:rPr>
          <w:rFonts w:ascii="David" w:hAnsi="David" w:cs="David"/>
        </w:rPr>
        <w:t>is more legal and easier to monitor</w:t>
      </w:r>
      <w:r w:rsidR="00F4325C">
        <w:rPr>
          <w:rFonts w:ascii="David" w:hAnsi="David" w:cs="David"/>
        </w:rPr>
        <w:t xml:space="preserve">. </w:t>
      </w:r>
    </w:p>
    <w:p w14:paraId="60A2A688" w14:textId="067F6CC0" w:rsidR="00952567" w:rsidRPr="0047237E" w:rsidRDefault="00952567" w:rsidP="00EF1E09">
      <w:pPr>
        <w:spacing w:line="360" w:lineRule="auto"/>
        <w:jc w:val="both"/>
        <w:rPr>
          <w:rFonts w:ascii="David" w:hAnsi="David" w:cs="David"/>
        </w:rPr>
      </w:pPr>
      <w:r w:rsidRPr="0047237E">
        <w:rPr>
          <w:rFonts w:ascii="David" w:hAnsi="David" w:cs="David"/>
        </w:rPr>
        <w:t xml:space="preserve">As we will show in further discussion, this approach to social norms as operating when it is the prevailing norms, is common to many of the people, who work within this field notable among them is </w:t>
      </w:r>
      <w:proofErr w:type="spellStart"/>
      <w:r w:rsidRPr="0047237E">
        <w:rPr>
          <w:rFonts w:ascii="David" w:hAnsi="David" w:cs="David"/>
        </w:rPr>
        <w:t>Bichherhy</w:t>
      </w:r>
      <w:proofErr w:type="spellEnd"/>
      <w:r w:rsidRPr="0047237E">
        <w:rPr>
          <w:rFonts w:ascii="David" w:hAnsi="David" w:cs="David"/>
        </w:rPr>
        <w:t xml:space="preserve"> philosophical </w:t>
      </w:r>
      <w:r w:rsidR="00EB1A6D" w:rsidRPr="0047237E">
        <w:rPr>
          <w:rFonts w:ascii="David" w:hAnsi="David" w:cs="David"/>
        </w:rPr>
        <w:t>analysis</w:t>
      </w:r>
      <w:r w:rsidR="0081789D" w:rsidRPr="0047237E">
        <w:rPr>
          <w:rFonts w:ascii="David" w:hAnsi="David" w:cs="David"/>
        </w:rPr>
        <w:t xml:space="preserve"> on the function and importance of social norms</w:t>
      </w:r>
      <w:r w:rsidR="00A26369">
        <w:rPr>
          <w:rFonts w:ascii="David" w:hAnsi="David" w:cs="David"/>
        </w:rPr>
        <w:t>.</w:t>
      </w:r>
      <w:r w:rsidR="009D6CAE" w:rsidRPr="0047237E">
        <w:rPr>
          <w:rStyle w:val="FootnoteReference"/>
          <w:rFonts w:ascii="David" w:hAnsi="David" w:cs="David"/>
        </w:rPr>
        <w:footnoteReference w:id="70"/>
      </w:r>
      <w:r w:rsidRPr="0047237E">
        <w:rPr>
          <w:rFonts w:ascii="David" w:hAnsi="David" w:cs="David"/>
        </w:rPr>
        <w:t xml:space="preserve"> </w:t>
      </w:r>
    </w:p>
    <w:p w14:paraId="61818FE0" w14:textId="77777777" w:rsidR="006E132F" w:rsidRDefault="006E132F" w:rsidP="00EF1E09">
      <w:pPr>
        <w:spacing w:line="360" w:lineRule="auto"/>
        <w:jc w:val="both"/>
      </w:pPr>
    </w:p>
    <w:p w14:paraId="59834506" w14:textId="66756860" w:rsidR="006E132F" w:rsidRDefault="006E132F" w:rsidP="00EF1E09">
      <w:pPr>
        <w:pStyle w:val="Heading2"/>
        <w:spacing w:line="360" w:lineRule="auto"/>
        <w:jc w:val="both"/>
        <w:rPr>
          <w:rtl/>
        </w:rPr>
      </w:pPr>
      <w:bookmarkStart w:id="19" w:name="_Toc163650202"/>
      <w:r>
        <w:t>Social norms as intrinsic motivation</w:t>
      </w:r>
      <w:r w:rsidR="00176F50">
        <w:t>?</w:t>
      </w:r>
      <w:bookmarkEnd w:id="19"/>
    </w:p>
    <w:p w14:paraId="1BFBF00B" w14:textId="77777777" w:rsidR="006E132F" w:rsidRPr="00451269" w:rsidRDefault="006E132F" w:rsidP="00EF1E09">
      <w:pPr>
        <w:spacing w:line="360" w:lineRule="auto"/>
        <w:jc w:val="both"/>
      </w:pPr>
      <w:r w:rsidRPr="00451269">
        <w:t>Social norms which in many studies are seen as highly contributing to compliance, are not necessarily part of what is intrinsic motivation as in many ways, it is related to external forces such as social punishment and shame.</w:t>
      </w:r>
      <w:r>
        <w:rPr>
          <w:rStyle w:val="FootnoteReference"/>
        </w:rPr>
        <w:footnoteReference w:id="71"/>
      </w:r>
      <w:r w:rsidRPr="00451269">
        <w:t xml:space="preserve"> </w:t>
      </w:r>
    </w:p>
    <w:p w14:paraId="2B3488F3" w14:textId="77777777" w:rsidR="006E132F" w:rsidRPr="00451269" w:rsidRDefault="006E132F" w:rsidP="00EF1E09">
      <w:pPr>
        <w:spacing w:line="360" w:lineRule="auto"/>
        <w:jc w:val="both"/>
      </w:pPr>
      <w:r w:rsidRPr="00451269">
        <w:t>In the context of normative messages, the importance of the prevailing social was shown to be highly important. For example,</w:t>
      </w:r>
      <w:r>
        <w:rPr>
          <w:rStyle w:val="FootnoteReference"/>
        </w:rPr>
        <w:footnoteReference w:id="72"/>
      </w:r>
      <w:r w:rsidRPr="00451269">
        <w:t xml:space="preserve"> it was shown to cause hotel guests to care more about their environmental footprint.</w:t>
      </w:r>
      <w:r>
        <w:rPr>
          <w:rStyle w:val="FootnoteReference"/>
        </w:rPr>
        <w:footnoteReference w:id="73"/>
      </w:r>
      <w:r>
        <w:t xml:space="preserve"> A</w:t>
      </w:r>
      <w:r w:rsidRPr="00451269">
        <w:t>nother field experiment conducted in a hotel using the alternation of signs regarding towels also found that people tend to comply more with appeals employing descriptive norms</w:t>
      </w:r>
      <w:r>
        <w:t xml:space="preserve">, </w:t>
      </w:r>
      <w:r w:rsidRPr="00451269">
        <w:t>rather than the traditional appeal</w:t>
      </w:r>
      <w:r>
        <w:t>.</w:t>
      </w:r>
      <w:r>
        <w:rPr>
          <w:rStyle w:val="FootnoteReference"/>
        </w:rPr>
        <w:footnoteReference w:id="74"/>
      </w:r>
      <w:r>
        <w:rPr>
          <w:rFonts w:hint="cs"/>
          <w:rtl/>
        </w:rPr>
        <w:t xml:space="preserve"> </w:t>
      </w:r>
      <w:r>
        <w:t xml:space="preserve"> </w:t>
      </w:r>
      <w:r w:rsidRPr="00451269">
        <w:t>However, again, when communicating to people what are the norms, especially in field experiments, it becomes unclear what lead</w:t>
      </w:r>
      <w:r>
        <w:t>s</w:t>
      </w:r>
      <w:r w:rsidRPr="00451269">
        <w:t xml:space="preserve"> to the change some more internalized process through which the fact that something is acceptable becomes what people actually want to do. </w:t>
      </w:r>
      <w:r>
        <w:t xml:space="preserve">Indeed, along those lines </w:t>
      </w:r>
      <w:r>
        <w:lastRenderedPageBreak/>
        <w:t>t</w:t>
      </w:r>
      <w:r w:rsidRPr="00451269">
        <w:t xml:space="preserve">here are </w:t>
      </w:r>
      <w:r>
        <w:t>some</w:t>
      </w:r>
      <w:r w:rsidRPr="00451269">
        <w:t xml:space="preserve"> studies that have examined whether under conditions of complete anonymity, social norms still had an effect.</w:t>
      </w:r>
      <w:r>
        <w:rPr>
          <w:rStyle w:val="FootnoteReference"/>
        </w:rPr>
        <w:footnoteReference w:id="75"/>
      </w:r>
      <w:r w:rsidRPr="00451269">
        <w:t xml:space="preserve"> </w:t>
      </w:r>
    </w:p>
    <w:p w14:paraId="1D3F418C" w14:textId="46D8B45E" w:rsidR="006E132F" w:rsidRDefault="006E132F" w:rsidP="00EF1E09">
      <w:pPr>
        <w:spacing w:line="360" w:lineRule="auto"/>
        <w:jc w:val="both"/>
        <w:rPr>
          <w:rtl/>
        </w:rPr>
      </w:pPr>
      <w:r>
        <w:t>However, at the same time, it is important to recognize studies on socialization</w:t>
      </w:r>
      <w:r w:rsidR="00F43907">
        <w:t>,</w:t>
      </w:r>
      <w:r>
        <w:rPr>
          <w:rStyle w:val="FootnoteReference"/>
        </w:rPr>
        <w:footnoteReference w:id="76"/>
      </w:r>
      <w:r>
        <w:t xml:space="preserve"> where social norms are becoming part of the identity of the </w:t>
      </w:r>
      <w:r w:rsidRPr="00451269">
        <w:t>individuals</w:t>
      </w:r>
      <w:r w:rsidR="00F43907">
        <w:t>.</w:t>
      </w:r>
      <w:r>
        <w:rPr>
          <w:rStyle w:val="FootnoteReference"/>
        </w:rPr>
        <w:footnoteReference w:id="77"/>
      </w:r>
      <w:r w:rsidR="00176F50">
        <w:t xml:space="preserve"> </w:t>
      </w:r>
      <w:r>
        <w:t>It is the case that people behave as they think people in their social role and status need to behave</w:t>
      </w:r>
      <w:r w:rsidR="00432C21">
        <w:t>,</w:t>
      </w:r>
      <w:r>
        <w:rPr>
          <w:rStyle w:val="FootnoteReference"/>
        </w:rPr>
        <w:footnoteReference w:id="78"/>
      </w:r>
      <w:r>
        <w:t xml:space="preserve"> are they counted as doing so for intrinsic reasons? Is it related to the act? Clearly, theories of signaling</w:t>
      </w:r>
      <w:r w:rsidR="00F43907">
        <w:t>,</w:t>
      </w:r>
      <w:r>
        <w:rPr>
          <w:rStyle w:val="FootnoteReference"/>
        </w:rPr>
        <w:footnoteReference w:id="79"/>
      </w:r>
      <w:r>
        <w:t xml:space="preserve"> could be seen as external. But how about a situation when the behavior is seen as socially expected of someone in a certain position, but they don’t get any reward from the behavior itself? </w:t>
      </w:r>
    </w:p>
    <w:p w14:paraId="62AD85FC" w14:textId="4C147EC2" w:rsidR="009D6CAE" w:rsidRPr="0047237E" w:rsidRDefault="009D6CAE" w:rsidP="00EF1E09">
      <w:pPr>
        <w:spacing w:line="360" w:lineRule="auto"/>
        <w:jc w:val="both"/>
        <w:rPr>
          <w:rFonts w:ascii="David" w:hAnsi="David" w:cs="David"/>
        </w:rPr>
      </w:pPr>
      <w:r w:rsidRPr="0047237E">
        <w:rPr>
          <w:rFonts w:ascii="David" w:hAnsi="David" w:cs="David"/>
        </w:rPr>
        <w:t xml:space="preserve">One of the leading scholars when it comes to social norms </w:t>
      </w:r>
      <w:r w:rsidR="00614502" w:rsidRPr="0047237E">
        <w:rPr>
          <w:rFonts w:ascii="David" w:hAnsi="David" w:cs="David"/>
        </w:rPr>
        <w:t>i</w:t>
      </w:r>
      <w:r w:rsidR="00614502">
        <w:rPr>
          <w:rFonts w:ascii="David" w:hAnsi="David" w:cs="David"/>
        </w:rPr>
        <w:t>s</w:t>
      </w:r>
      <w:r w:rsidR="00614502" w:rsidRPr="0047237E">
        <w:rPr>
          <w:rFonts w:ascii="David" w:hAnsi="David" w:cs="David"/>
        </w:rPr>
        <w:t xml:space="preserve"> </w:t>
      </w:r>
      <w:r w:rsidRPr="0047237E">
        <w:rPr>
          <w:rFonts w:ascii="David" w:hAnsi="David" w:cs="David"/>
        </w:rPr>
        <w:t xml:space="preserve">Christina </w:t>
      </w:r>
      <w:r w:rsidR="0081789D" w:rsidRPr="0047237E">
        <w:rPr>
          <w:rFonts w:ascii="David" w:hAnsi="David" w:cs="David"/>
        </w:rPr>
        <w:t>Bicchieri</w:t>
      </w:r>
      <w:r w:rsidR="00614502">
        <w:rPr>
          <w:rFonts w:ascii="David" w:hAnsi="David" w:cs="David"/>
        </w:rPr>
        <w:t>,</w:t>
      </w:r>
      <w:r w:rsidR="00614502">
        <w:rPr>
          <w:rStyle w:val="FootnoteReference"/>
          <w:rFonts w:ascii="David" w:hAnsi="David" w:cs="David"/>
        </w:rPr>
        <w:footnoteReference w:id="80"/>
      </w:r>
    </w:p>
    <w:p w14:paraId="35F9F07C" w14:textId="028C477A" w:rsidR="009D6CAE" w:rsidRPr="0047237E" w:rsidRDefault="009D6CAE" w:rsidP="00EF1E09">
      <w:pPr>
        <w:spacing w:line="360" w:lineRule="auto"/>
        <w:jc w:val="both"/>
        <w:rPr>
          <w:rFonts w:ascii="David" w:hAnsi="David" w:cs="David"/>
        </w:rPr>
      </w:pPr>
      <w:r w:rsidRPr="0047237E">
        <w:rPr>
          <w:rFonts w:ascii="David" w:hAnsi="David" w:cs="David"/>
        </w:rPr>
        <w:t xml:space="preserve">In her </w:t>
      </w:r>
      <w:r w:rsidR="00F70E0F" w:rsidRPr="0047237E">
        <w:rPr>
          <w:rFonts w:ascii="David" w:hAnsi="David" w:cs="David"/>
        </w:rPr>
        <w:t>influential</w:t>
      </w:r>
      <w:r w:rsidRPr="0047237E">
        <w:rPr>
          <w:rFonts w:ascii="David" w:hAnsi="David" w:cs="David"/>
        </w:rPr>
        <w:t xml:space="preserve"> book</w:t>
      </w:r>
      <w:r w:rsidR="00F43907">
        <w:rPr>
          <w:rFonts w:ascii="David" w:hAnsi="David" w:cs="David"/>
        </w:rPr>
        <w:t>,</w:t>
      </w:r>
      <w:r w:rsidRPr="0047237E">
        <w:rPr>
          <w:rStyle w:val="FootnoteReference"/>
          <w:rFonts w:ascii="David" w:hAnsi="David" w:cs="David"/>
        </w:rPr>
        <w:footnoteReference w:id="81"/>
      </w:r>
      <w:r w:rsidRPr="0047237E">
        <w:rPr>
          <w:rFonts w:ascii="David" w:hAnsi="David" w:cs="David"/>
        </w:rPr>
        <w:t xml:space="preserve"> </w:t>
      </w:r>
      <w:r w:rsidR="00CD5352" w:rsidRPr="0047237E">
        <w:rPr>
          <w:rFonts w:ascii="David" w:hAnsi="David" w:cs="David"/>
        </w:rPr>
        <w:t>"</w:t>
      </w:r>
      <w:r w:rsidRPr="0047237E">
        <w:rPr>
          <w:rFonts w:ascii="David" w:hAnsi="David" w:cs="David"/>
        </w:rPr>
        <w:t>the grammar of society</w:t>
      </w:r>
      <w:r w:rsidR="00CD5352" w:rsidRPr="0047237E">
        <w:rPr>
          <w:rFonts w:ascii="David" w:hAnsi="David" w:cs="David"/>
        </w:rPr>
        <w:t>"</w:t>
      </w:r>
      <w:r w:rsidRPr="0047237E">
        <w:rPr>
          <w:rFonts w:ascii="David" w:hAnsi="David" w:cs="David"/>
        </w:rPr>
        <w:t xml:space="preserve">, she argues that for a norm to exist, </w:t>
      </w:r>
      <w:proofErr w:type="gramStart"/>
      <w:r w:rsidRPr="0047237E">
        <w:rPr>
          <w:rFonts w:ascii="David" w:hAnsi="David" w:cs="David"/>
        </w:rPr>
        <w:t>sufficient number of</w:t>
      </w:r>
      <w:proofErr w:type="gramEnd"/>
      <w:r w:rsidRPr="0047237E">
        <w:rPr>
          <w:rFonts w:ascii="David" w:hAnsi="David" w:cs="David"/>
        </w:rPr>
        <w:t xml:space="preserve"> people the to believe that it </w:t>
      </w:r>
      <w:r w:rsidR="00F41B4A" w:rsidRPr="0047237E">
        <w:rPr>
          <w:rFonts w:ascii="David" w:hAnsi="David" w:cs="David"/>
        </w:rPr>
        <w:t>pertains</w:t>
      </w:r>
      <w:r w:rsidRPr="0047237E">
        <w:rPr>
          <w:rFonts w:ascii="David" w:hAnsi="David" w:cs="David"/>
        </w:rPr>
        <w:t xml:space="preserve"> to a given type of situation and that enough people will behave according to that norm. according to </w:t>
      </w:r>
      <w:proofErr w:type="spellStart"/>
      <w:r w:rsidRPr="0047237E">
        <w:rPr>
          <w:rFonts w:ascii="David" w:hAnsi="David" w:cs="David"/>
        </w:rPr>
        <w:t>Biecheri</w:t>
      </w:r>
      <w:proofErr w:type="spellEnd"/>
      <w:r w:rsidRPr="0047237E">
        <w:rPr>
          <w:rFonts w:ascii="David" w:hAnsi="David" w:cs="David"/>
        </w:rPr>
        <w:t xml:space="preserve">, norm compliance depends on a </w:t>
      </w:r>
      <w:r w:rsidR="00CD5352" w:rsidRPr="0047237E">
        <w:rPr>
          <w:rFonts w:ascii="David" w:hAnsi="David" w:cs="David"/>
        </w:rPr>
        <w:t>conditional</w:t>
      </w:r>
      <w:r w:rsidRPr="0047237E">
        <w:rPr>
          <w:rFonts w:ascii="David" w:hAnsi="David" w:cs="David"/>
        </w:rPr>
        <w:t xml:space="preserve"> preference to cooperate, </w:t>
      </w:r>
      <w:proofErr w:type="gramStart"/>
      <w:r w:rsidRPr="0047237E">
        <w:rPr>
          <w:rFonts w:ascii="David" w:hAnsi="David" w:cs="David"/>
        </w:rPr>
        <w:t>depend</w:t>
      </w:r>
      <w:proofErr w:type="gramEnd"/>
      <w:r w:rsidRPr="0047237E">
        <w:rPr>
          <w:rFonts w:ascii="David" w:hAnsi="David" w:cs="David"/>
        </w:rPr>
        <w:t xml:space="preserve"> that others will cooperate as well.</w:t>
      </w:r>
    </w:p>
    <w:p w14:paraId="508B9A04" w14:textId="3A3D7D06" w:rsidR="009D6CAE" w:rsidRDefault="009D6CAE" w:rsidP="00EF1E09">
      <w:pPr>
        <w:spacing w:line="360" w:lineRule="auto"/>
        <w:jc w:val="both"/>
        <w:rPr>
          <w:rFonts w:ascii="David" w:hAnsi="David" w:cs="David"/>
        </w:rPr>
      </w:pPr>
      <w:r w:rsidRPr="0047237E">
        <w:rPr>
          <w:rFonts w:ascii="David" w:hAnsi="David" w:cs="David"/>
        </w:rPr>
        <w:t>In a later book</w:t>
      </w:r>
      <w:r w:rsidR="00F43907">
        <w:rPr>
          <w:rFonts w:ascii="David" w:hAnsi="David" w:cs="David"/>
        </w:rPr>
        <w:t>,</w:t>
      </w:r>
      <w:r w:rsidRPr="0047237E">
        <w:rPr>
          <w:rStyle w:val="FootnoteReference"/>
          <w:rFonts w:ascii="David" w:hAnsi="David" w:cs="David"/>
        </w:rPr>
        <w:footnoteReference w:id="82"/>
      </w:r>
      <w:r w:rsidRPr="0047237E">
        <w:rPr>
          <w:rFonts w:ascii="David" w:hAnsi="David" w:cs="David"/>
        </w:rPr>
        <w:t xml:space="preserve"> she take</w:t>
      </w:r>
      <w:r w:rsidR="0081789D" w:rsidRPr="0047237E">
        <w:rPr>
          <w:rFonts w:ascii="David" w:hAnsi="David" w:cs="David"/>
        </w:rPr>
        <w:t>s</w:t>
      </w:r>
      <w:r w:rsidRPr="0047237E">
        <w:rPr>
          <w:rFonts w:ascii="David" w:hAnsi="David" w:cs="David"/>
        </w:rPr>
        <w:t xml:space="preserve"> a more behavioral and experimental approach and att</w:t>
      </w:r>
      <w:r w:rsidR="00F41B4A">
        <w:rPr>
          <w:rFonts w:ascii="David" w:hAnsi="David" w:cs="David"/>
        </w:rPr>
        <w:t>empte</w:t>
      </w:r>
      <w:r w:rsidRPr="0047237E">
        <w:rPr>
          <w:rFonts w:ascii="David" w:hAnsi="David" w:cs="David"/>
        </w:rPr>
        <w:t xml:space="preserve">d to examine how is it possible to change the expectation of people </w:t>
      </w:r>
      <w:proofErr w:type="gramStart"/>
      <w:r w:rsidRPr="0047237E">
        <w:rPr>
          <w:rFonts w:ascii="David" w:hAnsi="David" w:cs="David"/>
        </w:rPr>
        <w:t>with regard to</w:t>
      </w:r>
      <w:proofErr w:type="gramEnd"/>
      <w:r w:rsidRPr="0047237E">
        <w:rPr>
          <w:rFonts w:ascii="David" w:hAnsi="David" w:cs="David"/>
        </w:rPr>
        <w:t xml:space="preserve"> the behavior of others. In this book too, the expectation about the behavior of others plays the most important role in the likelihood of change.</w:t>
      </w:r>
    </w:p>
    <w:p w14:paraId="2D3B7AB5" w14:textId="5D28BCC7" w:rsidR="00F41B4A" w:rsidRDefault="00F41B4A" w:rsidP="00EF1E09">
      <w:pPr>
        <w:spacing w:line="360" w:lineRule="auto"/>
        <w:jc w:val="both"/>
        <w:rPr>
          <w:rFonts w:ascii="David" w:hAnsi="David" w:cs="David"/>
        </w:rPr>
      </w:pPr>
      <w:r>
        <w:rPr>
          <w:rFonts w:ascii="David" w:hAnsi="David" w:cs="David"/>
        </w:rPr>
        <w:t>What’s important in her work is the notion of conditional preferences which breaks the intrinsic extrinsic divide much of this book is built upon</w:t>
      </w:r>
      <w:r>
        <w:rPr>
          <w:rStyle w:val="FootnoteReference"/>
          <w:rFonts w:ascii="David" w:hAnsi="David" w:cs="David"/>
        </w:rPr>
        <w:footnoteReference w:id="83"/>
      </w:r>
      <w:r>
        <w:rPr>
          <w:rFonts w:ascii="David" w:hAnsi="David" w:cs="David"/>
        </w:rPr>
        <w:t xml:space="preserve">. In her work, people want to behave in a certain </w:t>
      </w:r>
      <w:r>
        <w:rPr>
          <w:rFonts w:ascii="David" w:hAnsi="David" w:cs="David"/>
        </w:rPr>
        <w:lastRenderedPageBreak/>
        <w:t>way, based on the assumption that others will do the same</w:t>
      </w:r>
      <w:r w:rsidR="00176F50">
        <w:rPr>
          <w:rFonts w:ascii="David" w:hAnsi="David" w:cs="David"/>
        </w:rPr>
        <w:t xml:space="preserve">, making the notion of people who want something as an intrinsic motivation a dynamic </w:t>
      </w:r>
      <w:r w:rsidR="00E54FB1">
        <w:rPr>
          <w:rFonts w:ascii="David" w:hAnsi="David" w:cs="David"/>
        </w:rPr>
        <w:t xml:space="preserve">concept. </w:t>
      </w:r>
    </w:p>
    <w:p w14:paraId="16106ECD" w14:textId="59C37830" w:rsidR="00432C21" w:rsidRPr="0047237E" w:rsidRDefault="00432C21" w:rsidP="00EF1E09">
      <w:pPr>
        <w:pStyle w:val="Heading2"/>
        <w:spacing w:line="360" w:lineRule="auto"/>
        <w:jc w:val="both"/>
      </w:pPr>
      <w:bookmarkStart w:id="20" w:name="_Toc163650203"/>
      <w:r>
        <w:t>Social norms as a behavioral intervention</w:t>
      </w:r>
      <w:bookmarkEnd w:id="20"/>
    </w:p>
    <w:p w14:paraId="6A5854F1" w14:textId="33454EDE" w:rsidR="009D6CAE" w:rsidRDefault="009D6CAE" w:rsidP="00EF1E09">
      <w:pPr>
        <w:spacing w:line="360" w:lineRule="auto"/>
        <w:jc w:val="both"/>
        <w:rPr>
          <w:rFonts w:ascii="David" w:hAnsi="David" w:cs="David"/>
        </w:rPr>
      </w:pPr>
      <w:r w:rsidRPr="0047237E">
        <w:rPr>
          <w:rFonts w:ascii="David" w:hAnsi="David" w:cs="David"/>
        </w:rPr>
        <w:t>The attempt to use social norms to enhance compliance has been studied by many. For example, Shachar Eyal and his co-authors</w:t>
      </w:r>
      <w:r w:rsidR="00F43907">
        <w:rPr>
          <w:rFonts w:ascii="David" w:hAnsi="David" w:cs="David"/>
        </w:rPr>
        <w:t>,</w:t>
      </w:r>
      <w:r w:rsidR="00E30B1B">
        <w:rPr>
          <w:rStyle w:val="FootnoteReference"/>
          <w:rFonts w:ascii="David" w:hAnsi="David" w:cs="David"/>
        </w:rPr>
        <w:footnoteReference w:id="84"/>
      </w:r>
      <w:r w:rsidR="00E30B1B">
        <w:t xml:space="preserve"> </w:t>
      </w:r>
      <w:r w:rsidRPr="0047237E">
        <w:rPr>
          <w:rFonts w:ascii="David" w:hAnsi="David" w:cs="David"/>
        </w:rPr>
        <w:t>have engaged in a field experimentation on cues to enhance social norms of paying on public transportations.</w:t>
      </w:r>
      <w:r w:rsidR="00432C21">
        <w:rPr>
          <w:rFonts w:ascii="David" w:hAnsi="David" w:cs="David"/>
        </w:rPr>
        <w:t xml:space="preserve"> </w:t>
      </w:r>
      <w:r w:rsidRPr="0047237E">
        <w:rPr>
          <w:rFonts w:ascii="David" w:hAnsi="David" w:cs="David"/>
        </w:rPr>
        <w:t>The impact of watching eyes cues and descriptive social norm messages on fare evasion was studied in two</w:t>
      </w:r>
      <w:r w:rsidR="00C507AE" w:rsidRPr="0047237E">
        <w:rPr>
          <w:rFonts w:ascii="David" w:hAnsi="David" w:cs="David"/>
        </w:rPr>
        <w:t xml:space="preserve"> </w:t>
      </w:r>
      <w:r w:rsidRPr="0047237E">
        <w:rPr>
          <w:rFonts w:ascii="David" w:hAnsi="David" w:cs="David"/>
        </w:rPr>
        <w:t>experiments that were conducted in two railway stations in France. The results from both studies suggest that although watching eye cues alone are not</w:t>
      </w:r>
      <w:r w:rsidR="00C507AE" w:rsidRPr="0047237E">
        <w:rPr>
          <w:rFonts w:ascii="David" w:hAnsi="David" w:cs="David"/>
        </w:rPr>
        <w:t xml:space="preserve"> </w:t>
      </w:r>
      <w:r w:rsidRPr="0047237E">
        <w:rPr>
          <w:rFonts w:ascii="David" w:hAnsi="David" w:cs="David"/>
        </w:rPr>
        <w:t>effective in a crowded train station, exposing passengers to watching eye cues together with a descriptive social</w:t>
      </w:r>
      <w:r w:rsidR="00C507AE" w:rsidRPr="0047237E">
        <w:rPr>
          <w:rFonts w:ascii="David" w:hAnsi="David" w:cs="David"/>
        </w:rPr>
        <w:t xml:space="preserve"> </w:t>
      </w:r>
      <w:r w:rsidRPr="0047237E">
        <w:rPr>
          <w:rFonts w:ascii="David" w:hAnsi="David" w:cs="David"/>
        </w:rPr>
        <w:t>norm messaging campaign reduced the fare evasion rates observed by standard inspection operations, and</w:t>
      </w:r>
      <w:r w:rsidR="00C507AE" w:rsidRPr="0047237E">
        <w:rPr>
          <w:rFonts w:ascii="David" w:hAnsi="David" w:cs="David"/>
        </w:rPr>
        <w:t xml:space="preserve"> </w:t>
      </w:r>
      <w:r w:rsidRPr="0047237E">
        <w:rPr>
          <w:rFonts w:ascii="David" w:hAnsi="David" w:cs="David"/>
        </w:rPr>
        <w:t>eliminated lying behavior measured by the die-under-cup paradigm</w:t>
      </w:r>
      <w:r w:rsidR="008317A0">
        <w:rPr>
          <w:rFonts w:ascii="David" w:hAnsi="David" w:cs="David"/>
        </w:rPr>
        <w:t>.</w:t>
      </w:r>
      <w:r w:rsidR="00E348D6">
        <w:rPr>
          <w:rStyle w:val="FootnoteReference"/>
          <w:rFonts w:ascii="David" w:hAnsi="David" w:cs="David"/>
        </w:rPr>
        <w:footnoteReference w:id="85"/>
      </w:r>
      <w:r w:rsidRPr="0047237E">
        <w:rPr>
          <w:rFonts w:ascii="David" w:hAnsi="David" w:cs="David"/>
        </w:rPr>
        <w:t xml:space="preserve"> </w:t>
      </w:r>
    </w:p>
    <w:p w14:paraId="7AAA1064" w14:textId="41A64E5F" w:rsidR="00C860E9" w:rsidRPr="00C860E9" w:rsidRDefault="00E54FB1" w:rsidP="00EF1E09">
      <w:pPr>
        <w:pStyle w:val="Heading3"/>
        <w:bidi w:val="0"/>
        <w:spacing w:line="360" w:lineRule="auto"/>
        <w:jc w:val="both"/>
      </w:pPr>
      <w:bookmarkStart w:id="21" w:name="_Toc163650204"/>
      <w:r>
        <w:t xml:space="preserve">Competing </w:t>
      </w:r>
      <w:r w:rsidR="00C1150F">
        <w:t>Intrinsic accounts of social motivation</w:t>
      </w:r>
      <w:bookmarkEnd w:id="21"/>
      <w:r w:rsidR="002C2983">
        <w:t xml:space="preserve"> </w:t>
      </w:r>
    </w:p>
    <w:p w14:paraId="063B7879" w14:textId="0382D1D8" w:rsidR="00FA49EE" w:rsidRPr="0047237E" w:rsidRDefault="006B0B8A" w:rsidP="00EF1E09">
      <w:pPr>
        <w:spacing w:line="360" w:lineRule="auto"/>
        <w:jc w:val="both"/>
        <w:rPr>
          <w:rFonts w:ascii="David" w:hAnsi="David" w:cs="David"/>
        </w:rPr>
      </w:pPr>
      <w:r w:rsidRPr="0047237E">
        <w:rPr>
          <w:rFonts w:ascii="David" w:hAnsi="David" w:cs="David"/>
        </w:rPr>
        <w:t xml:space="preserve">A more intrinsic view of social norms, in a way which is distinctive from the type of research that </w:t>
      </w:r>
      <w:r w:rsidR="00F83F2E" w:rsidRPr="0047237E">
        <w:rPr>
          <w:rFonts w:ascii="David" w:hAnsi="David" w:cs="David"/>
        </w:rPr>
        <w:t>mentioned as associated with the line of the research by Cooter and other law and economics scholars, is related to group identity, where behaving as others is not related to the information or to costs</w:t>
      </w:r>
      <w:r w:rsidR="00F43907">
        <w:rPr>
          <w:rFonts w:ascii="David" w:hAnsi="David" w:cs="David"/>
        </w:rPr>
        <w:t>.</w:t>
      </w:r>
      <w:r w:rsidR="009B305D">
        <w:rPr>
          <w:rStyle w:val="FootnoteReference"/>
          <w:rFonts w:ascii="David" w:hAnsi="David" w:cs="David"/>
        </w:rPr>
        <w:footnoteReference w:id="86"/>
      </w:r>
      <w:r w:rsidR="00F83F2E" w:rsidRPr="0047237E">
        <w:rPr>
          <w:rFonts w:ascii="David" w:hAnsi="David" w:cs="David"/>
        </w:rPr>
        <w:t xml:space="preserve"> </w:t>
      </w:r>
      <w:r w:rsidR="00FA49EE" w:rsidRPr="0047237E">
        <w:rPr>
          <w:rFonts w:ascii="David" w:hAnsi="David" w:cs="David"/>
        </w:rPr>
        <w:t>The importance of group identity and the individual's need to belong is beyond debate in psychology</w:t>
      </w:r>
      <w:r w:rsidR="00F43907">
        <w:rPr>
          <w:rFonts w:ascii="David" w:hAnsi="David" w:cs="David"/>
        </w:rPr>
        <w:t>.</w:t>
      </w:r>
      <w:r w:rsidR="009B305D">
        <w:rPr>
          <w:rStyle w:val="FootnoteReference"/>
          <w:rFonts w:ascii="David" w:hAnsi="David" w:cs="David"/>
        </w:rPr>
        <w:footnoteReference w:id="87"/>
      </w:r>
      <w:r w:rsidR="00FA49EE" w:rsidRPr="0047237E">
        <w:rPr>
          <w:rFonts w:ascii="David" w:hAnsi="David" w:cs="David"/>
        </w:rPr>
        <w:t xml:space="preserve">  Group identity motivation is widely recognized in the social dilemma context as a way to countervail the self-interest of the individual</w:t>
      </w:r>
      <w:r w:rsidR="00F43907">
        <w:rPr>
          <w:rFonts w:ascii="David" w:hAnsi="David" w:cs="David"/>
        </w:rPr>
        <w:t>.</w:t>
      </w:r>
      <w:r w:rsidR="009B305D">
        <w:rPr>
          <w:rStyle w:val="FootnoteReference"/>
          <w:rFonts w:ascii="David" w:hAnsi="David" w:cs="David"/>
        </w:rPr>
        <w:footnoteReference w:id="88"/>
      </w:r>
      <w:r w:rsidR="00FA49EE" w:rsidRPr="0047237E">
        <w:rPr>
          <w:rFonts w:ascii="David" w:hAnsi="David" w:cs="David"/>
        </w:rPr>
        <w:t xml:space="preserve">  In the context of public goods, Tyran and Feld have demonstrated through experiments that people are conditional cooperators and want to engage in legal compliance when they have a reason to believe that others would do the same</w:t>
      </w:r>
      <w:r w:rsidR="00F43907">
        <w:rPr>
          <w:rFonts w:ascii="David" w:hAnsi="David" w:cs="David"/>
        </w:rPr>
        <w:t>.</w:t>
      </w:r>
      <w:r w:rsidR="009B305D">
        <w:rPr>
          <w:rStyle w:val="FootnoteReference"/>
          <w:rFonts w:ascii="David" w:hAnsi="David" w:cs="David"/>
        </w:rPr>
        <w:footnoteReference w:id="89"/>
      </w:r>
      <w:r w:rsidR="00FA49EE" w:rsidRPr="0047237E">
        <w:rPr>
          <w:rFonts w:ascii="David" w:hAnsi="David" w:cs="David"/>
        </w:rPr>
        <w:t xml:space="preserve"> Similarly, Kahan has suggested a somewhat different non-identity view as to why people would care about what others are doing.  According to his approach, the individual needs to believe that other members of society share his or her commitment to the law </w:t>
      </w:r>
      <w:proofErr w:type="gramStart"/>
      <w:r w:rsidR="00FA49EE" w:rsidRPr="0047237E">
        <w:rPr>
          <w:rFonts w:ascii="David" w:hAnsi="David" w:cs="David"/>
        </w:rPr>
        <w:t>in order to</w:t>
      </w:r>
      <w:proofErr w:type="gramEnd"/>
      <w:r w:rsidR="00FA49EE" w:rsidRPr="0047237E">
        <w:rPr>
          <w:rFonts w:ascii="David" w:hAnsi="David" w:cs="David"/>
        </w:rPr>
        <w:t xml:space="preserve"> maintain his or her own commitment to society and to its rules</w:t>
      </w:r>
      <w:r w:rsidR="00F43907">
        <w:rPr>
          <w:rFonts w:ascii="David" w:hAnsi="David" w:cs="David"/>
        </w:rPr>
        <w:t>.</w:t>
      </w:r>
      <w:r w:rsidR="009B305D">
        <w:rPr>
          <w:rStyle w:val="FootnoteReference"/>
          <w:rFonts w:ascii="David" w:hAnsi="David" w:cs="David"/>
        </w:rPr>
        <w:footnoteReference w:id="90"/>
      </w:r>
      <w:r w:rsidR="00FA49EE" w:rsidRPr="0047237E">
        <w:rPr>
          <w:rFonts w:ascii="David" w:hAnsi="David" w:cs="David"/>
        </w:rPr>
        <w:t xml:space="preserve">  According to this approach, the focus is neither on reputation nor on identity but rather of the fear to be the only "sucker" who obeys the law</w:t>
      </w:r>
      <w:r w:rsidR="009B305D">
        <w:rPr>
          <w:rFonts w:ascii="David" w:hAnsi="David" w:cs="David"/>
        </w:rPr>
        <w:t>.</w:t>
      </w:r>
    </w:p>
    <w:p w14:paraId="5FF28D91" w14:textId="3C132BA0" w:rsidR="00FA49EE" w:rsidRPr="0047237E" w:rsidRDefault="00FA49EE" w:rsidP="00EF1E09">
      <w:pPr>
        <w:spacing w:line="360" w:lineRule="auto"/>
        <w:jc w:val="both"/>
        <w:rPr>
          <w:rFonts w:ascii="David" w:hAnsi="David" w:cs="David"/>
        </w:rPr>
      </w:pPr>
      <w:r w:rsidRPr="0047237E">
        <w:rPr>
          <w:rFonts w:ascii="David" w:hAnsi="David" w:cs="David"/>
        </w:rPr>
        <w:t xml:space="preserve">  </w:t>
      </w:r>
    </w:p>
    <w:p w14:paraId="772DEF74" w14:textId="4CB90DDB" w:rsidR="00FA49EE" w:rsidRPr="0047237E" w:rsidRDefault="00737BEA" w:rsidP="00EF1E09">
      <w:pPr>
        <w:spacing w:line="360" w:lineRule="auto"/>
        <w:jc w:val="both"/>
        <w:rPr>
          <w:rFonts w:ascii="David" w:hAnsi="David" w:cs="David"/>
        </w:rPr>
      </w:pPr>
      <w:r w:rsidRPr="0047237E">
        <w:rPr>
          <w:rFonts w:ascii="David" w:hAnsi="David" w:cs="David"/>
          <w:color w:val="5B9BD5" w:themeColor="accent5"/>
        </w:rPr>
        <w:lastRenderedPageBreak/>
        <w:t xml:space="preserve">Justice based </w:t>
      </w:r>
      <w:proofErr w:type="gramStart"/>
      <w:r w:rsidRPr="0047237E">
        <w:rPr>
          <w:rFonts w:ascii="David" w:hAnsi="David" w:cs="David"/>
          <w:color w:val="5B9BD5" w:themeColor="accent5"/>
        </w:rPr>
        <w:t>motivation</w:t>
      </w:r>
      <w:proofErr w:type="gramEnd"/>
    </w:p>
    <w:p w14:paraId="3848380B" w14:textId="07625CEE" w:rsidR="00FA49EE" w:rsidRPr="0047237E" w:rsidRDefault="00BF191A" w:rsidP="00EF1E09">
      <w:pPr>
        <w:spacing w:line="360" w:lineRule="auto"/>
        <w:jc w:val="both"/>
        <w:rPr>
          <w:rFonts w:ascii="David" w:hAnsi="David" w:cs="David"/>
        </w:rPr>
      </w:pPr>
      <w:r w:rsidRPr="0047237E">
        <w:rPr>
          <w:rFonts w:ascii="David" w:hAnsi="David" w:cs="David"/>
        </w:rPr>
        <w:t xml:space="preserve">In addition to social motivation, another type of motivation which is mostly </w:t>
      </w:r>
      <w:proofErr w:type="gramStart"/>
      <w:r w:rsidRPr="0047237E">
        <w:rPr>
          <w:rFonts w:ascii="David" w:hAnsi="David" w:cs="David"/>
        </w:rPr>
        <w:t xml:space="preserve">a </w:t>
      </w:r>
      <w:r w:rsidR="00FA49EE" w:rsidRPr="0047237E">
        <w:rPr>
          <w:rFonts w:ascii="David" w:hAnsi="David" w:cs="David"/>
        </w:rPr>
        <w:t>assumes</w:t>
      </w:r>
      <w:proofErr w:type="gramEnd"/>
      <w:r w:rsidR="00FA49EE" w:rsidRPr="0047237E">
        <w:rPr>
          <w:rFonts w:ascii="David" w:hAnsi="David" w:cs="David"/>
        </w:rPr>
        <w:t xml:space="preserve"> that an individual is mainly motivated by morality and fairness.  Given the assumed care for morality by the individual, the legal policy maker should design the law in a way in which would emphasize its moral virtue, (i.e. potential harm to others that would be prevented by compliance)</w:t>
      </w:r>
      <w:r w:rsidR="002E516F">
        <w:rPr>
          <w:rFonts w:ascii="David" w:hAnsi="David" w:cs="David"/>
        </w:rPr>
        <w:t>.</w:t>
      </w:r>
      <w:r w:rsidR="009B305D">
        <w:rPr>
          <w:rStyle w:val="FootnoteReference"/>
          <w:rFonts w:ascii="David" w:hAnsi="David" w:cs="David"/>
        </w:rPr>
        <w:footnoteReference w:id="91"/>
      </w:r>
      <w:r w:rsidR="00FA49EE" w:rsidRPr="0047237E">
        <w:rPr>
          <w:rFonts w:ascii="David" w:hAnsi="David" w:cs="David"/>
        </w:rPr>
        <w:t xml:space="preserve"> </w:t>
      </w:r>
    </w:p>
    <w:p w14:paraId="53F84CAF" w14:textId="19AD17F1" w:rsidR="000535E6" w:rsidRPr="0047237E" w:rsidRDefault="000535E6" w:rsidP="00EF1E09">
      <w:pPr>
        <w:spacing w:line="360" w:lineRule="auto"/>
        <w:jc w:val="both"/>
        <w:rPr>
          <w:rFonts w:ascii="David" w:hAnsi="David" w:cs="David"/>
          <w:color w:val="5B9BD5" w:themeColor="accent5"/>
        </w:rPr>
      </w:pPr>
      <w:r w:rsidRPr="0047237E">
        <w:rPr>
          <w:rFonts w:ascii="David" w:hAnsi="David" w:cs="David"/>
          <w:color w:val="5B9BD5" w:themeColor="accent5"/>
        </w:rPr>
        <w:t>Distributive justice</w:t>
      </w:r>
    </w:p>
    <w:p w14:paraId="51E4FE70" w14:textId="60373AB2" w:rsidR="00F230AE" w:rsidRDefault="00F43907" w:rsidP="00EF1E09">
      <w:pPr>
        <w:spacing w:line="360" w:lineRule="auto"/>
        <w:jc w:val="both"/>
        <w:rPr>
          <w:rFonts w:ascii="David" w:hAnsi="David" w:cs="David"/>
        </w:rPr>
      </w:pPr>
      <w:r w:rsidRPr="0047237E">
        <w:rPr>
          <w:rFonts w:ascii="David" w:hAnsi="David" w:cs="David"/>
        </w:rPr>
        <w:t>Justice motivation</w:t>
      </w:r>
      <w:r w:rsidR="002A5C6D" w:rsidRPr="0047237E">
        <w:rPr>
          <w:rFonts w:ascii="David" w:hAnsi="David" w:cs="David"/>
        </w:rPr>
        <w:t xml:space="preserve"> is of course one of the most fundamental intrinsic compliance </w:t>
      </w:r>
      <w:proofErr w:type="gramStart"/>
      <w:r w:rsidR="002A5C6D" w:rsidRPr="0047237E">
        <w:rPr>
          <w:rFonts w:ascii="David" w:hAnsi="David" w:cs="David"/>
        </w:rPr>
        <w:t>motivation</w:t>
      </w:r>
      <w:proofErr w:type="gramEnd"/>
      <w:r w:rsidR="00603937">
        <w:rPr>
          <w:rFonts w:ascii="David" w:hAnsi="David" w:cs="David"/>
        </w:rPr>
        <w:t>.</w:t>
      </w:r>
      <w:r w:rsidR="009B305D">
        <w:rPr>
          <w:rStyle w:val="FootnoteReference"/>
          <w:rFonts w:ascii="David" w:hAnsi="David" w:cs="David"/>
        </w:rPr>
        <w:footnoteReference w:id="92"/>
      </w:r>
      <w:r w:rsidR="002A5C6D" w:rsidRPr="0047237E">
        <w:rPr>
          <w:rFonts w:ascii="David" w:hAnsi="David" w:cs="David"/>
        </w:rPr>
        <w:t xml:space="preserve"> </w:t>
      </w:r>
      <w:r w:rsidR="0069227C" w:rsidRPr="0047237E">
        <w:rPr>
          <w:rFonts w:ascii="David" w:hAnsi="David" w:cs="David"/>
        </w:rPr>
        <w:t xml:space="preserve">Within the concept of fairness, there are a number of sub-concepts which received much attention in the literature.  One of the </w:t>
      </w:r>
      <w:r w:rsidRPr="0047237E">
        <w:rPr>
          <w:rFonts w:ascii="David" w:hAnsi="David" w:cs="David"/>
        </w:rPr>
        <w:t>well-known</w:t>
      </w:r>
      <w:r w:rsidR="0069227C" w:rsidRPr="0047237E">
        <w:rPr>
          <w:rFonts w:ascii="David" w:hAnsi="David" w:cs="David"/>
        </w:rPr>
        <w:t xml:space="preserve"> distinctions in this context is between procedural and distributive justice.  </w:t>
      </w:r>
      <w:r w:rsidR="00FA49EE" w:rsidRPr="0047237E">
        <w:rPr>
          <w:rFonts w:ascii="David" w:hAnsi="David" w:cs="David"/>
        </w:rPr>
        <w:t>Distributive justice focus on the substance of the law -- that people will comply more when they think the individual gets from the law what he or she is entitled to or that an individual gets the punishment that he or she deserves</w:t>
      </w:r>
      <w:r>
        <w:rPr>
          <w:rFonts w:ascii="David" w:hAnsi="David" w:cs="David"/>
        </w:rPr>
        <w:t>.</w:t>
      </w:r>
      <w:r w:rsidR="00603937">
        <w:rPr>
          <w:rStyle w:val="FootnoteReference"/>
          <w:rFonts w:ascii="David" w:hAnsi="David" w:cs="David"/>
        </w:rPr>
        <w:footnoteReference w:id="93"/>
      </w:r>
      <w:r w:rsidR="0069227C">
        <w:rPr>
          <w:rFonts w:ascii="David" w:hAnsi="David" w:cs="David"/>
        </w:rPr>
        <w:t xml:space="preserve"> Interestingly while being a highly studied concept in law, philosophy and related topics, it  has not been too central to the study of compliance, maybe because in many compliance decisions, there is no </w:t>
      </w:r>
      <w:r w:rsidR="004202D7">
        <w:rPr>
          <w:rFonts w:ascii="David" w:hAnsi="David" w:cs="David"/>
        </w:rPr>
        <w:t xml:space="preserve">real distributive justice issues. However, in many contexts such as </w:t>
      </w:r>
      <w:proofErr w:type="gramStart"/>
      <w:r w:rsidR="004202D7">
        <w:rPr>
          <w:rFonts w:ascii="David" w:hAnsi="David" w:cs="David"/>
        </w:rPr>
        <w:t>the taxes</w:t>
      </w:r>
      <w:proofErr w:type="gramEnd"/>
      <w:r w:rsidR="004202D7">
        <w:rPr>
          <w:rFonts w:ascii="David" w:hAnsi="David" w:cs="David"/>
        </w:rPr>
        <w:t xml:space="preserve">, torts and </w:t>
      </w:r>
      <w:r w:rsidR="007A44CA">
        <w:rPr>
          <w:rFonts w:ascii="David" w:hAnsi="David" w:cs="David"/>
        </w:rPr>
        <w:t>contracts</w:t>
      </w:r>
      <w:r w:rsidR="004202D7">
        <w:rPr>
          <w:rFonts w:ascii="David" w:hAnsi="David" w:cs="David"/>
        </w:rPr>
        <w:t xml:space="preserve">, there </w:t>
      </w:r>
      <w:proofErr w:type="gramStart"/>
      <w:r w:rsidR="004202D7">
        <w:rPr>
          <w:rFonts w:ascii="David" w:hAnsi="David" w:cs="David"/>
        </w:rPr>
        <w:t>is definitely, distributive</w:t>
      </w:r>
      <w:proofErr w:type="gramEnd"/>
      <w:r w:rsidR="004202D7">
        <w:rPr>
          <w:rFonts w:ascii="David" w:hAnsi="David" w:cs="David"/>
        </w:rPr>
        <w:t xml:space="preserve"> justice issues. Furthermore, </w:t>
      </w:r>
      <w:r w:rsidR="00FA49EE" w:rsidRPr="0047237E">
        <w:rPr>
          <w:rFonts w:ascii="David" w:hAnsi="David" w:cs="David"/>
        </w:rPr>
        <w:t>there is a marked similarity between the effect of morality</w:t>
      </w:r>
      <w:r w:rsidR="00F230AE">
        <w:rPr>
          <w:rFonts w:ascii="David" w:hAnsi="David" w:cs="David"/>
        </w:rPr>
        <w:t>, which is indeed widely studied,</w:t>
      </w:r>
      <w:r w:rsidR="00FA49EE" w:rsidRPr="0047237E">
        <w:rPr>
          <w:rFonts w:ascii="David" w:hAnsi="David" w:cs="David"/>
        </w:rPr>
        <w:t xml:space="preserve"> and distributive justice on one’s motivation to comply.</w:t>
      </w:r>
    </w:p>
    <w:p w14:paraId="5901E647" w14:textId="77777777" w:rsidR="00F230AE" w:rsidRDefault="00F230AE" w:rsidP="00EF1E09">
      <w:pPr>
        <w:pStyle w:val="Heading2"/>
        <w:spacing w:line="360" w:lineRule="auto"/>
        <w:jc w:val="both"/>
      </w:pPr>
      <w:bookmarkStart w:id="22" w:name="_Toc163650205"/>
      <w:r>
        <w:t>Morality as intrinsic motivation?</w:t>
      </w:r>
      <w:bookmarkEnd w:id="22"/>
    </w:p>
    <w:p w14:paraId="38EC1898" w14:textId="77777777" w:rsidR="00F230AE" w:rsidRDefault="00F230AE" w:rsidP="00EF1E09">
      <w:pPr>
        <w:spacing w:line="360" w:lineRule="auto"/>
        <w:jc w:val="both"/>
        <w:rPr>
          <w:rtl/>
        </w:rPr>
      </w:pPr>
      <w:r w:rsidRPr="00451269">
        <w:t>Another limitation of the current research on intrinsic motivation, is related to the question of how the type of motivation interact with the likelihood that it will be internalized. For example, the connection between morality and intrinsic motivation is obviously subject to discussion. In many ways morality is seen as a type of motivation which comes from the individual herself without the need, once the moral norm is in place, to look for external motivation. It is also seen as a better type of compliance and a more sustainable one. For example, a study on 30 European countries found that perceived tax evasion highly negatively correlates with tax morale</w:t>
      </w:r>
      <w:r w:rsidRPr="00EF1E09">
        <w:rPr>
          <w:rStyle w:val="FootnoteReference"/>
          <w:rFonts w:ascii="David" w:hAnsi="David" w:cs="David"/>
        </w:rPr>
        <w:t>.</w:t>
      </w:r>
      <w:r w:rsidRPr="00EF1E09">
        <w:rPr>
          <w:rStyle w:val="FootnoteReference"/>
          <w:rFonts w:ascii="David" w:hAnsi="David" w:cs="David"/>
        </w:rPr>
        <w:footnoteReference w:id="94"/>
      </w:r>
      <w:r w:rsidRPr="00EF1E09">
        <w:rPr>
          <w:rStyle w:val="FootnoteReference"/>
          <w:rFonts w:ascii="David" w:hAnsi="David" w:cs="David"/>
        </w:rPr>
        <w:t xml:space="preserve"> </w:t>
      </w:r>
      <w:r w:rsidRPr="002E516F">
        <w:t>In</w:t>
      </w:r>
      <w:r w:rsidRPr="00451269">
        <w:t xml:space="preserve"> a field experimental study conducted online on a large sample moral framing was also found to be the most effective as it comes to perform an undesirable </w:t>
      </w:r>
      <w:r w:rsidRPr="00451269">
        <w:lastRenderedPageBreak/>
        <w:t>task following previous commitment, while the legal frame was found the least effective.</w:t>
      </w:r>
      <w:r w:rsidRPr="00EF1E09">
        <w:rPr>
          <w:rStyle w:val="FootnoteReference"/>
          <w:rFonts w:ascii="David" w:hAnsi="David" w:cs="David"/>
        </w:rPr>
        <w:footnoteReference w:id="95"/>
      </w:r>
      <w:r w:rsidRPr="00451269">
        <w:t xml:space="preserve"> Lawrence Freedman's recent book has emphasized the importance of 3 factors in enhancing the effect of the law on behavior. some of the factors are extrinsic such as rewards and peer pressure but some are related to communicating with people, factors which are at the core of what is being seen as intrinsic motivations such as conscience, legitimacy, and morality.</w:t>
      </w:r>
      <w:r w:rsidRPr="00EF1E09">
        <w:rPr>
          <w:rStyle w:val="FootnoteReference"/>
          <w:rFonts w:ascii="David" w:hAnsi="David" w:cs="David"/>
        </w:rPr>
        <w:footnoteReference w:id="96"/>
      </w:r>
      <w:r w:rsidRPr="00EF1E09">
        <w:rPr>
          <w:rStyle w:val="FootnoteReference"/>
          <w:rFonts w:ascii="David" w:hAnsi="David" w:cs="David"/>
        </w:rPr>
        <w:t xml:space="preserve"> </w:t>
      </w:r>
      <w:r w:rsidRPr="00451269">
        <w:t xml:space="preserve">However, the main problem with looking at morality as intrinsic motivation is that it doesn’t necessarily relate to the actual behavior to which one needs to comply. For example, people might feel a moral responsibility to behave in a certain way, not because of anything related to the behavior itself but due to maintaining their self-image as compliant people, or due to not wanting to be free riders. In addition, morality is highly connected to guilt and people might want to comply not because of the action but because of the fear of feeling guilty for not complying. It is not clear whether under the classical account of intrinsic motivation, behaving to avoid feeling guilty could be seen as an internal or external to the self. </w:t>
      </w:r>
    </w:p>
    <w:p w14:paraId="75B864E8" w14:textId="33DD752D" w:rsidR="000535E6" w:rsidRPr="0047237E" w:rsidRDefault="00FA49EE" w:rsidP="00EF1E09">
      <w:pPr>
        <w:spacing w:line="360" w:lineRule="auto"/>
        <w:jc w:val="both"/>
        <w:rPr>
          <w:rFonts w:ascii="David" w:hAnsi="David" w:cs="David"/>
        </w:rPr>
      </w:pPr>
      <w:r w:rsidRPr="0047237E">
        <w:rPr>
          <w:rFonts w:ascii="David" w:hAnsi="David" w:cs="David"/>
        </w:rPr>
        <w:t xml:space="preserve">  </w:t>
      </w:r>
    </w:p>
    <w:p w14:paraId="3C7452A8" w14:textId="22CC9079" w:rsidR="000535E6" w:rsidRPr="0047237E" w:rsidRDefault="000535E6" w:rsidP="00EF1E09">
      <w:pPr>
        <w:spacing w:line="360" w:lineRule="auto"/>
        <w:jc w:val="both"/>
        <w:rPr>
          <w:rFonts w:ascii="David" w:hAnsi="David" w:cs="David"/>
          <w:color w:val="5B9BD5" w:themeColor="accent5"/>
          <w:rtl/>
        </w:rPr>
      </w:pPr>
      <w:r w:rsidRPr="0047237E">
        <w:rPr>
          <w:rFonts w:ascii="David" w:hAnsi="David" w:cs="David"/>
          <w:color w:val="5B9BD5" w:themeColor="accent5"/>
        </w:rPr>
        <w:t xml:space="preserve">Procedural justice </w:t>
      </w:r>
    </w:p>
    <w:p w14:paraId="37505E9C" w14:textId="7A01D958" w:rsidR="00CE727C" w:rsidRPr="0047237E" w:rsidRDefault="00FA49EE" w:rsidP="00EF1E09">
      <w:pPr>
        <w:spacing w:line="360" w:lineRule="auto"/>
        <w:jc w:val="both"/>
        <w:rPr>
          <w:rFonts w:ascii="David" w:hAnsi="David" w:cs="David"/>
        </w:rPr>
      </w:pPr>
      <w:r w:rsidRPr="0047237E">
        <w:rPr>
          <w:rFonts w:ascii="David" w:hAnsi="David" w:cs="David"/>
        </w:rPr>
        <w:t xml:space="preserve"> </w:t>
      </w:r>
      <w:r w:rsidR="0069227C" w:rsidRPr="0047237E">
        <w:rPr>
          <w:rFonts w:ascii="David" w:hAnsi="David" w:cs="David"/>
        </w:rPr>
        <w:t xml:space="preserve">In contrast, procedural justice focuses on how decisions are being made in terms of neutrality and voice, regardless of the content of the decision or the law. </w:t>
      </w:r>
      <w:r w:rsidRPr="0047237E">
        <w:rPr>
          <w:rFonts w:ascii="David" w:hAnsi="David" w:cs="David"/>
        </w:rPr>
        <w:t>Procedural justice is one of the most studied concepts with the psycho-legal scholarship.  Starting from the work of scholars such as Thibaut &amp; Walker</w:t>
      </w:r>
      <w:r w:rsidR="0071669C">
        <w:rPr>
          <w:rFonts w:ascii="David" w:hAnsi="David" w:cs="David"/>
        </w:rPr>
        <w:t>,</w:t>
      </w:r>
      <w:r w:rsidR="0071669C">
        <w:rPr>
          <w:rStyle w:val="FootnoteReference"/>
          <w:rFonts w:ascii="David" w:hAnsi="David" w:cs="David"/>
        </w:rPr>
        <w:footnoteReference w:id="97"/>
      </w:r>
      <w:r w:rsidRPr="0047237E">
        <w:rPr>
          <w:rFonts w:ascii="David" w:hAnsi="David" w:cs="David"/>
        </w:rPr>
        <w:t xml:space="preserve"> Lind &amp; Tyler</w:t>
      </w:r>
      <w:r w:rsidR="0071669C">
        <w:rPr>
          <w:rFonts w:ascii="David" w:hAnsi="David" w:cs="David"/>
        </w:rPr>
        <w:t>,</w:t>
      </w:r>
      <w:r w:rsidR="0071669C">
        <w:rPr>
          <w:rStyle w:val="FootnoteReference"/>
          <w:rFonts w:ascii="David" w:hAnsi="David" w:cs="David"/>
        </w:rPr>
        <w:footnoteReference w:id="98"/>
      </w:r>
      <w:r w:rsidRPr="0047237E">
        <w:rPr>
          <w:rFonts w:ascii="David" w:hAnsi="David" w:cs="David"/>
        </w:rPr>
        <w:t xml:space="preserve"> Leventhal et al</w:t>
      </w:r>
      <w:r w:rsidR="00FE73BD">
        <w:rPr>
          <w:rFonts w:ascii="David" w:hAnsi="David" w:cs="David"/>
        </w:rPr>
        <w:t>,</w:t>
      </w:r>
      <w:r w:rsidR="0071669C">
        <w:rPr>
          <w:rStyle w:val="FootnoteReference"/>
          <w:rFonts w:ascii="David" w:hAnsi="David" w:cs="David"/>
        </w:rPr>
        <w:footnoteReference w:id="99"/>
      </w:r>
      <w:r w:rsidRPr="0047237E">
        <w:rPr>
          <w:rFonts w:ascii="David" w:hAnsi="David" w:cs="David"/>
        </w:rPr>
        <w:t xml:space="preserve"> a list of requirements has been suggested that need to be satisfied for people to experience procedural justice; among them, consistency, accuracy, and representativeness.  Even without reference to its effect on legitimacy, the concept of procedural justice has both instrumental views as well as intrinsic ones.  One of the leading scholars who explored the contribution of procedural justice legal compliance is Tom Tyler</w:t>
      </w:r>
      <w:r w:rsidR="00900B00">
        <w:rPr>
          <w:rFonts w:ascii="David" w:hAnsi="David" w:cs="David"/>
        </w:rPr>
        <w:t>,</w:t>
      </w:r>
      <w:r w:rsidR="00FE73BD">
        <w:rPr>
          <w:rStyle w:val="FootnoteReference"/>
          <w:rFonts w:ascii="David" w:hAnsi="David" w:cs="David"/>
        </w:rPr>
        <w:footnoteReference w:id="100"/>
      </w:r>
      <w:r w:rsidRPr="0047237E">
        <w:rPr>
          <w:rFonts w:ascii="David" w:hAnsi="David" w:cs="David"/>
        </w:rPr>
        <w:t xml:space="preserve"> In his widely cited book, “Why People Obey the Law”, Tyler suggests that procedural fairness, the way people are treated by authorities, is the main motivation for legal compliance</w:t>
      </w:r>
      <w:r w:rsidR="00900B00">
        <w:rPr>
          <w:rFonts w:ascii="David" w:hAnsi="David" w:cs="David"/>
        </w:rPr>
        <w:t>,</w:t>
      </w:r>
      <w:r w:rsidR="00FE73BD">
        <w:rPr>
          <w:rStyle w:val="FootnoteReference"/>
          <w:rFonts w:ascii="David" w:hAnsi="David" w:cs="David"/>
        </w:rPr>
        <w:footnoteReference w:id="101"/>
      </w:r>
      <w:r w:rsidRPr="0047237E">
        <w:rPr>
          <w:rFonts w:ascii="David" w:hAnsi="David" w:cs="David"/>
        </w:rPr>
        <w:t xml:space="preserve"> The unique contribution of morality to legal compliance was </w:t>
      </w:r>
      <w:r w:rsidRPr="0047237E">
        <w:rPr>
          <w:rFonts w:ascii="David" w:hAnsi="David" w:cs="David"/>
        </w:rPr>
        <w:lastRenderedPageBreak/>
        <w:t>demonstrated in various legal contexts, even in areas which are usually viewed as economic ones, such as taxation</w:t>
      </w:r>
      <w:r w:rsidR="00C2358B">
        <w:rPr>
          <w:rFonts w:ascii="David" w:hAnsi="David" w:cs="David"/>
        </w:rPr>
        <w:t>.</w:t>
      </w:r>
      <w:r w:rsidR="004B7256">
        <w:rPr>
          <w:rStyle w:val="FootnoteReference"/>
          <w:rFonts w:ascii="David" w:hAnsi="David" w:cs="David"/>
        </w:rPr>
        <w:footnoteReference w:id="102"/>
      </w:r>
      <w:r w:rsidRPr="0047237E">
        <w:rPr>
          <w:rFonts w:ascii="David" w:hAnsi="David" w:cs="David"/>
        </w:rPr>
        <w:t xml:space="preserve"> </w:t>
      </w:r>
      <w:r w:rsidR="00CE727C" w:rsidRPr="0047237E">
        <w:rPr>
          <w:rFonts w:ascii="David" w:hAnsi="David" w:cs="David"/>
        </w:rPr>
        <w:t xml:space="preserve"> </w:t>
      </w:r>
    </w:p>
    <w:p w14:paraId="39425415" w14:textId="33FC07A5" w:rsidR="00CE727C" w:rsidRPr="0047237E" w:rsidRDefault="00CE727C" w:rsidP="00EF1E09">
      <w:pPr>
        <w:spacing w:line="360" w:lineRule="auto"/>
        <w:jc w:val="both"/>
        <w:rPr>
          <w:rFonts w:ascii="David" w:hAnsi="David" w:cs="David"/>
        </w:rPr>
      </w:pPr>
      <w:r w:rsidRPr="0047237E">
        <w:rPr>
          <w:rFonts w:ascii="David" w:hAnsi="David" w:cs="David"/>
        </w:rPr>
        <w:t xml:space="preserve">At the same time, the view of </w:t>
      </w:r>
      <w:r w:rsidR="00200AA1" w:rsidRPr="0047237E">
        <w:rPr>
          <w:rFonts w:ascii="David" w:hAnsi="David" w:cs="David"/>
        </w:rPr>
        <w:t>procedural</w:t>
      </w:r>
      <w:r w:rsidRPr="0047237E">
        <w:rPr>
          <w:rFonts w:ascii="David" w:hAnsi="David" w:cs="David"/>
        </w:rPr>
        <w:t xml:space="preserve"> justice as extrinsic to the decision to comply, could be related not just to the fact that it is associated with the system behind the law, rather than by the content of the law, but also with regards to the mechanism it employes. </w:t>
      </w:r>
    </w:p>
    <w:p w14:paraId="60DC1055" w14:textId="7E3E0C26" w:rsidR="000F34E5" w:rsidRPr="0047237E" w:rsidRDefault="000F34E5" w:rsidP="00EF1E09">
      <w:pPr>
        <w:spacing w:line="360" w:lineRule="auto"/>
        <w:jc w:val="both"/>
        <w:rPr>
          <w:rFonts w:ascii="David" w:hAnsi="David" w:cs="David"/>
        </w:rPr>
      </w:pPr>
      <w:r w:rsidRPr="0047237E">
        <w:rPr>
          <w:rFonts w:ascii="David" w:hAnsi="David" w:cs="David"/>
        </w:rPr>
        <w:t xml:space="preserve">One </w:t>
      </w:r>
      <w:r w:rsidR="00200AA1" w:rsidRPr="0047237E">
        <w:rPr>
          <w:rFonts w:ascii="David" w:hAnsi="David" w:cs="David"/>
        </w:rPr>
        <w:t>paradigm</w:t>
      </w:r>
      <w:r w:rsidRPr="0047237E">
        <w:rPr>
          <w:rFonts w:ascii="David" w:hAnsi="David" w:cs="David"/>
        </w:rPr>
        <w:t xml:space="preserve"> which could be seen as mostly supporting the instrumental view is the information </w:t>
      </w:r>
      <w:r w:rsidR="00200AA1" w:rsidRPr="0047237E">
        <w:rPr>
          <w:rFonts w:ascii="David" w:hAnsi="David" w:cs="David"/>
        </w:rPr>
        <w:t>heuristics</w:t>
      </w:r>
      <w:r w:rsidRPr="0047237E">
        <w:rPr>
          <w:rFonts w:ascii="David" w:hAnsi="David" w:cs="David"/>
        </w:rPr>
        <w:t xml:space="preserve"> approach</w:t>
      </w:r>
      <w:r w:rsidR="004B7256">
        <w:rPr>
          <w:rStyle w:val="FootnoteReference"/>
          <w:rFonts w:ascii="David" w:hAnsi="David" w:cs="David"/>
        </w:rPr>
        <w:footnoteReference w:id="103"/>
      </w:r>
      <w:r w:rsidR="004B7256">
        <w:rPr>
          <w:rFonts w:ascii="David" w:hAnsi="David" w:cs="David"/>
        </w:rPr>
        <w:t>,</w:t>
      </w:r>
      <w:r w:rsidRPr="0047237E">
        <w:rPr>
          <w:rFonts w:ascii="David" w:hAnsi="David" w:cs="David"/>
        </w:rPr>
        <w:t xml:space="preserve"> according to which procedural justice enhances compliance because it leads people to learn about the true content of the law. In other words, people don't really care about the fair </w:t>
      </w:r>
      <w:proofErr w:type="gramStart"/>
      <w:r w:rsidRPr="0047237E">
        <w:rPr>
          <w:rFonts w:ascii="David" w:hAnsi="David" w:cs="David"/>
        </w:rPr>
        <w:t>procedure</w:t>
      </w:r>
      <w:proofErr w:type="gramEnd"/>
      <w:r w:rsidRPr="0047237E">
        <w:rPr>
          <w:rFonts w:ascii="David" w:hAnsi="David" w:cs="David"/>
        </w:rPr>
        <w:t xml:space="preserve"> they just use it as a proxy or a signal to the fact that the law will be fair. In </w:t>
      </w:r>
      <w:proofErr w:type="gramStart"/>
      <w:r w:rsidRPr="0047237E">
        <w:rPr>
          <w:rFonts w:ascii="David" w:hAnsi="David" w:cs="David"/>
        </w:rPr>
        <w:t>general</w:t>
      </w:r>
      <w:proofErr w:type="gramEnd"/>
      <w:r w:rsidRPr="0047237E">
        <w:rPr>
          <w:rFonts w:ascii="David" w:hAnsi="David" w:cs="David"/>
        </w:rPr>
        <w:t xml:space="preserve"> this kind of perspective to </w:t>
      </w:r>
      <w:r w:rsidR="00694B3D">
        <w:rPr>
          <w:rFonts w:ascii="David" w:hAnsi="David" w:cs="David"/>
        </w:rPr>
        <w:t>procedural justice</w:t>
      </w:r>
      <w:r w:rsidR="006F3E32" w:rsidRPr="0047237E">
        <w:rPr>
          <w:rFonts w:ascii="David" w:hAnsi="David" w:cs="David"/>
        </w:rPr>
        <w:t xml:space="preserve">, while being seen as instrumental with regards </w:t>
      </w:r>
      <w:r w:rsidR="00694B3D">
        <w:rPr>
          <w:rFonts w:ascii="David" w:hAnsi="David" w:cs="David"/>
        </w:rPr>
        <w:t>to the outcome</w:t>
      </w:r>
      <w:proofErr w:type="gramStart"/>
      <w:r w:rsidR="006F3E32" w:rsidRPr="0047237E">
        <w:rPr>
          <w:rFonts w:ascii="David" w:hAnsi="David" w:cs="David"/>
        </w:rPr>
        <w:t>, it</w:t>
      </w:r>
      <w:proofErr w:type="gramEnd"/>
      <w:r w:rsidR="006F3E32" w:rsidRPr="0047237E">
        <w:rPr>
          <w:rFonts w:ascii="David" w:hAnsi="David" w:cs="David"/>
        </w:rPr>
        <w:t xml:space="preserve"> could be seen as intrinsic with regards to the </w:t>
      </w:r>
      <w:r w:rsidR="00694B3D">
        <w:rPr>
          <w:rFonts w:ascii="David" w:hAnsi="David" w:cs="David"/>
        </w:rPr>
        <w:t xml:space="preserve">Motivation to obey which is not </w:t>
      </w:r>
      <w:r w:rsidR="00F43907">
        <w:rPr>
          <w:rFonts w:ascii="David" w:hAnsi="David" w:cs="David"/>
        </w:rPr>
        <w:t>dependent</w:t>
      </w:r>
      <w:r w:rsidR="00694B3D">
        <w:rPr>
          <w:rFonts w:ascii="David" w:hAnsi="David" w:cs="David"/>
        </w:rPr>
        <w:t xml:space="preserve"> on monitoring or extrinsic measures. </w:t>
      </w:r>
    </w:p>
    <w:p w14:paraId="380D5132" w14:textId="2D64FECC" w:rsidR="006F3E32" w:rsidRPr="00EF1E09" w:rsidRDefault="006F3E32" w:rsidP="00EF1E09">
      <w:pPr>
        <w:spacing w:line="360" w:lineRule="auto"/>
        <w:jc w:val="both"/>
        <w:rPr>
          <w:rFonts w:ascii="David" w:hAnsi="David" w:cs="David"/>
          <w:color w:val="5B9BD5" w:themeColor="accent5"/>
        </w:rPr>
      </w:pPr>
      <w:r w:rsidRPr="0047237E">
        <w:rPr>
          <w:rFonts w:ascii="David" w:hAnsi="David" w:cs="David"/>
        </w:rPr>
        <w:t xml:space="preserve">The </w:t>
      </w:r>
      <w:proofErr w:type="gramStart"/>
      <w:r w:rsidRPr="0047237E">
        <w:rPr>
          <w:rFonts w:ascii="David" w:hAnsi="David" w:cs="David"/>
        </w:rPr>
        <w:t>group based</w:t>
      </w:r>
      <w:proofErr w:type="gramEnd"/>
      <w:r w:rsidRPr="0047237E">
        <w:rPr>
          <w:rFonts w:ascii="David" w:hAnsi="David" w:cs="David"/>
        </w:rPr>
        <w:t xml:space="preserve"> approach to procedural justice</w:t>
      </w:r>
      <w:r w:rsidR="004F5261">
        <w:rPr>
          <w:rFonts w:ascii="David" w:hAnsi="David" w:cs="David"/>
        </w:rPr>
        <w:t>,</w:t>
      </w:r>
      <w:r w:rsidR="004B7256">
        <w:rPr>
          <w:rStyle w:val="FootnoteReference"/>
          <w:rFonts w:ascii="David" w:hAnsi="David" w:cs="David"/>
        </w:rPr>
        <w:footnoteReference w:id="104"/>
      </w:r>
      <w:r w:rsidRPr="0047237E">
        <w:rPr>
          <w:rFonts w:ascii="David" w:hAnsi="David" w:cs="David"/>
        </w:rPr>
        <w:t xml:space="preserve"> which is not instrumental because of it focuses on the feeling to belong and to be treated with dignity as a valued member of the group either in the organizational level or in the state level, is actually making it look like extrinsic with regard to the law. </w:t>
      </w:r>
      <w:proofErr w:type="gramStart"/>
      <w:r w:rsidRPr="0047237E">
        <w:rPr>
          <w:rFonts w:ascii="David" w:hAnsi="David" w:cs="David"/>
        </w:rPr>
        <w:t>With regard to</w:t>
      </w:r>
      <w:proofErr w:type="gramEnd"/>
      <w:r w:rsidRPr="0047237E">
        <w:rPr>
          <w:rFonts w:ascii="David" w:hAnsi="David" w:cs="David"/>
        </w:rPr>
        <w:t xml:space="preserve"> the law, the meaning of </w:t>
      </w:r>
      <w:r w:rsidR="00200AA1" w:rsidRPr="00EF1E09">
        <w:rPr>
          <w:rFonts w:ascii="David" w:hAnsi="David" w:cs="David"/>
        </w:rPr>
        <w:t>Procedural justice</w:t>
      </w:r>
      <w:r w:rsidR="00200AA1">
        <w:rPr>
          <w:rFonts w:ascii="David" w:hAnsi="David" w:cs="David" w:hint="cs"/>
          <w:rtl/>
        </w:rPr>
        <w:t xml:space="preserve"> </w:t>
      </w:r>
      <w:r w:rsidRPr="0047237E">
        <w:rPr>
          <w:rFonts w:ascii="David" w:hAnsi="David" w:cs="David"/>
        </w:rPr>
        <w:t xml:space="preserve">is now extrinsic because the context of the law is not the issue. People </w:t>
      </w:r>
      <w:proofErr w:type="gramStart"/>
      <w:r w:rsidRPr="0047237E">
        <w:rPr>
          <w:rFonts w:ascii="David" w:hAnsi="David" w:cs="David"/>
        </w:rPr>
        <w:t>obey to</w:t>
      </w:r>
      <w:proofErr w:type="gramEnd"/>
      <w:r w:rsidRPr="0047237E">
        <w:rPr>
          <w:rFonts w:ascii="David" w:hAnsi="David" w:cs="David"/>
        </w:rPr>
        <w:t xml:space="preserve"> procedurally just law because they feel respected </w:t>
      </w:r>
      <w:r w:rsidR="004C00BC" w:rsidRPr="0047237E">
        <w:rPr>
          <w:rFonts w:ascii="David" w:hAnsi="David" w:cs="David"/>
        </w:rPr>
        <w:t>rather than</w:t>
      </w:r>
      <w:r w:rsidRPr="0047237E">
        <w:rPr>
          <w:rFonts w:ascii="David" w:hAnsi="David" w:cs="David"/>
        </w:rPr>
        <w:t xml:space="preserve"> </w:t>
      </w:r>
      <w:r w:rsidR="004C00BC" w:rsidRPr="0047237E">
        <w:rPr>
          <w:rFonts w:ascii="David" w:hAnsi="David" w:cs="David"/>
        </w:rPr>
        <w:t>alienated</w:t>
      </w:r>
      <w:r w:rsidRPr="0047237E">
        <w:rPr>
          <w:rFonts w:ascii="David" w:hAnsi="David" w:cs="David"/>
        </w:rPr>
        <w:t xml:space="preserve"> to the group. </w:t>
      </w:r>
    </w:p>
    <w:p w14:paraId="131AE139" w14:textId="168FAEA8" w:rsidR="00E5491A" w:rsidRPr="00E5491A" w:rsidRDefault="00E5491A" w:rsidP="00EF1E09">
      <w:pPr>
        <w:pStyle w:val="Heading2"/>
        <w:spacing w:line="360" w:lineRule="auto"/>
        <w:jc w:val="both"/>
        <w:rPr>
          <w:rtl/>
        </w:rPr>
      </w:pPr>
      <w:r>
        <w:t>Levi approach to voluntary compliance</w:t>
      </w:r>
    </w:p>
    <w:p w14:paraId="1FFC5917" w14:textId="101ED22F" w:rsidR="00200AA1" w:rsidRDefault="00841F83" w:rsidP="00EF1E09">
      <w:pPr>
        <w:spacing w:line="360" w:lineRule="auto"/>
        <w:jc w:val="both"/>
        <w:rPr>
          <w:rFonts w:ascii="David" w:hAnsi="David" w:cs="David"/>
          <w:rtl/>
        </w:rPr>
      </w:pPr>
      <w:r>
        <w:rPr>
          <w:rFonts w:ascii="David" w:hAnsi="David" w:cs="David"/>
        </w:rPr>
        <w:t>An important approach to procedural justice</w:t>
      </w:r>
      <w:r w:rsidR="008805A9">
        <w:rPr>
          <w:rFonts w:ascii="David" w:hAnsi="David" w:cs="David"/>
        </w:rPr>
        <w:t xml:space="preserve"> in the context of compliance</w:t>
      </w:r>
      <w:r>
        <w:rPr>
          <w:rFonts w:ascii="David" w:hAnsi="David" w:cs="David"/>
        </w:rPr>
        <w:t xml:space="preserve">, comes from the </w:t>
      </w:r>
      <w:r w:rsidR="002654AB" w:rsidRPr="0047237E">
        <w:rPr>
          <w:rFonts w:ascii="David" w:hAnsi="David" w:cs="David"/>
        </w:rPr>
        <w:t>of Margaret Levi to legitimacy and voluntary compliance</w:t>
      </w:r>
      <w:r w:rsidR="00F43907">
        <w:rPr>
          <w:rFonts w:ascii="David" w:hAnsi="David" w:cs="David"/>
        </w:rPr>
        <w:t>.</w:t>
      </w:r>
      <w:r w:rsidR="008805A9">
        <w:rPr>
          <w:rStyle w:val="FootnoteReference"/>
          <w:rFonts w:ascii="David" w:hAnsi="David" w:cs="David"/>
        </w:rPr>
        <w:footnoteReference w:id="105"/>
      </w:r>
      <w:r w:rsidR="008805A9">
        <w:rPr>
          <w:rFonts w:ascii="David" w:hAnsi="David" w:cs="David"/>
        </w:rPr>
        <w:t xml:space="preserve"> In her work she focus on an important aspect related to this book – “quasi voluntary’ voluntary compliance, which is related to a combination of coercion and consent and is conditional upon the government behaving in a trustworthy way</w:t>
      </w:r>
      <w:r w:rsidR="00900B00">
        <w:rPr>
          <w:rFonts w:ascii="David" w:hAnsi="David" w:cs="David"/>
        </w:rPr>
        <w:t>.</w:t>
      </w:r>
      <w:r w:rsidR="008805A9">
        <w:rPr>
          <w:rStyle w:val="FootnoteReference"/>
          <w:rFonts w:ascii="David" w:hAnsi="David" w:cs="David"/>
        </w:rPr>
        <w:footnoteReference w:id="106"/>
      </w:r>
      <w:r w:rsidR="008805A9">
        <w:rPr>
          <w:rFonts w:ascii="David" w:hAnsi="David" w:cs="David"/>
        </w:rPr>
        <w:t xml:space="preserve"> </w:t>
      </w:r>
      <w:r w:rsidR="00E5491A">
        <w:rPr>
          <w:rFonts w:ascii="David" w:hAnsi="David" w:cs="David"/>
        </w:rPr>
        <w:t xml:space="preserve">Some other works by the same </w:t>
      </w:r>
      <w:r w:rsidR="00E5491A" w:rsidRPr="0047237E">
        <w:rPr>
          <w:rFonts w:ascii="David" w:hAnsi="David" w:cs="David"/>
        </w:rPr>
        <w:t>Margaret Levi</w:t>
      </w:r>
      <w:r w:rsidR="00900B00">
        <w:rPr>
          <w:rFonts w:ascii="David" w:hAnsi="David" w:cs="David"/>
        </w:rPr>
        <w:t>,</w:t>
      </w:r>
      <w:r w:rsidR="00E5491A">
        <w:rPr>
          <w:rStyle w:val="FootnoteReference"/>
          <w:rFonts w:ascii="David" w:hAnsi="David" w:cs="David"/>
        </w:rPr>
        <w:footnoteReference w:id="107"/>
      </w:r>
      <w:r w:rsidR="00E5491A" w:rsidRPr="0047237E">
        <w:rPr>
          <w:rFonts w:ascii="David" w:hAnsi="David" w:cs="David"/>
        </w:rPr>
        <w:t>demonstrated the importance of trust in causing the public to cooperate</w:t>
      </w:r>
      <w:r w:rsidR="00900B00">
        <w:rPr>
          <w:rFonts w:ascii="David" w:hAnsi="David" w:cs="David"/>
        </w:rPr>
        <w:t>,</w:t>
      </w:r>
      <w:r w:rsidR="00E5491A">
        <w:rPr>
          <w:rStyle w:val="FootnoteReference"/>
          <w:rFonts w:ascii="David" w:hAnsi="David" w:cs="David"/>
        </w:rPr>
        <w:footnoteReference w:id="108"/>
      </w:r>
      <w:r w:rsidR="00E5491A">
        <w:rPr>
          <w:rFonts w:ascii="David" w:hAnsi="David" w:cs="David"/>
        </w:rPr>
        <w:t xml:space="preserve"> </w:t>
      </w:r>
      <w:r w:rsidR="00E5491A" w:rsidRPr="0047237E">
        <w:rPr>
          <w:rFonts w:ascii="David" w:hAnsi="David" w:cs="David"/>
        </w:rPr>
        <w:t xml:space="preserve">With particular interest for this book, is her focus on the </w:t>
      </w:r>
      <w:r w:rsidR="007A44CA">
        <w:rPr>
          <w:rFonts w:ascii="David" w:hAnsi="David" w:cs="David"/>
        </w:rPr>
        <w:t>relationship</w:t>
      </w:r>
      <w:r w:rsidR="007A44CA" w:rsidRPr="0047237E">
        <w:rPr>
          <w:rFonts w:ascii="David" w:hAnsi="David" w:cs="David"/>
        </w:rPr>
        <w:t xml:space="preserve"> </w:t>
      </w:r>
      <w:r w:rsidR="00E5491A" w:rsidRPr="0047237E">
        <w:rPr>
          <w:rFonts w:ascii="David" w:hAnsi="David" w:cs="David"/>
        </w:rPr>
        <w:t>between</w:t>
      </w:r>
      <w:r w:rsidR="007A44CA">
        <w:rPr>
          <w:rFonts w:ascii="David" w:hAnsi="David" w:cs="David"/>
        </w:rPr>
        <w:t xml:space="preserve"> trust and cooperation. </w:t>
      </w:r>
    </w:p>
    <w:p w14:paraId="6635A90B" w14:textId="0231CF3E" w:rsidR="00E5491A" w:rsidRDefault="00E5491A" w:rsidP="00EF1E09">
      <w:pPr>
        <w:spacing w:line="360" w:lineRule="auto"/>
        <w:jc w:val="both"/>
        <w:rPr>
          <w:rFonts w:ascii="David" w:hAnsi="David" w:cs="David"/>
        </w:rPr>
      </w:pPr>
      <w:r>
        <w:rPr>
          <w:rFonts w:ascii="David" w:hAnsi="David" w:cs="David"/>
        </w:rPr>
        <w:lastRenderedPageBreak/>
        <w:t>L</w:t>
      </w:r>
      <w:r w:rsidRPr="0047237E">
        <w:rPr>
          <w:rFonts w:ascii="David" w:hAnsi="David" w:cs="David"/>
        </w:rPr>
        <w:t xml:space="preserve">evi discusses two stands in the research -- political trust, trustworthy government, and citizen compliance; and) political trust, social trust, and cooperation. where usually in her work cooperation means with others, but as this book attempt to put the focus on, this might be related to how people also behave </w:t>
      </w:r>
      <w:r w:rsidR="00F43907" w:rsidRPr="0047237E">
        <w:rPr>
          <w:rFonts w:ascii="David" w:hAnsi="David" w:cs="David"/>
        </w:rPr>
        <w:t>regarding</w:t>
      </w:r>
      <w:r w:rsidRPr="0047237E">
        <w:rPr>
          <w:rFonts w:ascii="David" w:hAnsi="David" w:cs="David"/>
        </w:rPr>
        <w:t xml:space="preserve"> the requirements of the state, as in the case of environmental regulation, where some of the requirements are really a matter of cooperation, rather than that of compliance. for </w:t>
      </w:r>
      <w:r w:rsidR="00F43907" w:rsidRPr="0047237E">
        <w:rPr>
          <w:rFonts w:ascii="David" w:hAnsi="David" w:cs="David"/>
        </w:rPr>
        <w:t>example,</w:t>
      </w:r>
      <w:r w:rsidRPr="0047237E">
        <w:rPr>
          <w:rFonts w:ascii="David" w:hAnsi="David" w:cs="David"/>
        </w:rPr>
        <w:t xml:space="preserve"> when the government tries to encourage </w:t>
      </w:r>
      <w:r w:rsidR="00900B00" w:rsidRPr="0047237E">
        <w:rPr>
          <w:rFonts w:ascii="David" w:hAnsi="David" w:cs="David"/>
        </w:rPr>
        <w:t>people</w:t>
      </w:r>
      <w:r w:rsidRPr="0047237E">
        <w:rPr>
          <w:rFonts w:ascii="David" w:hAnsi="David" w:cs="David"/>
        </w:rPr>
        <w:t xml:space="preserve"> to</w:t>
      </w:r>
      <w:r>
        <w:rPr>
          <w:rFonts w:ascii="David" w:hAnsi="David" w:cs="David"/>
        </w:rPr>
        <w:t xml:space="preserve"> cooperate in contexts </w:t>
      </w:r>
      <w:r w:rsidR="007A44CA">
        <w:rPr>
          <w:rFonts w:ascii="David" w:hAnsi="David" w:cs="David"/>
        </w:rPr>
        <w:t>such as in the case</w:t>
      </w:r>
      <w:r w:rsidR="007A44CA" w:rsidRPr="0047237E">
        <w:rPr>
          <w:rFonts w:ascii="David" w:hAnsi="David" w:cs="David"/>
        </w:rPr>
        <w:t xml:space="preserve"> use public transportation or buy electric </w:t>
      </w:r>
      <w:proofErr w:type="gramStart"/>
      <w:r w:rsidR="007A44CA" w:rsidRPr="0047237E">
        <w:rPr>
          <w:rFonts w:ascii="David" w:hAnsi="David" w:cs="David"/>
        </w:rPr>
        <w:t>cars</w:t>
      </w:r>
      <w:r w:rsidR="007A44CA">
        <w:rPr>
          <w:rFonts w:ascii="David" w:hAnsi="David" w:cs="David" w:hint="cs"/>
          <w:rtl/>
        </w:rPr>
        <w:t>.</w:t>
      </w:r>
      <w:r>
        <w:rPr>
          <w:rFonts w:ascii="David" w:hAnsi="David" w:cs="David"/>
        </w:rPr>
        <w:t>where</w:t>
      </w:r>
      <w:proofErr w:type="gramEnd"/>
      <w:r>
        <w:rPr>
          <w:rFonts w:ascii="David" w:hAnsi="David" w:cs="David"/>
        </w:rPr>
        <w:t xml:space="preserve"> you can</w:t>
      </w:r>
      <w:r w:rsidR="007A44CA">
        <w:rPr>
          <w:rFonts w:ascii="David" w:hAnsi="David" w:cs="David"/>
        </w:rPr>
        <w:t>’t</w:t>
      </w:r>
      <w:r>
        <w:rPr>
          <w:rFonts w:ascii="David" w:hAnsi="David" w:cs="David"/>
        </w:rPr>
        <w:t xml:space="preserve"> really talk about compliance</w:t>
      </w:r>
      <w:r w:rsidR="007A44CA">
        <w:rPr>
          <w:rFonts w:ascii="David" w:hAnsi="David" w:cs="David"/>
        </w:rPr>
        <w:t xml:space="preserve"> let alone to force them to do it.   </w:t>
      </w:r>
      <w:r>
        <w:rPr>
          <w:rFonts w:ascii="David" w:hAnsi="David" w:cs="David"/>
        </w:rPr>
        <w:t xml:space="preserve">, </w:t>
      </w:r>
    </w:p>
    <w:p w14:paraId="33A2EC2E" w14:textId="77777777" w:rsidR="00E5491A" w:rsidRPr="0047237E" w:rsidRDefault="00E5491A" w:rsidP="00EF1E09">
      <w:pPr>
        <w:spacing w:line="360" w:lineRule="auto"/>
        <w:jc w:val="both"/>
        <w:rPr>
          <w:rFonts w:ascii="David" w:hAnsi="David" w:cs="David"/>
        </w:rPr>
      </w:pPr>
      <w:r>
        <w:rPr>
          <w:rFonts w:ascii="David" w:hAnsi="David" w:cs="David"/>
        </w:rPr>
        <w:t xml:space="preserve">Part of what we need to think about when analyzing the value of voluntary </w:t>
      </w:r>
      <w:proofErr w:type="gramStart"/>
      <w:r>
        <w:rPr>
          <w:rFonts w:ascii="David" w:hAnsi="David" w:cs="David"/>
        </w:rPr>
        <w:t>compliance,</w:t>
      </w:r>
      <w:proofErr w:type="gramEnd"/>
      <w:r>
        <w:rPr>
          <w:rFonts w:ascii="David" w:hAnsi="David" w:cs="David"/>
        </w:rPr>
        <w:t xml:space="preserve"> is related to the parallel need for cooperation. If we recognize that cooperation is more common than the relevancy of compliance such as in some aspects of environmental cooperation that we might have a </w:t>
      </w:r>
      <w:proofErr w:type="spellStart"/>
      <w:r>
        <w:rPr>
          <w:rFonts w:ascii="David" w:hAnsi="David" w:cs="David"/>
        </w:rPr>
        <w:t>grater</w:t>
      </w:r>
      <w:proofErr w:type="spellEnd"/>
      <w:r>
        <w:rPr>
          <w:rFonts w:ascii="David" w:hAnsi="David" w:cs="David"/>
        </w:rPr>
        <w:t xml:space="preserve"> need to want cooperation. </w:t>
      </w:r>
    </w:p>
    <w:p w14:paraId="5BEA2AB5" w14:textId="4BE8254F" w:rsidR="00342A91" w:rsidRPr="0047237E" w:rsidRDefault="00E5491A" w:rsidP="00EF1E09">
      <w:pPr>
        <w:spacing w:line="360" w:lineRule="auto"/>
        <w:jc w:val="both"/>
        <w:rPr>
          <w:rFonts w:ascii="David" w:hAnsi="David" w:cs="David"/>
        </w:rPr>
      </w:pPr>
      <w:r w:rsidRPr="0047237E">
        <w:rPr>
          <w:rFonts w:ascii="David" w:hAnsi="David" w:cs="David"/>
        </w:rPr>
        <w:t>In a different study Levi et al</w:t>
      </w:r>
      <w:r w:rsidR="00900B00">
        <w:rPr>
          <w:rFonts w:ascii="David" w:hAnsi="David" w:cs="David"/>
        </w:rPr>
        <w:t>,</w:t>
      </w:r>
      <w:r>
        <w:rPr>
          <w:rStyle w:val="FootnoteReference"/>
          <w:rFonts w:ascii="David" w:hAnsi="David" w:cs="David"/>
        </w:rPr>
        <w:footnoteReference w:id="109"/>
      </w:r>
      <w:r w:rsidRPr="0047237E">
        <w:rPr>
          <w:rFonts w:ascii="David" w:hAnsi="David" w:cs="David"/>
        </w:rPr>
        <w:t xml:space="preserve"> focus on “willing compliance” and suggest that this is mostly related to factors of legitimacy and procedural justic</w:t>
      </w:r>
      <w:r>
        <w:rPr>
          <w:rFonts w:ascii="David" w:hAnsi="David" w:cs="David"/>
        </w:rPr>
        <w:t>e.</w:t>
      </w:r>
      <w:r>
        <w:rPr>
          <w:rStyle w:val="FootnoteReference"/>
          <w:rFonts w:ascii="David" w:hAnsi="David" w:cs="David"/>
        </w:rPr>
        <w:footnoteReference w:id="110"/>
      </w:r>
      <w:r>
        <w:rPr>
          <w:rFonts w:ascii="David" w:hAnsi="David" w:cs="David"/>
        </w:rPr>
        <w:t xml:space="preserve"> Furthermore, </w:t>
      </w:r>
      <w:proofErr w:type="gramStart"/>
      <w:r w:rsidR="002654AB" w:rsidRPr="0047237E">
        <w:rPr>
          <w:rFonts w:ascii="David" w:hAnsi="David" w:cs="David"/>
        </w:rPr>
        <w:t>In</w:t>
      </w:r>
      <w:proofErr w:type="gramEnd"/>
      <w:r w:rsidR="002654AB" w:rsidRPr="0047237E">
        <w:rPr>
          <w:rFonts w:ascii="David" w:hAnsi="David" w:cs="David"/>
        </w:rPr>
        <w:t xml:space="preserve"> a joint work with </w:t>
      </w:r>
      <w:proofErr w:type="spellStart"/>
      <w:r w:rsidR="002654AB" w:rsidRPr="0047237E">
        <w:rPr>
          <w:rFonts w:ascii="David" w:hAnsi="David" w:cs="David"/>
        </w:rPr>
        <w:t>tyler</w:t>
      </w:r>
      <w:proofErr w:type="spellEnd"/>
      <w:r w:rsidR="002654AB" w:rsidRPr="0047237E">
        <w:rPr>
          <w:rFonts w:ascii="David" w:hAnsi="David" w:cs="David"/>
        </w:rPr>
        <w:t xml:space="preserve">, </w:t>
      </w:r>
      <w:proofErr w:type="spellStart"/>
      <w:r w:rsidR="002654AB" w:rsidRPr="0047237E">
        <w:rPr>
          <w:rFonts w:ascii="David" w:hAnsi="David" w:cs="David"/>
        </w:rPr>
        <w:t>levi</w:t>
      </w:r>
      <w:proofErr w:type="spellEnd"/>
      <w:r w:rsidR="002654AB" w:rsidRPr="0047237E">
        <w:rPr>
          <w:rFonts w:ascii="David" w:hAnsi="David" w:cs="David"/>
        </w:rPr>
        <w:t xml:space="preserve"> explores two aspects which are responsible for voluntary compliance, legitimacy and trustworthiness</w:t>
      </w:r>
      <w:r w:rsidR="004B7256">
        <w:rPr>
          <w:rFonts w:ascii="David" w:hAnsi="David" w:cs="David"/>
        </w:rPr>
        <w:t xml:space="preserve">. </w:t>
      </w:r>
      <w:r w:rsidR="003B3B1F" w:rsidRPr="0047237E">
        <w:rPr>
          <w:rFonts w:ascii="David" w:hAnsi="David" w:cs="David"/>
        </w:rPr>
        <w:t>Levi et al</w:t>
      </w:r>
      <w:r w:rsidR="004F5261">
        <w:rPr>
          <w:rFonts w:ascii="David" w:hAnsi="David" w:cs="David"/>
        </w:rPr>
        <w:t>,</w:t>
      </w:r>
      <w:r w:rsidR="004B7256">
        <w:rPr>
          <w:rStyle w:val="FootnoteReference"/>
          <w:rFonts w:ascii="David" w:hAnsi="David" w:cs="David"/>
        </w:rPr>
        <w:footnoteReference w:id="111"/>
      </w:r>
      <w:r w:rsidR="004B7256">
        <w:rPr>
          <w:rFonts w:ascii="David" w:hAnsi="David" w:cs="David"/>
        </w:rPr>
        <w:t xml:space="preserve"> </w:t>
      </w:r>
      <w:r w:rsidR="003B3B1F" w:rsidRPr="0047237E">
        <w:rPr>
          <w:rFonts w:ascii="David" w:hAnsi="David" w:cs="David"/>
        </w:rPr>
        <w:t xml:space="preserve"> </w:t>
      </w:r>
      <w:r w:rsidR="002654AB" w:rsidRPr="0047237E">
        <w:rPr>
          <w:rFonts w:ascii="David" w:hAnsi="David" w:cs="David"/>
        </w:rPr>
        <w:t>relying on two datasets (one from the United States</w:t>
      </w:r>
      <w:r w:rsidR="00E21F7D" w:rsidRPr="0047237E">
        <w:rPr>
          <w:rFonts w:ascii="David" w:hAnsi="David" w:cs="David"/>
        </w:rPr>
        <w:t xml:space="preserve"> </w:t>
      </w:r>
      <w:r w:rsidR="002654AB" w:rsidRPr="0047237E">
        <w:rPr>
          <w:rFonts w:ascii="David" w:hAnsi="David" w:cs="David"/>
        </w:rPr>
        <w:t>and one from sub-Saharan Africa),</w:t>
      </w:r>
      <w:r w:rsidR="00E67971" w:rsidRPr="0047237E">
        <w:rPr>
          <w:rFonts w:ascii="David" w:hAnsi="David" w:cs="David"/>
        </w:rPr>
        <w:t xml:space="preserve"> they argue the legitimacy affect compliance and legitimacy is influenced by perceived trustworthiness which in itself is built </w:t>
      </w:r>
      <w:proofErr w:type="gramStart"/>
      <w:r w:rsidR="00E67971" w:rsidRPr="0047237E">
        <w:rPr>
          <w:rFonts w:ascii="David" w:hAnsi="David" w:cs="David"/>
        </w:rPr>
        <w:t xml:space="preserve">upon </w:t>
      </w:r>
      <w:r w:rsidR="002654AB" w:rsidRPr="0047237E">
        <w:rPr>
          <w:rFonts w:ascii="David" w:hAnsi="David" w:cs="David"/>
        </w:rPr>
        <w:t xml:space="preserve"> </w:t>
      </w:r>
      <w:r w:rsidR="00E67971" w:rsidRPr="0047237E">
        <w:rPr>
          <w:rFonts w:ascii="David" w:hAnsi="David" w:cs="David"/>
        </w:rPr>
        <w:t>factors</w:t>
      </w:r>
      <w:proofErr w:type="gramEnd"/>
      <w:r w:rsidR="00E67971" w:rsidRPr="0047237E">
        <w:rPr>
          <w:rFonts w:ascii="David" w:hAnsi="David" w:cs="David"/>
        </w:rPr>
        <w:t xml:space="preserve"> such as perception of leadership motivations, administrative competence,</w:t>
      </w:r>
      <w:r w:rsidR="00342A91" w:rsidRPr="0047237E">
        <w:rPr>
          <w:rFonts w:ascii="David" w:hAnsi="David" w:cs="David"/>
        </w:rPr>
        <w:t xml:space="preserve"> </w:t>
      </w:r>
      <w:r w:rsidR="00E67971" w:rsidRPr="0047237E">
        <w:rPr>
          <w:rFonts w:ascii="David" w:hAnsi="David" w:cs="David"/>
        </w:rPr>
        <w:t xml:space="preserve">and government performance. </w:t>
      </w:r>
      <w:r w:rsidR="00342A91" w:rsidRPr="0047237E">
        <w:rPr>
          <w:rFonts w:ascii="David" w:hAnsi="David" w:cs="David"/>
        </w:rPr>
        <w:t xml:space="preserve">As well as the perceived </w:t>
      </w:r>
      <w:r w:rsidR="00E67971" w:rsidRPr="0047237E">
        <w:rPr>
          <w:rFonts w:ascii="David" w:hAnsi="David" w:cs="David"/>
        </w:rPr>
        <w:t>extent to</w:t>
      </w:r>
      <w:r w:rsidR="00342A91" w:rsidRPr="0047237E">
        <w:rPr>
          <w:rFonts w:ascii="David" w:hAnsi="David" w:cs="David"/>
        </w:rPr>
        <w:t xml:space="preserve"> </w:t>
      </w:r>
      <w:r w:rsidR="00E67971" w:rsidRPr="0047237E">
        <w:rPr>
          <w:rFonts w:ascii="David" w:hAnsi="David" w:cs="David"/>
        </w:rPr>
        <w:t>which government upholds procedural justice.</w:t>
      </w:r>
      <w:r w:rsidR="00342A91" w:rsidRPr="0047237E">
        <w:rPr>
          <w:rFonts w:ascii="David" w:hAnsi="David" w:cs="David"/>
        </w:rPr>
        <w:t xml:space="preserve"> Using cross sectional analysis from </w:t>
      </w:r>
      <w:r w:rsidR="002654AB" w:rsidRPr="0047237E">
        <w:rPr>
          <w:rFonts w:ascii="David" w:hAnsi="David" w:cs="David"/>
        </w:rPr>
        <w:t xml:space="preserve">New York and Africa, </w:t>
      </w:r>
      <w:r w:rsidR="00342A91" w:rsidRPr="0047237E">
        <w:rPr>
          <w:rFonts w:ascii="David" w:hAnsi="David" w:cs="David"/>
        </w:rPr>
        <w:t xml:space="preserve">they find that </w:t>
      </w:r>
      <w:r w:rsidR="002654AB" w:rsidRPr="0047237E">
        <w:rPr>
          <w:rFonts w:ascii="David" w:hAnsi="David" w:cs="David"/>
        </w:rPr>
        <w:t>procedural justice strongly influences citizens’</w:t>
      </w:r>
      <w:r w:rsidR="00342A91" w:rsidRPr="0047237E">
        <w:rPr>
          <w:rFonts w:ascii="David" w:hAnsi="David" w:cs="David"/>
        </w:rPr>
        <w:t xml:space="preserve"> </w:t>
      </w:r>
      <w:r w:rsidR="002654AB" w:rsidRPr="0047237E">
        <w:rPr>
          <w:rFonts w:ascii="David" w:hAnsi="David" w:cs="David"/>
        </w:rPr>
        <w:t>judgments about government. This finding is important because it suggests that</w:t>
      </w:r>
      <w:r w:rsidR="002A5C6D" w:rsidRPr="0047237E">
        <w:rPr>
          <w:rFonts w:ascii="David" w:hAnsi="David" w:cs="David"/>
        </w:rPr>
        <w:t xml:space="preserve"> procedural justice is </w:t>
      </w:r>
      <w:r w:rsidR="00CF04D0" w:rsidRPr="0047237E">
        <w:rPr>
          <w:rFonts w:ascii="David" w:hAnsi="David" w:cs="David"/>
        </w:rPr>
        <w:t xml:space="preserve">an important predictor of both types of legitimacy, both </w:t>
      </w:r>
      <w:proofErr w:type="gramStart"/>
      <w:r w:rsidR="00CF04D0" w:rsidRPr="0047237E">
        <w:rPr>
          <w:rFonts w:ascii="David" w:hAnsi="David" w:cs="David"/>
        </w:rPr>
        <w:t>value</w:t>
      </w:r>
      <w:proofErr w:type="gramEnd"/>
      <w:r w:rsidR="00CF04D0" w:rsidRPr="0047237E">
        <w:rPr>
          <w:rFonts w:ascii="David" w:hAnsi="David" w:cs="David"/>
        </w:rPr>
        <w:t xml:space="preserve"> based as well as behavioral based which is connected with compliance. </w:t>
      </w:r>
      <w:r w:rsidR="008805A9">
        <w:rPr>
          <w:rFonts w:ascii="David" w:hAnsi="David" w:cs="David"/>
        </w:rPr>
        <w:t xml:space="preserve">Her work with other procedural justice researchers such as Tyler, whose work was examined above, </w:t>
      </w:r>
      <w:proofErr w:type="gramStart"/>
      <w:r w:rsidR="008805A9">
        <w:rPr>
          <w:rFonts w:ascii="David" w:hAnsi="David" w:cs="David"/>
        </w:rPr>
        <w:t>suggest</w:t>
      </w:r>
      <w:proofErr w:type="gramEnd"/>
      <w:r w:rsidR="008805A9">
        <w:rPr>
          <w:rFonts w:ascii="David" w:hAnsi="David" w:cs="David"/>
        </w:rPr>
        <w:t xml:space="preserve"> </w:t>
      </w:r>
      <w:r w:rsidR="002654AB" w:rsidRPr="0047237E">
        <w:rPr>
          <w:rFonts w:ascii="David" w:hAnsi="David" w:cs="David"/>
        </w:rPr>
        <w:t>how governments exercise their authority influences their legitimacy and shapes</w:t>
      </w:r>
      <w:r w:rsidR="008805A9">
        <w:rPr>
          <w:rFonts w:ascii="David" w:hAnsi="David" w:cs="David"/>
        </w:rPr>
        <w:t xml:space="preserve">. However, this work has been mostly criticized for the lack of experimental work that actually showed that procedural justice has indeed improve the quality of </w:t>
      </w:r>
      <w:r w:rsidR="00610A88">
        <w:rPr>
          <w:rFonts w:ascii="David" w:hAnsi="David" w:cs="David"/>
        </w:rPr>
        <w:t>compliance</w:t>
      </w:r>
      <w:r w:rsidR="008805A9">
        <w:rPr>
          <w:rFonts w:ascii="David" w:hAnsi="David" w:cs="David"/>
        </w:rPr>
        <w:t>.</w:t>
      </w:r>
      <w:r w:rsidR="00610A88">
        <w:rPr>
          <w:rStyle w:val="FootnoteReference"/>
          <w:rFonts w:ascii="David" w:hAnsi="David" w:cs="David"/>
        </w:rPr>
        <w:footnoteReference w:id="112"/>
      </w:r>
      <w:r w:rsidR="008805A9">
        <w:rPr>
          <w:rFonts w:ascii="David" w:hAnsi="David" w:cs="David"/>
        </w:rPr>
        <w:t xml:space="preserve"> </w:t>
      </w:r>
      <w:r w:rsidR="00610A88">
        <w:rPr>
          <w:rFonts w:ascii="David" w:hAnsi="David" w:cs="David"/>
        </w:rPr>
        <w:t xml:space="preserve">Some other studies even challenged the size of the relationship between </w:t>
      </w:r>
      <w:r w:rsidR="008F3928">
        <w:rPr>
          <w:rFonts w:ascii="David" w:hAnsi="David" w:cs="David"/>
        </w:rPr>
        <w:t>procedural</w:t>
      </w:r>
      <w:r w:rsidR="00610A88">
        <w:rPr>
          <w:rFonts w:ascii="David" w:hAnsi="David" w:cs="David"/>
        </w:rPr>
        <w:t xml:space="preserve"> justice and compliance</w:t>
      </w:r>
      <w:r w:rsidR="00B3061A">
        <w:rPr>
          <w:rFonts w:ascii="David" w:hAnsi="David" w:cs="David"/>
        </w:rPr>
        <w:t>.</w:t>
      </w:r>
      <w:r w:rsidR="00610A88">
        <w:rPr>
          <w:rStyle w:val="FootnoteReference"/>
          <w:rFonts w:ascii="David" w:hAnsi="David" w:cs="David"/>
        </w:rPr>
        <w:footnoteReference w:id="113"/>
      </w:r>
      <w:r w:rsidR="00610A88">
        <w:rPr>
          <w:rFonts w:ascii="David" w:hAnsi="David" w:cs="David"/>
        </w:rPr>
        <w:t xml:space="preserve"> </w:t>
      </w:r>
      <w:r w:rsidR="00342A91" w:rsidRPr="0047237E">
        <w:rPr>
          <w:rFonts w:ascii="David" w:hAnsi="David" w:cs="David"/>
        </w:rPr>
        <w:t xml:space="preserve">This impressive research which is supported by many other accounts of the importance of procedural justice, didn’t really say </w:t>
      </w:r>
      <w:r w:rsidR="00342A91" w:rsidRPr="0047237E">
        <w:rPr>
          <w:rFonts w:ascii="David" w:hAnsi="David" w:cs="David"/>
        </w:rPr>
        <w:lastRenderedPageBreak/>
        <w:t>much on voluntary compliance other than focusing on people reporting that they want to obey the law</w:t>
      </w:r>
      <w:r w:rsidR="004B7256">
        <w:rPr>
          <w:rFonts w:ascii="David" w:hAnsi="David" w:cs="David"/>
        </w:rPr>
        <w:t>.</w:t>
      </w:r>
    </w:p>
    <w:p w14:paraId="3B8EF13D" w14:textId="1BEFC945" w:rsidR="00342A91" w:rsidRPr="0047237E" w:rsidRDefault="008F3928" w:rsidP="00EF1E09">
      <w:pPr>
        <w:spacing w:line="360" w:lineRule="auto"/>
        <w:jc w:val="both"/>
        <w:rPr>
          <w:rFonts w:ascii="David" w:hAnsi="David" w:cs="David"/>
        </w:rPr>
      </w:pPr>
      <w:r>
        <w:rPr>
          <w:rFonts w:ascii="David" w:hAnsi="David" w:cs="David"/>
        </w:rPr>
        <w:t>More specifically, to the best of our knowledge</w:t>
      </w:r>
      <w:r w:rsidR="00B61331" w:rsidRPr="0047237E">
        <w:rPr>
          <w:rFonts w:ascii="David" w:hAnsi="David" w:cs="David"/>
        </w:rPr>
        <w:t xml:space="preserve"> the quality of compliance</w:t>
      </w:r>
      <w:r>
        <w:rPr>
          <w:rFonts w:ascii="David" w:hAnsi="David" w:cs="David"/>
        </w:rPr>
        <w:t xml:space="preserve"> due to procedural justices</w:t>
      </w:r>
      <w:r w:rsidR="00B61331" w:rsidRPr="0047237E">
        <w:rPr>
          <w:rFonts w:ascii="David" w:hAnsi="David" w:cs="David"/>
        </w:rPr>
        <w:t xml:space="preserve"> was never tested and the assumption that people’s compliance will be better if people will do so for le</w:t>
      </w:r>
      <w:r w:rsidR="004C6E3E" w:rsidRPr="0047237E">
        <w:rPr>
          <w:rFonts w:ascii="David" w:hAnsi="David" w:cs="David"/>
        </w:rPr>
        <w:t>gi</w:t>
      </w:r>
      <w:r w:rsidR="00B61331" w:rsidRPr="0047237E">
        <w:rPr>
          <w:rFonts w:ascii="David" w:hAnsi="David" w:cs="David"/>
        </w:rPr>
        <w:t>timate reaso</w:t>
      </w:r>
      <w:r>
        <w:rPr>
          <w:rFonts w:ascii="David" w:hAnsi="David" w:cs="David"/>
        </w:rPr>
        <w:t xml:space="preserve">ns is very </w:t>
      </w:r>
      <w:proofErr w:type="spellStart"/>
      <w:r>
        <w:rPr>
          <w:rFonts w:ascii="David" w:hAnsi="David" w:cs="David"/>
        </w:rPr>
        <w:t>plausible</w:t>
      </w:r>
      <w:commentRangeStart w:id="23"/>
      <w:r w:rsidR="00321B3A">
        <w:rPr>
          <w:rFonts w:ascii="David" w:hAnsi="David" w:cs="David"/>
        </w:rPr>
        <w:t>is</w:t>
      </w:r>
      <w:proofErr w:type="spellEnd"/>
      <w:r w:rsidR="00321B3A">
        <w:rPr>
          <w:rFonts w:ascii="David" w:hAnsi="David" w:cs="David"/>
        </w:rPr>
        <w:t xml:space="preserve"> is not proven experimentally but mostly correlational and for the most part, the main advantage of such compliance is in the sense that it is less dependent on extrinsic reasons making it more likely to be long term and persistent. </w:t>
      </w:r>
      <w:r w:rsidR="002D25CE">
        <w:rPr>
          <w:rFonts w:ascii="David" w:hAnsi="David" w:cs="David"/>
        </w:rPr>
        <w:t xml:space="preserve"> However, it is important to suggest that research in organizational context on performance, have usually associated intrinsic motivation with quality of performance and </w:t>
      </w:r>
      <w:r w:rsidR="005B4F16">
        <w:rPr>
          <w:rFonts w:ascii="David" w:hAnsi="David" w:cs="David"/>
        </w:rPr>
        <w:t>extrinsic motivation with quantity of performance</w:t>
      </w:r>
      <w:r w:rsidR="005B4F16">
        <w:rPr>
          <w:rStyle w:val="FootnoteReference"/>
          <w:rFonts w:ascii="David" w:hAnsi="David" w:cs="David"/>
        </w:rPr>
        <w:footnoteReference w:id="114"/>
      </w:r>
      <w:r w:rsidR="00321B3A">
        <w:rPr>
          <w:rFonts w:ascii="David" w:hAnsi="David" w:cs="David"/>
        </w:rPr>
        <w:t xml:space="preserve"> </w:t>
      </w:r>
      <w:r w:rsidR="005B4F16">
        <w:rPr>
          <w:rFonts w:ascii="David" w:hAnsi="David" w:cs="David"/>
        </w:rPr>
        <w:t>. based on that distinction</w:t>
      </w:r>
      <w:r w:rsidR="00321B3A">
        <w:rPr>
          <w:rFonts w:ascii="David" w:hAnsi="David" w:cs="David"/>
        </w:rPr>
        <w:t xml:space="preserve"> </w:t>
      </w:r>
      <w:r w:rsidR="005002EC">
        <w:rPr>
          <w:rFonts w:ascii="David" w:hAnsi="David" w:cs="David"/>
        </w:rPr>
        <w:t>it is possible to speculate that similar effect will happen in compliance. Naturally when people are only complying to avoid punishment, they might only focus on the behaviors which could be monitored</w:t>
      </w:r>
      <w:r w:rsidR="00561B97">
        <w:rPr>
          <w:rFonts w:ascii="David" w:hAnsi="David" w:cs="David"/>
        </w:rPr>
        <w:t xml:space="preserve"> which usually focus more on quantitative aspects of compliance rather than on its qualitative aspects</w:t>
      </w:r>
      <w:r w:rsidR="00561B97">
        <w:rPr>
          <w:rStyle w:val="FootnoteReference"/>
          <w:rFonts w:ascii="David" w:hAnsi="David" w:cs="David"/>
        </w:rPr>
        <w:footnoteReference w:id="115"/>
      </w:r>
      <w:r w:rsidR="00561B97">
        <w:rPr>
          <w:rFonts w:ascii="David" w:hAnsi="David" w:cs="David"/>
        </w:rPr>
        <w:t xml:space="preserve">. </w:t>
      </w:r>
      <w:commentRangeEnd w:id="23"/>
      <w:r w:rsidR="00B3061A">
        <w:rPr>
          <w:rStyle w:val="CommentReference"/>
          <w:rFonts w:ascii="Calibri" w:eastAsia="Calibri" w:hAnsi="Calibri" w:cs="Arial"/>
          <w:rtl/>
        </w:rPr>
        <w:commentReference w:id="23"/>
      </w:r>
    </w:p>
    <w:p w14:paraId="094A783A" w14:textId="2DAD107C" w:rsidR="00E33345" w:rsidRPr="0047237E" w:rsidRDefault="00247DF3" w:rsidP="00EF1E09">
      <w:pPr>
        <w:pStyle w:val="Heading2"/>
        <w:spacing w:line="360" w:lineRule="auto"/>
        <w:jc w:val="both"/>
        <w:rPr>
          <w:rtl/>
        </w:rPr>
      </w:pPr>
      <w:bookmarkStart w:id="24" w:name="_Toc163650206"/>
      <w:r w:rsidRPr="0047237E">
        <w:t>The advantage of procedural justice over other forms of justice in generating voluntary compliance</w:t>
      </w:r>
      <w:r w:rsidR="00033A1E" w:rsidRPr="0047237E">
        <w:t>.</w:t>
      </w:r>
      <w:bookmarkEnd w:id="24"/>
      <w:r w:rsidR="00033A1E" w:rsidRPr="0047237E">
        <w:t xml:space="preserve"> </w:t>
      </w:r>
    </w:p>
    <w:p w14:paraId="13EE7446" w14:textId="4FA4087C" w:rsidR="00E33345" w:rsidRPr="0047237E" w:rsidRDefault="00E33345" w:rsidP="00EF1E09">
      <w:pPr>
        <w:spacing w:line="360" w:lineRule="auto"/>
        <w:jc w:val="both"/>
        <w:rPr>
          <w:rFonts w:ascii="David" w:hAnsi="David" w:cs="David"/>
          <w:rtl/>
        </w:rPr>
      </w:pPr>
      <w:r w:rsidRPr="0047237E">
        <w:rPr>
          <w:rFonts w:ascii="David" w:hAnsi="David" w:cs="David"/>
        </w:rPr>
        <w:t xml:space="preserve">In many ways, procedural justice is more likely to be related to the next model which doesn’t focus on the content of the law but rather on the institution. </w:t>
      </w:r>
      <w:r w:rsidR="00CF04D0" w:rsidRPr="0047237E">
        <w:rPr>
          <w:rFonts w:ascii="David" w:hAnsi="David" w:cs="David"/>
        </w:rPr>
        <w:t xml:space="preserve">In other </w:t>
      </w:r>
      <w:r w:rsidR="00F43907" w:rsidRPr="0047237E">
        <w:rPr>
          <w:rFonts w:ascii="David" w:hAnsi="David" w:cs="David"/>
        </w:rPr>
        <w:t>words,</w:t>
      </w:r>
      <w:r w:rsidR="00CF04D0" w:rsidRPr="0047237E">
        <w:rPr>
          <w:rFonts w:ascii="David" w:hAnsi="David" w:cs="David"/>
        </w:rPr>
        <w:t xml:space="preserve"> procedural </w:t>
      </w:r>
      <w:proofErr w:type="gramStart"/>
      <w:r w:rsidR="00CF04D0" w:rsidRPr="0047237E">
        <w:rPr>
          <w:rFonts w:ascii="David" w:hAnsi="David" w:cs="David"/>
        </w:rPr>
        <w:t>justice,</w:t>
      </w:r>
      <w:proofErr w:type="gramEnd"/>
      <w:r w:rsidR="00CF04D0" w:rsidRPr="0047237E">
        <w:rPr>
          <w:rFonts w:ascii="David" w:hAnsi="David" w:cs="David"/>
        </w:rPr>
        <w:t xml:space="preserve"> is related to the process through which the law was created and less related to its content.</w:t>
      </w:r>
      <w:r w:rsidR="00CC5079">
        <w:rPr>
          <w:rFonts w:ascii="David" w:hAnsi="David" w:cs="David"/>
        </w:rPr>
        <w:t xml:space="preserve"> </w:t>
      </w:r>
      <w:r w:rsidRPr="0047237E">
        <w:rPr>
          <w:rFonts w:ascii="David" w:hAnsi="David" w:cs="David"/>
        </w:rPr>
        <w:t xml:space="preserve">Between the two options to gain voluntary compliance one is through </w:t>
      </w:r>
      <w:r w:rsidR="00CC5079">
        <w:rPr>
          <w:rFonts w:ascii="David" w:hAnsi="David" w:cs="David"/>
        </w:rPr>
        <w:t>m</w:t>
      </w:r>
      <w:r w:rsidRPr="0047237E">
        <w:rPr>
          <w:rFonts w:ascii="David" w:hAnsi="David" w:cs="David"/>
        </w:rPr>
        <w:t>orality</w:t>
      </w:r>
      <w:r w:rsidR="00CC5079">
        <w:rPr>
          <w:rFonts w:ascii="David" w:hAnsi="David" w:cs="David"/>
        </w:rPr>
        <w:t xml:space="preserve"> of the action</w:t>
      </w:r>
      <w:r w:rsidRPr="0047237E">
        <w:rPr>
          <w:rFonts w:ascii="David" w:hAnsi="David" w:cs="David"/>
        </w:rPr>
        <w:t xml:space="preserve"> and the other one will trust </w:t>
      </w:r>
      <w:r w:rsidR="00DB0D29">
        <w:rPr>
          <w:rFonts w:ascii="David" w:hAnsi="David" w:cs="David"/>
        </w:rPr>
        <w:t xml:space="preserve">in the state. </w:t>
      </w:r>
      <w:r w:rsidRPr="0047237E">
        <w:rPr>
          <w:rFonts w:ascii="David" w:hAnsi="David" w:cs="David"/>
        </w:rPr>
        <w:t xml:space="preserve"> Clearly the second one is easier and might be more appealing to a broader consensus in the population</w:t>
      </w:r>
      <w:r w:rsidR="00B3061A">
        <w:rPr>
          <w:rFonts w:ascii="David" w:hAnsi="David" w:cs="David"/>
        </w:rPr>
        <w:t>. It is</w:t>
      </w:r>
      <w:r w:rsidRPr="0047237E">
        <w:rPr>
          <w:rFonts w:ascii="David" w:hAnsi="David" w:cs="David"/>
        </w:rPr>
        <w:t xml:space="preserve"> very hard to imagine a situation where everyone will agree on a certain law</w:t>
      </w:r>
      <w:r w:rsidR="00B3061A">
        <w:rPr>
          <w:rFonts w:ascii="David" w:hAnsi="David" w:cs="David"/>
        </w:rPr>
        <w:t xml:space="preserve">. </w:t>
      </w:r>
      <w:r w:rsidRPr="0047237E">
        <w:rPr>
          <w:rFonts w:ascii="David" w:hAnsi="David" w:cs="David"/>
        </w:rPr>
        <w:t xml:space="preserve"> in that regard even the effect about reason giving Which is seen as part of allowing people to feel that they understand the law might be also seen </w:t>
      </w:r>
      <w:proofErr w:type="gramStart"/>
      <w:r w:rsidRPr="0047237E">
        <w:rPr>
          <w:rFonts w:ascii="David" w:hAnsi="David" w:cs="David"/>
        </w:rPr>
        <w:t>some sort of a</w:t>
      </w:r>
      <w:proofErr w:type="gramEnd"/>
      <w:r w:rsidRPr="0047237E">
        <w:rPr>
          <w:rFonts w:ascii="David" w:hAnsi="David" w:cs="David"/>
        </w:rPr>
        <w:t xml:space="preserve"> procedural fairness</w:t>
      </w:r>
      <w:r w:rsidR="00B3061A">
        <w:rPr>
          <w:rFonts w:ascii="David" w:hAnsi="David" w:cs="David"/>
        </w:rPr>
        <w:t>.</w:t>
      </w:r>
      <w:r w:rsidRPr="0047237E">
        <w:rPr>
          <w:rFonts w:ascii="David" w:hAnsi="David" w:cs="David"/>
        </w:rPr>
        <w:t xml:space="preserve"> just by your attempt to explain what you do</w:t>
      </w:r>
      <w:r w:rsidR="00B3061A">
        <w:rPr>
          <w:rFonts w:ascii="David" w:hAnsi="David" w:cs="David"/>
        </w:rPr>
        <w:t>,</w:t>
      </w:r>
      <w:r w:rsidRPr="0047237E">
        <w:rPr>
          <w:rFonts w:ascii="David" w:hAnsi="David" w:cs="David"/>
        </w:rPr>
        <w:t xml:space="preserve"> you end up showing the public that you care about </w:t>
      </w:r>
      <w:proofErr w:type="gramStart"/>
      <w:r w:rsidRPr="0047237E">
        <w:rPr>
          <w:rFonts w:ascii="David" w:hAnsi="David" w:cs="David"/>
        </w:rPr>
        <w:t>them</w:t>
      </w:r>
      <w:r w:rsidR="0082607F">
        <w:rPr>
          <w:rFonts w:ascii="David" w:hAnsi="David" w:cs="David" w:hint="cs"/>
          <w:rtl/>
        </w:rPr>
        <w:t xml:space="preserve"> </w:t>
      </w:r>
      <w:r w:rsidR="0082607F">
        <w:rPr>
          <w:rFonts w:ascii="David" w:hAnsi="David" w:cs="David"/>
        </w:rPr>
        <w:t xml:space="preserve"> you</w:t>
      </w:r>
      <w:proofErr w:type="gramEnd"/>
      <w:r w:rsidR="0082607F">
        <w:rPr>
          <w:rFonts w:ascii="David" w:hAnsi="David" w:cs="David"/>
        </w:rPr>
        <w:t xml:space="preserve"> don’t have to crate laws which will be believed by them, content wise</w:t>
      </w:r>
      <w:r w:rsidR="00B3061A">
        <w:rPr>
          <w:rFonts w:ascii="David" w:hAnsi="David" w:cs="David"/>
        </w:rPr>
        <w:t xml:space="preserve"> </w:t>
      </w:r>
      <w:r w:rsidRPr="0047237E">
        <w:rPr>
          <w:rFonts w:ascii="David" w:hAnsi="David" w:cs="David"/>
        </w:rPr>
        <w:t xml:space="preserve"> </w:t>
      </w:r>
    </w:p>
    <w:p w14:paraId="0D08DF69" w14:textId="17924FB1" w:rsidR="00CE79F8" w:rsidRDefault="00CE79F8" w:rsidP="00EF1E09">
      <w:pPr>
        <w:pStyle w:val="Heading2"/>
        <w:spacing w:line="360" w:lineRule="auto"/>
        <w:jc w:val="both"/>
      </w:pPr>
      <w:bookmarkStart w:id="25" w:name="_Toc163650207"/>
      <w:r>
        <w:t>Legitimate laws and moral motivation</w:t>
      </w:r>
      <w:bookmarkEnd w:id="25"/>
    </w:p>
    <w:p w14:paraId="29A8DD08" w14:textId="5B3BC050" w:rsidR="00FA49EE" w:rsidRPr="0047237E" w:rsidRDefault="00FA49EE" w:rsidP="00EF1E09">
      <w:pPr>
        <w:spacing w:line="360" w:lineRule="auto"/>
        <w:jc w:val="both"/>
        <w:rPr>
          <w:rFonts w:ascii="David" w:hAnsi="David" w:cs="David"/>
        </w:rPr>
      </w:pPr>
      <w:r w:rsidRPr="0047237E">
        <w:rPr>
          <w:rFonts w:ascii="David" w:hAnsi="David" w:cs="David"/>
        </w:rPr>
        <w:t xml:space="preserve">The main feature of legislation that needs to be responsive to this assumption of human motivation is its legitimacy.  According to many accounts of legitimacy, the content of the law seems to be secondary to the perception that the law was formulated and executed with full authority.  Here too, the distinction from the moral individual model might be problematic, as presumably immoral rules are unlikely to be seen as legitimate.  Nonetheless, it seems that there is a genuine gap between obeying the law because it gives individuals moral commands or restraints, and obeying the law because the authority is entitled to compel its citizens to do so.  Indeed, within the concept of legitimacy, there are scholars who focus more on the legalistic and </w:t>
      </w:r>
      <w:r w:rsidRPr="0047237E">
        <w:rPr>
          <w:rFonts w:ascii="David" w:hAnsi="David" w:cs="David"/>
        </w:rPr>
        <w:lastRenderedPageBreak/>
        <w:t>institutional perspectives, while others give more weight to the content of the law</w:t>
      </w:r>
      <w:r w:rsidR="00FF2989">
        <w:rPr>
          <w:rFonts w:ascii="David" w:hAnsi="David" w:cs="David"/>
        </w:rPr>
        <w:t>,</w:t>
      </w:r>
      <w:r w:rsidR="00C2358B">
        <w:rPr>
          <w:rStyle w:val="FootnoteReference"/>
          <w:rFonts w:ascii="David" w:hAnsi="David" w:cs="David"/>
        </w:rPr>
        <w:footnoteReference w:id="116"/>
      </w:r>
      <w:r w:rsidRPr="0047237E">
        <w:rPr>
          <w:rFonts w:ascii="David" w:hAnsi="David" w:cs="David"/>
        </w:rPr>
        <w:t xml:space="preserve">  Fagan &amp; Tyler</w:t>
      </w:r>
      <w:r w:rsidR="00FF2989">
        <w:rPr>
          <w:rFonts w:ascii="David" w:hAnsi="David" w:cs="David"/>
        </w:rPr>
        <w:t>,</w:t>
      </w:r>
      <w:r w:rsidR="00C2358B">
        <w:rPr>
          <w:rStyle w:val="FootnoteReference"/>
          <w:rFonts w:ascii="David" w:hAnsi="David" w:cs="David"/>
        </w:rPr>
        <w:footnoteReference w:id="117"/>
      </w:r>
      <w:r w:rsidRPr="0047237E">
        <w:rPr>
          <w:rFonts w:ascii="David" w:hAnsi="David" w:cs="David"/>
        </w:rPr>
        <w:t xml:space="preserve"> discuss the gap between the various perspectives of legitimacy, demonstrating the differences between its sociological, legal, and moral aspects.</w:t>
      </w:r>
      <w:r w:rsidR="008F3928">
        <w:rPr>
          <w:rStyle w:val="FootnoteReference"/>
          <w:rFonts w:ascii="David" w:hAnsi="David" w:cs="David"/>
        </w:rPr>
        <w:footnoteReference w:id="118"/>
      </w:r>
    </w:p>
    <w:p w14:paraId="4E343779" w14:textId="093B24D8" w:rsidR="00FA49EE" w:rsidRDefault="00FA49EE" w:rsidP="00EF1E09">
      <w:pPr>
        <w:spacing w:line="360" w:lineRule="auto"/>
        <w:jc w:val="both"/>
        <w:rPr>
          <w:rFonts w:ascii="David" w:hAnsi="David" w:cs="David"/>
        </w:rPr>
      </w:pPr>
      <w:r w:rsidRPr="0047237E">
        <w:rPr>
          <w:rFonts w:ascii="David" w:hAnsi="David" w:cs="David"/>
        </w:rPr>
        <w:t>Indeed, the ability to speak about legitimacy as a distinctive concept to the moral nature of the law's content seems to lie at the heart of the discussion of citizenship as a mutually exclusive model.  On many accounts, when an individual is obeying the law due to an obligation, rather than under a belief in the morality of the law, there is a greater chance that that the individual will obey the law, even when he or she does not fully agree with its content</w:t>
      </w:r>
      <w:r w:rsidR="004F5261">
        <w:rPr>
          <w:rFonts w:ascii="David" w:hAnsi="David" w:cs="David"/>
        </w:rPr>
        <w:t>.</w:t>
      </w:r>
      <w:r w:rsidR="00C2358B">
        <w:rPr>
          <w:rStyle w:val="FootnoteReference"/>
          <w:rFonts w:ascii="David" w:hAnsi="David" w:cs="David"/>
        </w:rPr>
        <w:footnoteReference w:id="119"/>
      </w:r>
      <w:r w:rsidRPr="0047237E">
        <w:rPr>
          <w:rFonts w:ascii="David" w:hAnsi="David" w:cs="David"/>
        </w:rPr>
        <w:t xml:space="preserve"> </w:t>
      </w:r>
    </w:p>
    <w:p w14:paraId="78495DC6" w14:textId="231E5C85" w:rsidR="00CE79F8" w:rsidRPr="0047237E" w:rsidRDefault="00CE79F8" w:rsidP="00EF1E09">
      <w:pPr>
        <w:spacing w:line="360" w:lineRule="auto"/>
        <w:jc w:val="both"/>
        <w:rPr>
          <w:rFonts w:ascii="David" w:hAnsi="David" w:cs="David"/>
          <w:b/>
          <w:bCs/>
          <w:rtl/>
        </w:rPr>
      </w:pPr>
      <w:r w:rsidRPr="0047237E">
        <w:rPr>
          <w:rFonts w:ascii="David" w:hAnsi="David" w:cs="David"/>
        </w:rPr>
        <w:t>And another study demonstrated how institutional actions can result in discord and resistance when institutions are concerned with perpetuating their authority and technocratic logics at the expense of meeting the social and developmental needs of individuals</w:t>
      </w:r>
      <w:r w:rsidR="00FF2989">
        <w:rPr>
          <w:rFonts w:ascii="David" w:hAnsi="David" w:cs="David"/>
        </w:rPr>
        <w:t>.</w:t>
      </w:r>
      <w:r>
        <w:rPr>
          <w:rStyle w:val="FootnoteReference"/>
          <w:rFonts w:ascii="David" w:hAnsi="David" w:cs="David"/>
        </w:rPr>
        <w:footnoteReference w:id="120"/>
      </w:r>
      <w:r w:rsidRPr="0047237E">
        <w:rPr>
          <w:rFonts w:ascii="David" w:hAnsi="David" w:cs="David"/>
        </w:rPr>
        <w:t xml:space="preserve"> (</w:t>
      </w:r>
    </w:p>
    <w:p w14:paraId="6B71749E" w14:textId="1ADBD61A" w:rsidR="00FA49EE" w:rsidRDefault="006E0F16" w:rsidP="00EF1E09">
      <w:pPr>
        <w:pStyle w:val="Heading2"/>
        <w:spacing w:line="360" w:lineRule="auto"/>
        <w:jc w:val="both"/>
        <w:rPr>
          <w:rFonts w:eastAsiaTheme="minorHAnsi"/>
        </w:rPr>
      </w:pPr>
      <w:bookmarkStart w:id="26" w:name="_Toc163650208"/>
      <w:r w:rsidRPr="0047237E">
        <w:rPr>
          <w:rFonts w:eastAsiaTheme="minorHAnsi"/>
        </w:rPr>
        <w:t>Motivational postures paradigm</w:t>
      </w:r>
      <w:bookmarkEnd w:id="26"/>
    </w:p>
    <w:p w14:paraId="591675CF" w14:textId="418E5783" w:rsidR="00CE79F8" w:rsidRPr="0047237E" w:rsidRDefault="00CE79F8" w:rsidP="00EF1E09">
      <w:pPr>
        <w:spacing w:line="360" w:lineRule="auto"/>
        <w:jc w:val="both"/>
        <w:rPr>
          <w:rFonts w:ascii="David" w:hAnsi="David" w:cs="David"/>
          <w:rtl/>
        </w:rPr>
      </w:pPr>
      <w:r w:rsidRPr="00EF1E09">
        <w:rPr>
          <w:rFonts w:ascii="David" w:hAnsi="David" w:cs="David"/>
        </w:rPr>
        <w:t xml:space="preserve">In direct continuation to the discussion above on </w:t>
      </w:r>
      <w:proofErr w:type="gramStart"/>
      <w:r w:rsidRPr="00EF1E09">
        <w:rPr>
          <w:rFonts w:ascii="David" w:hAnsi="David" w:cs="David"/>
        </w:rPr>
        <w:t>the procedural</w:t>
      </w:r>
      <w:proofErr w:type="gramEnd"/>
      <w:r w:rsidRPr="00EF1E09">
        <w:rPr>
          <w:rFonts w:ascii="David" w:hAnsi="David" w:cs="David"/>
        </w:rPr>
        <w:t xml:space="preserve"> justice and legitimacy the paradigm of motivation postures </w:t>
      </w:r>
      <w:r w:rsidR="00F43907" w:rsidRPr="00F43907">
        <w:rPr>
          <w:rFonts w:ascii="David" w:hAnsi="David" w:cs="David"/>
        </w:rPr>
        <w:t>extends</w:t>
      </w:r>
      <w:r w:rsidRPr="00EF1E09">
        <w:rPr>
          <w:rFonts w:ascii="David" w:hAnsi="David" w:cs="David"/>
        </w:rPr>
        <w:t xml:space="preserve"> this model into a more comprehensive understanding of </w:t>
      </w:r>
      <w:r w:rsidR="005C0C04" w:rsidRPr="00EF1E09">
        <w:rPr>
          <w:rFonts w:ascii="David" w:hAnsi="David" w:cs="David"/>
        </w:rPr>
        <w:t>compliance</w:t>
      </w:r>
      <w:r w:rsidRPr="00EF1E09">
        <w:rPr>
          <w:rFonts w:ascii="David" w:hAnsi="David" w:cs="David"/>
        </w:rPr>
        <w:t xml:space="preserve"> motivation. </w:t>
      </w:r>
      <w:r w:rsidRPr="0047237E">
        <w:rPr>
          <w:rFonts w:ascii="David" w:hAnsi="David" w:cs="David"/>
        </w:rPr>
        <w:t xml:space="preserve">V. Braithwait, </w:t>
      </w:r>
      <w:proofErr w:type="gramStart"/>
      <w:r w:rsidRPr="0047237E">
        <w:rPr>
          <w:rFonts w:ascii="David" w:hAnsi="David" w:cs="David"/>
        </w:rPr>
        <w:t>Murphy</w:t>
      </w:r>
      <w:proofErr w:type="gramEnd"/>
      <w:r w:rsidRPr="0047237E">
        <w:rPr>
          <w:rFonts w:ascii="David" w:hAnsi="David" w:cs="David"/>
        </w:rPr>
        <w:t xml:space="preserve"> and Reinhart</w:t>
      </w:r>
      <w:r w:rsidR="00F43907">
        <w:rPr>
          <w:rFonts w:ascii="David" w:hAnsi="David" w:cs="David"/>
        </w:rPr>
        <w:t>,</w:t>
      </w:r>
      <w:r w:rsidRPr="0044682A">
        <w:rPr>
          <w:rStyle w:val="FootnoteReference"/>
          <w:rFonts w:ascii="David" w:hAnsi="David" w:cs="David"/>
        </w:rPr>
        <w:footnoteReference w:id="121"/>
      </w:r>
      <w:r w:rsidRPr="00EF1E09">
        <w:rPr>
          <w:rStyle w:val="FootnoteReference"/>
        </w:rPr>
        <w:t xml:space="preserve"> </w:t>
      </w:r>
      <w:r w:rsidRPr="0047237E">
        <w:rPr>
          <w:rFonts w:ascii="David" w:hAnsi="David" w:cs="David"/>
        </w:rPr>
        <w:t>argues in their famous research on motivational postures that “the most effective regulatory outcome is achieved when</w:t>
      </w:r>
      <w:r>
        <w:rPr>
          <w:rFonts w:ascii="David" w:hAnsi="David" w:cs="David"/>
        </w:rPr>
        <w:t xml:space="preserve"> </w:t>
      </w:r>
      <w:r w:rsidRPr="0047237E">
        <w:rPr>
          <w:rFonts w:ascii="David" w:hAnsi="David" w:cs="David"/>
        </w:rPr>
        <w:t xml:space="preserve">the regulatory process can dampen the </w:t>
      </w:r>
      <w:r w:rsidRPr="0047237E">
        <w:rPr>
          <w:rFonts w:ascii="David" w:hAnsi="David" w:cs="David" w:hint="eastAsia"/>
        </w:rPr>
        <w:t>“</w:t>
      </w:r>
      <w:r w:rsidRPr="0047237E">
        <w:rPr>
          <w:rFonts w:ascii="David" w:hAnsi="David" w:cs="David"/>
        </w:rPr>
        <w:t>taking control</w:t>
      </w:r>
      <w:r w:rsidRPr="0047237E">
        <w:rPr>
          <w:rFonts w:ascii="David" w:hAnsi="David" w:cs="David" w:hint="eastAsia"/>
        </w:rPr>
        <w:t>”</w:t>
      </w:r>
      <w:r w:rsidRPr="0047237E">
        <w:rPr>
          <w:rFonts w:ascii="David" w:hAnsi="David" w:cs="David"/>
        </w:rPr>
        <w:t xml:space="preserve"> and </w:t>
      </w:r>
      <w:r w:rsidRPr="0047237E">
        <w:rPr>
          <w:rFonts w:ascii="David" w:hAnsi="David" w:cs="David" w:hint="eastAsia"/>
        </w:rPr>
        <w:t>“</w:t>
      </w:r>
      <w:r w:rsidRPr="0047237E">
        <w:rPr>
          <w:rFonts w:ascii="David" w:hAnsi="David" w:cs="David"/>
        </w:rPr>
        <w:t xml:space="preserve">feeling </w:t>
      </w:r>
      <w:r w:rsidR="005C0C04" w:rsidRPr="0047237E">
        <w:rPr>
          <w:rFonts w:ascii="David" w:hAnsi="David" w:cs="David"/>
        </w:rPr>
        <w:t>oppressed</w:t>
      </w:r>
      <w:r w:rsidR="005C0C04" w:rsidRPr="0047237E">
        <w:rPr>
          <w:rFonts w:ascii="David" w:hAnsi="David" w:cs="David" w:hint="eastAsia"/>
        </w:rPr>
        <w:t xml:space="preserve"> </w:t>
      </w:r>
      <w:r w:rsidR="005C0C04" w:rsidRPr="0047237E">
        <w:rPr>
          <w:rFonts w:ascii="David" w:hAnsi="David" w:cs="David"/>
        </w:rPr>
        <w:t>“</w:t>
      </w:r>
      <w:r w:rsidR="00F43907" w:rsidRPr="0047237E">
        <w:rPr>
          <w:rFonts w:ascii="David" w:hAnsi="David" w:cs="David"/>
        </w:rPr>
        <w:t>sensibilities and</w:t>
      </w:r>
      <w:r w:rsidRPr="0047237E">
        <w:rPr>
          <w:rFonts w:ascii="David" w:hAnsi="David" w:cs="David"/>
        </w:rPr>
        <w:t xml:space="preserve"> strengthen the </w:t>
      </w:r>
      <w:r w:rsidRPr="0047237E">
        <w:rPr>
          <w:rFonts w:ascii="David" w:hAnsi="David" w:cs="David" w:hint="eastAsia"/>
        </w:rPr>
        <w:t>“</w:t>
      </w:r>
      <w:r w:rsidRPr="0047237E">
        <w:rPr>
          <w:rFonts w:ascii="David" w:hAnsi="David" w:cs="David"/>
        </w:rPr>
        <w:t>thinking morally</w:t>
      </w:r>
      <w:r w:rsidRPr="0047237E">
        <w:rPr>
          <w:rFonts w:ascii="David" w:hAnsi="David" w:cs="David" w:hint="eastAsia"/>
        </w:rPr>
        <w:t>”</w:t>
      </w:r>
      <w:r w:rsidRPr="0047237E">
        <w:rPr>
          <w:rFonts w:ascii="David" w:hAnsi="David" w:cs="David"/>
        </w:rPr>
        <w:t xml:space="preserve"> sensibility”</w:t>
      </w:r>
      <w:r>
        <w:rPr>
          <w:rFonts w:ascii="David" w:hAnsi="David" w:cs="David"/>
        </w:rPr>
        <w:t xml:space="preserve">. </w:t>
      </w:r>
    </w:p>
    <w:p w14:paraId="2308148D" w14:textId="28CB7223" w:rsidR="006E0F16" w:rsidRPr="0047237E" w:rsidRDefault="00D54B23" w:rsidP="00EF1E09">
      <w:pPr>
        <w:spacing w:line="360" w:lineRule="auto"/>
        <w:jc w:val="both"/>
        <w:rPr>
          <w:rFonts w:ascii="David" w:hAnsi="David" w:cs="David"/>
          <w:b/>
          <w:bCs/>
        </w:rPr>
      </w:pPr>
      <w:r w:rsidRPr="0047237E">
        <w:rPr>
          <w:rFonts w:ascii="David" w:hAnsi="David" w:cs="David"/>
        </w:rPr>
        <w:t>Interestingly when analyzing the components of th</w:t>
      </w:r>
      <w:r w:rsidR="00F304AA">
        <w:rPr>
          <w:rFonts w:ascii="David" w:hAnsi="David" w:cs="David"/>
        </w:rPr>
        <w:t>e motivational posture paradigm</w:t>
      </w:r>
      <w:r w:rsidRPr="0047237E">
        <w:rPr>
          <w:rFonts w:ascii="David" w:hAnsi="David" w:cs="David"/>
        </w:rPr>
        <w:t xml:space="preserve"> theory, it is very much related to </w:t>
      </w:r>
      <w:proofErr w:type="gramStart"/>
      <w:r w:rsidRPr="0047237E">
        <w:rPr>
          <w:rFonts w:ascii="David" w:hAnsi="David" w:cs="David"/>
        </w:rPr>
        <w:t>argument</w:t>
      </w:r>
      <w:proofErr w:type="gramEnd"/>
      <w:r w:rsidRPr="0047237E">
        <w:rPr>
          <w:rFonts w:ascii="David" w:hAnsi="David" w:cs="David"/>
        </w:rPr>
        <w:t xml:space="preserve"> we made </w:t>
      </w:r>
      <w:proofErr w:type="gramStart"/>
      <w:r w:rsidRPr="0047237E">
        <w:rPr>
          <w:rFonts w:ascii="David" w:hAnsi="David" w:cs="David"/>
        </w:rPr>
        <w:t>with regard to</w:t>
      </w:r>
      <w:proofErr w:type="gramEnd"/>
      <w:r w:rsidRPr="0047237E">
        <w:rPr>
          <w:rFonts w:ascii="David" w:hAnsi="David" w:cs="David"/>
        </w:rPr>
        <w:t xml:space="preserve"> procedural justice and legitimacy, being external to the law. This </w:t>
      </w:r>
      <w:proofErr w:type="gramStart"/>
      <w:r w:rsidRPr="0047237E">
        <w:rPr>
          <w:rFonts w:ascii="David" w:hAnsi="David" w:cs="David"/>
        </w:rPr>
        <w:t>paradigm,</w:t>
      </w:r>
      <w:proofErr w:type="gramEnd"/>
      <w:r w:rsidRPr="0047237E">
        <w:rPr>
          <w:rFonts w:ascii="David" w:hAnsi="David" w:cs="David"/>
        </w:rPr>
        <w:t xml:space="preserve"> also focuses on the </w:t>
      </w:r>
      <w:r w:rsidR="0044682A" w:rsidRPr="0047237E">
        <w:rPr>
          <w:rFonts w:ascii="David" w:hAnsi="David" w:cs="David"/>
        </w:rPr>
        <w:t>relationship</w:t>
      </w:r>
      <w:r w:rsidRPr="0047237E">
        <w:rPr>
          <w:rFonts w:ascii="David" w:hAnsi="David" w:cs="David"/>
        </w:rPr>
        <w:t xml:space="preserve"> with the system and not with the law, making it again extrinsic to the law itself. However, as suggested above also </w:t>
      </w:r>
      <w:proofErr w:type="gramStart"/>
      <w:r w:rsidRPr="0047237E">
        <w:rPr>
          <w:rFonts w:ascii="David" w:hAnsi="David" w:cs="David"/>
        </w:rPr>
        <w:t>with regard to</w:t>
      </w:r>
      <w:proofErr w:type="gramEnd"/>
      <w:r w:rsidRPr="0047237E">
        <w:rPr>
          <w:rFonts w:ascii="David" w:hAnsi="David" w:cs="David"/>
        </w:rPr>
        <w:t xml:space="preserve"> trust, some of the postures are in </w:t>
      </w:r>
      <w:proofErr w:type="gramStart"/>
      <w:r w:rsidRPr="0047237E">
        <w:rPr>
          <w:rFonts w:ascii="David" w:hAnsi="David" w:cs="David"/>
        </w:rPr>
        <w:t>lines</w:t>
      </w:r>
      <w:proofErr w:type="gramEnd"/>
      <w:r w:rsidRPr="0047237E">
        <w:rPr>
          <w:rFonts w:ascii="David" w:hAnsi="David" w:cs="David"/>
        </w:rPr>
        <w:t xml:space="preserve"> with the motivation being not driven through processes of coercion. </w:t>
      </w:r>
      <w:r w:rsidR="0030759B">
        <w:rPr>
          <w:rFonts w:ascii="David" w:hAnsi="David" w:cs="David" w:hint="cs"/>
          <w:rtl/>
        </w:rPr>
        <w:t xml:space="preserve"> </w:t>
      </w:r>
      <w:r w:rsidR="00E21F7D" w:rsidRPr="0047237E">
        <w:rPr>
          <w:rFonts w:ascii="David" w:hAnsi="David" w:cs="David"/>
        </w:rPr>
        <w:t xml:space="preserve">Valery </w:t>
      </w:r>
      <w:r w:rsidR="006E0F16" w:rsidRPr="0047237E">
        <w:rPr>
          <w:rFonts w:ascii="David" w:hAnsi="David" w:cs="David"/>
        </w:rPr>
        <w:t xml:space="preserve">Braithwaite implanted the </w:t>
      </w:r>
      <w:proofErr w:type="gramStart"/>
      <w:r w:rsidR="006E0F16" w:rsidRPr="0047237E">
        <w:rPr>
          <w:rFonts w:ascii="David" w:hAnsi="David" w:cs="David"/>
        </w:rPr>
        <w:t>term of</w:t>
      </w:r>
      <w:proofErr w:type="gramEnd"/>
      <w:r w:rsidR="006E0F16" w:rsidRPr="0047237E">
        <w:rPr>
          <w:rFonts w:ascii="David" w:hAnsi="David" w:cs="David"/>
        </w:rPr>
        <w:t xml:space="preserve"> motivational postures, that are described as signals that people send to authorities to indicate their willingness to defer to the authority’s rules. Braithwaite indicated five different motivational postures, commitment, capitulation, resistance, </w:t>
      </w:r>
      <w:proofErr w:type="gramStart"/>
      <w:r w:rsidR="006E0F16" w:rsidRPr="0047237E">
        <w:rPr>
          <w:rFonts w:ascii="David" w:hAnsi="David" w:cs="David"/>
        </w:rPr>
        <w:t>disengagement</w:t>
      </w:r>
      <w:proofErr w:type="gramEnd"/>
      <w:r w:rsidR="006E0F16" w:rsidRPr="0047237E">
        <w:rPr>
          <w:rFonts w:ascii="David" w:hAnsi="David" w:cs="David"/>
        </w:rPr>
        <w:t xml:space="preserve"> and game playing</w:t>
      </w:r>
      <w:r w:rsidR="00DE399F">
        <w:rPr>
          <w:rStyle w:val="FootnoteReference"/>
          <w:rFonts w:ascii="David" w:hAnsi="David" w:cs="David"/>
        </w:rPr>
        <w:footnoteReference w:id="122"/>
      </w:r>
      <w:r w:rsidR="006E0F16" w:rsidRPr="0047237E">
        <w:rPr>
          <w:rFonts w:ascii="David" w:hAnsi="David" w:cs="David"/>
        </w:rPr>
        <w:t xml:space="preserve"> </w:t>
      </w:r>
    </w:p>
    <w:p w14:paraId="122AE109" w14:textId="24CBDB7A" w:rsidR="006E0F16" w:rsidRPr="0047237E" w:rsidRDefault="006E0F16" w:rsidP="00EF1E09">
      <w:pPr>
        <w:spacing w:line="360" w:lineRule="auto"/>
        <w:jc w:val="both"/>
        <w:rPr>
          <w:rFonts w:ascii="David" w:hAnsi="David" w:cs="David"/>
          <w:b/>
          <w:bCs/>
          <w:rtl/>
        </w:rPr>
      </w:pPr>
      <w:r w:rsidRPr="0047237E">
        <w:rPr>
          <w:rFonts w:ascii="David" w:hAnsi="David" w:cs="David"/>
        </w:rPr>
        <w:lastRenderedPageBreak/>
        <w:t>Some tried to use Braithwaite’s motivational posturing framework to explain individuals’ reaction to authorities</w:t>
      </w:r>
      <w:r w:rsidR="0044682A">
        <w:rPr>
          <w:rFonts w:ascii="David" w:hAnsi="David" w:cs="David"/>
        </w:rPr>
        <w:t>,</w:t>
      </w:r>
      <w:r w:rsidR="00B95F90">
        <w:rPr>
          <w:rStyle w:val="FootnoteReference"/>
          <w:rFonts w:ascii="David" w:hAnsi="David" w:cs="David"/>
        </w:rPr>
        <w:footnoteReference w:id="123"/>
      </w:r>
      <w:r w:rsidRPr="0047237E">
        <w:rPr>
          <w:rFonts w:ascii="David" w:hAnsi="David" w:cs="David"/>
        </w:rPr>
        <w:t xml:space="preserve"> </w:t>
      </w:r>
      <w:r w:rsidR="0030759B">
        <w:rPr>
          <w:rFonts w:ascii="David" w:hAnsi="David" w:cs="David" w:hint="cs"/>
          <w:rtl/>
        </w:rPr>
        <w:t xml:space="preserve"> </w:t>
      </w:r>
      <w:r w:rsidRPr="0047237E">
        <w:rPr>
          <w:rFonts w:ascii="David" w:hAnsi="David" w:cs="David"/>
        </w:rPr>
        <w:t>The motivational posture theory was also applied and in the context of Australian agriculture and environmental regulation.</w:t>
      </w:r>
      <w:r w:rsidR="00B95F90">
        <w:rPr>
          <w:rStyle w:val="FootnoteReference"/>
          <w:rFonts w:ascii="David" w:hAnsi="David" w:cs="David"/>
        </w:rPr>
        <w:footnoteReference w:id="124"/>
      </w:r>
      <w:r w:rsidRPr="0047237E">
        <w:rPr>
          <w:rFonts w:ascii="David" w:hAnsi="David" w:cs="David"/>
        </w:rPr>
        <w:t xml:space="preserve"> Postures were predictive of beyond compliance </w:t>
      </w:r>
      <w:r w:rsidR="00D14D16" w:rsidRPr="0047237E">
        <w:rPr>
          <w:rFonts w:ascii="David" w:hAnsi="David" w:cs="David"/>
        </w:rPr>
        <w:t>behavior</w:t>
      </w:r>
      <w:r w:rsidRPr="0047237E">
        <w:rPr>
          <w:rFonts w:ascii="David" w:hAnsi="David" w:cs="David"/>
        </w:rPr>
        <w:t xml:space="preserve">. The Aligned were more likely to undertake beyond compliance </w:t>
      </w:r>
      <w:r w:rsidR="00D14D16" w:rsidRPr="0047237E">
        <w:rPr>
          <w:rFonts w:ascii="David" w:hAnsi="David" w:cs="David"/>
        </w:rPr>
        <w:t>behaviors</w:t>
      </w:r>
      <w:r w:rsidRPr="0047237E">
        <w:rPr>
          <w:rFonts w:ascii="David" w:hAnsi="David" w:cs="David"/>
        </w:rPr>
        <w:t xml:space="preserve"> and Game players least likely</w:t>
      </w:r>
      <w:r w:rsidR="0044682A">
        <w:rPr>
          <w:rFonts w:ascii="David" w:hAnsi="David" w:cs="David"/>
        </w:rPr>
        <w:t>.</w:t>
      </w:r>
      <w:r w:rsidR="00B95F90">
        <w:rPr>
          <w:rStyle w:val="FootnoteReference"/>
          <w:rFonts w:ascii="David" w:hAnsi="David" w:cs="David"/>
        </w:rPr>
        <w:footnoteReference w:id="125"/>
      </w:r>
      <w:r w:rsidRPr="0047237E">
        <w:rPr>
          <w:rFonts w:ascii="David" w:hAnsi="David" w:cs="David"/>
        </w:rPr>
        <w:t xml:space="preserve"> </w:t>
      </w:r>
      <w:r w:rsidR="0030759B">
        <w:rPr>
          <w:rFonts w:ascii="David" w:hAnsi="David" w:cs="David" w:hint="cs"/>
          <w:rtl/>
        </w:rPr>
        <w:t xml:space="preserve"> </w:t>
      </w:r>
      <w:r w:rsidRPr="0047237E">
        <w:rPr>
          <w:rFonts w:ascii="David" w:hAnsi="David" w:cs="David"/>
        </w:rPr>
        <w:t xml:space="preserve">Another study examined the perceptions of regulators and of </w:t>
      </w:r>
      <w:r w:rsidR="00D14D16" w:rsidRPr="0047237E">
        <w:rPr>
          <w:rFonts w:ascii="David" w:hAnsi="David" w:cs="David"/>
        </w:rPr>
        <w:t>regulates</w:t>
      </w:r>
      <w:r w:rsidRPr="0047237E">
        <w:rPr>
          <w:rFonts w:ascii="David" w:hAnsi="David" w:cs="David"/>
        </w:rPr>
        <w:t xml:space="preserve"> toward the regulatory encounter to predict subsequent compliance with nursing home quality of care standards</w:t>
      </w:r>
      <w:r w:rsidR="00B95F90">
        <w:rPr>
          <w:rFonts w:ascii="David" w:hAnsi="David" w:cs="David"/>
        </w:rPr>
        <w:t>.</w:t>
      </w:r>
      <w:r w:rsidR="00B95F90">
        <w:rPr>
          <w:rStyle w:val="FootnoteReference"/>
          <w:rFonts w:ascii="David" w:hAnsi="David" w:cs="David"/>
        </w:rPr>
        <w:footnoteReference w:id="126"/>
      </w:r>
      <w:r w:rsidRPr="0047237E">
        <w:rPr>
          <w:rFonts w:ascii="David" w:hAnsi="David" w:cs="David"/>
        </w:rPr>
        <w:t xml:space="preserve"> Another study argues that the way in which the relation between trust and control is conceptualized in the dominant responsive regulation theory (RRT) may be improved using </w:t>
      </w:r>
      <w:r w:rsidR="00D14D16" w:rsidRPr="0047237E">
        <w:rPr>
          <w:rFonts w:ascii="David" w:hAnsi="David" w:cs="David"/>
        </w:rPr>
        <w:t>self-determination</w:t>
      </w:r>
      <w:r w:rsidRPr="0047237E">
        <w:rPr>
          <w:rFonts w:ascii="David" w:hAnsi="David" w:cs="David"/>
        </w:rPr>
        <w:t xml:space="preserve"> theory</w:t>
      </w:r>
      <w:r w:rsidR="0044682A">
        <w:rPr>
          <w:rFonts w:ascii="David" w:hAnsi="David" w:cs="David"/>
        </w:rPr>
        <w:t>.</w:t>
      </w:r>
      <w:r w:rsidR="0030759B">
        <w:rPr>
          <w:rStyle w:val="FootnoteReference"/>
          <w:rFonts w:ascii="David" w:hAnsi="David" w:cs="David"/>
        </w:rPr>
        <w:footnoteReference w:id="127"/>
      </w:r>
      <w:r w:rsidR="002B00D4" w:rsidRPr="0047237E">
        <w:rPr>
          <w:rFonts w:ascii="David" w:hAnsi="David" w:cs="David"/>
        </w:rPr>
        <w:t xml:space="preserve"> </w:t>
      </w:r>
    </w:p>
    <w:p w14:paraId="1207D510" w14:textId="3BAF8FBE" w:rsidR="006E0F16" w:rsidRPr="0047237E" w:rsidRDefault="006E0F16" w:rsidP="00EF1E09">
      <w:pPr>
        <w:spacing w:line="360" w:lineRule="auto"/>
        <w:jc w:val="both"/>
        <w:rPr>
          <w:rFonts w:ascii="David" w:hAnsi="David" w:cs="David"/>
          <w:b/>
          <w:bCs/>
        </w:rPr>
      </w:pPr>
      <w:r w:rsidRPr="0047237E">
        <w:rPr>
          <w:rFonts w:ascii="David" w:hAnsi="David" w:cs="David"/>
        </w:rPr>
        <w:t xml:space="preserve">The article argues that the most effective regulatory outcome is achieved when the regulatory process can dampen the “taking control” and “feeling oppressed” </w:t>
      </w:r>
      <w:commentRangeStart w:id="27"/>
      <w:r w:rsidR="00F43907" w:rsidRPr="0047237E">
        <w:rPr>
          <w:rFonts w:ascii="David" w:hAnsi="David" w:cs="David"/>
        </w:rPr>
        <w:t>sensibilities and</w:t>
      </w:r>
      <w:r w:rsidRPr="0047237E">
        <w:rPr>
          <w:rFonts w:ascii="David" w:hAnsi="David" w:cs="David"/>
        </w:rPr>
        <w:t xml:space="preserve"> strengthen the “thinking morally” sensibility</w:t>
      </w:r>
      <w:commentRangeEnd w:id="27"/>
      <w:r w:rsidR="00F43907">
        <w:rPr>
          <w:rStyle w:val="CommentReference"/>
          <w:rFonts w:ascii="Calibri" w:eastAsia="Calibri" w:hAnsi="Calibri" w:cs="Arial"/>
          <w:rtl/>
        </w:rPr>
        <w:commentReference w:id="27"/>
      </w:r>
      <w:r w:rsidR="00F43907">
        <w:rPr>
          <w:rFonts w:ascii="David" w:hAnsi="David" w:cs="David"/>
        </w:rPr>
        <w:t>.</w:t>
      </w:r>
      <w:r w:rsidR="00B95F90">
        <w:rPr>
          <w:rStyle w:val="FootnoteReference"/>
          <w:rFonts w:ascii="David" w:hAnsi="David" w:cs="David"/>
        </w:rPr>
        <w:footnoteReference w:id="128"/>
      </w:r>
      <w:r w:rsidRPr="0047237E">
        <w:rPr>
          <w:rFonts w:ascii="David" w:hAnsi="David" w:cs="David"/>
        </w:rPr>
        <w:t xml:space="preserve"> </w:t>
      </w:r>
    </w:p>
    <w:p w14:paraId="3170FE8F" w14:textId="592A3D3F" w:rsidR="006F3E8B" w:rsidRPr="0047237E" w:rsidRDefault="00CE79F8" w:rsidP="00EF1E09">
      <w:pPr>
        <w:spacing w:line="360" w:lineRule="auto"/>
        <w:jc w:val="both"/>
        <w:rPr>
          <w:rFonts w:ascii="David" w:hAnsi="David" w:cs="David"/>
        </w:rPr>
      </w:pPr>
      <w:r w:rsidRPr="0047237E">
        <w:rPr>
          <w:rFonts w:ascii="David" w:hAnsi="David" w:cs="David"/>
        </w:rPr>
        <w:t xml:space="preserve">The main problem with this approach from the perspective of this book is that it is not clear what is the likelihood that such posture will stay stable over time, how much of </w:t>
      </w:r>
      <w:proofErr w:type="gramStart"/>
      <w:r w:rsidRPr="0047237E">
        <w:rPr>
          <w:rFonts w:ascii="David" w:hAnsi="David" w:cs="David"/>
        </w:rPr>
        <w:t>it,</w:t>
      </w:r>
      <w:proofErr w:type="gramEnd"/>
      <w:r w:rsidRPr="0047237E">
        <w:rPr>
          <w:rFonts w:ascii="David" w:hAnsi="David" w:cs="David"/>
        </w:rPr>
        <w:t xml:space="preserve"> is dependent upon the specific of a legal ordinance. </w:t>
      </w:r>
      <w:r>
        <w:rPr>
          <w:rFonts w:ascii="David" w:hAnsi="David" w:cs="David"/>
        </w:rPr>
        <w:t xml:space="preserve">Furthermore, </w:t>
      </w:r>
      <w:r w:rsidR="00A1783F" w:rsidRPr="0047237E">
        <w:rPr>
          <w:rFonts w:ascii="David" w:hAnsi="David" w:cs="David"/>
        </w:rPr>
        <w:t xml:space="preserve">for the theme of this book, it is important to examine what are the antecedents of posture, what ensure it, how big is the connection between intrinsic motivation. Can state really change something with the posture of people? </w:t>
      </w:r>
    </w:p>
    <w:p w14:paraId="319699A4" w14:textId="1074399A" w:rsidR="006B0436" w:rsidRPr="0047237E" w:rsidRDefault="001D4AB3" w:rsidP="00EF1E09">
      <w:pPr>
        <w:spacing w:line="360" w:lineRule="auto"/>
        <w:jc w:val="both"/>
        <w:rPr>
          <w:rFonts w:ascii="David" w:hAnsi="David" w:cs="David"/>
        </w:rPr>
      </w:pPr>
      <w:r w:rsidRPr="0047237E">
        <w:rPr>
          <w:rFonts w:ascii="David" w:hAnsi="David" w:cs="David"/>
        </w:rPr>
        <w:t xml:space="preserve">According to this line of </w:t>
      </w:r>
      <w:proofErr w:type="gramStart"/>
      <w:r w:rsidRPr="0047237E">
        <w:rPr>
          <w:rFonts w:ascii="David" w:hAnsi="David" w:cs="David"/>
        </w:rPr>
        <w:t>research</w:t>
      </w:r>
      <w:proofErr w:type="gramEnd"/>
      <w:r w:rsidRPr="0047237E">
        <w:rPr>
          <w:rFonts w:ascii="David" w:hAnsi="David" w:cs="David"/>
        </w:rPr>
        <w:t xml:space="preserve"> gaining voluntary compliance is </w:t>
      </w:r>
      <w:r w:rsidR="006A3EC7" w:rsidRPr="0047237E">
        <w:rPr>
          <w:rFonts w:ascii="David" w:hAnsi="David" w:cs="David"/>
        </w:rPr>
        <w:t xml:space="preserve">complicated because it requires regulators to be able to </w:t>
      </w:r>
      <w:r w:rsidR="00640E24" w:rsidRPr="0047237E">
        <w:rPr>
          <w:rFonts w:ascii="David" w:hAnsi="David" w:cs="David"/>
        </w:rPr>
        <w:t xml:space="preserve">tailor their interventions to the level of people’s intrinsic motivation. The ability to tailor regulatory approaches to peoples’ level of intrinsic motivation, </w:t>
      </w:r>
      <w:proofErr w:type="gramStart"/>
      <w:r w:rsidR="00640E24" w:rsidRPr="0047237E">
        <w:rPr>
          <w:rFonts w:ascii="David" w:hAnsi="David" w:cs="David"/>
        </w:rPr>
        <w:t>require</w:t>
      </w:r>
      <w:proofErr w:type="gramEnd"/>
      <w:r w:rsidR="00640E24" w:rsidRPr="0047237E">
        <w:rPr>
          <w:rFonts w:ascii="David" w:hAnsi="David" w:cs="David"/>
        </w:rPr>
        <w:t xml:space="preserve"> </w:t>
      </w:r>
      <w:r w:rsidR="00F43907" w:rsidRPr="0047237E">
        <w:rPr>
          <w:rFonts w:ascii="David" w:hAnsi="David" w:cs="David"/>
        </w:rPr>
        <w:t>some</w:t>
      </w:r>
      <w:r w:rsidR="00640E24" w:rsidRPr="0047237E">
        <w:rPr>
          <w:rFonts w:ascii="David" w:hAnsi="David" w:cs="David"/>
        </w:rPr>
        <w:t xml:space="preserve"> signaling by their action of their level of motivations, as well as to some knowledge on how they behave. </w:t>
      </w:r>
    </w:p>
    <w:p w14:paraId="7990EF75" w14:textId="77777777" w:rsidR="006B0436" w:rsidRDefault="006B0436" w:rsidP="00EF1E09">
      <w:pPr>
        <w:spacing w:line="360" w:lineRule="auto"/>
        <w:jc w:val="both"/>
        <w:rPr>
          <w:rFonts w:ascii="David" w:hAnsi="David" w:cs="David"/>
          <w:color w:val="5B9BD5" w:themeColor="accent5"/>
        </w:rPr>
      </w:pPr>
      <w:r w:rsidRPr="0047237E">
        <w:rPr>
          <w:rFonts w:ascii="David" w:hAnsi="David" w:cs="David"/>
          <w:color w:val="5B9BD5" w:themeColor="accent5"/>
        </w:rPr>
        <w:t>Habit formation</w:t>
      </w:r>
    </w:p>
    <w:p w14:paraId="40B6CB9F" w14:textId="0815C03C" w:rsidR="006B0436" w:rsidRPr="0047237E" w:rsidRDefault="006B0436" w:rsidP="00EF1E09">
      <w:pPr>
        <w:spacing w:line="360" w:lineRule="auto"/>
        <w:jc w:val="both"/>
        <w:rPr>
          <w:rFonts w:ascii="David" w:hAnsi="David" w:cs="David"/>
        </w:rPr>
      </w:pPr>
      <w:r>
        <w:rPr>
          <w:rFonts w:ascii="David" w:hAnsi="David" w:cs="David"/>
        </w:rPr>
        <w:t xml:space="preserve">Finally when discussing the different motivations for behavioral compliance, while not being the focus of the book </w:t>
      </w:r>
      <w:r w:rsidR="009311B2">
        <w:rPr>
          <w:rFonts w:ascii="David" w:hAnsi="David" w:cs="David"/>
        </w:rPr>
        <w:t>which attempts</w:t>
      </w:r>
      <w:r>
        <w:rPr>
          <w:rFonts w:ascii="David" w:hAnsi="David" w:cs="David"/>
        </w:rPr>
        <w:t xml:space="preserve"> to take a motivational approach, we have to account for the role of habits in voluntary compliance, mainly because this has been suggested by so many </w:t>
      </w:r>
      <w:r>
        <w:rPr>
          <w:rFonts w:ascii="David" w:hAnsi="David" w:cs="David"/>
        </w:rPr>
        <w:lastRenderedPageBreak/>
        <w:t xml:space="preserve">scholars as one of the best ways to lead to a </w:t>
      </w:r>
      <w:proofErr w:type="gramStart"/>
      <w:r>
        <w:rPr>
          <w:rFonts w:ascii="David" w:hAnsi="David" w:cs="David"/>
        </w:rPr>
        <w:t>sustainable  behavioral</w:t>
      </w:r>
      <w:proofErr w:type="gramEnd"/>
      <w:r>
        <w:rPr>
          <w:rFonts w:ascii="David" w:hAnsi="David" w:cs="David"/>
        </w:rPr>
        <w:t xml:space="preserve"> change. </w:t>
      </w:r>
      <w:r w:rsidRPr="0047237E">
        <w:rPr>
          <w:rFonts w:ascii="David" w:hAnsi="David" w:cs="David"/>
        </w:rPr>
        <w:t xml:space="preserve">Katy </w:t>
      </w:r>
      <w:proofErr w:type="spellStart"/>
      <w:r w:rsidRPr="0047237E">
        <w:rPr>
          <w:rFonts w:ascii="David" w:hAnsi="David" w:cs="David"/>
        </w:rPr>
        <w:t>Milkaman</w:t>
      </w:r>
      <w:proofErr w:type="spellEnd"/>
      <w:r w:rsidRPr="0047237E">
        <w:rPr>
          <w:rFonts w:ascii="David" w:hAnsi="David" w:cs="David"/>
        </w:rPr>
        <w:t xml:space="preserve"> has also been an influential scholar on the area of habit formation, </w:t>
      </w:r>
      <w:proofErr w:type="spellStart"/>
      <w:r w:rsidRPr="0047237E">
        <w:rPr>
          <w:rFonts w:ascii="David" w:hAnsi="David" w:cs="David"/>
        </w:rPr>
        <w:t>agrguing</w:t>
      </w:r>
      <w:proofErr w:type="spellEnd"/>
      <w:r w:rsidRPr="0047237E">
        <w:rPr>
          <w:rFonts w:ascii="David" w:hAnsi="David" w:cs="David"/>
        </w:rPr>
        <w:t xml:space="preserve"> that for behavioral change to work, the best approach is based on creating habits which will reduce  the need to interact with the person on every instance when cooperation is needed</w:t>
      </w:r>
      <w:r w:rsidR="007534CF">
        <w:rPr>
          <w:rFonts w:ascii="David" w:hAnsi="David" w:cs="David"/>
        </w:rPr>
        <w:t>.</w:t>
      </w:r>
      <w:r>
        <w:rPr>
          <w:rStyle w:val="FootnoteReference"/>
          <w:rFonts w:ascii="David" w:hAnsi="David" w:cs="David"/>
        </w:rPr>
        <w:footnoteReference w:id="129"/>
      </w:r>
      <w:r w:rsidRPr="00D97CA8">
        <w:rPr>
          <w:rFonts w:ascii="David" w:hAnsi="David" w:cs="David"/>
        </w:rPr>
        <w:t xml:space="preserve"> </w:t>
      </w:r>
      <w:r w:rsidRPr="0047237E">
        <w:rPr>
          <w:rFonts w:ascii="David" w:hAnsi="David" w:cs="David"/>
        </w:rPr>
        <w:t>This is very similar to what Van Rooij and Fine</w:t>
      </w:r>
      <w:r w:rsidR="007534CF">
        <w:rPr>
          <w:rFonts w:ascii="David" w:hAnsi="David" w:cs="David"/>
        </w:rPr>
        <w:t>,</w:t>
      </w:r>
      <w:r>
        <w:rPr>
          <w:rStyle w:val="FootnoteReference"/>
          <w:rFonts w:ascii="David" w:hAnsi="David" w:cs="David"/>
        </w:rPr>
        <w:footnoteReference w:id="130"/>
      </w:r>
      <w:r w:rsidRPr="0047237E">
        <w:rPr>
          <w:rFonts w:ascii="David" w:hAnsi="David" w:cs="David"/>
        </w:rPr>
        <w:t xml:space="preserve"> argue with regard to seat belt becoming a habit trough an intense process that included many different regulatory tools up to a stage where people's motivation are not examined or analyzed</w:t>
      </w:r>
      <w:r>
        <w:rPr>
          <w:rFonts w:ascii="David" w:hAnsi="David" w:cs="David"/>
        </w:rPr>
        <w:t>.</w:t>
      </w:r>
      <w:r>
        <w:rPr>
          <w:rStyle w:val="FootnoteReference"/>
          <w:rFonts w:ascii="David" w:hAnsi="David" w:cs="David"/>
        </w:rPr>
        <w:footnoteReference w:id="131"/>
      </w:r>
    </w:p>
    <w:p w14:paraId="3FAE7C43" w14:textId="77777777" w:rsidR="006B0436" w:rsidRDefault="006B0436" w:rsidP="00EF1E09">
      <w:pPr>
        <w:spacing w:line="360" w:lineRule="auto"/>
        <w:jc w:val="both"/>
        <w:rPr>
          <w:rFonts w:ascii="David" w:hAnsi="David" w:cs="David"/>
        </w:rPr>
      </w:pPr>
    </w:p>
    <w:p w14:paraId="23E1E697" w14:textId="29821C89" w:rsidR="006B0436" w:rsidRDefault="006B0436" w:rsidP="00EF1E09">
      <w:pPr>
        <w:spacing w:line="360" w:lineRule="auto"/>
        <w:jc w:val="both"/>
        <w:rPr>
          <w:rFonts w:ascii="David" w:hAnsi="David" w:cs="David"/>
        </w:rPr>
      </w:pPr>
      <w:r>
        <w:rPr>
          <w:rFonts w:ascii="David" w:hAnsi="David" w:cs="David"/>
        </w:rPr>
        <w:t xml:space="preserve">Thus, most of the focus in the habit formation literature seem to get people to engage in the </w:t>
      </w:r>
      <w:r w:rsidR="009311B2">
        <w:rPr>
          <w:rFonts w:ascii="David" w:hAnsi="David" w:cs="David"/>
        </w:rPr>
        <w:t>behavior</w:t>
      </w:r>
      <w:r w:rsidR="009311B2">
        <w:rPr>
          <w:rFonts w:ascii="David" w:hAnsi="David" w:cs="David" w:hint="cs"/>
          <w:rtl/>
        </w:rPr>
        <w:t>,</w:t>
      </w:r>
      <w:r>
        <w:rPr>
          <w:rFonts w:ascii="David" w:hAnsi="David" w:cs="David"/>
        </w:rPr>
        <w:t xml:space="preserve"> with little emphasis on the motivational approached needed to get him there and then following the repetition of the action people will engage in the behavioral which is desirable for the state or the organization in a mindless way. Whether it is about going to the Gym as </w:t>
      </w:r>
      <w:commentRangeStart w:id="28"/>
      <w:r w:rsidR="00BF0488">
        <w:rPr>
          <w:rFonts w:ascii="David" w:hAnsi="David" w:cs="David"/>
        </w:rPr>
        <w:t xml:space="preserve">Milkman </w:t>
      </w:r>
      <w:commentRangeEnd w:id="28"/>
      <w:r w:rsidR="007534CF">
        <w:rPr>
          <w:rStyle w:val="CommentReference"/>
          <w:rFonts w:ascii="Calibri" w:eastAsia="Calibri" w:hAnsi="Calibri" w:cs="Arial"/>
          <w:rtl/>
        </w:rPr>
        <w:commentReference w:id="28"/>
      </w:r>
      <w:r>
        <w:rPr>
          <w:rFonts w:ascii="David" w:hAnsi="David" w:cs="David"/>
        </w:rPr>
        <w:t xml:space="preserve">write </w:t>
      </w:r>
      <w:r w:rsidR="009311B2">
        <w:rPr>
          <w:rFonts w:ascii="David" w:hAnsi="David" w:cs="David"/>
        </w:rPr>
        <w:t>about or</w:t>
      </w:r>
      <w:r>
        <w:rPr>
          <w:rFonts w:ascii="David" w:hAnsi="David" w:cs="David"/>
        </w:rPr>
        <w:t xml:space="preserve"> wearing a seat belt as </w:t>
      </w:r>
      <w:commentRangeStart w:id="29"/>
      <w:r>
        <w:rPr>
          <w:rFonts w:ascii="David" w:hAnsi="David" w:cs="David"/>
        </w:rPr>
        <w:t xml:space="preserve">Van </w:t>
      </w:r>
      <w:proofErr w:type="spellStart"/>
      <w:r>
        <w:rPr>
          <w:rFonts w:ascii="David" w:hAnsi="David" w:cs="David"/>
        </w:rPr>
        <w:t>Rooije</w:t>
      </w:r>
      <w:proofErr w:type="spellEnd"/>
      <w:r>
        <w:rPr>
          <w:rFonts w:ascii="David" w:hAnsi="David" w:cs="David"/>
        </w:rPr>
        <w:t xml:space="preserve"> and Fine </w:t>
      </w:r>
      <w:commentRangeEnd w:id="29"/>
      <w:r w:rsidR="007534CF">
        <w:rPr>
          <w:rStyle w:val="CommentReference"/>
          <w:rFonts w:ascii="Calibri" w:eastAsia="Calibri" w:hAnsi="Calibri" w:cs="Arial"/>
          <w:rtl/>
        </w:rPr>
        <w:commentReference w:id="29"/>
      </w:r>
      <w:r>
        <w:rPr>
          <w:rFonts w:ascii="David" w:hAnsi="David" w:cs="David"/>
        </w:rPr>
        <w:t>write about. Clearly going to the Gym was not based on enforcement like wearing a seat belt but starting from a certain point, it is supposedly a similar affect. A similar attempt was done during the covid era</w:t>
      </w:r>
      <w:r w:rsidRPr="0047237E">
        <w:rPr>
          <w:rFonts w:ascii="David" w:hAnsi="David" w:cs="David"/>
        </w:rPr>
        <w:t>, where wearing masks could easily become a habit, as it is a very simple type of behavior</w:t>
      </w:r>
      <w:r>
        <w:rPr>
          <w:rFonts w:ascii="David" w:hAnsi="David" w:cs="David"/>
        </w:rPr>
        <w:t xml:space="preserve">, where causing people to do it every time, will at some point lead to such behavioral pattern, the initial motivation that led to the original </w:t>
      </w:r>
      <w:r w:rsidR="007534CF">
        <w:rPr>
          <w:rFonts w:ascii="David" w:hAnsi="David" w:cs="David"/>
        </w:rPr>
        <w:t>few</w:t>
      </w:r>
      <w:r>
        <w:rPr>
          <w:rFonts w:ascii="David" w:hAnsi="David" w:cs="David"/>
        </w:rPr>
        <w:t xml:space="preserve"> times seems in some of this research as secondary to the mere effect of simply doing it over and over again. Similar </w:t>
      </w:r>
      <w:proofErr w:type="gramStart"/>
      <w:r>
        <w:rPr>
          <w:rFonts w:ascii="David" w:hAnsi="David" w:cs="David"/>
        </w:rPr>
        <w:t>thing</w:t>
      </w:r>
      <w:proofErr w:type="gramEnd"/>
      <w:r>
        <w:rPr>
          <w:rFonts w:ascii="David" w:hAnsi="David" w:cs="David"/>
        </w:rPr>
        <w:t xml:space="preserve"> could be seen in environmental contexts, such as when</w:t>
      </w:r>
      <w:r w:rsidRPr="0047237E">
        <w:rPr>
          <w:rFonts w:ascii="David" w:hAnsi="David" w:cs="David"/>
        </w:rPr>
        <w:t xml:space="preserve">. Recycling could become a habit as it is also a very simple behavioral pattern. </w:t>
      </w:r>
    </w:p>
    <w:p w14:paraId="2C57F6F0" w14:textId="77777777" w:rsidR="006B0436" w:rsidRPr="0047237E" w:rsidRDefault="006B0436" w:rsidP="00EF1E09">
      <w:pPr>
        <w:pStyle w:val="Heading2"/>
        <w:spacing w:line="360" w:lineRule="auto"/>
        <w:jc w:val="both"/>
      </w:pPr>
      <w:r>
        <w:t xml:space="preserve">The Habit </w:t>
      </w:r>
      <w:proofErr w:type="gramStart"/>
      <w:r>
        <w:t>challenge</w:t>
      </w:r>
      <w:proofErr w:type="gramEnd"/>
    </w:p>
    <w:p w14:paraId="45A924FC" w14:textId="77777777" w:rsidR="006B0436" w:rsidRPr="0047237E" w:rsidRDefault="006B0436" w:rsidP="00EF1E09">
      <w:pPr>
        <w:spacing w:line="360" w:lineRule="auto"/>
        <w:jc w:val="both"/>
        <w:rPr>
          <w:rFonts w:ascii="David" w:hAnsi="David" w:cs="David"/>
        </w:rPr>
      </w:pPr>
      <w:r w:rsidRPr="0047237E">
        <w:rPr>
          <w:rFonts w:ascii="David" w:hAnsi="David" w:cs="David"/>
        </w:rPr>
        <w:t xml:space="preserve">What about more complex behaviors where making them into a habit might be too problematic, when it comes to more complicated behaviors, where habit formation is not likely to be relevant, unless the habit focus on very abstract type of behaviors such as being honest. </w:t>
      </w:r>
    </w:p>
    <w:p w14:paraId="04FCC28C" w14:textId="77777777" w:rsidR="006B0436" w:rsidRPr="0047237E" w:rsidRDefault="006B0436" w:rsidP="00EF1E09">
      <w:pPr>
        <w:spacing w:line="360" w:lineRule="auto"/>
        <w:jc w:val="both"/>
        <w:rPr>
          <w:rFonts w:ascii="David" w:hAnsi="David" w:cs="David"/>
        </w:rPr>
      </w:pPr>
      <w:r w:rsidRPr="0047237E">
        <w:rPr>
          <w:rFonts w:ascii="David" w:hAnsi="David" w:cs="David"/>
        </w:rPr>
        <w:t>Main problem is to predict what would make a behavior into a habit</w:t>
      </w:r>
      <w:r>
        <w:rPr>
          <w:rFonts w:ascii="David" w:hAnsi="David" w:cs="David"/>
        </w:rPr>
        <w:t xml:space="preserve">, and whether it is possible to break more complex behavior into more simple actions to which people could be induced. </w:t>
      </w:r>
      <w:proofErr w:type="gramStart"/>
      <w:r w:rsidRPr="0047237E">
        <w:rPr>
          <w:rFonts w:ascii="David" w:hAnsi="David" w:cs="David"/>
        </w:rPr>
        <w:t>Also</w:t>
      </w:r>
      <w:proofErr w:type="gramEnd"/>
      <w:r w:rsidRPr="0047237E">
        <w:rPr>
          <w:rFonts w:ascii="David" w:hAnsi="David" w:cs="David"/>
        </w:rPr>
        <w:t xml:space="preserve"> what about normatively creating habitual individuals? Is that even a permissive move for states to create such habits? Presumably when we want to do so for seat belt wearing it is easy, but is it also the case when it comes to behaviors with some greater externalities on people's autonomy? </w:t>
      </w:r>
    </w:p>
    <w:p w14:paraId="3AED02F1" w14:textId="77777777" w:rsidR="006B0436" w:rsidRPr="0047237E" w:rsidRDefault="006B0436" w:rsidP="00EF1E09">
      <w:pPr>
        <w:spacing w:line="360" w:lineRule="auto"/>
        <w:jc w:val="both"/>
        <w:rPr>
          <w:rFonts w:ascii="David" w:hAnsi="David" w:cs="David"/>
        </w:rPr>
      </w:pPr>
    </w:p>
    <w:p w14:paraId="10EABFDA" w14:textId="18CEB948" w:rsidR="00A36510" w:rsidRPr="0047237E" w:rsidRDefault="00A36510" w:rsidP="00EF1E09">
      <w:pPr>
        <w:spacing w:line="360" w:lineRule="auto"/>
        <w:jc w:val="both"/>
        <w:rPr>
          <w:rFonts w:ascii="David" w:hAnsi="David" w:cs="David"/>
        </w:rPr>
      </w:pPr>
    </w:p>
    <w:p w14:paraId="11AC452B" w14:textId="77F80447" w:rsidR="00A36510" w:rsidRDefault="006B0436" w:rsidP="00EF1E09">
      <w:pPr>
        <w:pStyle w:val="Heading2"/>
        <w:spacing w:line="360" w:lineRule="auto"/>
        <w:jc w:val="both"/>
      </w:pPr>
      <w:r>
        <w:lastRenderedPageBreak/>
        <w:t>Trust as compliance motivation</w:t>
      </w:r>
    </w:p>
    <w:p w14:paraId="6963913B" w14:textId="71DAE9BC" w:rsidR="001615AF" w:rsidRDefault="001615AF" w:rsidP="00EF1E09">
      <w:pPr>
        <w:spacing w:line="360" w:lineRule="auto"/>
        <w:jc w:val="both"/>
      </w:pPr>
      <w:r>
        <w:t xml:space="preserve">One of the most discussed concepts within the area of regulatory </w:t>
      </w:r>
      <w:r w:rsidR="004161B0">
        <w:t>governance</w:t>
      </w:r>
      <w:r>
        <w:t xml:space="preserve"> is related to trust. Mostly in the classical way, trust is seen as replacing coercion, hence focusing on causing people to think about wanting to comply rather than being forced to comply. On the other hand, it is also possible to argue that </w:t>
      </w:r>
      <w:r w:rsidR="005336D3">
        <w:t xml:space="preserve">trust in institutions is not related to the behavior itself but rather to the ability of citizens to believe that requests from them are legitimate. Obeying to a legal ordinance because one feels that the institutions is well functioning, </w:t>
      </w:r>
      <w:r w:rsidR="004161B0">
        <w:t>professional</w:t>
      </w:r>
      <w:r w:rsidR="005336D3">
        <w:t xml:space="preserve"> objective and hence deserve trusting, could be seen as </w:t>
      </w:r>
      <w:r w:rsidR="009311B2">
        <w:t>non-coerced</w:t>
      </w:r>
      <w:r w:rsidR="005336D3">
        <w:t xml:space="preserve"> but nonetheless as not saying anything about the </w:t>
      </w:r>
      <w:r w:rsidR="00E11F6E">
        <w:t xml:space="preserve">wanting to behave in a way where the </w:t>
      </w:r>
      <w:r w:rsidR="004161B0">
        <w:t>behavior</w:t>
      </w:r>
      <w:r w:rsidR="00E11F6E">
        <w:t xml:space="preserve"> itself is what the person wants rather than the </w:t>
      </w:r>
      <w:r w:rsidR="0011558F">
        <w:t xml:space="preserve">because the institution have asked for it. </w:t>
      </w:r>
    </w:p>
    <w:p w14:paraId="6AB5ECE3" w14:textId="3102452E" w:rsidR="00E5491A" w:rsidRDefault="00A34771" w:rsidP="00EF1E09">
      <w:pPr>
        <w:spacing w:line="360" w:lineRule="auto"/>
        <w:jc w:val="both"/>
        <w:rPr>
          <w:rFonts w:ascii="David" w:hAnsi="David" w:cs="David"/>
        </w:rPr>
      </w:pPr>
      <w:r>
        <w:t>A demonstration of that complexity could be seen in classical studies by Murphy</w:t>
      </w:r>
      <w:r w:rsidR="008B0EBA">
        <w:t>,</w:t>
      </w:r>
      <w:r>
        <w:t xml:space="preserve"> who have shown how trust could be seen as the alternative to coercion. </w:t>
      </w:r>
      <w:r w:rsidR="00034B27" w:rsidRPr="0047237E">
        <w:rPr>
          <w:rFonts w:ascii="David" w:hAnsi="David" w:cs="David"/>
        </w:rPr>
        <w:t>Murphy</w:t>
      </w:r>
      <w:r w:rsidR="009311B2">
        <w:rPr>
          <w:rFonts w:ascii="David" w:hAnsi="David" w:cs="David"/>
        </w:rPr>
        <w:t>,</w:t>
      </w:r>
      <w:r w:rsidR="00C2358B">
        <w:rPr>
          <w:rStyle w:val="FootnoteReference"/>
          <w:rFonts w:ascii="David" w:hAnsi="David" w:cs="David"/>
        </w:rPr>
        <w:footnoteReference w:id="132"/>
      </w:r>
      <w:r w:rsidR="00C2358B">
        <w:rPr>
          <w:rFonts w:ascii="David" w:hAnsi="David" w:cs="David"/>
        </w:rPr>
        <w:t xml:space="preserve"> </w:t>
      </w:r>
      <w:r w:rsidR="00034B27" w:rsidRPr="0047237E">
        <w:rPr>
          <w:rFonts w:ascii="David" w:hAnsi="David" w:cs="David"/>
        </w:rPr>
        <w:t xml:space="preserve">argues the ineffectiveness of threat and coercion </w:t>
      </w:r>
      <w:proofErr w:type="gramStart"/>
      <w:r w:rsidR="00034B27" w:rsidRPr="0047237E">
        <w:rPr>
          <w:rFonts w:ascii="David" w:hAnsi="David" w:cs="David"/>
        </w:rPr>
        <w:t>as a way to</w:t>
      </w:r>
      <w:proofErr w:type="gramEnd"/>
      <w:r w:rsidR="00034B27" w:rsidRPr="0047237E">
        <w:rPr>
          <w:rFonts w:ascii="David" w:hAnsi="David" w:cs="David"/>
        </w:rPr>
        <w:t xml:space="preserve"> induce compliance. </w:t>
      </w:r>
      <w:r w:rsidR="002D4905" w:rsidRPr="0047237E">
        <w:rPr>
          <w:rFonts w:ascii="David" w:hAnsi="David" w:cs="David"/>
        </w:rPr>
        <w:t>Using survey data collected from 2,292 taxpayers accused of tax avoidance, it will be demonstrated that variables such as trust need to be considered when managing noncompliance. If regulators are seen to be acting fairly, people will trust the motives of that authority, and will defer to their decisions voluntarily</w:t>
      </w:r>
      <w:r w:rsidR="004161B0">
        <w:rPr>
          <w:rFonts w:ascii="David" w:hAnsi="David" w:cs="David"/>
        </w:rPr>
        <w:t xml:space="preserve">. </w:t>
      </w:r>
      <w:r w:rsidR="003333DE" w:rsidRPr="0047237E">
        <w:rPr>
          <w:rFonts w:ascii="David" w:hAnsi="David" w:cs="David"/>
        </w:rPr>
        <w:t xml:space="preserve">Along the same line </w:t>
      </w:r>
      <w:r w:rsidR="00A36510" w:rsidRPr="0047237E">
        <w:rPr>
          <w:rFonts w:ascii="David" w:hAnsi="David" w:cs="David"/>
        </w:rPr>
        <w:t>Pautz</w:t>
      </w:r>
      <w:r w:rsidR="007534CF">
        <w:rPr>
          <w:rFonts w:ascii="David" w:hAnsi="David" w:cs="David"/>
        </w:rPr>
        <w:t>,</w:t>
      </w:r>
      <w:r w:rsidR="00774474">
        <w:rPr>
          <w:rStyle w:val="FootnoteReference"/>
          <w:rFonts w:ascii="David" w:hAnsi="David" w:cs="David"/>
        </w:rPr>
        <w:footnoteReference w:id="133"/>
      </w:r>
      <w:r w:rsidR="00A36510" w:rsidRPr="0047237E">
        <w:rPr>
          <w:rFonts w:ascii="David" w:hAnsi="David" w:cs="David"/>
        </w:rPr>
        <w:t xml:space="preserve"> </w:t>
      </w:r>
      <w:r w:rsidR="002D4A44" w:rsidRPr="0047237E">
        <w:rPr>
          <w:rFonts w:ascii="David" w:hAnsi="David" w:cs="David"/>
        </w:rPr>
        <w:t>&amp;</w:t>
      </w:r>
      <w:r w:rsidR="00A36510" w:rsidRPr="0047237E">
        <w:rPr>
          <w:rFonts w:ascii="David" w:hAnsi="David" w:cs="David"/>
        </w:rPr>
        <w:t xml:space="preserve"> Wamsley</w:t>
      </w:r>
      <w:r w:rsidR="007534CF">
        <w:rPr>
          <w:rFonts w:ascii="David" w:hAnsi="David" w:cs="David"/>
        </w:rPr>
        <w:t>,</w:t>
      </w:r>
      <w:r w:rsidR="00774474">
        <w:rPr>
          <w:rStyle w:val="FootnoteReference"/>
          <w:rFonts w:ascii="David" w:hAnsi="David" w:cs="David"/>
        </w:rPr>
        <w:footnoteReference w:id="134"/>
      </w:r>
      <w:r w:rsidR="00A36510" w:rsidRPr="0047237E">
        <w:rPr>
          <w:rFonts w:ascii="David" w:hAnsi="David" w:cs="David"/>
        </w:rPr>
        <w:t xml:space="preserve"> </w:t>
      </w:r>
      <w:r w:rsidR="002D4A44" w:rsidRPr="0047237E">
        <w:rPr>
          <w:rFonts w:ascii="David" w:hAnsi="David" w:cs="David"/>
        </w:rPr>
        <w:t xml:space="preserve">have also focused on the interaction between </w:t>
      </w:r>
      <w:r w:rsidR="009C75EC" w:rsidRPr="0047237E">
        <w:rPr>
          <w:rFonts w:ascii="David" w:hAnsi="David" w:cs="David"/>
        </w:rPr>
        <w:t xml:space="preserve">regulators and </w:t>
      </w:r>
      <w:r w:rsidR="007534CF" w:rsidRPr="0047237E">
        <w:rPr>
          <w:rFonts w:ascii="David" w:hAnsi="David" w:cs="David"/>
        </w:rPr>
        <w:t>regulates</w:t>
      </w:r>
      <w:r w:rsidR="009C75EC" w:rsidRPr="0047237E">
        <w:rPr>
          <w:rFonts w:ascii="David" w:hAnsi="David" w:cs="David"/>
        </w:rPr>
        <w:t xml:space="preserve"> and on the importance of trust being developed between the</w:t>
      </w:r>
      <w:r w:rsidR="008B0EBA">
        <w:rPr>
          <w:rFonts w:ascii="David" w:hAnsi="David" w:cs="David"/>
        </w:rPr>
        <w:t xml:space="preserve"> trust and deterrence.</w:t>
      </w:r>
    </w:p>
    <w:p w14:paraId="300CD3A3" w14:textId="227606A5" w:rsidR="00A36510" w:rsidRPr="0047237E" w:rsidRDefault="008B0EBA" w:rsidP="00EF1E09">
      <w:pPr>
        <w:spacing w:line="360" w:lineRule="auto"/>
        <w:jc w:val="both"/>
        <w:rPr>
          <w:rFonts w:ascii="David" w:hAnsi="David" w:cs="David"/>
          <w:rtl/>
        </w:rPr>
      </w:pPr>
      <w:r>
        <w:rPr>
          <w:rFonts w:ascii="David" w:hAnsi="David" w:cs="David"/>
        </w:rPr>
        <w:t xml:space="preserve"> </w:t>
      </w:r>
      <w:r w:rsidR="00E5491A" w:rsidRPr="0047237E">
        <w:rPr>
          <w:rFonts w:ascii="David" w:hAnsi="David" w:cs="David"/>
        </w:rPr>
        <w:t>A very important topic to consider when focusing on the effect of trust as an alternative to</w:t>
      </w:r>
      <w:r w:rsidR="00E5491A">
        <w:rPr>
          <w:rFonts w:ascii="David" w:hAnsi="David" w:cs="David"/>
        </w:rPr>
        <w:t xml:space="preserve"> control and deterrence</w:t>
      </w:r>
      <w:r w:rsidR="00E5491A" w:rsidRPr="0047237E">
        <w:rPr>
          <w:rFonts w:ascii="David" w:hAnsi="David" w:cs="David"/>
        </w:rPr>
        <w:t xml:space="preserve">, is related to the question of the ability of trust and deterrence to operate side by side with each other. This question is so important because it is very hard for states to </w:t>
      </w:r>
      <w:proofErr w:type="gramStart"/>
      <w:r w:rsidR="00E5491A" w:rsidRPr="0047237E">
        <w:rPr>
          <w:rFonts w:ascii="David" w:hAnsi="David" w:cs="David"/>
        </w:rPr>
        <w:t>based</w:t>
      </w:r>
      <w:proofErr w:type="gramEnd"/>
      <w:r w:rsidR="00E5491A" w:rsidRPr="0047237E">
        <w:rPr>
          <w:rFonts w:ascii="David" w:hAnsi="David" w:cs="David"/>
        </w:rPr>
        <w:t xml:space="preserve"> their policy on trust, given the fact that so many people are less likely to be affected by it. The problem with the attempt to have both trust and deterrence and use them </w:t>
      </w:r>
      <w:proofErr w:type="gramStart"/>
      <w:r w:rsidR="007534CF" w:rsidRPr="0047237E">
        <w:rPr>
          <w:rFonts w:ascii="David" w:hAnsi="David" w:cs="David"/>
        </w:rPr>
        <w:t>simultaneously</w:t>
      </w:r>
      <w:r w:rsidR="00E5491A" w:rsidRPr="0047237E">
        <w:rPr>
          <w:rFonts w:ascii="David" w:hAnsi="David" w:cs="David"/>
        </w:rPr>
        <w:t>,</w:t>
      </w:r>
      <w:proofErr w:type="gramEnd"/>
      <w:r w:rsidR="00E5491A" w:rsidRPr="0047237E">
        <w:rPr>
          <w:rFonts w:ascii="David" w:hAnsi="David" w:cs="David"/>
        </w:rPr>
        <w:t xml:space="preserve"> is obviously related to the crowding out argument. However, very interestingly, studies by </w:t>
      </w:r>
      <w:r w:rsidR="007534CF">
        <w:rPr>
          <w:rFonts w:ascii="David" w:hAnsi="David" w:cs="David"/>
        </w:rPr>
        <w:t>G</w:t>
      </w:r>
      <w:r w:rsidR="00E5491A" w:rsidRPr="0047237E">
        <w:rPr>
          <w:rFonts w:ascii="David" w:hAnsi="David" w:cs="David"/>
        </w:rPr>
        <w:t>lockner et al</w:t>
      </w:r>
      <w:r w:rsidR="007534CF">
        <w:rPr>
          <w:rFonts w:ascii="David" w:hAnsi="David" w:cs="David"/>
        </w:rPr>
        <w:t>,</w:t>
      </w:r>
      <w:r w:rsidR="00E5491A">
        <w:rPr>
          <w:rStyle w:val="FootnoteReference"/>
          <w:rFonts w:ascii="David" w:hAnsi="David" w:cs="David"/>
        </w:rPr>
        <w:footnoteReference w:id="135"/>
      </w:r>
      <w:r w:rsidR="00E5491A">
        <w:rPr>
          <w:rFonts w:ascii="David" w:hAnsi="David" w:cs="David"/>
        </w:rPr>
        <w:t xml:space="preserve"> </w:t>
      </w:r>
      <w:r w:rsidR="00E5491A" w:rsidRPr="0047237E">
        <w:rPr>
          <w:rFonts w:ascii="David" w:hAnsi="David" w:cs="David"/>
        </w:rPr>
        <w:t>showed that they had independent contributions for both deterrence and legitimacy, in addition to other factors and overall find support for the predictive power of all relevant factors (e.g. legitimacy, self-control, deterrence</w:t>
      </w:r>
      <w:proofErr w:type="gramStart"/>
      <w:r w:rsidR="00E5491A" w:rsidRPr="0047237E">
        <w:rPr>
          <w:rFonts w:ascii="David" w:hAnsi="David" w:cs="David"/>
        </w:rPr>
        <w:t xml:space="preserve">) </w:t>
      </w:r>
      <w:r w:rsidR="00E5491A">
        <w:rPr>
          <w:rFonts w:ascii="David" w:hAnsi="David" w:cs="David"/>
        </w:rPr>
        <w:t>.</w:t>
      </w:r>
      <w:proofErr w:type="gramEnd"/>
      <w:r w:rsidR="00E5491A">
        <w:rPr>
          <w:rFonts w:ascii="David" w:hAnsi="David" w:cs="David"/>
        </w:rPr>
        <w:t xml:space="preserve"> </w:t>
      </w:r>
      <w:proofErr w:type="gramStart"/>
      <w:r w:rsidR="00E5491A">
        <w:rPr>
          <w:rFonts w:ascii="David" w:hAnsi="David" w:cs="David"/>
        </w:rPr>
        <w:t>Thus</w:t>
      </w:r>
      <w:proofErr w:type="gramEnd"/>
      <w:r w:rsidR="00E5491A">
        <w:rPr>
          <w:rFonts w:ascii="David" w:hAnsi="David" w:cs="David"/>
        </w:rPr>
        <w:t xml:space="preserve"> trust is related to both legitimacy and also to the functioning of deterrence</w:t>
      </w:r>
      <w:r w:rsidR="007534CF">
        <w:rPr>
          <w:rFonts w:ascii="David" w:hAnsi="David" w:cs="David"/>
        </w:rPr>
        <w:t>.</w:t>
      </w:r>
    </w:p>
    <w:p w14:paraId="40312C70" w14:textId="24E9ABAE" w:rsidR="00737BEA" w:rsidRPr="0047237E" w:rsidRDefault="00555492" w:rsidP="00EF1E09">
      <w:pPr>
        <w:spacing w:line="360" w:lineRule="auto"/>
        <w:jc w:val="both"/>
        <w:rPr>
          <w:rFonts w:ascii="David" w:hAnsi="David" w:cs="David"/>
        </w:rPr>
      </w:pPr>
      <w:r>
        <w:rPr>
          <w:rFonts w:ascii="David" w:hAnsi="David" w:cs="David"/>
          <w:color w:val="5B9BD5" w:themeColor="accent5"/>
        </w:rPr>
        <w:t xml:space="preserve">Trust could be seen as either intrinsic or extrinsic </w:t>
      </w:r>
      <w:proofErr w:type="gramStart"/>
      <w:r>
        <w:rPr>
          <w:rFonts w:ascii="David" w:hAnsi="David" w:cs="David"/>
          <w:color w:val="5B9BD5" w:themeColor="accent5"/>
        </w:rPr>
        <w:t>motivation</w:t>
      </w:r>
      <w:proofErr w:type="gramEnd"/>
      <w:r>
        <w:rPr>
          <w:rFonts w:ascii="David" w:hAnsi="David" w:cs="David"/>
          <w:color w:val="5B9BD5" w:themeColor="accent5"/>
        </w:rPr>
        <w:t xml:space="preserve"> </w:t>
      </w:r>
    </w:p>
    <w:p w14:paraId="61EEBF63" w14:textId="51F4CD75" w:rsidR="00737BEA" w:rsidRPr="0047237E" w:rsidRDefault="00737BEA" w:rsidP="00EF1E09">
      <w:pPr>
        <w:spacing w:line="360" w:lineRule="auto"/>
        <w:jc w:val="both"/>
        <w:rPr>
          <w:rFonts w:ascii="David" w:hAnsi="David" w:cs="David"/>
          <w:rtl/>
        </w:rPr>
      </w:pPr>
      <w:r w:rsidRPr="0047237E">
        <w:rPr>
          <w:rFonts w:ascii="David" w:hAnsi="David" w:cs="David"/>
        </w:rPr>
        <w:lastRenderedPageBreak/>
        <w:t xml:space="preserve">The connection between </w:t>
      </w:r>
      <w:r w:rsidR="006A1017" w:rsidRPr="0047237E">
        <w:rPr>
          <w:rFonts w:ascii="David" w:hAnsi="David" w:cs="David"/>
        </w:rPr>
        <w:t xml:space="preserve">trust and whether it is an intrinsic or an extrinsic motivation, depends partly on whether we are talking on cooperation or on compliance. When we are talking on cooperation with the system, </w:t>
      </w:r>
      <w:r w:rsidR="00A94525" w:rsidRPr="0047237E">
        <w:rPr>
          <w:rFonts w:ascii="David" w:hAnsi="David" w:cs="David"/>
        </w:rPr>
        <w:t>then</w:t>
      </w:r>
      <w:r w:rsidR="006A1017" w:rsidRPr="0047237E">
        <w:rPr>
          <w:rFonts w:ascii="David" w:hAnsi="David" w:cs="David"/>
        </w:rPr>
        <w:t xml:space="preserve"> in many ways, trust could be seen as intrinsic because the motivation to cooperate with the </w:t>
      </w:r>
      <w:proofErr w:type="gramStart"/>
      <w:r w:rsidR="006A1017" w:rsidRPr="0047237E">
        <w:rPr>
          <w:rFonts w:ascii="David" w:hAnsi="David" w:cs="David"/>
        </w:rPr>
        <w:t>system,</w:t>
      </w:r>
      <w:proofErr w:type="gramEnd"/>
      <w:r w:rsidR="006A1017" w:rsidRPr="0047237E">
        <w:rPr>
          <w:rFonts w:ascii="David" w:hAnsi="David" w:cs="David"/>
        </w:rPr>
        <w:t xml:space="preserve"> is because we trust it. However, if the discussion is related to </w:t>
      </w:r>
      <w:proofErr w:type="gramStart"/>
      <w:r w:rsidR="006A1017" w:rsidRPr="0047237E">
        <w:rPr>
          <w:rFonts w:ascii="David" w:hAnsi="David" w:cs="David"/>
        </w:rPr>
        <w:t xml:space="preserve">the </w:t>
      </w:r>
      <w:r w:rsidR="00AA2582" w:rsidRPr="0047237E">
        <w:rPr>
          <w:rFonts w:ascii="David" w:hAnsi="David" w:cs="David"/>
        </w:rPr>
        <w:t>legal</w:t>
      </w:r>
      <w:proofErr w:type="gramEnd"/>
      <w:r w:rsidR="00AA2582" w:rsidRPr="0047237E">
        <w:rPr>
          <w:rFonts w:ascii="David" w:hAnsi="David" w:cs="David"/>
        </w:rPr>
        <w:t xml:space="preserve"> compliance, </w:t>
      </w:r>
      <w:r w:rsidR="00A94525" w:rsidRPr="0047237E">
        <w:rPr>
          <w:rFonts w:ascii="David" w:hAnsi="David" w:cs="David"/>
        </w:rPr>
        <w:t>then</w:t>
      </w:r>
      <w:r w:rsidR="00AA2582" w:rsidRPr="0047237E">
        <w:rPr>
          <w:rFonts w:ascii="David" w:hAnsi="David" w:cs="David"/>
        </w:rPr>
        <w:t xml:space="preserve"> to some extent the trust in the system could be seen as an extrinsic reason to compliance with the law, since it is not </w:t>
      </w:r>
      <w:r w:rsidR="00555492">
        <w:rPr>
          <w:rFonts w:ascii="David" w:hAnsi="David" w:cs="David"/>
        </w:rPr>
        <w:t xml:space="preserve">related to the content of the law but rather to the system. This is different than trust in science which is intrinsic. I take the vaccine because I believe it is good for my health. </w:t>
      </w:r>
      <w:r w:rsidRPr="0047237E">
        <w:rPr>
          <w:rFonts w:ascii="David" w:hAnsi="David" w:cs="David"/>
        </w:rPr>
        <w:t xml:space="preserve"> </w:t>
      </w:r>
    </w:p>
    <w:p w14:paraId="6FE35520" w14:textId="1FF2B7B0" w:rsidR="00FC5D38" w:rsidRPr="0047237E" w:rsidRDefault="00FC5D38" w:rsidP="00EF1E09">
      <w:pPr>
        <w:spacing w:line="360" w:lineRule="auto"/>
        <w:jc w:val="both"/>
        <w:rPr>
          <w:rFonts w:ascii="David" w:hAnsi="David" w:cs="David"/>
        </w:rPr>
      </w:pPr>
      <w:r w:rsidRPr="0047237E">
        <w:rPr>
          <w:rFonts w:ascii="David" w:hAnsi="David" w:cs="David"/>
        </w:rPr>
        <w:t xml:space="preserve">An important conclusion that could be reached from the research on trust would be to compare it with the literature on intrinsic motivation and morality. </w:t>
      </w:r>
    </w:p>
    <w:p w14:paraId="3D7DA232" w14:textId="50CB27F2" w:rsidR="00FC5D38" w:rsidRPr="0047237E" w:rsidRDefault="00FC5D38" w:rsidP="00EF1E09">
      <w:pPr>
        <w:spacing w:line="360" w:lineRule="auto"/>
        <w:jc w:val="both"/>
        <w:rPr>
          <w:rFonts w:ascii="David" w:hAnsi="David" w:cs="David"/>
        </w:rPr>
      </w:pPr>
      <w:r w:rsidRPr="0047237E">
        <w:rPr>
          <w:rFonts w:ascii="David" w:hAnsi="David" w:cs="David"/>
        </w:rPr>
        <w:t xml:space="preserve">For the state to be able to get people to internalize that </w:t>
      </w:r>
      <w:r w:rsidR="00631321" w:rsidRPr="0047237E">
        <w:rPr>
          <w:rFonts w:ascii="David" w:hAnsi="David" w:cs="David"/>
        </w:rPr>
        <w:t>compliance</w:t>
      </w:r>
      <w:r w:rsidRPr="0047237E">
        <w:rPr>
          <w:rFonts w:ascii="David" w:hAnsi="David" w:cs="David"/>
        </w:rPr>
        <w:t xml:space="preserve"> is the moral thing to do, it faces many challenges. Not all acts of the state could be seen as such. However, trust which is a much broader account than just procedural justice and legitimacy, could be seen as a standard that states should aspire to </w:t>
      </w:r>
      <w:r w:rsidR="00631321" w:rsidRPr="0047237E">
        <w:rPr>
          <w:rFonts w:ascii="David" w:hAnsi="David" w:cs="David"/>
        </w:rPr>
        <w:t>maintain</w:t>
      </w:r>
      <w:r w:rsidRPr="0047237E">
        <w:rPr>
          <w:rFonts w:ascii="David" w:hAnsi="David" w:cs="David"/>
        </w:rPr>
        <w:t xml:space="preserve">. </w:t>
      </w:r>
    </w:p>
    <w:p w14:paraId="63DC95A4" w14:textId="377AD520" w:rsidR="00FC5D38" w:rsidRPr="0047237E" w:rsidRDefault="00FC5D38" w:rsidP="00EF1E09">
      <w:pPr>
        <w:spacing w:line="360" w:lineRule="auto"/>
        <w:jc w:val="both"/>
        <w:rPr>
          <w:rFonts w:ascii="David" w:hAnsi="David" w:cs="David"/>
        </w:rPr>
      </w:pPr>
      <w:r w:rsidRPr="0047237E">
        <w:rPr>
          <w:rFonts w:ascii="David" w:hAnsi="David" w:cs="David"/>
        </w:rPr>
        <w:t xml:space="preserve">In other </w:t>
      </w:r>
      <w:r w:rsidR="00A94525" w:rsidRPr="0047237E">
        <w:rPr>
          <w:rFonts w:ascii="David" w:hAnsi="David" w:cs="David"/>
        </w:rPr>
        <w:t>words,</w:t>
      </w:r>
      <w:r w:rsidRPr="0047237E">
        <w:rPr>
          <w:rFonts w:ascii="David" w:hAnsi="David" w:cs="David"/>
        </w:rPr>
        <w:t xml:space="preserve"> it is easier to come up with a legal theory according to which the state is required to buy the trust of the public, it is less likely that we can ask the state to make sure everyone in the public is convinced that what they personally want to do is that they state requires them to do. </w:t>
      </w:r>
    </w:p>
    <w:p w14:paraId="44EF1B96" w14:textId="0AC1B5A9" w:rsidR="00FC5D38" w:rsidRPr="0047237E" w:rsidRDefault="00FC5D38" w:rsidP="00EF1E09">
      <w:pPr>
        <w:spacing w:line="360" w:lineRule="auto"/>
        <w:jc w:val="both"/>
        <w:rPr>
          <w:rFonts w:ascii="David" w:hAnsi="David" w:cs="David"/>
        </w:rPr>
      </w:pPr>
      <w:r w:rsidRPr="0047237E">
        <w:rPr>
          <w:rFonts w:ascii="David" w:hAnsi="David" w:cs="David"/>
        </w:rPr>
        <w:t xml:space="preserve">Nonetheless according to our typology, citizenship is the motivation according to which people comply because they feel this </w:t>
      </w:r>
      <w:r w:rsidR="00A94525" w:rsidRPr="0047237E">
        <w:rPr>
          <w:rFonts w:ascii="David" w:hAnsi="David" w:cs="David"/>
        </w:rPr>
        <w:t>their</w:t>
      </w:r>
      <w:r w:rsidRPr="0047237E">
        <w:rPr>
          <w:rFonts w:ascii="David" w:hAnsi="David" w:cs="David"/>
        </w:rPr>
        <w:t xml:space="preserve"> </w:t>
      </w:r>
      <w:r w:rsidR="0082607F">
        <w:rPr>
          <w:rFonts w:ascii="David" w:hAnsi="David" w:cs="David"/>
        </w:rPr>
        <w:t>duty</w:t>
      </w:r>
      <w:r w:rsidRPr="0047237E">
        <w:rPr>
          <w:rFonts w:ascii="David" w:hAnsi="David" w:cs="David"/>
        </w:rPr>
        <w:t xml:space="preserve">. This is highly </w:t>
      </w:r>
      <w:r w:rsidR="004F5261" w:rsidRPr="0047237E">
        <w:rPr>
          <w:rFonts w:ascii="David" w:hAnsi="David" w:cs="David"/>
        </w:rPr>
        <w:t>dependent</w:t>
      </w:r>
      <w:r w:rsidRPr="0047237E">
        <w:rPr>
          <w:rFonts w:ascii="David" w:hAnsi="David" w:cs="David"/>
        </w:rPr>
        <w:t xml:space="preserve"> upon issues such as trust and legitimacy and less so </w:t>
      </w:r>
      <w:r w:rsidR="00A94525" w:rsidRPr="0047237E">
        <w:rPr>
          <w:rFonts w:ascii="David" w:hAnsi="David" w:cs="David"/>
        </w:rPr>
        <w:t>regarding</w:t>
      </w:r>
      <w:r w:rsidRPr="0047237E">
        <w:rPr>
          <w:rFonts w:ascii="David" w:hAnsi="David" w:cs="David"/>
        </w:rPr>
        <w:t xml:space="preserve"> morality and the content of the </w:t>
      </w:r>
      <w:proofErr w:type="gramStart"/>
      <w:r w:rsidRPr="0047237E">
        <w:rPr>
          <w:rFonts w:ascii="David" w:hAnsi="David" w:cs="David"/>
        </w:rPr>
        <w:t>particular laws</w:t>
      </w:r>
      <w:proofErr w:type="gramEnd"/>
      <w:r w:rsidRPr="0047237E">
        <w:rPr>
          <w:rFonts w:ascii="David" w:hAnsi="David" w:cs="David"/>
        </w:rPr>
        <w:t xml:space="preserve">. </w:t>
      </w:r>
    </w:p>
    <w:p w14:paraId="129B7913" w14:textId="1CA0476D" w:rsidR="00FC5D38" w:rsidRPr="0047237E" w:rsidRDefault="00FC5D38" w:rsidP="00EF1E09">
      <w:pPr>
        <w:spacing w:line="360" w:lineRule="auto"/>
        <w:jc w:val="both"/>
        <w:rPr>
          <w:rFonts w:ascii="David" w:hAnsi="David" w:cs="David"/>
        </w:rPr>
      </w:pPr>
      <w:r w:rsidRPr="0047237E">
        <w:rPr>
          <w:rFonts w:ascii="David" w:hAnsi="David" w:cs="David"/>
        </w:rPr>
        <w:t xml:space="preserve">In that regard practices as reason giving might be seen as more relevant for content </w:t>
      </w:r>
      <w:proofErr w:type="gramStart"/>
      <w:r w:rsidRPr="0047237E">
        <w:rPr>
          <w:rFonts w:ascii="David" w:hAnsi="David" w:cs="David"/>
        </w:rPr>
        <w:t>that</w:t>
      </w:r>
      <w:proofErr w:type="gramEnd"/>
      <w:r w:rsidRPr="0047237E">
        <w:rPr>
          <w:rFonts w:ascii="David" w:hAnsi="David" w:cs="David"/>
        </w:rPr>
        <w:t xml:space="preserve"> for procedure, albeit clearly the two </w:t>
      </w:r>
      <w:r w:rsidR="00A94525" w:rsidRPr="0047237E">
        <w:rPr>
          <w:rFonts w:ascii="David" w:hAnsi="David" w:cs="David"/>
        </w:rPr>
        <w:t>routes</w:t>
      </w:r>
      <w:r w:rsidRPr="0047237E">
        <w:rPr>
          <w:rFonts w:ascii="David" w:hAnsi="David" w:cs="David"/>
        </w:rPr>
        <w:t xml:space="preserve"> are connected. If people can’t understand the rationale behind a certain legal </w:t>
      </w:r>
      <w:r w:rsidR="00A94525" w:rsidRPr="0047237E">
        <w:rPr>
          <w:rFonts w:ascii="David" w:hAnsi="David" w:cs="David"/>
        </w:rPr>
        <w:t>requirement,</w:t>
      </w:r>
      <w:r w:rsidRPr="0047237E">
        <w:rPr>
          <w:rFonts w:ascii="David" w:hAnsi="David" w:cs="David"/>
        </w:rPr>
        <w:t xml:space="preserve"> they might come to challenge whether such </w:t>
      </w:r>
      <w:proofErr w:type="gramStart"/>
      <w:r w:rsidRPr="0047237E">
        <w:rPr>
          <w:rFonts w:ascii="David" w:hAnsi="David" w:cs="David"/>
        </w:rPr>
        <w:t>state</w:t>
      </w:r>
      <w:proofErr w:type="gramEnd"/>
      <w:r w:rsidRPr="0047237E">
        <w:rPr>
          <w:rFonts w:ascii="David" w:hAnsi="David" w:cs="David"/>
        </w:rPr>
        <w:t xml:space="preserve"> is trustworthy. </w:t>
      </w:r>
    </w:p>
    <w:p w14:paraId="28D58C98" w14:textId="4BE0F1BF" w:rsidR="00FC5D38" w:rsidRPr="0047237E" w:rsidRDefault="00A94525" w:rsidP="00EF1E09">
      <w:pPr>
        <w:spacing w:line="360" w:lineRule="auto"/>
        <w:jc w:val="both"/>
        <w:rPr>
          <w:rFonts w:ascii="David" w:hAnsi="David" w:cs="David"/>
        </w:rPr>
      </w:pPr>
      <w:r w:rsidRPr="0047237E">
        <w:rPr>
          <w:rFonts w:ascii="David" w:hAnsi="David" w:cs="David"/>
        </w:rPr>
        <w:t>Thus,</w:t>
      </w:r>
      <w:r w:rsidR="00FC5D38" w:rsidRPr="0047237E">
        <w:rPr>
          <w:rFonts w:ascii="David" w:hAnsi="David" w:cs="David"/>
        </w:rPr>
        <w:t xml:space="preserve"> it could be for example that it is more </w:t>
      </w:r>
      <w:r w:rsidR="00A62D85" w:rsidRPr="0047237E">
        <w:rPr>
          <w:rFonts w:ascii="David" w:hAnsi="David" w:cs="David"/>
        </w:rPr>
        <w:t>important</w:t>
      </w:r>
      <w:r w:rsidR="00FC5D38" w:rsidRPr="0047237E">
        <w:rPr>
          <w:rFonts w:ascii="David" w:hAnsi="David" w:cs="David"/>
        </w:rPr>
        <w:t xml:space="preserve"> the state tries to explain than </w:t>
      </w:r>
      <w:proofErr w:type="gramStart"/>
      <w:r w:rsidR="00FC5D38" w:rsidRPr="0047237E">
        <w:rPr>
          <w:rFonts w:ascii="David" w:hAnsi="David" w:cs="David"/>
        </w:rPr>
        <w:t>what are</w:t>
      </w:r>
      <w:proofErr w:type="gramEnd"/>
      <w:r w:rsidR="00FC5D38" w:rsidRPr="0047237E">
        <w:rPr>
          <w:rFonts w:ascii="David" w:hAnsi="David" w:cs="David"/>
        </w:rPr>
        <w:t xml:space="preserve"> the </w:t>
      </w:r>
      <w:r w:rsidR="00F210CB" w:rsidRPr="0047237E">
        <w:rPr>
          <w:rFonts w:ascii="David" w:hAnsi="David" w:cs="David"/>
        </w:rPr>
        <w:t>rationales</w:t>
      </w:r>
      <w:r w:rsidR="00FC5D38" w:rsidRPr="0047237E">
        <w:rPr>
          <w:rFonts w:ascii="David" w:hAnsi="David" w:cs="David"/>
        </w:rPr>
        <w:t xml:space="preserve"> the state </w:t>
      </w:r>
      <w:proofErr w:type="gramStart"/>
      <w:r w:rsidR="00FC5D38" w:rsidRPr="0047237E">
        <w:rPr>
          <w:rFonts w:ascii="David" w:hAnsi="David" w:cs="David"/>
        </w:rPr>
        <w:t>actually give</w:t>
      </w:r>
      <w:proofErr w:type="gramEnd"/>
      <w:r w:rsidR="00A62D85" w:rsidRPr="0047237E">
        <w:rPr>
          <w:rFonts w:ascii="David" w:hAnsi="David" w:cs="David"/>
        </w:rPr>
        <w:t xml:space="preserve"> to people</w:t>
      </w:r>
      <w:r w:rsidR="00281221">
        <w:rPr>
          <w:rFonts w:ascii="David" w:hAnsi="David" w:cs="David"/>
        </w:rPr>
        <w:t>.</w:t>
      </w:r>
    </w:p>
    <w:p w14:paraId="4901CA81" w14:textId="77777777" w:rsidR="00FC5D38" w:rsidRPr="0047237E" w:rsidRDefault="00FC5D38" w:rsidP="00EF1E09">
      <w:pPr>
        <w:spacing w:line="360" w:lineRule="auto"/>
        <w:jc w:val="both"/>
        <w:rPr>
          <w:rFonts w:ascii="David" w:hAnsi="David" w:cs="David"/>
        </w:rPr>
      </w:pPr>
    </w:p>
    <w:p w14:paraId="2A439E7C" w14:textId="77777777" w:rsidR="00935A27" w:rsidRPr="0047237E" w:rsidRDefault="00935A27" w:rsidP="00EF1E09">
      <w:pPr>
        <w:spacing w:line="360" w:lineRule="auto"/>
        <w:jc w:val="both"/>
        <w:rPr>
          <w:rFonts w:ascii="David" w:hAnsi="David" w:cs="David"/>
        </w:rPr>
      </w:pPr>
    </w:p>
    <w:p w14:paraId="213460A1" w14:textId="77777777" w:rsidR="00776638" w:rsidRPr="0047237E" w:rsidRDefault="00776638" w:rsidP="00EF1E09">
      <w:pPr>
        <w:spacing w:line="360" w:lineRule="auto"/>
        <w:jc w:val="both"/>
        <w:rPr>
          <w:rFonts w:ascii="David" w:hAnsi="David" w:cs="David"/>
        </w:rPr>
      </w:pPr>
    </w:p>
    <w:p w14:paraId="2F3EBF5A" w14:textId="46BB4AB8" w:rsidR="00637354" w:rsidRPr="00637354" w:rsidRDefault="00637354" w:rsidP="00EF1E09">
      <w:pPr>
        <w:spacing w:line="360" w:lineRule="auto"/>
        <w:jc w:val="both"/>
      </w:pPr>
      <w:r>
        <w:t xml:space="preserve"> </w:t>
      </w:r>
    </w:p>
    <w:sectPr w:rsidR="00637354" w:rsidRPr="00637354">
      <w:headerReference w:type="default" r:id="rId12"/>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Daniell Ben Arie" w:date="2024-04-15T21:35:00Z" w:initials="DB">
    <w:p w14:paraId="0FE64192" w14:textId="77777777" w:rsidR="002E516F" w:rsidRDefault="00F9387B" w:rsidP="002E516F">
      <w:r>
        <w:rPr>
          <w:rStyle w:val="CommentReference"/>
        </w:rPr>
        <w:annotationRef/>
      </w:r>
      <w:r w:rsidR="002E516F">
        <w:rPr>
          <w:rFonts w:ascii="Calibri" w:eastAsia="Calibri" w:hAnsi="Calibri" w:cs="Arial"/>
          <w:sz w:val="20"/>
          <w:szCs w:val="20"/>
        </w:rPr>
        <w:t xml:space="preserve"> </w:t>
      </w:r>
      <w:r w:rsidR="002E516F">
        <w:rPr>
          <w:rFonts w:ascii="Calibri" w:eastAsia="Calibri" w:hAnsi="Calibri" w:cs="Arial"/>
          <w:sz w:val="20"/>
          <w:szCs w:val="20"/>
          <w:rtl/>
        </w:rPr>
        <w:t>והאם</w:t>
      </w:r>
      <w:r w:rsidR="002E516F">
        <w:rPr>
          <w:rFonts w:ascii="Calibri" w:eastAsia="Calibri" w:hAnsi="Calibri" w:cs="Arial"/>
          <w:sz w:val="20"/>
          <w:szCs w:val="20"/>
        </w:rPr>
        <w:t xml:space="preserve"> </w:t>
      </w:r>
      <w:r w:rsidR="002E516F">
        <w:rPr>
          <w:rFonts w:ascii="Calibri" w:eastAsia="Calibri" w:hAnsi="Calibri" w:cs="Arial"/>
          <w:sz w:val="20"/>
          <w:szCs w:val="20"/>
          <w:rtl/>
        </w:rPr>
        <w:t>צריכה</w:t>
      </w:r>
      <w:r w:rsidR="002E516F">
        <w:rPr>
          <w:rFonts w:ascii="Calibri" w:eastAsia="Calibri" w:hAnsi="Calibri" w:cs="Arial"/>
          <w:sz w:val="20"/>
          <w:szCs w:val="20"/>
        </w:rPr>
        <w:t xml:space="preserve"> </w:t>
      </w:r>
      <w:r w:rsidR="002E516F">
        <w:rPr>
          <w:rFonts w:ascii="Calibri" w:eastAsia="Calibri" w:hAnsi="Calibri" w:cs="Arial"/>
          <w:sz w:val="20"/>
          <w:szCs w:val="20"/>
          <w:rtl/>
        </w:rPr>
        <w:t>להיות</w:t>
      </w:r>
      <w:r w:rsidR="002E516F">
        <w:rPr>
          <w:rFonts w:ascii="Calibri" w:eastAsia="Calibri" w:hAnsi="Calibri" w:cs="Arial"/>
          <w:sz w:val="20"/>
          <w:szCs w:val="20"/>
        </w:rPr>
        <w:t xml:space="preserve"> </w:t>
      </w:r>
      <w:r w:rsidR="002E516F">
        <w:rPr>
          <w:rFonts w:ascii="Calibri" w:eastAsia="Calibri" w:hAnsi="Calibri" w:cs="Arial"/>
          <w:sz w:val="20"/>
          <w:szCs w:val="20"/>
          <w:rtl/>
        </w:rPr>
        <w:t>פה</w:t>
      </w:r>
      <w:r w:rsidR="002E516F">
        <w:rPr>
          <w:rFonts w:ascii="Calibri" w:eastAsia="Calibri" w:hAnsi="Calibri" w:cs="Arial"/>
          <w:sz w:val="20"/>
          <w:szCs w:val="20"/>
        </w:rPr>
        <w:t xml:space="preserve"> </w:t>
      </w:r>
      <w:r w:rsidR="002E516F">
        <w:rPr>
          <w:rFonts w:ascii="Calibri" w:eastAsia="Calibri" w:hAnsi="Calibri" w:cs="Arial"/>
          <w:sz w:val="20"/>
          <w:szCs w:val="20"/>
          <w:rtl/>
        </w:rPr>
        <w:t>פסקה</w:t>
      </w:r>
      <w:r w:rsidR="002E516F">
        <w:rPr>
          <w:rFonts w:ascii="Calibri" w:eastAsia="Calibri" w:hAnsi="Calibri" w:cs="Arial"/>
          <w:sz w:val="20"/>
          <w:szCs w:val="20"/>
        </w:rPr>
        <w:t xml:space="preserve"> </w:t>
      </w:r>
      <w:r w:rsidR="002E516F">
        <w:rPr>
          <w:rFonts w:ascii="Calibri" w:eastAsia="Calibri" w:hAnsi="Calibri" w:cs="Arial"/>
          <w:sz w:val="20"/>
          <w:szCs w:val="20"/>
          <w:rtl/>
        </w:rPr>
        <w:t>גם</w:t>
      </w:r>
      <w:r w:rsidR="002E516F">
        <w:rPr>
          <w:rFonts w:ascii="Calibri" w:eastAsia="Calibri" w:hAnsi="Calibri" w:cs="Arial"/>
          <w:sz w:val="20"/>
          <w:szCs w:val="20"/>
        </w:rPr>
        <w:t xml:space="preserve"> </w:t>
      </w:r>
      <w:r w:rsidR="002E516F">
        <w:rPr>
          <w:rFonts w:ascii="Calibri" w:eastAsia="Calibri" w:hAnsi="Calibri" w:cs="Arial"/>
          <w:sz w:val="20"/>
          <w:szCs w:val="20"/>
          <w:rtl/>
        </w:rPr>
        <w:t>לגבי</w:t>
      </w:r>
      <w:r w:rsidR="002E516F">
        <w:rPr>
          <w:rFonts w:ascii="Calibri" w:eastAsia="Calibri" w:hAnsi="Calibri" w:cs="Arial"/>
          <w:sz w:val="20"/>
          <w:szCs w:val="20"/>
        </w:rPr>
        <w:t xml:space="preserve"> </w:t>
      </w:r>
      <w:r w:rsidR="002E516F">
        <w:rPr>
          <w:rFonts w:ascii="Calibri" w:eastAsia="Calibri" w:hAnsi="Calibri" w:cs="Arial"/>
          <w:sz w:val="20"/>
          <w:szCs w:val="20"/>
          <w:rtl/>
        </w:rPr>
        <w:t>המוטיבציה</w:t>
      </w:r>
      <w:r w:rsidR="002E516F">
        <w:rPr>
          <w:rFonts w:ascii="Calibri" w:eastAsia="Calibri" w:hAnsi="Calibri" w:cs="Arial"/>
          <w:sz w:val="20"/>
          <w:szCs w:val="20"/>
        </w:rPr>
        <w:t xml:space="preserve"> </w:t>
      </w:r>
      <w:r w:rsidR="002E516F">
        <w:rPr>
          <w:rFonts w:ascii="Calibri" w:eastAsia="Calibri" w:hAnsi="Calibri" w:cs="Arial"/>
          <w:sz w:val="20"/>
          <w:szCs w:val="20"/>
          <w:rtl/>
        </w:rPr>
        <w:t>הפנימית</w:t>
      </w:r>
      <w:r w:rsidR="002E516F">
        <w:rPr>
          <w:rFonts w:ascii="Calibri" w:eastAsia="Calibri" w:hAnsi="Calibri" w:cs="Arial"/>
          <w:sz w:val="20"/>
          <w:szCs w:val="20"/>
        </w:rPr>
        <w:t xml:space="preserve">? </w:t>
      </w:r>
      <w:r w:rsidR="002E516F">
        <w:rPr>
          <w:rFonts w:ascii="Calibri" w:eastAsia="Calibri" w:hAnsi="Calibri" w:cs="Arial"/>
          <w:sz w:val="20"/>
          <w:szCs w:val="20"/>
          <w:rtl/>
        </w:rPr>
        <w:t>או שבכוונה אין כי הפסקאות בעמודים הבאים הולכות לדבר על זה</w:t>
      </w:r>
      <w:r w:rsidR="002E516F">
        <w:rPr>
          <w:rFonts w:ascii="Calibri" w:eastAsia="Calibri" w:hAnsi="Calibri" w:cs="Arial"/>
          <w:sz w:val="20"/>
          <w:szCs w:val="20"/>
        </w:rPr>
        <w:t>?</w:t>
      </w:r>
    </w:p>
  </w:comment>
  <w:comment w:id="23" w:author="Daniell Ben Arie" w:date="2024-04-15T22:42:00Z" w:initials="DB">
    <w:p w14:paraId="42EDB3E9" w14:textId="77777777" w:rsidR="00B3061A" w:rsidRDefault="00B3061A" w:rsidP="00B3061A">
      <w:r>
        <w:rPr>
          <w:rStyle w:val="CommentReference"/>
        </w:rPr>
        <w:annotationRef/>
      </w:r>
      <w:r>
        <w:rPr>
          <w:rFonts w:ascii="Calibri" w:eastAsia="Calibri" w:hAnsi="Calibri" w:cs="Arial"/>
          <w:color w:val="000000"/>
          <w:sz w:val="20"/>
          <w:szCs w:val="20"/>
          <w:rtl/>
        </w:rPr>
        <w:t>משפט לא גמור</w:t>
      </w:r>
    </w:p>
  </w:comment>
  <w:comment w:id="27" w:author="Daniell Ben Arie" w:date="2024-04-15T23:48:00Z" w:initials="DB">
    <w:p w14:paraId="6EE7800A" w14:textId="77777777" w:rsidR="00F43907" w:rsidRDefault="00F43907" w:rsidP="00F43907">
      <w:r>
        <w:rPr>
          <w:rStyle w:val="CommentReference"/>
        </w:rPr>
        <w:annotationRef/>
      </w:r>
      <w:r>
        <w:rPr>
          <w:rFonts w:ascii="Calibri" w:eastAsia="Calibri" w:hAnsi="Calibri" w:cs="Arial"/>
          <w:color w:val="000000"/>
          <w:sz w:val="20"/>
          <w:szCs w:val="20"/>
          <w:rtl/>
        </w:rPr>
        <w:t>חזרה על המשפט המדוייק בעמוד 23 בפסקה 4</w:t>
      </w:r>
    </w:p>
  </w:comment>
  <w:comment w:id="28" w:author="Daniell Ben Arie" w:date="2024-04-15T23:16:00Z" w:initials="DB">
    <w:p w14:paraId="1EFF5462" w14:textId="557A9C72" w:rsidR="007534CF" w:rsidRDefault="007534CF" w:rsidP="007534CF">
      <w:r>
        <w:rPr>
          <w:rStyle w:val="CommentReference"/>
        </w:rPr>
        <w:annotationRef/>
      </w:r>
      <w:r>
        <w:rPr>
          <w:rFonts w:ascii="Calibri" w:eastAsia="Calibri" w:hAnsi="Calibri" w:cs="Arial"/>
          <w:sz w:val="20"/>
          <w:szCs w:val="20"/>
          <w:rtl/>
        </w:rPr>
        <w:t>להוסיף</w:t>
      </w:r>
      <w:r>
        <w:rPr>
          <w:rFonts w:ascii="Calibri" w:eastAsia="Calibri" w:hAnsi="Calibri" w:cs="Arial"/>
          <w:sz w:val="20"/>
          <w:szCs w:val="20"/>
        </w:rPr>
        <w:t xml:space="preserve"> </w:t>
      </w:r>
      <w:r>
        <w:rPr>
          <w:rFonts w:ascii="Calibri" w:eastAsia="Calibri" w:hAnsi="Calibri" w:cs="Arial"/>
          <w:sz w:val="20"/>
          <w:szCs w:val="20"/>
          <w:rtl/>
        </w:rPr>
        <w:t>ה״ש - כמו ה״ש 126</w:t>
      </w:r>
    </w:p>
  </w:comment>
  <w:comment w:id="29" w:author="Daniell Ben Arie" w:date="2024-04-15T23:17:00Z" w:initials="DB">
    <w:p w14:paraId="580C8DB2" w14:textId="07B2A7B8" w:rsidR="007534CF" w:rsidRDefault="007534CF" w:rsidP="007534CF">
      <w:r>
        <w:rPr>
          <w:rStyle w:val="CommentReference"/>
        </w:rPr>
        <w:annotationRef/>
      </w:r>
      <w:r>
        <w:rPr>
          <w:rFonts w:ascii="Calibri" w:eastAsia="Calibri" w:hAnsi="Calibri" w:cs="Arial"/>
          <w:sz w:val="20"/>
          <w:szCs w:val="20"/>
          <w:rtl/>
        </w:rPr>
        <w:t>להוסיף</w:t>
      </w:r>
      <w:r>
        <w:rPr>
          <w:rFonts w:ascii="Calibri" w:eastAsia="Calibri" w:hAnsi="Calibri" w:cs="Arial"/>
          <w:sz w:val="20"/>
          <w:szCs w:val="20"/>
        </w:rPr>
        <w:t xml:space="preserve"> </w:t>
      </w:r>
      <w:r>
        <w:rPr>
          <w:rFonts w:ascii="Calibri" w:eastAsia="Calibri" w:hAnsi="Calibri" w:cs="Arial"/>
          <w:sz w:val="20"/>
          <w:szCs w:val="20"/>
          <w:rtl/>
        </w:rPr>
        <w:t>ה״ש</w:t>
      </w:r>
      <w:r>
        <w:rPr>
          <w:rFonts w:ascii="Calibri" w:eastAsia="Calibri" w:hAnsi="Calibri" w:cs="Arial"/>
          <w:sz w:val="20"/>
          <w:szCs w:val="20"/>
        </w:rPr>
        <w:t xml:space="preserve"> - </w:t>
      </w:r>
      <w:r>
        <w:rPr>
          <w:rFonts w:ascii="Calibri" w:eastAsia="Calibri" w:hAnsi="Calibri" w:cs="Arial"/>
          <w:sz w:val="20"/>
          <w:szCs w:val="20"/>
          <w:rtl/>
        </w:rPr>
        <w:t>כמו</w:t>
      </w:r>
      <w:r>
        <w:rPr>
          <w:rFonts w:ascii="Calibri" w:eastAsia="Calibri" w:hAnsi="Calibri" w:cs="Arial"/>
          <w:sz w:val="20"/>
          <w:szCs w:val="20"/>
        </w:rPr>
        <w:t xml:space="preserve"> </w:t>
      </w:r>
      <w:r>
        <w:rPr>
          <w:rFonts w:ascii="Calibri" w:eastAsia="Calibri" w:hAnsi="Calibri" w:cs="Arial"/>
          <w:sz w:val="20"/>
          <w:szCs w:val="20"/>
          <w:rtl/>
        </w:rPr>
        <w:t>ה״ש</w:t>
      </w:r>
      <w:r>
        <w:rPr>
          <w:rFonts w:ascii="Calibri" w:eastAsia="Calibri" w:hAnsi="Calibri" w:cs="Arial"/>
          <w:sz w:val="20"/>
          <w:szCs w:val="20"/>
        </w:rPr>
        <w:t xml:space="preserve"> 127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E64192" w15:done="0"/>
  <w15:commentEx w15:paraId="42EDB3E9" w15:done="0"/>
  <w15:commentEx w15:paraId="6EE7800A" w15:done="0"/>
  <w15:commentEx w15:paraId="1EFF5462" w15:done="0"/>
  <w15:commentEx w15:paraId="580C8D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D03EA5" w16cex:dateUtc="2024-04-15T18:35:00Z"/>
  <w16cex:commentExtensible w16cex:durableId="1A5EC62B" w16cex:dateUtc="2024-04-15T19:42:00Z"/>
  <w16cex:commentExtensible w16cex:durableId="2022C907" w16cex:dateUtc="2024-04-15T20:48:00Z"/>
  <w16cex:commentExtensible w16cex:durableId="6841E1BB" w16cex:dateUtc="2024-04-15T20:16:00Z"/>
  <w16cex:commentExtensible w16cex:durableId="136D171B" w16cex:dateUtc="2024-04-15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E64192" w16cid:durableId="40D03EA5"/>
  <w16cid:commentId w16cid:paraId="42EDB3E9" w16cid:durableId="1A5EC62B"/>
  <w16cid:commentId w16cid:paraId="6EE7800A" w16cid:durableId="2022C907"/>
  <w16cid:commentId w16cid:paraId="1EFF5462" w16cid:durableId="6841E1BB"/>
  <w16cid:commentId w16cid:paraId="580C8DB2" w16cid:durableId="136D1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71B93" w14:textId="77777777" w:rsidR="0009427A" w:rsidRDefault="0009427A" w:rsidP="00FA49EE">
      <w:pPr>
        <w:spacing w:after="0" w:line="240" w:lineRule="auto"/>
      </w:pPr>
      <w:r>
        <w:separator/>
      </w:r>
    </w:p>
  </w:endnote>
  <w:endnote w:type="continuationSeparator" w:id="0">
    <w:p w14:paraId="7626C196" w14:textId="77777777" w:rsidR="0009427A" w:rsidRDefault="0009427A" w:rsidP="00FA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FC441" w14:textId="77777777" w:rsidR="0009427A" w:rsidRDefault="0009427A" w:rsidP="00FA49EE">
      <w:pPr>
        <w:spacing w:after="0" w:line="240" w:lineRule="auto"/>
      </w:pPr>
      <w:r>
        <w:separator/>
      </w:r>
    </w:p>
  </w:footnote>
  <w:footnote w:type="continuationSeparator" w:id="0">
    <w:p w14:paraId="275A6D11" w14:textId="77777777" w:rsidR="0009427A" w:rsidRDefault="0009427A" w:rsidP="00FA49EE">
      <w:pPr>
        <w:spacing w:after="0" w:line="240" w:lineRule="auto"/>
      </w:pPr>
      <w:r>
        <w:continuationSeparator/>
      </w:r>
    </w:p>
  </w:footnote>
  <w:footnote w:id="1">
    <w:p w14:paraId="5AA0C50E" w14:textId="77777777" w:rsidR="00AA5E14" w:rsidRPr="0047237E" w:rsidRDefault="00AA5E14" w:rsidP="00615CFE">
      <w:pPr>
        <w:pStyle w:val="FootnoteText"/>
        <w:rPr>
          <w:rFonts w:ascii="David" w:hAnsi="David" w:cs="David"/>
        </w:rPr>
      </w:pPr>
      <w:r>
        <w:rPr>
          <w:rStyle w:val="FootnoteReference"/>
        </w:rPr>
        <w:footnoteRef/>
      </w:r>
      <w:r>
        <w:t xml:space="preserve"> </w:t>
      </w:r>
      <w:r w:rsidRPr="0047237E">
        <w:rPr>
          <w:rFonts w:ascii="David" w:hAnsi="David" w:cs="David"/>
          <w:color w:val="222222"/>
          <w:shd w:val="clear" w:color="auto" w:fill="FFFFFF"/>
        </w:rPr>
        <w:t>Cooter, Robert. "Do good laws make good citizens? An economic analysis of internalized norms." </w:t>
      </w:r>
      <w:r w:rsidRPr="0047237E">
        <w:rPr>
          <w:rFonts w:ascii="David" w:hAnsi="David" w:cs="David"/>
          <w:i/>
          <w:iCs/>
          <w:color w:val="222222"/>
          <w:shd w:val="clear" w:color="auto" w:fill="FFFFFF"/>
        </w:rPr>
        <w:t>Virginia Law Review</w:t>
      </w:r>
      <w:r w:rsidRPr="0047237E">
        <w:rPr>
          <w:rFonts w:ascii="David" w:hAnsi="David" w:cs="David"/>
          <w:color w:val="222222"/>
          <w:shd w:val="clear" w:color="auto" w:fill="FFFFFF"/>
        </w:rPr>
        <w:t> (2000): 1577-1601.</w:t>
      </w:r>
    </w:p>
  </w:footnote>
  <w:footnote w:id="2">
    <w:p w14:paraId="1D108250" w14:textId="3108830F" w:rsidR="00AA5E14" w:rsidRPr="0047237E" w:rsidRDefault="00AA5E14">
      <w:pPr>
        <w:rPr>
          <w:rFonts w:ascii="David" w:hAnsi="David" w:cs="David"/>
          <w:sz w:val="20"/>
          <w:szCs w:val="20"/>
          <w:rtl/>
        </w:rPr>
      </w:pPr>
      <w:r w:rsidRPr="0047237E">
        <w:rPr>
          <w:rStyle w:val="FootnoteReference"/>
          <w:rFonts w:ascii="David" w:hAnsi="David" w:cs="David"/>
          <w:sz w:val="20"/>
          <w:szCs w:val="20"/>
        </w:rPr>
        <w:footnoteRef/>
      </w:r>
      <w:r w:rsidRPr="0047237E">
        <w:rPr>
          <w:rFonts w:ascii="David" w:hAnsi="David" w:cs="David"/>
          <w:sz w:val="20"/>
          <w:szCs w:val="20"/>
        </w:rPr>
        <w:t xml:space="preserve"> </w:t>
      </w:r>
      <w:r>
        <w:rPr>
          <w:rFonts w:ascii="David" w:hAnsi="David" w:cs="David"/>
          <w:sz w:val="20"/>
          <w:szCs w:val="20"/>
        </w:rPr>
        <w:t xml:space="preserve">This qualification was recently suggested in </w:t>
      </w:r>
      <w:r w:rsidRPr="00F33253">
        <w:rPr>
          <w:rFonts w:ascii="David" w:hAnsi="David" w:cs="David"/>
          <w:sz w:val="20"/>
          <w:szCs w:val="20"/>
        </w:rPr>
        <w:t xml:space="preserve">Chater, Nick, and George Loewenstein. "The </w:t>
      </w:r>
      <w:proofErr w:type="spellStart"/>
      <w:r w:rsidRPr="00F33253">
        <w:rPr>
          <w:rFonts w:ascii="David" w:hAnsi="David" w:cs="David"/>
          <w:sz w:val="20"/>
          <w:szCs w:val="20"/>
        </w:rPr>
        <w:t>i</w:t>
      </w:r>
      <w:proofErr w:type="spellEnd"/>
      <w:r w:rsidRPr="00F33253">
        <w:rPr>
          <w:rFonts w:ascii="David" w:hAnsi="David" w:cs="David"/>
          <w:sz w:val="20"/>
          <w:szCs w:val="20"/>
        </w:rPr>
        <w:t>-frame and the s-frame: How focusing on individual-level solutions has led behavioral public policy astray." </w:t>
      </w:r>
      <w:r w:rsidRPr="00F33253">
        <w:rPr>
          <w:rFonts w:ascii="David" w:hAnsi="David" w:cs="David"/>
          <w:i/>
          <w:iCs/>
          <w:sz w:val="20"/>
          <w:szCs w:val="20"/>
        </w:rPr>
        <w:t>Behavioral and Brain Sciences</w:t>
      </w:r>
      <w:r w:rsidRPr="00F33253">
        <w:rPr>
          <w:rFonts w:ascii="David" w:hAnsi="David" w:cs="David"/>
          <w:sz w:val="20"/>
          <w:szCs w:val="20"/>
        </w:rPr>
        <w:t> 46 (2023): e147.</w:t>
      </w:r>
      <w:r>
        <w:rPr>
          <w:rFonts w:ascii="David" w:hAnsi="David" w:cs="David"/>
          <w:sz w:val="20"/>
          <w:szCs w:val="20"/>
        </w:rPr>
        <w:t xml:space="preserve"> </w:t>
      </w:r>
      <w:r w:rsidRPr="00F33253">
        <w:rPr>
          <w:rFonts w:ascii="David" w:hAnsi="David" w:cs="David"/>
          <w:sz w:val="20"/>
          <w:szCs w:val="20"/>
        </w:rPr>
        <w:t>Chater and Lowenstein</w:t>
      </w:r>
      <w:r>
        <w:rPr>
          <w:rFonts w:ascii="David" w:hAnsi="David" w:cs="David"/>
          <w:sz w:val="20"/>
          <w:szCs w:val="20"/>
        </w:rPr>
        <w:t xml:space="preserve"> argue that focusing</w:t>
      </w:r>
      <w:r w:rsidRPr="00F33253">
        <w:rPr>
          <w:rFonts w:ascii="David" w:hAnsi="David" w:cs="David"/>
          <w:sz w:val="20"/>
          <w:szCs w:val="20"/>
        </w:rPr>
        <w:t xml:space="preserve"> on individuals</w:t>
      </w:r>
      <w:r>
        <w:rPr>
          <w:rFonts w:ascii="David" w:hAnsi="David" w:cs="David"/>
          <w:sz w:val="20"/>
          <w:szCs w:val="20"/>
        </w:rPr>
        <w:t>'</w:t>
      </w:r>
      <w:r w:rsidRPr="00F33253">
        <w:rPr>
          <w:rFonts w:ascii="David" w:hAnsi="David" w:cs="David"/>
          <w:sz w:val="20"/>
          <w:szCs w:val="20"/>
        </w:rPr>
        <w:t xml:space="preserve"> </w:t>
      </w:r>
      <w:r>
        <w:rPr>
          <w:rFonts w:ascii="David" w:hAnsi="David" w:cs="David"/>
          <w:sz w:val="20"/>
          <w:szCs w:val="20"/>
        </w:rPr>
        <w:t xml:space="preserve">behaviors essentially </w:t>
      </w:r>
      <w:r w:rsidRPr="00F33253">
        <w:rPr>
          <w:rFonts w:ascii="David" w:hAnsi="David" w:cs="David"/>
          <w:sz w:val="20"/>
          <w:szCs w:val="20"/>
        </w:rPr>
        <w:t>let</w:t>
      </w:r>
      <w:r>
        <w:rPr>
          <w:rFonts w:ascii="David" w:hAnsi="David" w:cs="David"/>
          <w:sz w:val="20"/>
          <w:szCs w:val="20"/>
        </w:rPr>
        <w:t>s</w:t>
      </w:r>
      <w:r w:rsidRPr="00F33253">
        <w:rPr>
          <w:rFonts w:ascii="David" w:hAnsi="David" w:cs="David"/>
          <w:sz w:val="20"/>
          <w:szCs w:val="20"/>
        </w:rPr>
        <w:t xml:space="preserve"> organization and states off the hook </w:t>
      </w:r>
      <w:r>
        <w:rPr>
          <w:rFonts w:ascii="David" w:hAnsi="David" w:cs="David"/>
          <w:sz w:val="20"/>
          <w:szCs w:val="20"/>
        </w:rPr>
        <w:t xml:space="preserve">for their </w:t>
      </w:r>
      <w:r w:rsidRPr="00F33253">
        <w:rPr>
          <w:rFonts w:ascii="David" w:hAnsi="David" w:cs="David"/>
          <w:sz w:val="20"/>
          <w:szCs w:val="20"/>
        </w:rPr>
        <w:t xml:space="preserve">own responsibilities to </w:t>
      </w:r>
      <w:r>
        <w:rPr>
          <w:rFonts w:ascii="David" w:hAnsi="David" w:cs="David"/>
          <w:sz w:val="20"/>
          <w:szCs w:val="20"/>
        </w:rPr>
        <w:t xml:space="preserve">global and social challenges (such as climate change, for instance). However, it should be noted that view </w:t>
      </w:r>
      <w:r w:rsidRPr="00D8252F">
        <w:rPr>
          <w:rFonts w:ascii="David" w:hAnsi="David" w:cs="David"/>
          <w:sz w:val="20"/>
          <w:szCs w:val="20"/>
        </w:rPr>
        <w:t>suggest</w:t>
      </w:r>
      <w:r>
        <w:rPr>
          <w:rFonts w:ascii="David" w:hAnsi="David" w:cs="David"/>
          <w:sz w:val="20"/>
          <w:szCs w:val="20"/>
        </w:rPr>
        <w:t>ed in this book</w:t>
      </w:r>
      <w:r w:rsidRPr="00D8252F">
        <w:rPr>
          <w:rFonts w:ascii="David" w:hAnsi="David" w:cs="David"/>
          <w:sz w:val="20"/>
          <w:szCs w:val="20"/>
        </w:rPr>
        <w:t xml:space="preserve"> is not </w:t>
      </w:r>
      <w:r>
        <w:rPr>
          <w:rFonts w:ascii="David" w:hAnsi="David" w:cs="David"/>
          <w:sz w:val="20"/>
          <w:szCs w:val="20"/>
        </w:rPr>
        <w:t>to reduce the responsibilities of the state by empowering</w:t>
      </w:r>
      <w:r w:rsidRPr="00D8252F">
        <w:rPr>
          <w:rFonts w:ascii="David" w:hAnsi="David" w:cs="David"/>
          <w:sz w:val="20"/>
          <w:szCs w:val="20"/>
        </w:rPr>
        <w:t xml:space="preserve"> the role of individuals</w:t>
      </w:r>
      <w:r>
        <w:rPr>
          <w:rFonts w:ascii="David" w:hAnsi="David" w:cs="David"/>
          <w:sz w:val="20"/>
          <w:szCs w:val="20"/>
        </w:rPr>
        <w:t xml:space="preserve">, </w:t>
      </w:r>
      <w:r w:rsidRPr="00D8252F">
        <w:rPr>
          <w:rFonts w:ascii="David" w:hAnsi="David" w:cs="David"/>
          <w:sz w:val="20"/>
          <w:szCs w:val="20"/>
        </w:rPr>
        <w:t>but rather examine the possibility of limiting the role of state in monitoring individual</w:t>
      </w:r>
      <w:r>
        <w:rPr>
          <w:rFonts w:ascii="David" w:hAnsi="David" w:cs="David"/>
          <w:sz w:val="20"/>
          <w:szCs w:val="20"/>
        </w:rPr>
        <w:t xml:space="preserve"> </w:t>
      </w:r>
      <w:r w:rsidRPr="00D8252F">
        <w:rPr>
          <w:rFonts w:ascii="David" w:hAnsi="David" w:cs="David"/>
          <w:sz w:val="20"/>
          <w:szCs w:val="20"/>
        </w:rPr>
        <w:t>behavior</w:t>
      </w:r>
      <w:r>
        <w:rPr>
          <w:rFonts w:ascii="David" w:hAnsi="David" w:cs="David"/>
          <w:sz w:val="20"/>
          <w:szCs w:val="20"/>
        </w:rPr>
        <w:t xml:space="preserve">. </w:t>
      </w:r>
      <w:r w:rsidRPr="00F33253" w:rsidDel="00F33253">
        <w:rPr>
          <w:rFonts w:ascii="David" w:hAnsi="David" w:cs="David"/>
          <w:sz w:val="20"/>
          <w:szCs w:val="20"/>
        </w:rPr>
        <w:t xml:space="preserve"> </w:t>
      </w:r>
    </w:p>
    <w:p w14:paraId="1D63EB71" w14:textId="77777777" w:rsidR="00AA5E14" w:rsidRDefault="00AA5E14" w:rsidP="00F047D0"/>
    <w:p w14:paraId="1D4C0041" w14:textId="77777777" w:rsidR="00AA5E14" w:rsidRDefault="00AA5E14" w:rsidP="00F047D0">
      <w:pPr>
        <w:pStyle w:val="FootnoteText"/>
      </w:pPr>
    </w:p>
  </w:footnote>
  <w:footnote w:id="3">
    <w:p w14:paraId="4CD94E0E" w14:textId="77777777" w:rsidR="008E4B6D" w:rsidRPr="006A7457" w:rsidRDefault="008E4B6D" w:rsidP="008E4B6D">
      <w:pPr>
        <w:pStyle w:val="FootnoteText"/>
        <w:rPr>
          <w:rFonts w:ascii="David" w:hAnsi="David" w:cs="David"/>
          <w:sz w:val="22"/>
          <w:szCs w:val="22"/>
        </w:rPr>
      </w:pPr>
      <w:r>
        <w:rPr>
          <w:rStyle w:val="FootnoteReference"/>
        </w:rPr>
        <w:footnoteRef/>
      </w:r>
      <w:r>
        <w:t xml:space="preserve"> </w:t>
      </w:r>
      <w:r w:rsidRPr="006A7457">
        <w:rPr>
          <w:rStyle w:val="cf01"/>
          <w:rFonts w:ascii="David" w:hAnsi="David" w:cs="David"/>
        </w:rPr>
        <w:t xml:space="preserve">Dwenger, Nadja, et al. "Extrinsic </w:t>
      </w:r>
      <w:r>
        <w:rPr>
          <w:rStyle w:val="cf01"/>
          <w:rFonts w:ascii="David" w:hAnsi="David" w:cs="David"/>
        </w:rPr>
        <w:t>an</w:t>
      </w:r>
      <w:r w:rsidRPr="006A7457">
        <w:rPr>
          <w:rStyle w:val="cf01"/>
          <w:rFonts w:ascii="David" w:hAnsi="David" w:cs="David"/>
        </w:rPr>
        <w:t xml:space="preserve">d </w:t>
      </w:r>
      <w:r>
        <w:rPr>
          <w:rStyle w:val="cf01"/>
          <w:rFonts w:ascii="David" w:hAnsi="David" w:cs="David"/>
        </w:rPr>
        <w:t>I</w:t>
      </w:r>
      <w:r w:rsidRPr="006A7457">
        <w:rPr>
          <w:rStyle w:val="cf01"/>
          <w:rFonts w:ascii="David" w:hAnsi="David" w:cs="David"/>
        </w:rPr>
        <w:t xml:space="preserve">ntrinsic </w:t>
      </w:r>
      <w:r>
        <w:rPr>
          <w:rStyle w:val="cf01"/>
          <w:rFonts w:ascii="David" w:hAnsi="David" w:cs="David"/>
        </w:rPr>
        <w:t>M</w:t>
      </w:r>
      <w:r w:rsidRPr="006A7457">
        <w:rPr>
          <w:rStyle w:val="cf01"/>
          <w:rFonts w:ascii="David" w:hAnsi="David" w:cs="David"/>
        </w:rPr>
        <w:t xml:space="preserve">otivations </w:t>
      </w:r>
      <w:r>
        <w:rPr>
          <w:rStyle w:val="cf01"/>
          <w:rFonts w:ascii="David" w:hAnsi="David" w:cs="David"/>
        </w:rPr>
        <w:t>f</w:t>
      </w:r>
      <w:r w:rsidRPr="006A7457">
        <w:rPr>
          <w:rStyle w:val="cf01"/>
          <w:rFonts w:ascii="David" w:hAnsi="David" w:cs="David"/>
        </w:rPr>
        <w:t xml:space="preserve">or </w:t>
      </w:r>
      <w:r>
        <w:rPr>
          <w:rStyle w:val="cf01"/>
          <w:rFonts w:ascii="David" w:hAnsi="David" w:cs="David"/>
        </w:rPr>
        <w:t>T</w:t>
      </w:r>
      <w:r w:rsidRPr="006A7457">
        <w:rPr>
          <w:rStyle w:val="cf01"/>
          <w:rFonts w:ascii="David" w:hAnsi="David" w:cs="David"/>
        </w:rPr>
        <w:t xml:space="preserve">ax </w:t>
      </w:r>
      <w:r>
        <w:rPr>
          <w:rStyle w:val="cf01"/>
          <w:rFonts w:ascii="David" w:hAnsi="David" w:cs="David"/>
        </w:rPr>
        <w:t>C</w:t>
      </w:r>
      <w:r w:rsidRPr="006A7457">
        <w:rPr>
          <w:rStyle w:val="cf01"/>
          <w:rFonts w:ascii="David" w:hAnsi="David" w:cs="David"/>
        </w:rPr>
        <w:t xml:space="preserve">ompliance: Evidence from a </w:t>
      </w:r>
      <w:r>
        <w:rPr>
          <w:rStyle w:val="cf01"/>
          <w:rFonts w:ascii="David" w:hAnsi="David" w:cs="David"/>
        </w:rPr>
        <w:t>F</w:t>
      </w:r>
      <w:r w:rsidRPr="006A7457">
        <w:rPr>
          <w:rStyle w:val="cf01"/>
          <w:rFonts w:ascii="David" w:hAnsi="David" w:cs="David"/>
        </w:rPr>
        <w:t xml:space="preserve">ield </w:t>
      </w:r>
      <w:r>
        <w:rPr>
          <w:rStyle w:val="cf01"/>
          <w:rFonts w:ascii="David" w:hAnsi="David" w:cs="David"/>
        </w:rPr>
        <w:t>E</w:t>
      </w:r>
      <w:r w:rsidRPr="006A7457">
        <w:rPr>
          <w:rStyle w:val="cf01"/>
          <w:rFonts w:ascii="David" w:hAnsi="David" w:cs="David"/>
        </w:rPr>
        <w:t>xperiment in Germany</w:t>
      </w:r>
      <w:r w:rsidRPr="006A7457">
        <w:rPr>
          <w:rStyle w:val="cf11"/>
          <w:rFonts w:ascii="David" w:hAnsi="David" w:cs="David"/>
        </w:rPr>
        <w:t>." </w:t>
      </w:r>
      <w:r w:rsidRPr="006A7457">
        <w:rPr>
          <w:rStyle w:val="cf21"/>
          <w:rFonts w:ascii="David" w:hAnsi="David" w:cs="David"/>
        </w:rPr>
        <w:t>American Economic Journal: Economic Policy</w:t>
      </w:r>
      <w:r>
        <w:rPr>
          <w:rStyle w:val="cf21"/>
          <w:rFonts w:ascii="David" w:hAnsi="David" w:cs="David"/>
        </w:rPr>
        <w:t xml:space="preserve">, </w:t>
      </w:r>
      <w:r w:rsidRPr="00B41F29">
        <w:rPr>
          <w:rStyle w:val="cf21"/>
          <w:rFonts w:ascii="David" w:hAnsi="David" w:cs="David"/>
        </w:rPr>
        <w:t>vol</w:t>
      </w:r>
      <w:r>
        <w:rPr>
          <w:rStyle w:val="cf11"/>
          <w:rFonts w:ascii="David" w:hAnsi="David" w:cs="David"/>
        </w:rPr>
        <w:t>.</w:t>
      </w:r>
      <w:r w:rsidRPr="006A7457">
        <w:rPr>
          <w:rStyle w:val="cf11"/>
          <w:rFonts w:ascii="David" w:hAnsi="David" w:cs="David"/>
        </w:rPr>
        <w:t> 8.3</w:t>
      </w:r>
      <w:r>
        <w:rPr>
          <w:rStyle w:val="cf11"/>
          <w:rFonts w:ascii="David" w:hAnsi="David" w:cs="David"/>
        </w:rPr>
        <w:t xml:space="preserve">, </w:t>
      </w:r>
      <w:r w:rsidRPr="006A7457">
        <w:rPr>
          <w:rStyle w:val="cf11"/>
          <w:rFonts w:ascii="David" w:hAnsi="David" w:cs="David"/>
        </w:rPr>
        <w:t>2016</w:t>
      </w:r>
      <w:r>
        <w:rPr>
          <w:rStyle w:val="cf11"/>
          <w:rFonts w:ascii="David" w:hAnsi="David" w:cs="David"/>
        </w:rPr>
        <w:t>, pp.</w:t>
      </w:r>
      <w:r w:rsidRPr="006A7457">
        <w:rPr>
          <w:rStyle w:val="cf11"/>
          <w:rFonts w:ascii="David" w:hAnsi="David" w:cs="David"/>
        </w:rPr>
        <w:t xml:space="preserve"> 203-</w:t>
      </w:r>
      <w:r>
        <w:rPr>
          <w:rStyle w:val="cf11"/>
          <w:rFonts w:ascii="David" w:hAnsi="David" w:cs="David"/>
        </w:rPr>
        <w:t>2</w:t>
      </w:r>
      <w:r w:rsidRPr="006A7457">
        <w:rPr>
          <w:rStyle w:val="cf11"/>
          <w:rFonts w:ascii="David" w:hAnsi="David" w:cs="David"/>
        </w:rPr>
        <w:t>32</w:t>
      </w:r>
      <w:r>
        <w:rPr>
          <w:rFonts w:ascii="David" w:hAnsi="David" w:cs="David"/>
          <w:sz w:val="22"/>
          <w:szCs w:val="22"/>
        </w:rPr>
        <w:t>.</w:t>
      </w:r>
    </w:p>
  </w:footnote>
  <w:footnote w:id="4">
    <w:p w14:paraId="46D8C81B" w14:textId="4075C02C" w:rsidR="00F00FC2" w:rsidRDefault="00F00FC2">
      <w:pPr>
        <w:pStyle w:val="FootnoteText"/>
      </w:pPr>
      <w:r>
        <w:rPr>
          <w:rStyle w:val="FootnoteReference"/>
        </w:rPr>
        <w:footnoteRef/>
      </w:r>
      <w:r>
        <w:t xml:space="preserve"> </w:t>
      </w:r>
      <w:r>
        <w:rPr>
          <w:rFonts w:ascii="Arial" w:hAnsi="Arial" w:cs="Arial"/>
          <w:color w:val="222222"/>
          <w:shd w:val="clear" w:color="auto" w:fill="FFFFFF"/>
        </w:rPr>
        <w:t>Feldman, Yuval. "The complexity of disentangling intrinsic and extrinsic compliance motivations: Theoretical and empirical insights from the behavioral analysis of law." </w:t>
      </w:r>
      <w:r>
        <w:rPr>
          <w:rFonts w:ascii="Arial" w:hAnsi="Arial" w:cs="Arial"/>
          <w:i/>
          <w:iCs/>
          <w:color w:val="222222"/>
          <w:shd w:val="clear" w:color="auto" w:fill="FFFFFF"/>
        </w:rPr>
        <w:t xml:space="preserve">Wash. UJL &amp; </w:t>
      </w:r>
      <w:proofErr w:type="spellStart"/>
      <w:r>
        <w:rPr>
          <w:rFonts w:ascii="Arial" w:hAnsi="Arial" w:cs="Arial"/>
          <w:i/>
          <w:iCs/>
          <w:color w:val="222222"/>
          <w:shd w:val="clear" w:color="auto" w:fill="FFFFFF"/>
        </w:rPr>
        <w:t>Pol'y</w:t>
      </w:r>
      <w:proofErr w:type="spellEnd"/>
      <w:r>
        <w:rPr>
          <w:rFonts w:ascii="Arial" w:hAnsi="Arial" w:cs="Arial"/>
          <w:color w:val="222222"/>
          <w:shd w:val="clear" w:color="auto" w:fill="FFFFFF"/>
        </w:rPr>
        <w:t xml:space="preserve"> 35 (2011): 11. See also Michael Goldblum, Ayala Sela and Yuval Feldman, The </w:t>
      </w:r>
      <w:proofErr w:type="gramStart"/>
      <w:r>
        <w:rPr>
          <w:rFonts w:ascii="Arial" w:hAnsi="Arial" w:cs="Arial"/>
          <w:color w:val="222222"/>
          <w:shd w:val="clear" w:color="auto" w:fill="FFFFFF"/>
        </w:rPr>
        <w:t>promise</w:t>
      </w:r>
      <w:proofErr w:type="gramEnd"/>
      <w:r>
        <w:rPr>
          <w:rFonts w:ascii="Arial" w:hAnsi="Arial" w:cs="Arial"/>
          <w:color w:val="222222"/>
          <w:shd w:val="clear" w:color="auto" w:fill="FFFFFF"/>
        </w:rPr>
        <w:t xml:space="preserve"> and Perils of Relationship in Law, (under review on file with the author)</w:t>
      </w:r>
    </w:p>
  </w:footnote>
  <w:footnote w:id="5">
    <w:p w14:paraId="4794585C" w14:textId="77777777" w:rsidR="008E4B6D" w:rsidRPr="00B96360" w:rsidRDefault="008E4B6D" w:rsidP="008E4B6D">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w:t>
      </w:r>
      <w:proofErr w:type="spellStart"/>
      <w:r>
        <w:rPr>
          <w:rFonts w:ascii="Arial" w:hAnsi="Arial" w:cs="Arial"/>
          <w:color w:val="222222"/>
          <w:shd w:val="clear" w:color="auto" w:fill="FFFFFF"/>
        </w:rPr>
        <w:t>Boussalis</w:t>
      </w:r>
      <w:proofErr w:type="spellEnd"/>
      <w:r>
        <w:rPr>
          <w:rFonts w:ascii="Arial" w:hAnsi="Arial" w:cs="Arial"/>
          <w:color w:val="222222"/>
          <w:shd w:val="clear" w:color="auto" w:fill="FFFFFF"/>
        </w:rPr>
        <w:t>, Constantine, Yuval Feldman, and Henry E. Smith. "Experimental Analysis of the Effect of Standards on Compliance and Performance." </w:t>
      </w:r>
      <w:r>
        <w:rPr>
          <w:rFonts w:ascii="Arial" w:hAnsi="Arial" w:cs="Arial"/>
          <w:i/>
          <w:iCs/>
          <w:color w:val="222222"/>
          <w:shd w:val="clear" w:color="auto" w:fill="FFFFFF"/>
        </w:rPr>
        <w:t>Regulation &amp; Governance</w:t>
      </w:r>
      <w:r>
        <w:rPr>
          <w:rFonts w:ascii="Arial" w:hAnsi="Arial" w:cs="Arial"/>
          <w:color w:val="222222"/>
          <w:shd w:val="clear" w:color="auto" w:fill="FFFFFF"/>
        </w:rPr>
        <w:t>, vol. 12.2, 2018, pp. 277-298.</w:t>
      </w:r>
    </w:p>
  </w:footnote>
  <w:footnote w:id="6">
    <w:p w14:paraId="79E6C0FE" w14:textId="77777777" w:rsidR="004443EB" w:rsidRPr="00B96360" w:rsidRDefault="004443EB" w:rsidP="004443EB">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w:t>
      </w:r>
      <w:r w:rsidRPr="00B96360">
        <w:rPr>
          <w:rFonts w:ascii="David" w:hAnsi="David" w:cs="David"/>
          <w:color w:val="222222"/>
          <w:shd w:val="clear" w:color="auto" w:fill="FFFFFF"/>
        </w:rPr>
        <w:t>Ryan, Richard M., and Edward L. Deci. "Self-</w:t>
      </w:r>
      <w:r>
        <w:rPr>
          <w:rFonts w:ascii="David" w:hAnsi="David" w:cs="David"/>
          <w:color w:val="222222"/>
          <w:shd w:val="clear" w:color="auto" w:fill="FFFFFF"/>
        </w:rPr>
        <w:t>D</w:t>
      </w:r>
      <w:r w:rsidRPr="00B96360">
        <w:rPr>
          <w:rFonts w:ascii="David" w:hAnsi="David" w:cs="David"/>
          <w:color w:val="222222"/>
          <w:shd w:val="clear" w:color="auto" w:fill="FFFFFF"/>
        </w:rPr>
        <w:t xml:space="preserve">etermination </w:t>
      </w:r>
      <w:r>
        <w:rPr>
          <w:rFonts w:ascii="David" w:hAnsi="David" w:cs="David"/>
          <w:color w:val="222222"/>
          <w:shd w:val="clear" w:color="auto" w:fill="FFFFFF"/>
        </w:rPr>
        <w:t>T</w:t>
      </w:r>
      <w:r w:rsidRPr="00B96360">
        <w:rPr>
          <w:rFonts w:ascii="David" w:hAnsi="David" w:cs="David"/>
          <w:color w:val="222222"/>
          <w:shd w:val="clear" w:color="auto" w:fill="FFFFFF"/>
        </w:rPr>
        <w:t>heory and the</w:t>
      </w:r>
      <w:r>
        <w:rPr>
          <w:rFonts w:ascii="David" w:hAnsi="David" w:cs="David"/>
          <w:color w:val="222222"/>
          <w:shd w:val="clear" w:color="auto" w:fill="FFFFFF"/>
        </w:rPr>
        <w:t xml:space="preserve"> F</w:t>
      </w:r>
      <w:r w:rsidRPr="00B96360">
        <w:rPr>
          <w:rFonts w:ascii="David" w:hAnsi="David" w:cs="David"/>
          <w:color w:val="222222"/>
          <w:shd w:val="clear" w:color="auto" w:fill="FFFFFF"/>
        </w:rPr>
        <w:t xml:space="preserve">acilitation of </w:t>
      </w:r>
      <w:r>
        <w:rPr>
          <w:rFonts w:ascii="David" w:hAnsi="David" w:cs="David"/>
          <w:color w:val="222222"/>
          <w:shd w:val="clear" w:color="auto" w:fill="FFFFFF"/>
        </w:rPr>
        <w:t>I</w:t>
      </w:r>
      <w:r w:rsidRPr="00B96360">
        <w:rPr>
          <w:rFonts w:ascii="David" w:hAnsi="David" w:cs="David"/>
          <w:color w:val="222222"/>
          <w:shd w:val="clear" w:color="auto" w:fill="FFFFFF"/>
        </w:rPr>
        <w:t xml:space="preserve">ntrinsic </w:t>
      </w:r>
      <w:r>
        <w:rPr>
          <w:rFonts w:ascii="David" w:hAnsi="David" w:cs="David"/>
          <w:color w:val="222222"/>
          <w:shd w:val="clear" w:color="auto" w:fill="FFFFFF"/>
        </w:rPr>
        <w:t>M</w:t>
      </w:r>
      <w:r w:rsidRPr="00B96360">
        <w:rPr>
          <w:rFonts w:ascii="David" w:hAnsi="David" w:cs="David"/>
          <w:color w:val="222222"/>
          <w:shd w:val="clear" w:color="auto" w:fill="FFFFFF"/>
        </w:rPr>
        <w:t xml:space="preserve">otivation, </w:t>
      </w:r>
      <w:r>
        <w:rPr>
          <w:rFonts w:ascii="David" w:hAnsi="David" w:cs="David"/>
          <w:color w:val="222222"/>
          <w:shd w:val="clear" w:color="auto" w:fill="FFFFFF"/>
        </w:rPr>
        <w:t>S</w:t>
      </w:r>
      <w:r w:rsidRPr="00B96360">
        <w:rPr>
          <w:rFonts w:ascii="David" w:hAnsi="David" w:cs="David"/>
          <w:color w:val="222222"/>
          <w:shd w:val="clear" w:color="auto" w:fill="FFFFFF"/>
        </w:rPr>
        <w:t xml:space="preserve">ocial </w:t>
      </w:r>
      <w:r>
        <w:rPr>
          <w:rFonts w:ascii="David" w:hAnsi="David" w:cs="David"/>
          <w:color w:val="222222"/>
          <w:shd w:val="clear" w:color="auto" w:fill="FFFFFF"/>
        </w:rPr>
        <w:t>D</w:t>
      </w:r>
      <w:r w:rsidRPr="00B96360">
        <w:rPr>
          <w:rFonts w:ascii="David" w:hAnsi="David" w:cs="David"/>
          <w:color w:val="222222"/>
          <w:shd w:val="clear" w:color="auto" w:fill="FFFFFF"/>
        </w:rPr>
        <w:t xml:space="preserve">evelopment, and </w:t>
      </w:r>
      <w:r>
        <w:rPr>
          <w:rFonts w:ascii="David" w:hAnsi="David" w:cs="David"/>
          <w:color w:val="222222"/>
          <w:shd w:val="clear" w:color="auto" w:fill="FFFFFF"/>
        </w:rPr>
        <w:t>W</w:t>
      </w:r>
      <w:r w:rsidRPr="00B96360">
        <w:rPr>
          <w:rFonts w:ascii="David" w:hAnsi="David" w:cs="David"/>
          <w:color w:val="222222"/>
          <w:shd w:val="clear" w:color="auto" w:fill="FFFFFF"/>
        </w:rPr>
        <w:t>ell-</w:t>
      </w:r>
      <w:r>
        <w:rPr>
          <w:rFonts w:ascii="David" w:hAnsi="David" w:cs="David"/>
          <w:color w:val="222222"/>
          <w:shd w:val="clear" w:color="auto" w:fill="FFFFFF"/>
        </w:rPr>
        <w:t>B</w:t>
      </w:r>
      <w:r w:rsidRPr="00B96360">
        <w:rPr>
          <w:rFonts w:ascii="David" w:hAnsi="David" w:cs="David"/>
          <w:color w:val="222222"/>
          <w:shd w:val="clear" w:color="auto" w:fill="FFFFFF"/>
        </w:rPr>
        <w:t>eing." </w:t>
      </w:r>
      <w:r w:rsidRPr="00B96360">
        <w:rPr>
          <w:rFonts w:ascii="David" w:hAnsi="David" w:cs="David"/>
          <w:i/>
          <w:iCs/>
          <w:color w:val="222222"/>
          <w:shd w:val="clear" w:color="auto" w:fill="FFFFFF"/>
        </w:rPr>
        <w:t xml:space="preserve">American </w:t>
      </w:r>
      <w:r>
        <w:rPr>
          <w:rFonts w:ascii="David" w:hAnsi="David" w:cs="David"/>
          <w:i/>
          <w:iCs/>
          <w:color w:val="222222"/>
          <w:shd w:val="clear" w:color="auto" w:fill="FFFFFF"/>
        </w:rPr>
        <w:t>P</w:t>
      </w:r>
      <w:r w:rsidRPr="00B96360">
        <w:rPr>
          <w:rFonts w:ascii="David" w:hAnsi="David" w:cs="David"/>
          <w:i/>
          <w:iCs/>
          <w:color w:val="222222"/>
          <w:shd w:val="clear" w:color="auto" w:fill="FFFFFF"/>
        </w:rPr>
        <w:t>sychologist</w:t>
      </w:r>
      <w:r>
        <w:rPr>
          <w:rFonts w:ascii="David" w:hAnsi="David" w:cs="David"/>
          <w:i/>
          <w:iCs/>
          <w:color w:val="222222"/>
          <w:shd w:val="clear" w:color="auto" w:fill="FFFFFF"/>
        </w:rPr>
        <w:t>,</w:t>
      </w:r>
      <w:r w:rsidRPr="00B96360">
        <w:rPr>
          <w:rFonts w:ascii="David" w:hAnsi="David" w:cs="David"/>
          <w:color w:val="222222"/>
          <w:shd w:val="clear" w:color="auto" w:fill="FFFFFF"/>
        </w:rPr>
        <w:t> </w:t>
      </w:r>
      <w:r>
        <w:rPr>
          <w:rFonts w:ascii="David" w:hAnsi="David" w:cs="David"/>
          <w:color w:val="222222"/>
          <w:shd w:val="clear" w:color="auto" w:fill="FFFFFF"/>
        </w:rPr>
        <w:t xml:space="preserve">vol. </w:t>
      </w:r>
      <w:r w:rsidRPr="00B96360">
        <w:rPr>
          <w:rFonts w:ascii="David" w:hAnsi="David" w:cs="David"/>
          <w:color w:val="222222"/>
          <w:shd w:val="clear" w:color="auto" w:fill="FFFFFF"/>
        </w:rPr>
        <w:t>55.1 2000</w:t>
      </w:r>
      <w:r>
        <w:rPr>
          <w:rFonts w:ascii="David" w:hAnsi="David" w:cs="David"/>
          <w:color w:val="222222"/>
          <w:shd w:val="clear" w:color="auto" w:fill="FFFFFF"/>
        </w:rPr>
        <w:t>,</w:t>
      </w:r>
      <w:r w:rsidRPr="00B96360">
        <w:rPr>
          <w:rFonts w:ascii="David" w:hAnsi="David" w:cs="David"/>
          <w:color w:val="222222"/>
          <w:shd w:val="clear" w:color="auto" w:fill="FFFFFF"/>
        </w:rPr>
        <w:t xml:space="preserve"> </w:t>
      </w:r>
      <w:r>
        <w:rPr>
          <w:rFonts w:ascii="David" w:hAnsi="David" w:cs="David"/>
          <w:color w:val="222222"/>
          <w:shd w:val="clear" w:color="auto" w:fill="FFFFFF"/>
        </w:rPr>
        <w:t xml:space="preserve">pp. </w:t>
      </w:r>
      <w:r w:rsidRPr="00B96360">
        <w:rPr>
          <w:rFonts w:ascii="David" w:hAnsi="David" w:cs="David"/>
          <w:color w:val="222222"/>
          <w:shd w:val="clear" w:color="auto" w:fill="FFFFFF"/>
        </w:rPr>
        <w:t>68</w:t>
      </w:r>
      <w:r>
        <w:rPr>
          <w:rFonts w:ascii="David" w:hAnsi="David" w:cs="David"/>
          <w:color w:val="222222"/>
          <w:shd w:val="clear" w:color="auto" w:fill="FFFFFF"/>
        </w:rPr>
        <w:t>-78.</w:t>
      </w:r>
    </w:p>
  </w:footnote>
  <w:footnote w:id="7">
    <w:p w14:paraId="2486BD12" w14:textId="77777777" w:rsidR="004443EB" w:rsidRPr="00B96360" w:rsidRDefault="004443EB" w:rsidP="004443EB">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w:t>
      </w:r>
      <w:r w:rsidRPr="00B96360">
        <w:rPr>
          <w:rFonts w:ascii="David" w:hAnsi="David" w:cs="David"/>
          <w:color w:val="222222"/>
          <w:shd w:val="clear" w:color="auto" w:fill="FFFFFF"/>
        </w:rPr>
        <w:t xml:space="preserve">Reeve, </w:t>
      </w:r>
      <w:proofErr w:type="spellStart"/>
      <w:r w:rsidRPr="00B96360">
        <w:rPr>
          <w:rFonts w:ascii="David" w:hAnsi="David" w:cs="David"/>
          <w:color w:val="222222"/>
          <w:shd w:val="clear" w:color="auto" w:fill="FFFFFF"/>
        </w:rPr>
        <w:t>Johnmarshall</w:t>
      </w:r>
      <w:proofErr w:type="spellEnd"/>
      <w:r w:rsidRPr="00B96360">
        <w:rPr>
          <w:rFonts w:ascii="David" w:hAnsi="David" w:cs="David"/>
          <w:color w:val="222222"/>
          <w:shd w:val="clear" w:color="auto" w:fill="FFFFFF"/>
        </w:rPr>
        <w:t xml:space="preserve">, Steven G. Cole, and Bradley C. Olson. "Adding </w:t>
      </w:r>
      <w:r>
        <w:rPr>
          <w:rFonts w:ascii="David" w:hAnsi="David" w:cs="David"/>
          <w:color w:val="222222"/>
          <w:shd w:val="clear" w:color="auto" w:fill="FFFFFF"/>
        </w:rPr>
        <w:t>E</w:t>
      </w:r>
      <w:r w:rsidRPr="00B96360">
        <w:rPr>
          <w:rFonts w:ascii="David" w:hAnsi="David" w:cs="David"/>
          <w:color w:val="222222"/>
          <w:shd w:val="clear" w:color="auto" w:fill="FFFFFF"/>
        </w:rPr>
        <w:t xml:space="preserve">xcitement to </w:t>
      </w:r>
      <w:r>
        <w:rPr>
          <w:rFonts w:ascii="David" w:hAnsi="David" w:cs="David"/>
          <w:color w:val="222222"/>
          <w:shd w:val="clear" w:color="auto" w:fill="FFFFFF"/>
        </w:rPr>
        <w:t>I</w:t>
      </w:r>
      <w:r w:rsidRPr="00B96360">
        <w:rPr>
          <w:rFonts w:ascii="David" w:hAnsi="David" w:cs="David"/>
          <w:color w:val="222222"/>
          <w:shd w:val="clear" w:color="auto" w:fill="FFFFFF"/>
        </w:rPr>
        <w:t xml:space="preserve">ntrinsic </w:t>
      </w:r>
      <w:r>
        <w:rPr>
          <w:rFonts w:ascii="David" w:hAnsi="David" w:cs="David"/>
          <w:color w:val="222222"/>
          <w:shd w:val="clear" w:color="auto" w:fill="FFFFFF"/>
        </w:rPr>
        <w:t>M</w:t>
      </w:r>
      <w:r w:rsidRPr="00B96360">
        <w:rPr>
          <w:rFonts w:ascii="David" w:hAnsi="David" w:cs="David"/>
          <w:color w:val="222222"/>
          <w:shd w:val="clear" w:color="auto" w:fill="FFFFFF"/>
        </w:rPr>
        <w:t xml:space="preserve">otivation </w:t>
      </w:r>
      <w:r>
        <w:rPr>
          <w:rFonts w:ascii="David" w:hAnsi="David" w:cs="David"/>
          <w:color w:val="222222"/>
          <w:shd w:val="clear" w:color="auto" w:fill="FFFFFF"/>
        </w:rPr>
        <w:t>R</w:t>
      </w:r>
      <w:r w:rsidRPr="00B96360">
        <w:rPr>
          <w:rFonts w:ascii="David" w:hAnsi="David" w:cs="David"/>
          <w:color w:val="222222"/>
          <w:shd w:val="clear" w:color="auto" w:fill="FFFFFF"/>
        </w:rPr>
        <w:t>esearch." </w:t>
      </w:r>
      <w:r w:rsidRPr="00B96360">
        <w:rPr>
          <w:rFonts w:ascii="David" w:hAnsi="David" w:cs="David"/>
          <w:i/>
          <w:iCs/>
          <w:color w:val="222222"/>
          <w:shd w:val="clear" w:color="auto" w:fill="FFFFFF"/>
        </w:rPr>
        <w:t>Journal of Social Behavior and Personality</w:t>
      </w:r>
      <w:r>
        <w:rPr>
          <w:rFonts w:ascii="David" w:hAnsi="David" w:cs="David"/>
          <w:i/>
          <w:iCs/>
          <w:color w:val="222222"/>
          <w:shd w:val="clear" w:color="auto" w:fill="FFFFFF"/>
        </w:rPr>
        <w:t xml:space="preserve">, </w:t>
      </w:r>
      <w:r>
        <w:rPr>
          <w:rFonts w:ascii="David" w:hAnsi="David" w:cs="David"/>
          <w:color w:val="222222"/>
          <w:shd w:val="clear" w:color="auto" w:fill="FFFFFF"/>
        </w:rPr>
        <w:t>vol.</w:t>
      </w:r>
      <w:r w:rsidRPr="00B96360">
        <w:rPr>
          <w:rFonts w:ascii="David" w:hAnsi="David" w:cs="David"/>
          <w:color w:val="222222"/>
          <w:shd w:val="clear" w:color="auto" w:fill="FFFFFF"/>
        </w:rPr>
        <w:t> 1.3</w:t>
      </w:r>
      <w:r>
        <w:rPr>
          <w:rFonts w:ascii="David" w:hAnsi="David" w:cs="David"/>
          <w:color w:val="222222"/>
          <w:shd w:val="clear" w:color="auto" w:fill="FFFFFF"/>
        </w:rPr>
        <w:t xml:space="preserve">, </w:t>
      </w:r>
      <w:r w:rsidRPr="00B96360">
        <w:rPr>
          <w:rFonts w:ascii="David" w:hAnsi="David" w:cs="David"/>
          <w:color w:val="222222"/>
          <w:shd w:val="clear" w:color="auto" w:fill="FFFFFF"/>
        </w:rPr>
        <w:t>1986</w:t>
      </w:r>
      <w:r>
        <w:rPr>
          <w:rFonts w:ascii="David" w:hAnsi="David" w:cs="David"/>
          <w:color w:val="222222"/>
          <w:shd w:val="clear" w:color="auto" w:fill="FFFFFF"/>
        </w:rPr>
        <w:t>, pp.</w:t>
      </w:r>
      <w:r w:rsidRPr="00B96360">
        <w:rPr>
          <w:rFonts w:ascii="David" w:hAnsi="David" w:cs="David"/>
          <w:color w:val="222222"/>
          <w:shd w:val="clear" w:color="auto" w:fill="FFFFFF"/>
        </w:rPr>
        <w:t xml:space="preserve"> 349.</w:t>
      </w:r>
    </w:p>
  </w:footnote>
  <w:footnote w:id="8">
    <w:p w14:paraId="60102B7C" w14:textId="77777777" w:rsidR="004443EB" w:rsidRDefault="004443EB" w:rsidP="004443EB">
      <w:pPr>
        <w:pStyle w:val="FootnoteText"/>
      </w:pPr>
      <w:r w:rsidRPr="00B96360">
        <w:rPr>
          <w:rStyle w:val="FootnoteReference"/>
          <w:rFonts w:ascii="David" w:hAnsi="David" w:cs="David"/>
        </w:rPr>
        <w:footnoteRef/>
      </w:r>
      <w:r w:rsidRPr="00B96360">
        <w:rPr>
          <w:rFonts w:ascii="David" w:hAnsi="David" w:cs="David"/>
        </w:rPr>
        <w:t xml:space="preserve"> </w:t>
      </w:r>
      <w:r w:rsidRPr="00B96360">
        <w:rPr>
          <w:rFonts w:ascii="David" w:hAnsi="David" w:cs="David"/>
          <w:color w:val="222222"/>
          <w:shd w:val="clear" w:color="auto" w:fill="FFFFFF"/>
        </w:rPr>
        <w:t xml:space="preserve">Ryan, Richard M., and Edward L. Deci. "Intrinsic and </w:t>
      </w:r>
      <w:r>
        <w:rPr>
          <w:rFonts w:ascii="David" w:hAnsi="David" w:cs="David"/>
          <w:color w:val="222222"/>
          <w:shd w:val="clear" w:color="auto" w:fill="FFFFFF"/>
        </w:rPr>
        <w:t>E</w:t>
      </w:r>
      <w:r w:rsidRPr="00B96360">
        <w:rPr>
          <w:rFonts w:ascii="David" w:hAnsi="David" w:cs="David"/>
          <w:color w:val="222222"/>
          <w:shd w:val="clear" w:color="auto" w:fill="FFFFFF"/>
        </w:rPr>
        <w:t xml:space="preserve">xtrinsic </w:t>
      </w:r>
      <w:r>
        <w:rPr>
          <w:rFonts w:ascii="David" w:hAnsi="David" w:cs="David"/>
          <w:color w:val="222222"/>
          <w:shd w:val="clear" w:color="auto" w:fill="FFFFFF"/>
        </w:rPr>
        <w:t>M</w:t>
      </w:r>
      <w:r w:rsidRPr="00B96360">
        <w:rPr>
          <w:rFonts w:ascii="David" w:hAnsi="David" w:cs="David"/>
          <w:color w:val="222222"/>
          <w:shd w:val="clear" w:color="auto" w:fill="FFFFFF"/>
        </w:rPr>
        <w:t xml:space="preserve">otivations: Classic </w:t>
      </w:r>
      <w:r>
        <w:rPr>
          <w:rFonts w:ascii="David" w:hAnsi="David" w:cs="David"/>
          <w:color w:val="222222"/>
          <w:shd w:val="clear" w:color="auto" w:fill="FFFFFF"/>
        </w:rPr>
        <w:t>D</w:t>
      </w:r>
      <w:r w:rsidRPr="00B96360">
        <w:rPr>
          <w:rFonts w:ascii="David" w:hAnsi="David" w:cs="David"/>
          <w:color w:val="222222"/>
          <w:shd w:val="clear" w:color="auto" w:fill="FFFFFF"/>
        </w:rPr>
        <w:t xml:space="preserve">efinitions and </w:t>
      </w:r>
      <w:r>
        <w:rPr>
          <w:rFonts w:ascii="David" w:hAnsi="David" w:cs="David"/>
          <w:color w:val="222222"/>
          <w:shd w:val="clear" w:color="auto" w:fill="FFFFFF"/>
        </w:rPr>
        <w:t>N</w:t>
      </w:r>
      <w:r w:rsidRPr="00B96360">
        <w:rPr>
          <w:rFonts w:ascii="David" w:hAnsi="David" w:cs="David"/>
          <w:color w:val="222222"/>
          <w:shd w:val="clear" w:color="auto" w:fill="FFFFFF"/>
        </w:rPr>
        <w:t xml:space="preserve">ew </w:t>
      </w:r>
      <w:r>
        <w:rPr>
          <w:rFonts w:ascii="David" w:hAnsi="David" w:cs="David"/>
          <w:color w:val="222222"/>
          <w:shd w:val="clear" w:color="auto" w:fill="FFFFFF"/>
        </w:rPr>
        <w:t>D</w:t>
      </w:r>
      <w:r w:rsidRPr="00B96360">
        <w:rPr>
          <w:rFonts w:ascii="David" w:hAnsi="David" w:cs="David"/>
          <w:color w:val="222222"/>
          <w:shd w:val="clear" w:color="auto" w:fill="FFFFFF"/>
        </w:rPr>
        <w:t>irections." </w:t>
      </w:r>
      <w:r w:rsidRPr="00B96360">
        <w:rPr>
          <w:rFonts w:ascii="David" w:hAnsi="David" w:cs="David"/>
          <w:i/>
          <w:iCs/>
          <w:color w:val="222222"/>
          <w:shd w:val="clear" w:color="auto" w:fill="FFFFFF"/>
        </w:rPr>
        <w:t xml:space="preserve">Contemporary </w:t>
      </w:r>
      <w:r>
        <w:rPr>
          <w:rFonts w:ascii="David" w:hAnsi="David" w:cs="David"/>
          <w:i/>
          <w:iCs/>
          <w:color w:val="222222"/>
          <w:shd w:val="clear" w:color="auto" w:fill="FFFFFF"/>
        </w:rPr>
        <w:t>E</w:t>
      </w:r>
      <w:r w:rsidRPr="00B96360">
        <w:rPr>
          <w:rFonts w:ascii="David" w:hAnsi="David" w:cs="David"/>
          <w:i/>
          <w:iCs/>
          <w:color w:val="222222"/>
          <w:shd w:val="clear" w:color="auto" w:fill="FFFFFF"/>
        </w:rPr>
        <w:t xml:space="preserve">ducational </w:t>
      </w:r>
      <w:r>
        <w:rPr>
          <w:rFonts w:ascii="David" w:hAnsi="David" w:cs="David"/>
          <w:i/>
          <w:iCs/>
          <w:color w:val="222222"/>
          <w:shd w:val="clear" w:color="auto" w:fill="FFFFFF"/>
        </w:rPr>
        <w:t>P</w:t>
      </w:r>
      <w:r w:rsidRPr="00B96360">
        <w:rPr>
          <w:rFonts w:ascii="David" w:hAnsi="David" w:cs="David"/>
          <w:i/>
          <w:iCs/>
          <w:color w:val="222222"/>
          <w:shd w:val="clear" w:color="auto" w:fill="FFFFFF"/>
        </w:rPr>
        <w:t>sychology</w:t>
      </w:r>
      <w:r>
        <w:rPr>
          <w:rFonts w:ascii="David" w:hAnsi="David" w:cs="David"/>
          <w:i/>
          <w:iCs/>
          <w:color w:val="222222"/>
          <w:shd w:val="clear" w:color="auto" w:fill="FFFFFF"/>
        </w:rPr>
        <w:t>,</w:t>
      </w:r>
      <w:r w:rsidRPr="00B96360">
        <w:rPr>
          <w:rFonts w:ascii="David" w:hAnsi="David" w:cs="David"/>
          <w:color w:val="222222"/>
          <w:shd w:val="clear" w:color="auto" w:fill="FFFFFF"/>
        </w:rPr>
        <w:t> </w:t>
      </w:r>
      <w:r>
        <w:rPr>
          <w:rFonts w:ascii="David" w:hAnsi="David" w:cs="David"/>
          <w:color w:val="222222"/>
          <w:shd w:val="clear" w:color="auto" w:fill="FFFFFF"/>
        </w:rPr>
        <w:t xml:space="preserve">vol. </w:t>
      </w:r>
      <w:r w:rsidRPr="00B96360">
        <w:rPr>
          <w:rFonts w:ascii="David" w:hAnsi="David" w:cs="David"/>
          <w:color w:val="222222"/>
          <w:shd w:val="clear" w:color="auto" w:fill="FFFFFF"/>
        </w:rPr>
        <w:t>25.1</w:t>
      </w:r>
      <w:r>
        <w:rPr>
          <w:rFonts w:ascii="David" w:hAnsi="David" w:cs="David"/>
          <w:color w:val="222222"/>
          <w:shd w:val="clear" w:color="auto" w:fill="FFFFFF"/>
        </w:rPr>
        <w:t xml:space="preserve">, </w:t>
      </w:r>
      <w:r w:rsidRPr="00B96360">
        <w:rPr>
          <w:rFonts w:ascii="David" w:hAnsi="David" w:cs="David"/>
          <w:color w:val="222222"/>
          <w:shd w:val="clear" w:color="auto" w:fill="FFFFFF"/>
        </w:rPr>
        <w:t>2000</w:t>
      </w:r>
      <w:r>
        <w:rPr>
          <w:rFonts w:ascii="David" w:hAnsi="David" w:cs="David"/>
          <w:color w:val="222222"/>
          <w:shd w:val="clear" w:color="auto" w:fill="FFFFFF"/>
        </w:rPr>
        <w:t>, pp.</w:t>
      </w:r>
      <w:r w:rsidRPr="00B96360">
        <w:rPr>
          <w:rFonts w:ascii="David" w:hAnsi="David" w:cs="David"/>
          <w:color w:val="222222"/>
          <w:shd w:val="clear" w:color="auto" w:fill="FFFFFF"/>
        </w:rPr>
        <w:t xml:space="preserve"> 54-67.</w:t>
      </w:r>
    </w:p>
  </w:footnote>
  <w:footnote w:id="9">
    <w:p w14:paraId="210EA321" w14:textId="77777777" w:rsidR="008E4B6D" w:rsidRPr="006A7457" w:rsidRDefault="008E4B6D" w:rsidP="008E4B6D">
      <w:pPr>
        <w:shd w:val="clear" w:color="auto" w:fill="FFFFFF"/>
        <w:spacing w:after="0" w:line="240" w:lineRule="auto"/>
        <w:jc w:val="both"/>
        <w:rPr>
          <w:rFonts w:asciiTheme="majorBidi" w:hAnsiTheme="majorBidi" w:cstheme="majorBidi"/>
          <w:sz w:val="20"/>
          <w:szCs w:val="20"/>
        </w:rPr>
      </w:pPr>
      <w:r>
        <w:rPr>
          <w:rStyle w:val="FootnoteReference"/>
        </w:rPr>
        <w:footnoteRef/>
      </w:r>
      <w:r>
        <w:t xml:space="preserve"> </w:t>
      </w:r>
      <w:bookmarkStart w:id="6" w:name="_Hlk143104974"/>
      <w:r w:rsidRPr="007B2A72">
        <w:rPr>
          <w:rFonts w:asciiTheme="majorBidi" w:hAnsiTheme="majorBidi" w:cstheme="majorBidi"/>
          <w:sz w:val="20"/>
          <w:szCs w:val="20"/>
        </w:rPr>
        <w:t>Ariel, Barak. 2012. Deterrence and Moral Persuasion Effects of Corporate Tax Compliance: Findings from a Randomized Controlled Trial. </w:t>
      </w:r>
      <w:r w:rsidRPr="007B2A72">
        <w:rPr>
          <w:rFonts w:asciiTheme="majorBidi" w:hAnsiTheme="majorBidi" w:cstheme="majorBidi"/>
          <w:i/>
          <w:iCs/>
          <w:sz w:val="20"/>
          <w:szCs w:val="20"/>
        </w:rPr>
        <w:t>Criminology</w:t>
      </w:r>
      <w:r>
        <w:rPr>
          <w:rFonts w:asciiTheme="majorBidi" w:hAnsiTheme="majorBidi" w:cstheme="majorBidi"/>
          <w:i/>
          <w:iCs/>
          <w:sz w:val="20"/>
          <w:szCs w:val="20"/>
        </w:rPr>
        <w:t>,</w:t>
      </w:r>
      <w:r w:rsidRPr="007B2A72">
        <w:rPr>
          <w:rFonts w:asciiTheme="majorBidi" w:hAnsiTheme="majorBidi" w:cstheme="majorBidi"/>
          <w:sz w:val="20"/>
          <w:szCs w:val="20"/>
        </w:rPr>
        <w:t> </w:t>
      </w:r>
      <w:r>
        <w:rPr>
          <w:rFonts w:asciiTheme="majorBidi" w:hAnsiTheme="majorBidi" w:cstheme="majorBidi"/>
          <w:sz w:val="20"/>
          <w:szCs w:val="20"/>
        </w:rPr>
        <w:t xml:space="preserve">vol. </w:t>
      </w:r>
      <w:r w:rsidRPr="007B2A72">
        <w:rPr>
          <w:rFonts w:asciiTheme="majorBidi" w:hAnsiTheme="majorBidi" w:cstheme="majorBidi"/>
          <w:sz w:val="20"/>
          <w:szCs w:val="20"/>
        </w:rPr>
        <w:t>50</w:t>
      </w:r>
      <w:r>
        <w:rPr>
          <w:rFonts w:asciiTheme="majorBidi" w:hAnsiTheme="majorBidi" w:cstheme="majorBidi"/>
          <w:sz w:val="20"/>
          <w:szCs w:val="20"/>
        </w:rPr>
        <w:t xml:space="preserve">, 2012, pp. </w:t>
      </w:r>
      <w:r w:rsidRPr="007B2A72">
        <w:rPr>
          <w:rFonts w:asciiTheme="majorBidi" w:hAnsiTheme="majorBidi" w:cstheme="majorBidi"/>
          <w:sz w:val="20"/>
          <w:szCs w:val="20"/>
        </w:rPr>
        <w:t>27–69.</w:t>
      </w:r>
      <w:r>
        <w:rPr>
          <w:rFonts w:asciiTheme="majorBidi" w:hAnsiTheme="majorBidi" w:cstheme="majorBidi"/>
          <w:sz w:val="20"/>
          <w:szCs w:val="20"/>
        </w:rPr>
        <w:t xml:space="preserve"> </w:t>
      </w:r>
      <w:proofErr w:type="spellStart"/>
      <w:r w:rsidRPr="007B2A72">
        <w:rPr>
          <w:rFonts w:asciiTheme="majorBidi" w:hAnsiTheme="majorBidi" w:cstheme="majorBidi"/>
          <w:sz w:val="20"/>
          <w:szCs w:val="20"/>
        </w:rPr>
        <w:t>Bobonich</w:t>
      </w:r>
      <w:proofErr w:type="spellEnd"/>
      <w:r w:rsidRPr="007B2A72">
        <w:rPr>
          <w:rFonts w:asciiTheme="majorBidi" w:hAnsiTheme="majorBidi" w:cstheme="majorBidi"/>
          <w:sz w:val="20"/>
          <w:szCs w:val="20"/>
        </w:rPr>
        <w:t>, Christopher. Persuasion, Compulsion and Freedom in Plato’s Laws. </w:t>
      </w:r>
      <w:r w:rsidRPr="007B2A72">
        <w:rPr>
          <w:rFonts w:asciiTheme="majorBidi" w:hAnsiTheme="majorBidi" w:cstheme="majorBidi"/>
          <w:i/>
          <w:iCs/>
          <w:sz w:val="20"/>
          <w:szCs w:val="20"/>
        </w:rPr>
        <w:t>Classical Quarterly</w:t>
      </w:r>
      <w:r>
        <w:rPr>
          <w:rFonts w:asciiTheme="majorBidi" w:hAnsiTheme="majorBidi" w:cstheme="majorBidi"/>
          <w:i/>
          <w:iCs/>
          <w:sz w:val="20"/>
          <w:szCs w:val="20"/>
        </w:rPr>
        <w:t>,</w:t>
      </w:r>
      <w:r w:rsidRPr="007B2A72">
        <w:rPr>
          <w:rFonts w:asciiTheme="majorBidi" w:hAnsiTheme="majorBidi" w:cstheme="majorBidi"/>
          <w:sz w:val="20"/>
          <w:szCs w:val="20"/>
        </w:rPr>
        <w:t> </w:t>
      </w:r>
      <w:r>
        <w:rPr>
          <w:rFonts w:asciiTheme="majorBidi" w:hAnsiTheme="majorBidi" w:cstheme="majorBidi"/>
          <w:sz w:val="20"/>
          <w:szCs w:val="20"/>
        </w:rPr>
        <w:t xml:space="preserve">vol. </w:t>
      </w:r>
      <w:r w:rsidRPr="007B2A72">
        <w:rPr>
          <w:rFonts w:asciiTheme="majorBidi" w:hAnsiTheme="majorBidi" w:cstheme="majorBidi"/>
          <w:sz w:val="20"/>
          <w:szCs w:val="20"/>
        </w:rPr>
        <w:t>41</w:t>
      </w:r>
      <w:r>
        <w:rPr>
          <w:rFonts w:asciiTheme="majorBidi" w:hAnsiTheme="majorBidi" w:cstheme="majorBidi"/>
          <w:sz w:val="20"/>
          <w:szCs w:val="20"/>
        </w:rPr>
        <w:t xml:space="preserve">, 1991, pp. </w:t>
      </w:r>
      <w:r w:rsidRPr="007B2A72">
        <w:rPr>
          <w:rFonts w:asciiTheme="majorBidi" w:hAnsiTheme="majorBidi" w:cstheme="majorBidi"/>
          <w:sz w:val="20"/>
          <w:szCs w:val="20"/>
        </w:rPr>
        <w:t>365–88.</w:t>
      </w:r>
    </w:p>
    <w:bookmarkEnd w:id="6"/>
  </w:footnote>
  <w:footnote w:id="10">
    <w:p w14:paraId="4994FD6F" w14:textId="77777777" w:rsidR="008E4B6D" w:rsidRDefault="008E4B6D" w:rsidP="008E4B6D">
      <w:pPr>
        <w:pStyle w:val="FootnoteText"/>
      </w:pPr>
      <w:r>
        <w:rPr>
          <w:rStyle w:val="FootnoteReference"/>
        </w:rPr>
        <w:footnoteRef/>
      </w:r>
      <w:r>
        <w:t xml:space="preserve"> </w:t>
      </w:r>
      <w:proofErr w:type="spellStart"/>
      <w:r w:rsidRPr="006A7457">
        <w:rPr>
          <w:rFonts w:ascii="David" w:hAnsi="David" w:cs="David"/>
        </w:rPr>
        <w:t>Bobonich</w:t>
      </w:r>
      <w:proofErr w:type="spellEnd"/>
      <w:r w:rsidRPr="006A7457">
        <w:rPr>
          <w:rFonts w:ascii="David" w:hAnsi="David" w:cs="David"/>
        </w:rPr>
        <w:t>, Persuasion, Compulsion and Freedom in Plato’s Laws</w:t>
      </w:r>
      <w:r>
        <w:rPr>
          <w:rFonts w:ascii="David" w:hAnsi="David" w:cs="David"/>
          <w:i/>
          <w:iCs/>
        </w:rPr>
        <w:t>;</w:t>
      </w:r>
      <w:r w:rsidRPr="006A7457">
        <w:rPr>
          <w:rFonts w:ascii="David" w:hAnsi="David" w:cs="David"/>
        </w:rPr>
        <w:t xml:space="preserve"> Stalley, R.F. Persuasion in Plato’s Laws. </w:t>
      </w:r>
      <w:r w:rsidRPr="006A7457">
        <w:rPr>
          <w:rFonts w:ascii="David" w:hAnsi="David" w:cs="David"/>
          <w:i/>
          <w:iCs/>
        </w:rPr>
        <w:t xml:space="preserve">History of Political </w:t>
      </w:r>
      <w:proofErr w:type="gramStart"/>
      <w:r w:rsidRPr="006A7457">
        <w:rPr>
          <w:rFonts w:ascii="David" w:hAnsi="David" w:cs="David"/>
          <w:i/>
          <w:iCs/>
        </w:rPr>
        <w:t>Thought</w:t>
      </w:r>
      <w:r w:rsidRPr="006A7457">
        <w:rPr>
          <w:rFonts w:ascii="David" w:hAnsi="David" w:cs="David"/>
        </w:rPr>
        <w:t> </w:t>
      </w:r>
      <w:r>
        <w:rPr>
          <w:rFonts w:ascii="David" w:hAnsi="David" w:cs="David"/>
        </w:rPr>
        <w:t>,</w:t>
      </w:r>
      <w:proofErr w:type="gramEnd"/>
      <w:r>
        <w:rPr>
          <w:rFonts w:ascii="David" w:hAnsi="David" w:cs="David"/>
        </w:rPr>
        <w:t xml:space="preserve"> vol. </w:t>
      </w:r>
      <w:r w:rsidRPr="006A7457">
        <w:rPr>
          <w:rFonts w:ascii="David" w:hAnsi="David" w:cs="David"/>
        </w:rPr>
        <w:t>15(2)</w:t>
      </w:r>
      <w:r>
        <w:rPr>
          <w:rFonts w:ascii="David" w:hAnsi="David" w:cs="David"/>
        </w:rPr>
        <w:t>, 1994, pp.</w:t>
      </w:r>
      <w:r w:rsidRPr="006A7457">
        <w:rPr>
          <w:rFonts w:ascii="David" w:hAnsi="David" w:cs="David"/>
        </w:rPr>
        <w:t>157–77.</w:t>
      </w:r>
    </w:p>
  </w:footnote>
  <w:footnote w:id="11">
    <w:p w14:paraId="73CB59FF" w14:textId="77777777" w:rsidR="008E4B6D" w:rsidRDefault="008E4B6D" w:rsidP="008E4B6D">
      <w:pPr>
        <w:pStyle w:val="FootnoteText"/>
      </w:pPr>
      <w:r>
        <w:rPr>
          <w:rStyle w:val="FootnoteReference"/>
        </w:rPr>
        <w:footnoteRef/>
      </w:r>
      <w:r>
        <w:t xml:space="preserve"> </w:t>
      </w:r>
      <w:r w:rsidRPr="006A7457">
        <w:rPr>
          <w:rFonts w:ascii="David" w:hAnsi="David" w:cs="David"/>
          <w:color w:val="222222"/>
          <w:shd w:val="clear" w:color="auto" w:fill="FFFFFF"/>
        </w:rPr>
        <w:t xml:space="preserve">Lewinsohn-Zamir, Daphna, Eyal Zamir, and Ori Katz. "Giving </w:t>
      </w:r>
      <w:r>
        <w:rPr>
          <w:rFonts w:ascii="David" w:hAnsi="David" w:cs="David"/>
          <w:color w:val="222222"/>
          <w:shd w:val="clear" w:color="auto" w:fill="FFFFFF"/>
        </w:rPr>
        <w:t>Re</w:t>
      </w:r>
      <w:r w:rsidRPr="006A7457">
        <w:rPr>
          <w:rFonts w:ascii="David" w:hAnsi="David" w:cs="David"/>
          <w:color w:val="222222"/>
          <w:shd w:val="clear" w:color="auto" w:fill="FFFFFF"/>
        </w:rPr>
        <w:t xml:space="preserve">asons as a </w:t>
      </w:r>
      <w:r>
        <w:rPr>
          <w:rFonts w:ascii="David" w:hAnsi="David" w:cs="David"/>
          <w:color w:val="222222"/>
          <w:shd w:val="clear" w:color="auto" w:fill="FFFFFF"/>
        </w:rPr>
        <w:t>M</w:t>
      </w:r>
      <w:r w:rsidRPr="006A7457">
        <w:rPr>
          <w:rFonts w:ascii="David" w:hAnsi="David" w:cs="David"/>
          <w:color w:val="222222"/>
          <w:shd w:val="clear" w:color="auto" w:fill="FFFFFF"/>
        </w:rPr>
        <w:t xml:space="preserve">eans to </w:t>
      </w:r>
      <w:r>
        <w:rPr>
          <w:rFonts w:ascii="David" w:hAnsi="David" w:cs="David"/>
          <w:color w:val="222222"/>
          <w:shd w:val="clear" w:color="auto" w:fill="FFFFFF"/>
        </w:rPr>
        <w:t>E</w:t>
      </w:r>
      <w:r w:rsidRPr="006A7457">
        <w:rPr>
          <w:rFonts w:ascii="David" w:hAnsi="David" w:cs="David"/>
          <w:color w:val="222222"/>
          <w:shd w:val="clear" w:color="auto" w:fill="FFFFFF"/>
        </w:rPr>
        <w:t xml:space="preserve">nhance </w:t>
      </w:r>
      <w:r>
        <w:rPr>
          <w:rFonts w:ascii="David" w:hAnsi="David" w:cs="David"/>
          <w:color w:val="222222"/>
          <w:shd w:val="clear" w:color="auto" w:fill="FFFFFF"/>
        </w:rPr>
        <w:t>C</w:t>
      </w:r>
      <w:r w:rsidRPr="006A7457">
        <w:rPr>
          <w:rFonts w:ascii="David" w:hAnsi="David" w:cs="David"/>
          <w:color w:val="222222"/>
          <w:shd w:val="clear" w:color="auto" w:fill="FFFFFF"/>
        </w:rPr>
        <w:t xml:space="preserve">ompliance with </w:t>
      </w:r>
      <w:r>
        <w:rPr>
          <w:rFonts w:ascii="David" w:hAnsi="David" w:cs="David"/>
          <w:color w:val="222222"/>
          <w:shd w:val="clear" w:color="auto" w:fill="FFFFFF"/>
        </w:rPr>
        <w:t>L</w:t>
      </w:r>
      <w:r w:rsidRPr="006A7457">
        <w:rPr>
          <w:rFonts w:ascii="David" w:hAnsi="David" w:cs="David"/>
          <w:color w:val="222222"/>
          <w:shd w:val="clear" w:color="auto" w:fill="FFFFFF"/>
        </w:rPr>
        <w:t xml:space="preserve">egal </w:t>
      </w:r>
      <w:r>
        <w:rPr>
          <w:rFonts w:ascii="David" w:hAnsi="David" w:cs="David"/>
          <w:color w:val="222222"/>
          <w:shd w:val="clear" w:color="auto" w:fill="FFFFFF"/>
        </w:rPr>
        <w:t>N</w:t>
      </w:r>
      <w:r w:rsidRPr="006A7457">
        <w:rPr>
          <w:rFonts w:ascii="David" w:hAnsi="David" w:cs="David"/>
          <w:color w:val="222222"/>
          <w:shd w:val="clear" w:color="auto" w:fill="FFFFFF"/>
        </w:rPr>
        <w:t>orms." </w:t>
      </w:r>
      <w:r w:rsidRPr="006A7457">
        <w:rPr>
          <w:rFonts w:ascii="David" w:hAnsi="David" w:cs="David"/>
          <w:i/>
          <w:iCs/>
          <w:color w:val="222222"/>
          <w:shd w:val="clear" w:color="auto" w:fill="FFFFFF"/>
        </w:rPr>
        <w:t>University of Toronto Law Journal</w:t>
      </w:r>
      <w:r>
        <w:rPr>
          <w:rFonts w:ascii="David" w:hAnsi="David" w:cs="David"/>
          <w:i/>
          <w:iCs/>
          <w:color w:val="222222"/>
          <w:shd w:val="clear" w:color="auto" w:fill="FFFFFF"/>
        </w:rPr>
        <w:t>,</w:t>
      </w:r>
      <w:r w:rsidRPr="006A7457">
        <w:rPr>
          <w:rFonts w:ascii="David" w:hAnsi="David" w:cs="David"/>
          <w:color w:val="222222"/>
          <w:shd w:val="clear" w:color="auto" w:fill="FFFFFF"/>
        </w:rPr>
        <w:t> 2021</w:t>
      </w:r>
      <w:r>
        <w:rPr>
          <w:rFonts w:ascii="David" w:hAnsi="David" w:cs="David"/>
          <w:color w:val="222222"/>
          <w:shd w:val="clear" w:color="auto" w:fill="FFFFFF"/>
        </w:rPr>
        <w:t>,</w:t>
      </w:r>
      <w:r w:rsidRPr="006A7457">
        <w:rPr>
          <w:rFonts w:ascii="David" w:hAnsi="David" w:cs="David"/>
          <w:color w:val="222222"/>
          <w:shd w:val="clear" w:color="auto" w:fill="FFFFFF"/>
        </w:rPr>
        <w:t xml:space="preserve"> e20210034.</w:t>
      </w:r>
    </w:p>
  </w:footnote>
  <w:footnote w:id="12">
    <w:p w14:paraId="4FA0B3B3" w14:textId="05B5732B" w:rsidR="00F00FC2" w:rsidRDefault="00F00FC2">
      <w:pPr>
        <w:pStyle w:val="FootnoteText"/>
      </w:pPr>
      <w:r>
        <w:rPr>
          <w:rStyle w:val="FootnoteReference"/>
        </w:rPr>
        <w:footnoteRef/>
      </w:r>
      <w:r>
        <w:t xml:space="preserve"> </w:t>
      </w:r>
      <w:r>
        <w:rPr>
          <w:rFonts w:ascii="Arial" w:hAnsi="Arial" w:cs="Arial"/>
          <w:color w:val="222222"/>
          <w:shd w:val="clear" w:color="auto" w:fill="FFFFFF"/>
        </w:rPr>
        <w:t>Lewinsohn-Zamir, Daphna, Eyal Zamir, and Ori Katz. "Giving reasons as a means to enhance compliance with legal norms." </w:t>
      </w:r>
      <w:r>
        <w:rPr>
          <w:rFonts w:ascii="Arial" w:hAnsi="Arial" w:cs="Arial"/>
          <w:i/>
          <w:iCs/>
          <w:color w:val="222222"/>
          <w:shd w:val="clear" w:color="auto" w:fill="FFFFFF"/>
        </w:rPr>
        <w:t>University of Toronto Law Journal</w:t>
      </w:r>
      <w:r>
        <w:rPr>
          <w:rFonts w:ascii="Arial" w:hAnsi="Arial" w:cs="Arial"/>
          <w:color w:val="222222"/>
          <w:shd w:val="clear" w:color="auto" w:fill="FFFFFF"/>
        </w:rPr>
        <w:t> 72.3 (2022): 316-355.</w:t>
      </w:r>
    </w:p>
  </w:footnote>
  <w:footnote w:id="13">
    <w:p w14:paraId="5B488133" w14:textId="77777777" w:rsidR="008E4B6D" w:rsidRPr="006A7457" w:rsidRDefault="008E4B6D" w:rsidP="008E4B6D">
      <w:pPr>
        <w:shd w:val="clear" w:color="auto" w:fill="FFFFFF"/>
        <w:spacing w:after="0" w:line="240" w:lineRule="auto"/>
        <w:jc w:val="both"/>
        <w:rPr>
          <w:rFonts w:asciiTheme="majorBidi" w:hAnsiTheme="majorBidi" w:cstheme="majorBidi"/>
          <w:sz w:val="20"/>
          <w:szCs w:val="20"/>
        </w:rPr>
      </w:pPr>
      <w:r>
        <w:rPr>
          <w:rStyle w:val="FootnoteReference"/>
        </w:rPr>
        <w:footnoteRef/>
      </w:r>
      <w:r>
        <w:t xml:space="preserve"> </w:t>
      </w:r>
      <w:r w:rsidRPr="00E72122">
        <w:rPr>
          <w:rFonts w:asciiTheme="majorBidi" w:hAnsiTheme="majorBidi" w:cstheme="majorBidi"/>
          <w:sz w:val="20"/>
          <w:szCs w:val="20"/>
        </w:rPr>
        <w:t>Friedman, Lawrence D. </w:t>
      </w:r>
      <w:r w:rsidRPr="00E72122">
        <w:rPr>
          <w:rFonts w:asciiTheme="majorBidi" w:hAnsiTheme="majorBidi" w:cstheme="majorBidi"/>
          <w:i/>
          <w:iCs/>
          <w:sz w:val="20"/>
          <w:szCs w:val="20"/>
        </w:rPr>
        <w:t>Impact: How the Law Affects Behavior.</w:t>
      </w:r>
      <w:r w:rsidRPr="00E72122">
        <w:rPr>
          <w:rFonts w:asciiTheme="majorBidi" w:hAnsiTheme="majorBidi" w:cstheme="majorBidi"/>
          <w:sz w:val="20"/>
          <w:szCs w:val="20"/>
        </w:rPr>
        <w:t> Cambridge, MA: Harvard University Press</w:t>
      </w:r>
      <w:r>
        <w:rPr>
          <w:rFonts w:asciiTheme="majorBidi" w:hAnsiTheme="majorBidi" w:cstheme="majorBidi"/>
          <w:sz w:val="20"/>
          <w:szCs w:val="20"/>
        </w:rPr>
        <w:t xml:space="preserve">, 2016; </w:t>
      </w:r>
      <w:r w:rsidRPr="00A948E3">
        <w:rPr>
          <w:rFonts w:asciiTheme="majorBidi" w:hAnsiTheme="majorBidi" w:cstheme="majorBidi"/>
          <w:sz w:val="20"/>
          <w:szCs w:val="20"/>
        </w:rPr>
        <w:t xml:space="preserve">Schultz, Wesley P., Azar M. </w:t>
      </w:r>
      <w:proofErr w:type="spellStart"/>
      <w:r w:rsidRPr="00A948E3">
        <w:rPr>
          <w:rFonts w:asciiTheme="majorBidi" w:hAnsiTheme="majorBidi" w:cstheme="majorBidi"/>
          <w:sz w:val="20"/>
          <w:szCs w:val="20"/>
        </w:rPr>
        <w:t>Khazian</w:t>
      </w:r>
      <w:proofErr w:type="spellEnd"/>
      <w:r w:rsidRPr="00A948E3">
        <w:rPr>
          <w:rFonts w:asciiTheme="majorBidi" w:hAnsiTheme="majorBidi" w:cstheme="majorBidi"/>
          <w:sz w:val="20"/>
          <w:szCs w:val="20"/>
        </w:rPr>
        <w:t xml:space="preserve"> &amp; Adam C. Zaleski. </w:t>
      </w:r>
      <w:r w:rsidRPr="00107A90">
        <w:rPr>
          <w:rFonts w:asciiTheme="majorBidi" w:hAnsiTheme="majorBidi" w:cstheme="majorBidi"/>
          <w:i/>
          <w:iCs/>
          <w:sz w:val="20"/>
          <w:szCs w:val="20"/>
        </w:rPr>
        <w:t xml:space="preserve">Using Normative Social Influence </w:t>
      </w:r>
      <w:proofErr w:type="gramStart"/>
      <w:r w:rsidRPr="00107A90">
        <w:rPr>
          <w:rFonts w:asciiTheme="majorBidi" w:hAnsiTheme="majorBidi" w:cstheme="majorBidi"/>
          <w:i/>
          <w:iCs/>
          <w:sz w:val="20"/>
          <w:szCs w:val="20"/>
        </w:rPr>
        <w:t>to</w:t>
      </w:r>
      <w:proofErr w:type="gramEnd"/>
      <w:r w:rsidRPr="00107A90">
        <w:rPr>
          <w:rFonts w:asciiTheme="majorBidi" w:hAnsiTheme="majorBidi" w:cstheme="majorBidi"/>
          <w:i/>
          <w:iCs/>
          <w:sz w:val="20"/>
          <w:szCs w:val="20"/>
        </w:rPr>
        <w:t xml:space="preserve"> Promote Conservation Among Hotel Guests. Social Influence</w:t>
      </w:r>
      <w:r>
        <w:rPr>
          <w:rFonts w:asciiTheme="majorBidi" w:hAnsiTheme="majorBidi" w:cstheme="majorBidi"/>
          <w:sz w:val="20"/>
          <w:szCs w:val="20"/>
        </w:rPr>
        <w:t>, 2008</w:t>
      </w:r>
      <w:r w:rsidRPr="00A948E3">
        <w:rPr>
          <w:rFonts w:asciiTheme="majorBidi" w:hAnsiTheme="majorBidi" w:cstheme="majorBidi"/>
          <w:sz w:val="20"/>
          <w:szCs w:val="20"/>
        </w:rPr>
        <w:t>.</w:t>
      </w:r>
    </w:p>
  </w:footnote>
  <w:footnote w:id="14">
    <w:p w14:paraId="07915B38" w14:textId="77777777" w:rsidR="008E4B6D" w:rsidRDefault="008E4B6D" w:rsidP="008E4B6D">
      <w:pPr>
        <w:pStyle w:val="FootnoteText"/>
      </w:pPr>
      <w:r>
        <w:rPr>
          <w:rStyle w:val="FootnoteReference"/>
        </w:rPr>
        <w:footnoteRef/>
      </w:r>
      <w:r>
        <w:t xml:space="preserve"> </w:t>
      </w:r>
      <w:r w:rsidRPr="006A7457">
        <w:rPr>
          <w:rFonts w:ascii="David" w:hAnsi="David" w:cs="David"/>
          <w:color w:val="222222"/>
          <w:shd w:val="clear" w:color="auto" w:fill="FFFFFF"/>
        </w:rPr>
        <w:t xml:space="preserve">Wasieleski, D. M., &amp; </w:t>
      </w:r>
      <w:proofErr w:type="spellStart"/>
      <w:r w:rsidRPr="006A7457">
        <w:rPr>
          <w:rFonts w:ascii="David" w:hAnsi="David" w:cs="David"/>
          <w:color w:val="222222"/>
          <w:shd w:val="clear" w:color="auto" w:fill="FFFFFF"/>
        </w:rPr>
        <w:t>Hayibor</w:t>
      </w:r>
      <w:proofErr w:type="spellEnd"/>
      <w:r w:rsidRPr="006A7457">
        <w:rPr>
          <w:rFonts w:ascii="David" w:hAnsi="David" w:cs="David"/>
          <w:color w:val="222222"/>
          <w:shd w:val="clear" w:color="auto" w:fill="FFFFFF"/>
        </w:rPr>
        <w:t>, S. Breaking the rules: Examining the facilitation effects of moral intensity characteristics on the recognition of rule violations. </w:t>
      </w:r>
      <w:r w:rsidRPr="006A7457">
        <w:rPr>
          <w:rFonts w:ascii="David" w:hAnsi="David" w:cs="David"/>
          <w:i/>
          <w:iCs/>
          <w:color w:val="222222"/>
          <w:shd w:val="clear" w:color="auto" w:fill="FFFFFF"/>
        </w:rPr>
        <w:t>Journal of Business Ethics</w:t>
      </w:r>
      <w:r w:rsidRPr="006A7457">
        <w:rPr>
          <w:rFonts w:ascii="David" w:hAnsi="David" w:cs="David"/>
          <w:color w:val="222222"/>
          <w:shd w:val="clear" w:color="auto" w:fill="FFFFFF"/>
        </w:rPr>
        <w:t>, </w:t>
      </w:r>
      <w:r>
        <w:rPr>
          <w:rFonts w:ascii="David" w:hAnsi="David" w:cs="David"/>
          <w:color w:val="222222"/>
          <w:shd w:val="clear" w:color="auto" w:fill="FFFFFF"/>
        </w:rPr>
        <w:t xml:space="preserve">vol. </w:t>
      </w:r>
      <w:r w:rsidRPr="006A7457">
        <w:rPr>
          <w:rFonts w:ascii="David" w:hAnsi="David" w:cs="David"/>
          <w:i/>
          <w:iCs/>
          <w:color w:val="222222"/>
          <w:shd w:val="clear" w:color="auto" w:fill="FFFFFF"/>
        </w:rPr>
        <w:t>78</w:t>
      </w:r>
      <w:r w:rsidRPr="006A7457">
        <w:rPr>
          <w:rFonts w:ascii="David" w:hAnsi="David" w:cs="David"/>
          <w:color w:val="222222"/>
          <w:shd w:val="clear" w:color="auto" w:fill="FFFFFF"/>
        </w:rPr>
        <w:t xml:space="preserve">(1), </w:t>
      </w:r>
      <w:r>
        <w:rPr>
          <w:rFonts w:ascii="David" w:hAnsi="David" w:cs="David"/>
          <w:color w:val="222222"/>
          <w:shd w:val="clear" w:color="auto" w:fill="FFFFFF"/>
        </w:rPr>
        <w:t xml:space="preserve">2008, pp. </w:t>
      </w:r>
      <w:r w:rsidRPr="006A7457">
        <w:rPr>
          <w:rFonts w:ascii="David" w:hAnsi="David" w:cs="David"/>
          <w:color w:val="222222"/>
          <w:shd w:val="clear" w:color="auto" w:fill="FFFFFF"/>
        </w:rPr>
        <w:t>275-289.</w:t>
      </w:r>
    </w:p>
  </w:footnote>
  <w:footnote w:id="15">
    <w:p w14:paraId="6E653714" w14:textId="77777777" w:rsidR="008E4B6D" w:rsidRDefault="008E4B6D" w:rsidP="008E4B6D">
      <w:pPr>
        <w:pStyle w:val="FootnoteText"/>
      </w:pPr>
      <w:r>
        <w:rPr>
          <w:rStyle w:val="FootnoteReference"/>
        </w:rPr>
        <w:footnoteRef/>
      </w:r>
      <w:r>
        <w:t xml:space="preserve"> </w:t>
      </w:r>
      <w:r w:rsidRPr="00E72122">
        <w:rPr>
          <w:rFonts w:asciiTheme="majorBidi" w:hAnsiTheme="majorBidi" w:cstheme="majorBidi"/>
        </w:rPr>
        <w:t>Frey, Bruno S. &amp; Benno Torgler. Tax Morale and Conditional Cooperation. </w:t>
      </w:r>
      <w:r w:rsidRPr="00E72122">
        <w:rPr>
          <w:rFonts w:asciiTheme="majorBidi" w:hAnsiTheme="majorBidi" w:cstheme="majorBidi"/>
          <w:i/>
          <w:iCs/>
        </w:rPr>
        <w:t>Journal of Comparative Economics</w:t>
      </w:r>
      <w:r>
        <w:rPr>
          <w:rFonts w:asciiTheme="majorBidi" w:hAnsiTheme="majorBidi" w:cstheme="majorBidi"/>
        </w:rPr>
        <w:t xml:space="preserve">, vol. </w:t>
      </w:r>
      <w:r w:rsidRPr="00E72122">
        <w:rPr>
          <w:rFonts w:asciiTheme="majorBidi" w:hAnsiTheme="majorBidi" w:cstheme="majorBidi"/>
        </w:rPr>
        <w:t>35</w:t>
      </w:r>
      <w:r>
        <w:rPr>
          <w:rFonts w:asciiTheme="majorBidi" w:hAnsiTheme="majorBidi" w:cstheme="majorBidi"/>
        </w:rPr>
        <w:t xml:space="preserve">, 2008, pp. </w:t>
      </w:r>
      <w:r w:rsidRPr="00E72122">
        <w:rPr>
          <w:rFonts w:asciiTheme="majorBidi" w:hAnsiTheme="majorBidi" w:cstheme="majorBidi"/>
        </w:rPr>
        <w:t>136–</w:t>
      </w:r>
      <w:r>
        <w:rPr>
          <w:rFonts w:asciiTheme="majorBidi" w:hAnsiTheme="majorBidi" w:cstheme="majorBidi"/>
        </w:rPr>
        <w:t>1</w:t>
      </w:r>
      <w:r w:rsidRPr="00E72122">
        <w:rPr>
          <w:rFonts w:asciiTheme="majorBidi" w:hAnsiTheme="majorBidi" w:cstheme="majorBidi"/>
        </w:rPr>
        <w:t>59</w:t>
      </w:r>
      <w:r>
        <w:rPr>
          <w:rFonts w:asciiTheme="majorBidi" w:hAnsiTheme="majorBidi" w:cstheme="majorBidi"/>
        </w:rPr>
        <w:t>.</w:t>
      </w:r>
    </w:p>
  </w:footnote>
  <w:footnote w:id="16">
    <w:p w14:paraId="3BFEDBE6" w14:textId="77777777" w:rsidR="008E4B6D" w:rsidRDefault="008E4B6D" w:rsidP="008E4B6D">
      <w:pPr>
        <w:pStyle w:val="FootnoteText"/>
      </w:pPr>
      <w:r>
        <w:rPr>
          <w:rStyle w:val="FootnoteReference"/>
        </w:rPr>
        <w:footnoteRef/>
      </w:r>
      <w:r>
        <w:t xml:space="preserve"> </w:t>
      </w:r>
      <w:r w:rsidRPr="00342242">
        <w:rPr>
          <w:rFonts w:asciiTheme="majorBidi" w:hAnsiTheme="majorBidi" w:cstheme="majorBidi"/>
        </w:rPr>
        <w:t xml:space="preserve">Jackson, Jonathan, Ben Bradford, Mike Hough, Andy Myhill, Paul Quinton &amp; Tom R. Tyler. Why Do People Comply </w:t>
      </w:r>
      <w:proofErr w:type="gramStart"/>
      <w:r w:rsidRPr="00342242">
        <w:rPr>
          <w:rFonts w:asciiTheme="majorBidi" w:hAnsiTheme="majorBidi" w:cstheme="majorBidi"/>
        </w:rPr>
        <w:t>With</w:t>
      </w:r>
      <w:proofErr w:type="gramEnd"/>
      <w:r w:rsidRPr="00342242">
        <w:rPr>
          <w:rFonts w:asciiTheme="majorBidi" w:hAnsiTheme="majorBidi" w:cstheme="majorBidi"/>
        </w:rPr>
        <w:t xml:space="preserve"> the Law? Legitimacy and the Influence of Legal Institutions. </w:t>
      </w:r>
      <w:r w:rsidRPr="00342242">
        <w:rPr>
          <w:rFonts w:asciiTheme="majorBidi" w:hAnsiTheme="majorBidi" w:cstheme="majorBidi"/>
          <w:i/>
          <w:iCs/>
        </w:rPr>
        <w:t>British Journal of Criminology</w:t>
      </w:r>
      <w:r>
        <w:rPr>
          <w:rFonts w:asciiTheme="majorBidi" w:hAnsiTheme="majorBidi" w:cstheme="majorBidi"/>
          <w:i/>
          <w:iCs/>
        </w:rPr>
        <w:t>,</w:t>
      </w:r>
      <w:r w:rsidRPr="00342242">
        <w:rPr>
          <w:rFonts w:asciiTheme="majorBidi" w:hAnsiTheme="majorBidi" w:cstheme="majorBidi"/>
        </w:rPr>
        <w:t> </w:t>
      </w:r>
      <w:r>
        <w:rPr>
          <w:rFonts w:asciiTheme="majorBidi" w:hAnsiTheme="majorBidi" w:cstheme="majorBidi"/>
        </w:rPr>
        <w:t xml:space="preserve">vol. </w:t>
      </w:r>
      <w:r w:rsidRPr="00342242">
        <w:rPr>
          <w:rFonts w:asciiTheme="majorBidi" w:hAnsiTheme="majorBidi" w:cstheme="majorBidi"/>
        </w:rPr>
        <w:t>52</w:t>
      </w:r>
      <w:r>
        <w:rPr>
          <w:rFonts w:asciiTheme="majorBidi" w:hAnsiTheme="majorBidi" w:cstheme="majorBidi"/>
        </w:rPr>
        <w:t>, no. 6, Nov. 2012, pp.</w:t>
      </w:r>
      <w:r w:rsidRPr="00342242">
        <w:rPr>
          <w:rFonts w:asciiTheme="majorBidi" w:hAnsiTheme="majorBidi" w:cstheme="majorBidi"/>
        </w:rPr>
        <w:t>1051–71</w:t>
      </w:r>
      <w:r>
        <w:rPr>
          <w:rFonts w:asciiTheme="majorBidi" w:hAnsiTheme="majorBidi" w:cstheme="majorBidi"/>
        </w:rPr>
        <w:t>.</w:t>
      </w:r>
    </w:p>
  </w:footnote>
  <w:footnote w:id="17">
    <w:p w14:paraId="3B46D41B" w14:textId="77777777" w:rsidR="008E4B6D" w:rsidRDefault="008E4B6D" w:rsidP="008E4B6D">
      <w:pPr>
        <w:pStyle w:val="FootnoteText"/>
      </w:pPr>
      <w:r>
        <w:rPr>
          <w:rStyle w:val="FootnoteReference"/>
        </w:rPr>
        <w:footnoteRef/>
      </w:r>
      <w:r>
        <w:t xml:space="preserve"> </w:t>
      </w:r>
      <w:r w:rsidRPr="00E8221D">
        <w:rPr>
          <w:rFonts w:asciiTheme="majorBidi" w:hAnsiTheme="majorBidi" w:cstheme="majorBidi"/>
        </w:rPr>
        <w:t>Nagin, Daniel S. &amp; Cody W. Telep. Procedural Justice and Legal Compliance. </w:t>
      </w:r>
      <w:r w:rsidRPr="00E8221D">
        <w:rPr>
          <w:rFonts w:asciiTheme="majorBidi" w:hAnsiTheme="majorBidi" w:cstheme="majorBidi"/>
          <w:i/>
          <w:iCs/>
        </w:rPr>
        <w:t>Annual Review of Law and Social Science</w:t>
      </w:r>
      <w:r>
        <w:rPr>
          <w:rFonts w:asciiTheme="majorBidi" w:hAnsiTheme="majorBidi" w:cstheme="majorBidi"/>
          <w:i/>
          <w:iCs/>
        </w:rPr>
        <w:t>,</w:t>
      </w:r>
      <w:r w:rsidRPr="00E8221D">
        <w:rPr>
          <w:rFonts w:asciiTheme="majorBidi" w:hAnsiTheme="majorBidi" w:cstheme="majorBidi"/>
        </w:rPr>
        <w:t> </w:t>
      </w:r>
      <w:r>
        <w:rPr>
          <w:rFonts w:asciiTheme="majorBidi" w:hAnsiTheme="majorBidi" w:cstheme="majorBidi"/>
        </w:rPr>
        <w:t xml:space="preserve">vol. </w:t>
      </w:r>
      <w:r w:rsidRPr="00E8221D">
        <w:rPr>
          <w:rFonts w:asciiTheme="majorBidi" w:hAnsiTheme="majorBidi" w:cstheme="majorBidi"/>
        </w:rPr>
        <w:t>13</w:t>
      </w:r>
      <w:r>
        <w:rPr>
          <w:rFonts w:asciiTheme="majorBidi" w:hAnsiTheme="majorBidi" w:cstheme="majorBidi"/>
        </w:rPr>
        <w:t xml:space="preserve">, 2017, pp. </w:t>
      </w:r>
      <w:r w:rsidRPr="00E8221D">
        <w:rPr>
          <w:rFonts w:asciiTheme="majorBidi" w:hAnsiTheme="majorBidi" w:cstheme="majorBidi"/>
        </w:rPr>
        <w:t>5–28.</w:t>
      </w:r>
    </w:p>
  </w:footnote>
  <w:footnote w:id="18">
    <w:p w14:paraId="2743E993" w14:textId="77777777" w:rsidR="008E4B6D" w:rsidRDefault="008E4B6D" w:rsidP="008E4B6D">
      <w:pPr>
        <w:pStyle w:val="FootnoteText"/>
      </w:pPr>
      <w:r>
        <w:rPr>
          <w:rStyle w:val="FootnoteReference"/>
        </w:rPr>
        <w:footnoteRef/>
      </w:r>
      <w:r>
        <w:t xml:space="preserve"> </w:t>
      </w:r>
      <w:r w:rsidRPr="0038487D">
        <w:rPr>
          <w:rFonts w:ascii="David" w:hAnsi="David" w:cs="David"/>
        </w:rPr>
        <w:t xml:space="preserve">Jackson, Jonathan, Ben Bradford, Mike Hough, Andy Myhill, Paul Quinton &amp; Tom R. Tyler. Why Do People Comply </w:t>
      </w:r>
      <w:proofErr w:type="gramStart"/>
      <w:r w:rsidRPr="0038487D">
        <w:rPr>
          <w:rFonts w:ascii="David" w:hAnsi="David" w:cs="David"/>
        </w:rPr>
        <w:t>With</w:t>
      </w:r>
      <w:proofErr w:type="gramEnd"/>
      <w:r w:rsidRPr="0038487D">
        <w:rPr>
          <w:rFonts w:ascii="David" w:hAnsi="David" w:cs="David"/>
        </w:rPr>
        <w:t xml:space="preserve"> the Law? Legitimacy and the Influence of Legal Institutions. </w:t>
      </w:r>
      <w:r w:rsidRPr="0038487D">
        <w:rPr>
          <w:rFonts w:ascii="David" w:hAnsi="David" w:cs="David"/>
          <w:i/>
          <w:iCs/>
        </w:rPr>
        <w:t>British Journal of Criminology</w:t>
      </w:r>
      <w:r>
        <w:rPr>
          <w:rFonts w:ascii="David" w:hAnsi="David" w:cs="David"/>
        </w:rPr>
        <w:t xml:space="preserve">, vol. </w:t>
      </w:r>
      <w:r w:rsidRPr="0038487D">
        <w:rPr>
          <w:rFonts w:ascii="David" w:hAnsi="David" w:cs="David"/>
        </w:rPr>
        <w:t>52</w:t>
      </w:r>
      <w:r>
        <w:rPr>
          <w:rFonts w:ascii="David" w:hAnsi="David" w:cs="David"/>
        </w:rPr>
        <w:t xml:space="preserve">, 2012, pp. </w:t>
      </w:r>
      <w:r w:rsidRPr="0038487D">
        <w:rPr>
          <w:rFonts w:ascii="David" w:hAnsi="David" w:cs="David"/>
        </w:rPr>
        <w:t>1051–71.</w:t>
      </w:r>
    </w:p>
  </w:footnote>
  <w:footnote w:id="19">
    <w:p w14:paraId="7364771A" w14:textId="77777777" w:rsidR="008E4B6D" w:rsidRDefault="008E4B6D" w:rsidP="008E4B6D">
      <w:pPr>
        <w:pStyle w:val="FootnoteText"/>
      </w:pPr>
      <w:r>
        <w:rPr>
          <w:rStyle w:val="FootnoteReference"/>
        </w:rPr>
        <w:footnoteRef/>
      </w:r>
      <w:r>
        <w:t xml:space="preserve"> </w:t>
      </w:r>
      <w:r w:rsidRPr="00E8221D">
        <w:rPr>
          <w:rFonts w:asciiTheme="majorBidi" w:hAnsiTheme="majorBidi" w:cstheme="majorBidi"/>
        </w:rPr>
        <w:t>Nagin, Daniel S. &amp; Cody W. Telep. Procedural Justice and Legal Compliance. </w:t>
      </w:r>
      <w:r w:rsidRPr="00E8221D">
        <w:rPr>
          <w:rFonts w:asciiTheme="majorBidi" w:hAnsiTheme="majorBidi" w:cstheme="majorBidi"/>
          <w:i/>
          <w:iCs/>
        </w:rPr>
        <w:t>Annual Review of Law and Social Science</w:t>
      </w:r>
      <w:r>
        <w:rPr>
          <w:rFonts w:asciiTheme="majorBidi" w:hAnsiTheme="majorBidi" w:cstheme="majorBidi"/>
          <w:i/>
          <w:iCs/>
        </w:rPr>
        <w:t>,</w:t>
      </w:r>
      <w:r w:rsidRPr="00E8221D">
        <w:rPr>
          <w:rFonts w:asciiTheme="majorBidi" w:hAnsiTheme="majorBidi" w:cstheme="majorBidi"/>
        </w:rPr>
        <w:t> </w:t>
      </w:r>
      <w:r>
        <w:rPr>
          <w:rFonts w:asciiTheme="majorBidi" w:hAnsiTheme="majorBidi" w:cstheme="majorBidi"/>
        </w:rPr>
        <w:t xml:space="preserve">vol. </w:t>
      </w:r>
      <w:r w:rsidRPr="00E8221D">
        <w:rPr>
          <w:rFonts w:asciiTheme="majorBidi" w:hAnsiTheme="majorBidi" w:cstheme="majorBidi"/>
        </w:rPr>
        <w:t>13</w:t>
      </w:r>
      <w:r>
        <w:rPr>
          <w:rFonts w:asciiTheme="majorBidi" w:hAnsiTheme="majorBidi" w:cstheme="majorBidi"/>
        </w:rPr>
        <w:t xml:space="preserve">, 2017, pp. </w:t>
      </w:r>
      <w:r w:rsidRPr="00E8221D">
        <w:rPr>
          <w:rFonts w:asciiTheme="majorBidi" w:hAnsiTheme="majorBidi" w:cstheme="majorBidi"/>
        </w:rPr>
        <w:t>5–28.</w:t>
      </w:r>
    </w:p>
  </w:footnote>
  <w:footnote w:id="20">
    <w:p w14:paraId="703A2451" w14:textId="77777777" w:rsidR="008E4B6D" w:rsidRDefault="008E4B6D" w:rsidP="008E4B6D">
      <w:pPr>
        <w:pStyle w:val="FootnoteText"/>
      </w:pPr>
      <w:r>
        <w:rPr>
          <w:rStyle w:val="FootnoteReference"/>
        </w:rPr>
        <w:footnoteRef/>
      </w:r>
      <w:r>
        <w:t xml:space="preserve"> </w:t>
      </w:r>
      <w:r w:rsidRPr="007B2A72">
        <w:rPr>
          <w:rFonts w:asciiTheme="majorBidi" w:hAnsiTheme="majorBidi" w:cstheme="majorBidi"/>
        </w:rPr>
        <w:t>Ariel, Barak. Deterrence and Moral Persuasion Effects of Corporate Tax Compliance: Findings from a Randomized Controlled Trial. </w:t>
      </w:r>
      <w:r w:rsidRPr="007B2A72">
        <w:rPr>
          <w:rFonts w:asciiTheme="majorBidi" w:hAnsiTheme="majorBidi" w:cstheme="majorBidi"/>
          <w:i/>
          <w:iCs/>
        </w:rPr>
        <w:t>Criminology</w:t>
      </w:r>
      <w:r>
        <w:rPr>
          <w:rFonts w:asciiTheme="majorBidi" w:hAnsiTheme="majorBidi" w:cstheme="majorBidi"/>
          <w:i/>
          <w:iCs/>
        </w:rPr>
        <w:t>,</w:t>
      </w:r>
      <w:r w:rsidRPr="007B2A72">
        <w:rPr>
          <w:rFonts w:asciiTheme="majorBidi" w:hAnsiTheme="majorBidi" w:cstheme="majorBidi"/>
        </w:rPr>
        <w:t> </w:t>
      </w:r>
      <w:r>
        <w:rPr>
          <w:rFonts w:asciiTheme="majorBidi" w:hAnsiTheme="majorBidi" w:cstheme="majorBidi"/>
        </w:rPr>
        <w:t xml:space="preserve">vol. </w:t>
      </w:r>
      <w:r w:rsidRPr="007B2A72">
        <w:rPr>
          <w:rFonts w:asciiTheme="majorBidi" w:hAnsiTheme="majorBidi" w:cstheme="majorBidi"/>
        </w:rPr>
        <w:t>50</w:t>
      </w:r>
      <w:r>
        <w:rPr>
          <w:rFonts w:asciiTheme="majorBidi" w:hAnsiTheme="majorBidi" w:cstheme="majorBidi"/>
        </w:rPr>
        <w:t xml:space="preserve">, 2012, pp. </w:t>
      </w:r>
      <w:r w:rsidRPr="007B2A72">
        <w:rPr>
          <w:rFonts w:asciiTheme="majorBidi" w:hAnsiTheme="majorBidi" w:cstheme="majorBidi"/>
        </w:rPr>
        <w:t>27–69.</w:t>
      </w:r>
    </w:p>
  </w:footnote>
  <w:footnote w:id="21">
    <w:p w14:paraId="3AE47F5C" w14:textId="10027A82" w:rsidR="00FA5312" w:rsidRDefault="00FA5312">
      <w:pPr>
        <w:pStyle w:val="FootnoteText"/>
      </w:pPr>
      <w:r>
        <w:rPr>
          <w:rStyle w:val="FootnoteReference"/>
        </w:rPr>
        <w:footnoteRef/>
      </w:r>
      <w:r>
        <w:t xml:space="preserve"> Feldman, The Complexity of Disentangling intrinsic and extrinsic motivation, supra </w:t>
      </w:r>
      <w:proofErr w:type="gramStart"/>
      <w:r>
        <w:t>note</w:t>
      </w:r>
      <w:proofErr w:type="gramEnd"/>
      <w:r>
        <w:t xml:space="preserve"> </w:t>
      </w:r>
    </w:p>
  </w:footnote>
  <w:footnote w:id="22">
    <w:p w14:paraId="61146914" w14:textId="649E2310" w:rsidR="00AA5E14" w:rsidRPr="007962EC" w:rsidRDefault="00AA5E14">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A well-known demonstration of this claim is given in </w:t>
      </w:r>
      <w:r w:rsidRPr="00BA6156">
        <w:rPr>
          <w:rFonts w:asciiTheme="majorBidi" w:hAnsiTheme="majorBidi" w:cstheme="majorBidi"/>
        </w:rPr>
        <w:t xml:space="preserve">Gneezy, Uri, and Aldo </w:t>
      </w:r>
      <w:proofErr w:type="spellStart"/>
      <w:r w:rsidRPr="00BA6156">
        <w:rPr>
          <w:rFonts w:asciiTheme="majorBidi" w:hAnsiTheme="majorBidi" w:cstheme="majorBidi"/>
        </w:rPr>
        <w:t>Rustichini</w:t>
      </w:r>
      <w:proofErr w:type="spellEnd"/>
      <w:r w:rsidRPr="00BA6156">
        <w:rPr>
          <w:rFonts w:asciiTheme="majorBidi" w:hAnsiTheme="majorBidi" w:cstheme="majorBidi"/>
        </w:rPr>
        <w:t>. "A fine is a price." </w:t>
      </w:r>
      <w:r w:rsidRPr="00BA6156">
        <w:rPr>
          <w:rFonts w:asciiTheme="majorBidi" w:hAnsiTheme="majorBidi" w:cstheme="majorBidi"/>
          <w:i/>
          <w:iCs/>
        </w:rPr>
        <w:t>The journal of legal studies</w:t>
      </w:r>
      <w:r w:rsidRPr="00BA6156">
        <w:rPr>
          <w:rFonts w:asciiTheme="majorBidi" w:hAnsiTheme="majorBidi" w:cstheme="majorBidi"/>
        </w:rPr>
        <w:t> 29.1 (2000): 1-17.</w:t>
      </w:r>
      <w:r>
        <w:rPr>
          <w:rFonts w:asciiTheme="majorBidi" w:hAnsiTheme="majorBidi" w:cstheme="majorBidi"/>
        </w:rPr>
        <w:t xml:space="preserve"> </w:t>
      </w:r>
      <w:r w:rsidRPr="00BA6156">
        <w:rPr>
          <w:rFonts w:asciiTheme="majorBidi" w:hAnsiTheme="majorBidi" w:cstheme="majorBidi"/>
        </w:rPr>
        <w:t>Gneezy</w:t>
      </w:r>
      <w:r>
        <w:rPr>
          <w:rFonts w:asciiTheme="majorBidi" w:hAnsiTheme="majorBidi" w:cstheme="majorBidi"/>
        </w:rPr>
        <w:t xml:space="preserve"> and</w:t>
      </w:r>
      <w:r w:rsidRPr="00BA6156">
        <w:rPr>
          <w:rFonts w:asciiTheme="majorBidi" w:hAnsiTheme="majorBidi" w:cstheme="majorBidi"/>
        </w:rPr>
        <w:t xml:space="preserve"> </w:t>
      </w:r>
      <w:proofErr w:type="spellStart"/>
      <w:r w:rsidRPr="00BA6156">
        <w:rPr>
          <w:rFonts w:asciiTheme="majorBidi" w:hAnsiTheme="majorBidi" w:cstheme="majorBidi"/>
        </w:rPr>
        <w:t>Rustichini</w:t>
      </w:r>
      <w:proofErr w:type="spellEnd"/>
      <w:r>
        <w:rPr>
          <w:rFonts w:asciiTheme="majorBidi" w:hAnsiTheme="majorBidi" w:cstheme="majorBidi"/>
        </w:rPr>
        <w:t xml:space="preserve"> investigate whether imposing a fine on certain misconduct functions as a "price-tag" over that behavior. Using an experimental setting, they impose a monetary fine on parents who were late picking-up their children from day-care. They observed that contrary to traditional accounts on deterrence, once the fines were introduced, the </w:t>
      </w:r>
      <w:proofErr w:type="gramStart"/>
      <w:r>
        <w:rPr>
          <w:rFonts w:asciiTheme="majorBidi" w:hAnsiTheme="majorBidi" w:cstheme="majorBidi"/>
        </w:rPr>
        <w:t>amount</w:t>
      </w:r>
      <w:proofErr w:type="gramEnd"/>
      <w:r>
        <w:rPr>
          <w:rFonts w:asciiTheme="majorBidi" w:hAnsiTheme="majorBidi" w:cstheme="majorBidi"/>
        </w:rPr>
        <w:t xml:space="preserve"> of parents arriving late increased steadily rather than decreased.        </w:t>
      </w:r>
    </w:p>
  </w:footnote>
  <w:footnote w:id="23">
    <w:p w14:paraId="1FF6CDCB" w14:textId="77777777" w:rsidR="00AA5E14" w:rsidRPr="00961CA5" w:rsidRDefault="00AA5E14" w:rsidP="006259DF">
      <w:pPr>
        <w:pStyle w:val="FootnoteText"/>
        <w:rPr>
          <w:rFonts w:ascii="David" w:hAnsi="David" w:cs="David"/>
        </w:rPr>
      </w:pPr>
      <w:r>
        <w:rPr>
          <w:rStyle w:val="FootnoteReference"/>
        </w:rPr>
        <w:footnoteRef/>
      </w:r>
      <w:r>
        <w:t xml:space="preserve"> </w:t>
      </w:r>
      <w:r w:rsidRPr="00961CA5">
        <w:rPr>
          <w:rFonts w:ascii="David" w:hAnsi="David" w:cs="David"/>
          <w:color w:val="222222"/>
          <w:shd w:val="clear" w:color="auto" w:fill="FFFFFF"/>
        </w:rPr>
        <w:t>Tyler, Tom, John Dienhart, and Terry Thomas. "The ethical commitment to compliance: Building value-based cultures." </w:t>
      </w:r>
      <w:r w:rsidRPr="00961CA5">
        <w:rPr>
          <w:rFonts w:ascii="David" w:hAnsi="David" w:cs="David"/>
          <w:i/>
          <w:iCs/>
          <w:color w:val="222222"/>
          <w:shd w:val="clear" w:color="auto" w:fill="FFFFFF"/>
        </w:rPr>
        <w:t>California Management Review</w:t>
      </w:r>
      <w:r w:rsidRPr="00961CA5">
        <w:rPr>
          <w:rFonts w:ascii="David" w:hAnsi="David" w:cs="David"/>
          <w:color w:val="222222"/>
          <w:shd w:val="clear" w:color="auto" w:fill="FFFFFF"/>
        </w:rPr>
        <w:t> 50.2 (2008): 31-51.</w:t>
      </w:r>
      <w:r w:rsidRPr="00961CA5">
        <w:rPr>
          <w:rFonts w:ascii="David" w:hAnsi="David" w:cs="David"/>
          <w:color w:val="222222"/>
          <w:shd w:val="clear" w:color="auto" w:fill="FFFFFF"/>
          <w:rtl/>
        </w:rPr>
        <w:t>‏</w:t>
      </w:r>
    </w:p>
  </w:footnote>
  <w:footnote w:id="24">
    <w:p w14:paraId="50F41BA6" w14:textId="44F3F3D6" w:rsidR="00AA5E14" w:rsidRPr="00961CA5" w:rsidRDefault="00AA5E14" w:rsidP="007275A6">
      <w:pPr>
        <w:pStyle w:val="FootnoteText"/>
        <w:rPr>
          <w:rFonts w:ascii="David" w:hAnsi="David" w:cs="David"/>
        </w:rPr>
      </w:pPr>
      <w:r>
        <w:rPr>
          <w:rStyle w:val="FootnoteReference"/>
        </w:rPr>
        <w:footnoteRef/>
      </w:r>
      <w:r>
        <w:t xml:space="preserve"> </w:t>
      </w:r>
      <w:r w:rsidRPr="00961CA5">
        <w:rPr>
          <w:rFonts w:ascii="David" w:hAnsi="David" w:cs="David"/>
        </w:rPr>
        <w:t xml:space="preserve">Zimring, Franklin E., Gordon Hawkins, and James </w:t>
      </w:r>
      <w:proofErr w:type="spellStart"/>
      <w:r w:rsidRPr="00961CA5">
        <w:rPr>
          <w:rFonts w:ascii="David" w:hAnsi="David" w:cs="David"/>
        </w:rPr>
        <w:t>Vorenberg</w:t>
      </w:r>
      <w:proofErr w:type="spellEnd"/>
      <w:r w:rsidRPr="00961CA5">
        <w:rPr>
          <w:rFonts w:ascii="David" w:hAnsi="David" w:cs="David"/>
        </w:rPr>
        <w:t>. "Deterrence: The legal threat in crime control." (1973): 345-369. Also see, Tittle, Charles R. "Sanctions and social deviance: The question of deterrence." (1980): 45-60</w:t>
      </w:r>
      <w:r>
        <w:rPr>
          <w:rFonts w:ascii="David" w:hAnsi="David" w:cs="David"/>
        </w:rPr>
        <w:t xml:space="preserve">; </w:t>
      </w:r>
      <w:r w:rsidRPr="007275A6">
        <w:rPr>
          <w:rFonts w:ascii="David" w:hAnsi="David" w:cs="David"/>
        </w:rPr>
        <w:t>Feldman, Yuval. </w:t>
      </w:r>
      <w:r w:rsidRPr="007275A6">
        <w:rPr>
          <w:rFonts w:ascii="David" w:hAnsi="David" w:cs="David"/>
          <w:i/>
          <w:iCs/>
        </w:rPr>
        <w:t>The law of good people: Challenging states' ability to regulate human behavior</w:t>
      </w:r>
      <w:r w:rsidRPr="007275A6">
        <w:rPr>
          <w:rFonts w:ascii="David" w:hAnsi="David" w:cs="David"/>
        </w:rPr>
        <w:t>. C</w:t>
      </w:r>
      <w:r>
        <w:rPr>
          <w:rFonts w:ascii="David" w:hAnsi="David" w:cs="David"/>
        </w:rPr>
        <w:t>ambridge University Press, 2018, pp. 68.</w:t>
      </w:r>
    </w:p>
  </w:footnote>
  <w:footnote w:id="25">
    <w:p w14:paraId="644EAE21" w14:textId="21174615"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Paternoster, Raymond, and Leeann </w:t>
      </w:r>
      <w:proofErr w:type="spellStart"/>
      <w:r w:rsidRPr="00961CA5">
        <w:rPr>
          <w:rFonts w:ascii="David" w:hAnsi="David" w:cs="David"/>
        </w:rPr>
        <w:t>Iovanni</w:t>
      </w:r>
      <w:proofErr w:type="spellEnd"/>
      <w:r w:rsidRPr="00961CA5">
        <w:rPr>
          <w:rFonts w:ascii="David" w:hAnsi="David" w:cs="David"/>
        </w:rPr>
        <w:t>. "The deterrent effect of perceived severity: A reexamination." Social Forces 64.3 (1986): page 768.</w:t>
      </w:r>
      <w:r w:rsidRPr="00961CA5">
        <w:rPr>
          <w:rFonts w:ascii="David" w:hAnsi="David" w:cs="David"/>
          <w:rtl/>
        </w:rPr>
        <w:t>‏</w:t>
      </w:r>
    </w:p>
  </w:footnote>
  <w:footnote w:id="26">
    <w:p w14:paraId="45C0B461" w14:textId="4A35CF24"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Braithwaite, John, and Toni Makkai. "Testing an expected utility model of corporate deterrence." Law &amp; Soc'y Rev. 25 (1991): 7.</w:t>
      </w:r>
      <w:r w:rsidRPr="00961CA5">
        <w:rPr>
          <w:rFonts w:ascii="David" w:hAnsi="David" w:cs="David"/>
          <w:rtl/>
        </w:rPr>
        <w:t>‏</w:t>
      </w:r>
    </w:p>
  </w:footnote>
  <w:footnote w:id="27">
    <w:p w14:paraId="56D0B850" w14:textId="43861248"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Robinson, Paul H., and John M. Darley. "Does criminal law deter? A </w:t>
      </w:r>
      <w:proofErr w:type="spellStart"/>
      <w:r w:rsidRPr="00961CA5">
        <w:rPr>
          <w:rFonts w:ascii="David" w:hAnsi="David" w:cs="David"/>
        </w:rPr>
        <w:t>behavioural</w:t>
      </w:r>
      <w:proofErr w:type="spellEnd"/>
      <w:r w:rsidRPr="00961CA5">
        <w:rPr>
          <w:rFonts w:ascii="David" w:hAnsi="David" w:cs="David"/>
        </w:rPr>
        <w:t xml:space="preserve"> science investigation." oxford Journal of Legal studies 24.2 (2004): 173-205.</w:t>
      </w:r>
      <w:r w:rsidRPr="00961CA5">
        <w:rPr>
          <w:rFonts w:ascii="David" w:hAnsi="David" w:cs="David"/>
          <w:rtl/>
        </w:rPr>
        <w:t>‏</w:t>
      </w:r>
    </w:p>
  </w:footnote>
  <w:footnote w:id="28">
    <w:p w14:paraId="7CEBA67F" w14:textId="3873C09B"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Doob, Anthony N., and Cheryl Marie Webster. "Sentence severity and crime: Accepting the null hypothesis." Crime and justice 30 (2003): 143-195.</w:t>
      </w:r>
      <w:r w:rsidRPr="00961CA5">
        <w:rPr>
          <w:rFonts w:ascii="David" w:hAnsi="David" w:cs="David"/>
          <w:rtl/>
        </w:rPr>
        <w:t>‏</w:t>
      </w:r>
    </w:p>
  </w:footnote>
  <w:footnote w:id="29">
    <w:p w14:paraId="05DD4B12" w14:textId="7633D3F1" w:rsidR="00AA5E14" w:rsidRPr="0047237E" w:rsidRDefault="00AA5E14">
      <w:pPr>
        <w:pStyle w:val="FootnoteText"/>
        <w:rPr>
          <w:rFonts w:ascii="David" w:hAnsi="David" w:cs="David"/>
        </w:rPr>
      </w:pPr>
      <w:r>
        <w:rPr>
          <w:rStyle w:val="FootnoteReference"/>
        </w:rPr>
        <w:footnoteRef/>
      </w:r>
      <w:r>
        <w:t xml:space="preserve"> </w:t>
      </w:r>
      <w:r w:rsidRPr="0047237E">
        <w:rPr>
          <w:rFonts w:ascii="David" w:hAnsi="David" w:cs="David"/>
          <w:color w:val="222222"/>
          <w:shd w:val="clear" w:color="auto" w:fill="FFFFFF"/>
        </w:rPr>
        <w:t>Nagin, Daniel S. "Criminal deterrence research at the outset of the twenty-first century." </w:t>
      </w:r>
      <w:r w:rsidRPr="0047237E">
        <w:rPr>
          <w:rFonts w:ascii="David" w:hAnsi="David" w:cs="David"/>
          <w:i/>
          <w:iCs/>
          <w:color w:val="222222"/>
          <w:shd w:val="clear" w:color="auto" w:fill="FFFFFF"/>
        </w:rPr>
        <w:t>Crime and justice</w:t>
      </w:r>
      <w:r w:rsidRPr="0047237E">
        <w:rPr>
          <w:rFonts w:ascii="David" w:hAnsi="David" w:cs="David"/>
          <w:color w:val="222222"/>
          <w:shd w:val="clear" w:color="auto" w:fill="FFFFFF"/>
        </w:rPr>
        <w:t> 23 (1998): 1-42.; Fine, Adam, and Benjamin Van Rooij. "For whom does deterrence affect behavior? Identifying key individual differences." </w:t>
      </w:r>
      <w:r w:rsidRPr="0047237E">
        <w:rPr>
          <w:rFonts w:ascii="David" w:hAnsi="David" w:cs="David"/>
          <w:i/>
          <w:iCs/>
          <w:color w:val="222222"/>
          <w:shd w:val="clear" w:color="auto" w:fill="FFFFFF"/>
        </w:rPr>
        <w:t>Law and Human Behavior</w:t>
      </w:r>
      <w:r w:rsidRPr="0047237E">
        <w:rPr>
          <w:rFonts w:ascii="David" w:hAnsi="David" w:cs="David"/>
          <w:color w:val="222222"/>
          <w:shd w:val="clear" w:color="auto" w:fill="FFFFFF"/>
        </w:rPr>
        <w:t> 41.4 (2017): 354.</w:t>
      </w:r>
    </w:p>
  </w:footnote>
  <w:footnote w:id="30">
    <w:p w14:paraId="15F67704" w14:textId="77777777" w:rsidR="00E11A80" w:rsidRDefault="00E11A80" w:rsidP="00E11A80">
      <w:pPr>
        <w:pStyle w:val="FootnoteText"/>
      </w:pPr>
      <w:r w:rsidRPr="0047237E">
        <w:rPr>
          <w:rStyle w:val="FootnoteReference"/>
          <w:rFonts w:ascii="David" w:hAnsi="David" w:cs="David"/>
        </w:rPr>
        <w:footnoteRef/>
      </w:r>
      <w:r w:rsidRPr="0047237E">
        <w:rPr>
          <w:rFonts w:ascii="David" w:hAnsi="David" w:cs="David"/>
        </w:rPr>
        <w:t xml:space="preserve"> </w:t>
      </w:r>
      <w:r w:rsidRPr="0047237E">
        <w:rPr>
          <w:rFonts w:ascii="David" w:hAnsi="David" w:cs="David"/>
          <w:color w:val="222222"/>
          <w:shd w:val="clear" w:color="auto" w:fill="FFFFFF"/>
        </w:rPr>
        <w:t>Teodorescu, Kinneret, et al. "Frequency of enforcement is more important than the severity of punishment in reducing violation behaviors." </w:t>
      </w:r>
      <w:r w:rsidRPr="0047237E">
        <w:rPr>
          <w:rFonts w:ascii="David" w:hAnsi="David" w:cs="David"/>
          <w:i/>
          <w:iCs/>
          <w:color w:val="222222"/>
          <w:shd w:val="clear" w:color="auto" w:fill="FFFFFF"/>
        </w:rPr>
        <w:t>Proceedings of the National Academy of Sciences</w:t>
      </w:r>
      <w:r w:rsidRPr="0047237E">
        <w:rPr>
          <w:rFonts w:ascii="David" w:hAnsi="David" w:cs="David"/>
          <w:color w:val="222222"/>
          <w:shd w:val="clear" w:color="auto" w:fill="FFFFFF"/>
        </w:rPr>
        <w:t> 118.42 (2021): e2108507118.</w:t>
      </w:r>
    </w:p>
  </w:footnote>
  <w:footnote w:id="31">
    <w:p w14:paraId="51F614BA" w14:textId="77777777" w:rsidR="00AA5E14" w:rsidRPr="0047237E" w:rsidRDefault="00AA5E14" w:rsidP="000B6461">
      <w:pPr>
        <w:pStyle w:val="FootnoteText"/>
        <w:rPr>
          <w:rFonts w:ascii="David" w:hAnsi="David" w:cs="David"/>
        </w:rPr>
      </w:pPr>
      <w:r>
        <w:rPr>
          <w:rStyle w:val="FootnoteReference"/>
        </w:rPr>
        <w:footnoteRef/>
      </w:r>
      <w:r>
        <w:t xml:space="preserve"> </w:t>
      </w:r>
      <w:r w:rsidRPr="0047237E">
        <w:rPr>
          <w:rFonts w:ascii="David" w:hAnsi="David" w:cs="David"/>
        </w:rPr>
        <w:t xml:space="preserve">Some of the arguments here are based on my paper </w:t>
      </w:r>
      <w:r w:rsidRPr="0047237E">
        <w:rPr>
          <w:rFonts w:ascii="David" w:hAnsi="David" w:cs="David"/>
          <w:color w:val="222222"/>
          <w:shd w:val="clear" w:color="auto" w:fill="FFFFFF"/>
        </w:rPr>
        <w:t>Feldman, Yuval. "The complexity of disentangling intrinsic and extrinsic compliance motivations: Theoretical and empirical insights from the behavioral analysis of law." </w:t>
      </w:r>
      <w:r w:rsidRPr="0047237E">
        <w:rPr>
          <w:rFonts w:ascii="David" w:hAnsi="David" w:cs="David"/>
          <w:i/>
          <w:iCs/>
          <w:color w:val="222222"/>
          <w:shd w:val="clear" w:color="auto" w:fill="FFFFFF"/>
        </w:rPr>
        <w:t xml:space="preserve">Wash. UJL &amp; </w:t>
      </w:r>
      <w:proofErr w:type="spellStart"/>
      <w:r w:rsidRPr="0047237E">
        <w:rPr>
          <w:rFonts w:ascii="David" w:hAnsi="David" w:cs="David"/>
          <w:i/>
          <w:iCs/>
          <w:color w:val="222222"/>
          <w:shd w:val="clear" w:color="auto" w:fill="FFFFFF"/>
        </w:rPr>
        <w:t>Pol'y</w:t>
      </w:r>
      <w:proofErr w:type="spellEnd"/>
      <w:r w:rsidRPr="0047237E">
        <w:rPr>
          <w:rFonts w:ascii="David" w:hAnsi="David" w:cs="David"/>
          <w:color w:val="222222"/>
          <w:shd w:val="clear" w:color="auto" w:fill="FFFFFF"/>
        </w:rPr>
        <w:t> 35 (2011): 11.</w:t>
      </w:r>
      <w:r w:rsidRPr="0047237E">
        <w:rPr>
          <w:rFonts w:ascii="David" w:eastAsia="Arial" w:hAnsi="David" w:cs="David"/>
        </w:rPr>
        <w:t xml:space="preserve"> For classic discussion of deterrence theory (e.g., Becker, 1968; Ehrlich &amp; Becker, 1972; Ehrlich, 1996).</w:t>
      </w:r>
    </w:p>
  </w:footnote>
  <w:footnote w:id="32">
    <w:p w14:paraId="6886117D" w14:textId="77777777" w:rsidR="00AA5E14" w:rsidRPr="0047237E" w:rsidRDefault="00AA5E14" w:rsidP="000B6461">
      <w:pPr>
        <w:pStyle w:val="FootnoteText"/>
        <w:rPr>
          <w:rFonts w:ascii="David" w:hAnsi="David" w:cs="David"/>
        </w:rPr>
      </w:pPr>
      <w:r w:rsidRPr="0047237E">
        <w:rPr>
          <w:rStyle w:val="FootnoteReference"/>
          <w:rFonts w:ascii="David" w:hAnsi="David" w:cs="David"/>
        </w:rPr>
        <w:footnoteRef/>
      </w:r>
      <w:r w:rsidRPr="0047237E">
        <w:rPr>
          <w:rFonts w:ascii="David" w:hAnsi="David" w:cs="David"/>
        </w:rPr>
        <w:t xml:space="preserve"> </w:t>
      </w:r>
      <w:r w:rsidRPr="0047237E">
        <w:rPr>
          <w:rFonts w:ascii="David" w:hAnsi="David" w:cs="David"/>
          <w:color w:val="222222"/>
          <w:shd w:val="clear" w:color="auto" w:fill="FFFFFF"/>
        </w:rPr>
        <w:t>Balliet, Daniel, Laetitia B. Mulder, and Paul AM Van Lange. "Reward, punishment, and cooperation: a meta-analysis." </w:t>
      </w:r>
      <w:r w:rsidRPr="0047237E">
        <w:rPr>
          <w:rFonts w:ascii="David" w:hAnsi="David" w:cs="David"/>
          <w:i/>
          <w:iCs/>
          <w:color w:val="222222"/>
          <w:shd w:val="clear" w:color="auto" w:fill="FFFFFF"/>
        </w:rPr>
        <w:t>Psychological bulletin</w:t>
      </w:r>
      <w:r w:rsidRPr="0047237E">
        <w:rPr>
          <w:rFonts w:ascii="David" w:hAnsi="David" w:cs="David"/>
          <w:color w:val="222222"/>
          <w:shd w:val="clear" w:color="auto" w:fill="FFFFFF"/>
        </w:rPr>
        <w:t> 137, no. 4 (2011): 594.</w:t>
      </w:r>
    </w:p>
  </w:footnote>
  <w:footnote w:id="33">
    <w:p w14:paraId="1D387791" w14:textId="4234E642" w:rsidR="00AA5E14" w:rsidRPr="00C87221" w:rsidRDefault="00AA5E14">
      <w:pPr>
        <w:pStyle w:val="FootnoteText"/>
        <w:rPr>
          <w:rFonts w:ascii="David" w:hAnsi="David" w:cs="David"/>
        </w:rPr>
      </w:pPr>
      <w:r w:rsidRPr="0047237E">
        <w:rPr>
          <w:rStyle w:val="FootnoteReference"/>
          <w:rFonts w:ascii="David" w:hAnsi="David" w:cs="David"/>
        </w:rPr>
        <w:footnoteRef/>
      </w:r>
      <w:r w:rsidRPr="0047237E">
        <w:rPr>
          <w:rFonts w:ascii="David" w:hAnsi="David" w:cs="David"/>
        </w:rPr>
        <w:t xml:space="preserve"> </w:t>
      </w:r>
      <w:r w:rsidRPr="00C87221">
        <w:rPr>
          <w:rFonts w:ascii="David" w:hAnsi="David" w:cs="David"/>
          <w:color w:val="222222"/>
          <w:shd w:val="clear" w:color="auto" w:fill="FFFFFF"/>
        </w:rPr>
        <w:t>Tversky, Amos, and Daniel Kahneman. "Loss aversion in riskless choice: A reference-dependent model." </w:t>
      </w:r>
      <w:r w:rsidRPr="00C87221">
        <w:rPr>
          <w:rFonts w:ascii="David" w:hAnsi="David" w:cs="David"/>
          <w:i/>
          <w:iCs/>
          <w:color w:val="222222"/>
          <w:shd w:val="clear" w:color="auto" w:fill="FFFFFF"/>
        </w:rPr>
        <w:t>The quarterly journal of economics</w:t>
      </w:r>
      <w:r w:rsidRPr="00C87221">
        <w:rPr>
          <w:rFonts w:ascii="David" w:hAnsi="David" w:cs="David"/>
          <w:color w:val="222222"/>
          <w:shd w:val="clear" w:color="auto" w:fill="FFFFFF"/>
        </w:rPr>
        <w:t> 106.4 (1991): 1039-1061.</w:t>
      </w:r>
    </w:p>
  </w:footnote>
  <w:footnote w:id="34">
    <w:p w14:paraId="1D7C4AA9" w14:textId="27CD8C61"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Zamir, Eyal. "Loss aversion and the law." Vand. L. Rev. 65 (2012): 829.</w:t>
      </w:r>
    </w:p>
  </w:footnote>
  <w:footnote w:id="35">
    <w:p w14:paraId="66CB987A" w14:textId="77777777" w:rsidR="00F41B4A" w:rsidRPr="00961CA5" w:rsidRDefault="00F41B4A" w:rsidP="00F41B4A">
      <w:pPr>
        <w:pStyle w:val="FootnoteText"/>
        <w:rPr>
          <w:rFonts w:ascii="David" w:hAnsi="David" w:cs="David"/>
          <w:color w:val="222222"/>
          <w:shd w:val="clear" w:color="auto" w:fill="FFFFFF"/>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 xml:space="preserve">Ariely, Dan, Joel Huber, and Klaus </w:t>
      </w:r>
      <w:proofErr w:type="spellStart"/>
      <w:r w:rsidRPr="00961CA5">
        <w:rPr>
          <w:rFonts w:ascii="David" w:hAnsi="David" w:cs="David"/>
          <w:color w:val="222222"/>
          <w:shd w:val="clear" w:color="auto" w:fill="FFFFFF"/>
        </w:rPr>
        <w:t>Wertenbroch</w:t>
      </w:r>
      <w:proofErr w:type="spellEnd"/>
      <w:r w:rsidRPr="00961CA5">
        <w:rPr>
          <w:rFonts w:ascii="David" w:hAnsi="David" w:cs="David"/>
          <w:color w:val="222222"/>
          <w:shd w:val="clear" w:color="auto" w:fill="FFFFFF"/>
        </w:rPr>
        <w:t xml:space="preserve">. "When do losses loom larger than </w:t>
      </w:r>
      <w:proofErr w:type="gramStart"/>
      <w:r w:rsidRPr="00961CA5">
        <w:rPr>
          <w:rFonts w:ascii="David" w:hAnsi="David" w:cs="David"/>
          <w:color w:val="222222"/>
          <w:shd w:val="clear" w:color="auto" w:fill="FFFFFF"/>
        </w:rPr>
        <w:t>gains?.</w:t>
      </w:r>
      <w:proofErr w:type="gramEnd"/>
      <w:r w:rsidRPr="00961CA5">
        <w:rPr>
          <w:rFonts w:ascii="David" w:hAnsi="David" w:cs="David"/>
          <w:color w:val="222222"/>
          <w:shd w:val="clear" w:color="auto" w:fill="FFFFFF"/>
        </w:rPr>
        <w:t>" Journal of Marketing Research 42.2 (2005): 134-138.</w:t>
      </w:r>
    </w:p>
  </w:footnote>
  <w:footnote w:id="36">
    <w:p w14:paraId="18F4C0A8" w14:textId="77777777" w:rsidR="00F41B4A" w:rsidRPr="00961CA5" w:rsidRDefault="00F41B4A" w:rsidP="00F41B4A">
      <w:pPr>
        <w:pStyle w:val="FootnoteText"/>
        <w:rPr>
          <w:rFonts w:ascii="David" w:hAnsi="David" w:cs="David"/>
        </w:rPr>
      </w:pPr>
      <w:r w:rsidRPr="00961CA5">
        <w:rPr>
          <w:rFonts w:ascii="David" w:hAnsi="David" w:cs="David"/>
          <w:color w:val="222222"/>
          <w:shd w:val="clear" w:color="auto" w:fill="FFFFFF"/>
        </w:rPr>
        <w:footnoteRef/>
      </w:r>
      <w:r w:rsidRPr="00961CA5">
        <w:rPr>
          <w:rFonts w:ascii="David" w:hAnsi="David" w:cs="David"/>
          <w:color w:val="222222"/>
          <w:shd w:val="clear" w:color="auto" w:fill="FFFFFF"/>
        </w:rPr>
        <w:t xml:space="preserve"> Feldman, Yuval, Amos Schurr, and Doron Teichman. "Reference points and contractual choices: An experimental examination." Journal of Empirical Legal Studies 10.3 (2013): 512-541.</w:t>
      </w:r>
    </w:p>
  </w:footnote>
  <w:footnote w:id="37">
    <w:p w14:paraId="5CE1C71F" w14:textId="77777777" w:rsidR="00F41B4A" w:rsidRPr="00961CA5" w:rsidRDefault="00F41B4A" w:rsidP="00F41B4A">
      <w:pPr>
        <w:spacing w:after="0" w:line="240" w:lineRule="auto"/>
        <w:rPr>
          <w:rFonts w:ascii="David" w:hAnsi="David" w:cs="David"/>
          <w:color w:val="222222"/>
          <w:sz w:val="20"/>
          <w:szCs w:val="20"/>
          <w:shd w:val="clear" w:color="auto" w:fill="FFFFFF"/>
        </w:rPr>
      </w:pPr>
      <w:r w:rsidRPr="00961CA5">
        <w:rPr>
          <w:rStyle w:val="FootnoteReference"/>
          <w:rFonts w:ascii="David" w:hAnsi="David" w:cs="David"/>
          <w:sz w:val="20"/>
          <w:szCs w:val="20"/>
        </w:rPr>
        <w:footnoteRef/>
      </w:r>
      <w:r w:rsidRPr="00961CA5">
        <w:rPr>
          <w:rFonts w:ascii="David" w:hAnsi="David" w:cs="David"/>
          <w:sz w:val="20"/>
          <w:szCs w:val="20"/>
        </w:rPr>
        <w:t xml:space="preserve"> </w:t>
      </w:r>
      <w:r w:rsidRPr="00961CA5">
        <w:rPr>
          <w:rFonts w:ascii="David" w:hAnsi="David" w:cs="David"/>
          <w:color w:val="222222"/>
          <w:sz w:val="20"/>
          <w:szCs w:val="20"/>
          <w:shd w:val="clear" w:color="auto" w:fill="FFFFFF"/>
        </w:rPr>
        <w:t xml:space="preserve">Balliet, D., Mulder, L. B., &amp; Van Lange, P. A. (2011). Reward, punishment, and cooperation: a </w:t>
      </w:r>
      <w:proofErr w:type="spellStart"/>
      <w:r w:rsidRPr="00961CA5">
        <w:rPr>
          <w:rFonts w:ascii="David" w:hAnsi="David" w:cs="David"/>
          <w:color w:val="222222"/>
          <w:sz w:val="20"/>
          <w:szCs w:val="20"/>
          <w:shd w:val="clear" w:color="auto" w:fill="FFFFFF"/>
        </w:rPr>
        <w:t>metaanalysis</w:t>
      </w:r>
      <w:proofErr w:type="spellEnd"/>
      <w:r w:rsidRPr="00961CA5">
        <w:rPr>
          <w:rFonts w:ascii="David" w:hAnsi="David" w:cs="David"/>
          <w:color w:val="222222"/>
          <w:sz w:val="20"/>
          <w:szCs w:val="20"/>
          <w:shd w:val="clear" w:color="auto" w:fill="FFFFFF"/>
        </w:rPr>
        <w:t>. Psychological Bulletin, 137(4), 594-615.</w:t>
      </w:r>
    </w:p>
    <w:p w14:paraId="5CA0CC7F" w14:textId="77777777" w:rsidR="00F41B4A" w:rsidRPr="00961CA5" w:rsidRDefault="00F41B4A" w:rsidP="00F41B4A">
      <w:pPr>
        <w:spacing w:after="0" w:line="240" w:lineRule="auto"/>
        <w:rPr>
          <w:rFonts w:ascii="David" w:hAnsi="David" w:cs="David"/>
        </w:rPr>
      </w:pPr>
      <w:r w:rsidRPr="00961CA5">
        <w:rPr>
          <w:rFonts w:ascii="David" w:hAnsi="David" w:cs="David"/>
          <w:color w:val="222222"/>
          <w:sz w:val="20"/>
          <w:szCs w:val="20"/>
          <w:shd w:val="clear" w:color="auto" w:fill="FFFFFF"/>
        </w:rPr>
        <w:t>Bansal, S., &amp; Gangopadhyay, S. (2003). Tax/subsidy policies in the presence of environmentally aware consumers. Journal of Environmental Economics and Management, 45(2), 333-355.</w:t>
      </w:r>
    </w:p>
  </w:footnote>
  <w:footnote w:id="38">
    <w:p w14:paraId="5DDDC480" w14:textId="77777777" w:rsidR="00F41B4A" w:rsidRPr="00961CA5" w:rsidRDefault="00F41B4A" w:rsidP="00F41B4A">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Feinberg, Joel. "The expressive function of punishment." Shame Punishment. Routledge, 2019. 3-26.</w:t>
      </w:r>
    </w:p>
  </w:footnote>
  <w:footnote w:id="39">
    <w:p w14:paraId="71D71635" w14:textId="2ECE4DB6"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Cohen, Mark A. "Corporate crime and punishment: An update on sentencing practice in the federal courts, 1988-1990." BUL Rev. 71 (1991): 247.</w:t>
      </w:r>
    </w:p>
  </w:footnote>
  <w:footnote w:id="40">
    <w:p w14:paraId="473321EA" w14:textId="071B166F" w:rsidR="00AA5E14" w:rsidRPr="00961CA5" w:rsidRDefault="00AA5E14">
      <w:pPr>
        <w:pStyle w:val="FootnoteText"/>
        <w:rPr>
          <w:rFonts w:ascii="David" w:hAnsi="David" w:cs="David"/>
          <w:color w:val="222222"/>
          <w:shd w:val="clear" w:color="auto" w:fill="FFFFFF"/>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 xml:space="preserve">See Yuval Feldman and Doron </w:t>
      </w:r>
      <w:proofErr w:type="spellStart"/>
      <w:r w:rsidRPr="00961CA5">
        <w:rPr>
          <w:rFonts w:ascii="David" w:hAnsi="David" w:cs="David"/>
          <w:color w:val="222222"/>
          <w:shd w:val="clear" w:color="auto" w:fill="FFFFFF"/>
        </w:rPr>
        <w:t>Teichamn</w:t>
      </w:r>
      <w:proofErr w:type="spellEnd"/>
      <w:r w:rsidRPr="00961CA5">
        <w:rPr>
          <w:rFonts w:ascii="David" w:hAnsi="David" w:cs="David"/>
          <w:color w:val="222222"/>
          <w:shd w:val="clear" w:color="auto" w:fill="FFFFFF"/>
        </w:rPr>
        <w:t xml:space="preserve"> are </w:t>
      </w:r>
      <w:r w:rsidRPr="00C87221">
        <w:rPr>
          <w:rFonts w:ascii="David" w:hAnsi="David" w:cs="David"/>
          <w:color w:val="222222"/>
          <w:shd w:val="clear" w:color="auto" w:fill="FFFFFF"/>
        </w:rPr>
        <w:t>"</w:t>
      </w:r>
      <w:r w:rsidRPr="00961CA5">
        <w:rPr>
          <w:rFonts w:ascii="David" w:hAnsi="David" w:cs="David"/>
          <w:color w:val="222222"/>
          <w:shd w:val="clear" w:color="auto" w:fill="FFFFFF"/>
        </w:rPr>
        <w:t xml:space="preserve">all legal dollars created </w:t>
      </w:r>
      <w:proofErr w:type="gramStart"/>
      <w:r w:rsidRPr="00961CA5">
        <w:rPr>
          <w:rFonts w:ascii="David" w:hAnsi="David" w:cs="David"/>
          <w:color w:val="222222"/>
          <w:shd w:val="clear" w:color="auto" w:fill="FFFFFF"/>
        </w:rPr>
        <w:t>equal</w:t>
      </w:r>
      <w:r w:rsidRPr="00C87221">
        <w:rPr>
          <w:rFonts w:ascii="David" w:hAnsi="David" w:cs="David"/>
          <w:color w:val="222222"/>
          <w:shd w:val="clear" w:color="auto" w:fill="FFFFFF"/>
        </w:rPr>
        <w:t>"</w:t>
      </w:r>
      <w:proofErr w:type="gramEnd"/>
      <w:r w:rsidRPr="00961CA5">
        <w:rPr>
          <w:rFonts w:ascii="David" w:hAnsi="David" w:cs="David"/>
          <w:color w:val="222222"/>
          <w:shd w:val="clear" w:color="auto" w:fill="FFFFFF"/>
        </w:rPr>
        <w:t xml:space="preserve"> </w:t>
      </w:r>
    </w:p>
  </w:footnote>
  <w:footnote w:id="41">
    <w:p w14:paraId="35CA156E" w14:textId="003E72BB" w:rsidR="00AA5E14" w:rsidRPr="00961CA5" w:rsidRDefault="00AA5E14" w:rsidP="00010AF5">
      <w:pPr>
        <w:spacing w:after="0" w:line="360" w:lineRule="auto"/>
        <w:rPr>
          <w:rFonts w:ascii="David" w:eastAsia="Arial" w:hAnsi="David" w:cs="David"/>
          <w:sz w:val="20"/>
          <w:szCs w:val="20"/>
        </w:rPr>
      </w:pPr>
      <w:r w:rsidRPr="00961CA5">
        <w:rPr>
          <w:rStyle w:val="FootnoteReference"/>
          <w:rFonts w:ascii="David" w:hAnsi="David" w:cs="David"/>
          <w:sz w:val="20"/>
          <w:szCs w:val="20"/>
        </w:rPr>
        <w:footnoteRef/>
      </w:r>
      <w:r w:rsidRPr="00961CA5">
        <w:rPr>
          <w:rFonts w:ascii="David" w:hAnsi="David" w:cs="David"/>
          <w:sz w:val="20"/>
          <w:szCs w:val="20"/>
        </w:rPr>
        <w:t xml:space="preserve"> </w:t>
      </w:r>
      <w:r w:rsidRPr="00961CA5">
        <w:rPr>
          <w:rFonts w:ascii="David" w:hAnsi="David" w:cs="David"/>
          <w:color w:val="222222"/>
          <w:sz w:val="20"/>
          <w:szCs w:val="20"/>
          <w:shd w:val="clear" w:color="auto" w:fill="FFFFFF"/>
        </w:rPr>
        <w:t>Grabosky, P. N. (1995). Regulation by reward</w:t>
      </w:r>
      <w:r w:rsidRPr="00961CA5">
        <w:rPr>
          <w:rFonts w:ascii="David" w:eastAsia="Arial" w:hAnsi="David" w:cs="David"/>
          <w:sz w:val="20"/>
          <w:szCs w:val="20"/>
        </w:rPr>
        <w:t>: On the use of incentives as regulatory instruments. Law &amp; Policy, 17(3), 257-282.</w:t>
      </w:r>
    </w:p>
    <w:p w14:paraId="5B7A5802" w14:textId="24A4DF93" w:rsidR="00AA5E14" w:rsidRDefault="00AA5E14">
      <w:pPr>
        <w:pStyle w:val="FootnoteText"/>
      </w:pPr>
    </w:p>
  </w:footnote>
  <w:footnote w:id="42">
    <w:p w14:paraId="086E40E2" w14:textId="353853A7" w:rsidR="00AA5E14" w:rsidRPr="00961CA5" w:rsidRDefault="00AA5E14" w:rsidP="00961CA5">
      <w:pPr>
        <w:spacing w:line="240" w:lineRule="auto"/>
        <w:rPr>
          <w:rFonts w:ascii="David" w:hAnsi="David" w:cs="David"/>
          <w:sz w:val="20"/>
          <w:szCs w:val="20"/>
        </w:rPr>
      </w:pPr>
      <w:r>
        <w:rPr>
          <w:rStyle w:val="FootnoteReference"/>
        </w:rPr>
        <w:footnoteRef/>
      </w:r>
      <w:r>
        <w:t xml:space="preserve"> </w:t>
      </w:r>
      <w:r w:rsidRPr="00961CA5">
        <w:rPr>
          <w:rFonts w:ascii="David" w:hAnsi="David" w:cs="David"/>
          <w:color w:val="222222"/>
          <w:sz w:val="20"/>
          <w:szCs w:val="20"/>
          <w:shd w:val="clear" w:color="auto" w:fill="FFFFFF"/>
        </w:rPr>
        <w:t xml:space="preserve">Becker, G.S. (1968). Crime and Punishment: </w:t>
      </w:r>
      <w:proofErr w:type="gramStart"/>
      <w:r w:rsidRPr="00961CA5">
        <w:rPr>
          <w:rFonts w:ascii="David" w:hAnsi="David" w:cs="David"/>
          <w:color w:val="222222"/>
          <w:sz w:val="20"/>
          <w:szCs w:val="20"/>
          <w:shd w:val="clear" w:color="auto" w:fill="FFFFFF"/>
        </w:rPr>
        <w:t>an</w:t>
      </w:r>
      <w:proofErr w:type="gramEnd"/>
      <w:r w:rsidRPr="00961CA5">
        <w:rPr>
          <w:rFonts w:ascii="David" w:hAnsi="David" w:cs="David"/>
          <w:color w:val="222222"/>
          <w:sz w:val="20"/>
          <w:szCs w:val="20"/>
          <w:shd w:val="clear" w:color="auto" w:fill="FFFFFF"/>
        </w:rPr>
        <w:t xml:space="preserve"> Economic Approach. In: Fielding N.G., Clarke A., Witt R. (Eds.), The Economic Dimensions of Crime. London:  Palgrave Macmillan. Feldman, Y. (2011). The complexity of disentangling intrinsic and extrinsic compliance motivations: Theoretical and empirical insights from </w:t>
      </w:r>
      <w:proofErr w:type="gramStart"/>
      <w:r w:rsidRPr="00961CA5">
        <w:rPr>
          <w:rFonts w:ascii="David" w:hAnsi="David" w:cs="David"/>
          <w:color w:val="222222"/>
          <w:sz w:val="20"/>
          <w:szCs w:val="20"/>
          <w:shd w:val="clear" w:color="auto" w:fill="FFFFFF"/>
        </w:rPr>
        <w:t>the  behavioral</w:t>
      </w:r>
      <w:proofErr w:type="gramEnd"/>
      <w:r w:rsidRPr="00961CA5">
        <w:rPr>
          <w:rFonts w:ascii="David" w:hAnsi="David" w:cs="David"/>
          <w:color w:val="222222"/>
          <w:sz w:val="20"/>
          <w:szCs w:val="20"/>
          <w:shd w:val="clear" w:color="auto" w:fill="FFFFFF"/>
        </w:rPr>
        <w:t xml:space="preserve"> analysis of law. Washington University Journal of Law and Policy, 35, 11-51. Feldman, Y., &amp; Lobel, O. (2009). The incentives matrix: The comparative effectiveness of rewards, liabilities, duties, and protections for reporting illegality. Texas Law Review, 88, 1151-</w:t>
      </w:r>
      <w:proofErr w:type="gramStart"/>
      <w:r w:rsidRPr="00961CA5">
        <w:rPr>
          <w:rFonts w:ascii="David" w:hAnsi="David" w:cs="David"/>
          <w:color w:val="222222"/>
          <w:sz w:val="20"/>
          <w:szCs w:val="20"/>
          <w:shd w:val="clear" w:color="auto" w:fill="FFFFFF"/>
        </w:rPr>
        <w:t>1211,</w:t>
      </w:r>
      <w:r w:rsidRPr="00961CA5">
        <w:rPr>
          <w:rFonts w:ascii="David" w:hAnsi="David" w:cs="David"/>
          <w:sz w:val="20"/>
          <w:szCs w:val="20"/>
        </w:rPr>
        <w:t xml:space="preserve">  also</w:t>
      </w:r>
      <w:proofErr w:type="gramEnd"/>
      <w:r w:rsidRPr="00961CA5">
        <w:rPr>
          <w:rFonts w:ascii="David" w:hAnsi="David" w:cs="David"/>
          <w:sz w:val="20"/>
          <w:szCs w:val="20"/>
        </w:rPr>
        <w:t xml:space="preserve"> see Feld, Lars P., and Bruno S. Frey. "Tax compliance as the result of a psychological tax contract: The role of incentives and responsive regulation." Law &amp; Policy 29.1 (2007): 102-120, also see Grabosky, Peter N. "Fear of crime, and fear reduction strategies." Current issues in criminal justice 7.1 (1995): 7-19.</w:t>
      </w:r>
    </w:p>
  </w:footnote>
  <w:footnote w:id="43">
    <w:p w14:paraId="23FA5F1B" w14:textId="7A4929CD" w:rsidR="00AA5E14" w:rsidRPr="00961CA5" w:rsidRDefault="00AA5E14" w:rsidP="009C5C33">
      <w:pPr>
        <w:pStyle w:val="FootnoteText"/>
        <w:rPr>
          <w:rFonts w:ascii="David" w:hAnsi="David" w:cs="David"/>
        </w:rPr>
      </w:pPr>
      <w:r w:rsidRPr="00961CA5">
        <w:rPr>
          <w:rFonts w:ascii="David" w:hAnsi="David" w:cs="David"/>
        </w:rPr>
        <w:footnoteRef/>
      </w:r>
      <w:r w:rsidRPr="00961CA5">
        <w:rPr>
          <w:rFonts w:ascii="David" w:hAnsi="David" w:cs="David"/>
        </w:rPr>
        <w:t xml:space="preserve"> Alm, James, Gary H. McClelland, and William D. Schulze. "Why do people pay </w:t>
      </w:r>
      <w:proofErr w:type="gramStart"/>
      <w:r w:rsidRPr="00961CA5">
        <w:rPr>
          <w:rFonts w:ascii="David" w:hAnsi="David" w:cs="David"/>
        </w:rPr>
        <w:t>taxes?.</w:t>
      </w:r>
      <w:proofErr w:type="gramEnd"/>
      <w:r w:rsidRPr="00961CA5">
        <w:rPr>
          <w:rFonts w:ascii="David" w:hAnsi="David" w:cs="David"/>
        </w:rPr>
        <w:t>" Journal of public Economics 48.1 (1992): 21-38.</w:t>
      </w:r>
      <w:r w:rsidRPr="00961CA5">
        <w:rPr>
          <w:rFonts w:ascii="David" w:hAnsi="David" w:cs="David"/>
          <w:rtl/>
        </w:rPr>
        <w:t>‏</w:t>
      </w:r>
      <w:r w:rsidRPr="00961CA5">
        <w:rPr>
          <w:rFonts w:ascii="David" w:hAnsi="David" w:cs="David"/>
        </w:rPr>
        <w:t xml:space="preserve"> also see Dwenger, Nadja, et al. "Extrinsic and intrinsic motivations for tax compliance: Evidence from a field experiment in Germany." American Economic Journal: Economic Policy 8.3 (2016): 203-232, </w:t>
      </w:r>
      <w:r w:rsidRPr="00961CA5">
        <w:rPr>
          <w:rFonts w:ascii="David" w:hAnsi="David" w:cs="David"/>
          <w:rtl/>
        </w:rPr>
        <w:t>‏</w:t>
      </w:r>
      <w:r w:rsidRPr="00961CA5">
        <w:rPr>
          <w:rFonts w:ascii="David" w:hAnsi="David" w:cs="David"/>
        </w:rPr>
        <w:t xml:space="preserve">also see Torgler, Benno. Tax morale: Theory and empirical analysis of tax compliance. </w:t>
      </w:r>
      <w:r w:rsidRPr="008E4B6D">
        <w:rPr>
          <w:rFonts w:ascii="David" w:hAnsi="David" w:cs="David"/>
          <w:lang w:val="it-IT"/>
        </w:rPr>
        <w:t xml:space="preserve">Diss. University_of_Basel, 2003 also see Fabbri, Marco, Paolo Nicola Barbieri, and Maria Bigoni. </w:t>
      </w:r>
      <w:r w:rsidRPr="00961CA5">
        <w:rPr>
          <w:rFonts w:ascii="David" w:hAnsi="David" w:cs="David"/>
        </w:rPr>
        <w:t>"Ride your luck! A field experiment on lottery-based incentives for compliance." Management Science 65.9 (2019): 4336-4348.</w:t>
      </w:r>
      <w:r w:rsidRPr="00961CA5">
        <w:rPr>
          <w:rFonts w:ascii="David" w:hAnsi="David" w:cs="David"/>
          <w:rtl/>
        </w:rPr>
        <w:t>‏</w:t>
      </w:r>
    </w:p>
  </w:footnote>
  <w:footnote w:id="44">
    <w:p w14:paraId="267AF6D8" w14:textId="454C1BC2" w:rsidR="00AA5E14" w:rsidRPr="00961CA5" w:rsidRDefault="00AA5E14">
      <w:pPr>
        <w:pStyle w:val="FootnoteText"/>
        <w:rPr>
          <w:rFonts w:ascii="David" w:hAnsi="David" w:cs="David"/>
        </w:rPr>
      </w:pPr>
      <w:r w:rsidRPr="00961CA5">
        <w:footnoteRef/>
      </w:r>
      <w:r w:rsidRPr="00961CA5">
        <w:rPr>
          <w:rFonts w:ascii="David" w:hAnsi="David" w:cs="David"/>
        </w:rPr>
        <w:t xml:space="preserve"> Nosenzo, Daniele, et al. "Encouraging compliance: Bonuses versus fines in inspection games." The Journal of Law, Economics, &amp; Organization 30.3 (2014): 623-648.</w:t>
      </w:r>
      <w:r w:rsidRPr="00961CA5">
        <w:rPr>
          <w:rFonts w:ascii="David" w:hAnsi="David" w:cs="David"/>
          <w:rtl/>
        </w:rPr>
        <w:t>‏</w:t>
      </w:r>
    </w:p>
  </w:footnote>
  <w:footnote w:id="45">
    <w:p w14:paraId="451BB483" w14:textId="04997223" w:rsidR="00AA5E14" w:rsidRPr="00961CA5" w:rsidRDefault="00AA5E14" w:rsidP="009C5C33">
      <w:pPr>
        <w:pStyle w:val="FootnoteText"/>
        <w:rPr>
          <w:rFonts w:ascii="David" w:hAnsi="David" w:cs="David"/>
        </w:rPr>
      </w:pPr>
      <w:r w:rsidRPr="00961CA5">
        <w:footnoteRef/>
      </w:r>
      <w:r w:rsidRPr="00961CA5">
        <w:rPr>
          <w:rFonts w:ascii="David" w:hAnsi="David" w:cs="David"/>
        </w:rPr>
        <w:t xml:space="preserve"> Alm, James. "Measuring, explaining, and controlling tax evasion: lessons from theory, experiments, and field studies." International tax and public finance 19 (2012): 54-77.</w:t>
      </w:r>
      <w:r w:rsidRPr="00961CA5">
        <w:rPr>
          <w:rFonts w:ascii="David" w:hAnsi="David" w:cs="David"/>
          <w:rtl/>
        </w:rPr>
        <w:t>‏</w:t>
      </w:r>
    </w:p>
  </w:footnote>
  <w:footnote w:id="46">
    <w:p w14:paraId="17DFDA46" w14:textId="148AD65A" w:rsidR="00AA5E14" w:rsidRPr="00961CA5" w:rsidRDefault="00AA5E14" w:rsidP="00D410EF">
      <w:pPr>
        <w:pStyle w:val="FootnoteText"/>
        <w:rPr>
          <w:rFonts w:ascii="David" w:hAnsi="David" w:cs="David"/>
        </w:rPr>
      </w:pPr>
      <w:r w:rsidRPr="00961CA5">
        <w:footnoteRef/>
      </w:r>
      <w:r w:rsidRPr="00961CA5">
        <w:rPr>
          <w:rFonts w:ascii="David" w:hAnsi="David" w:cs="David"/>
        </w:rPr>
        <w:t xml:space="preserve"> Bansal, Sangeeta, and Shubhashis Gangopadhyay. "Tax/subsidy policies in the presence of environmentally aware consumers." Journal of Environmental Economics and Management 45.2 (2003): 333-355.</w:t>
      </w:r>
      <w:r w:rsidRPr="00961CA5">
        <w:rPr>
          <w:rFonts w:ascii="David" w:hAnsi="David" w:cs="David"/>
          <w:rtl/>
        </w:rPr>
        <w:t>‏</w:t>
      </w:r>
    </w:p>
  </w:footnote>
  <w:footnote w:id="47">
    <w:p w14:paraId="7C11F615" w14:textId="0A36BA56" w:rsidR="00AA5E14" w:rsidRPr="00961CA5" w:rsidRDefault="00AA5E14" w:rsidP="00D410EF">
      <w:pPr>
        <w:pStyle w:val="FootnoteText"/>
        <w:rPr>
          <w:rFonts w:ascii="David" w:hAnsi="David" w:cs="David"/>
        </w:rPr>
      </w:pPr>
      <w:r w:rsidRPr="00961CA5">
        <w:footnoteRef/>
      </w:r>
      <w:r w:rsidRPr="00961CA5">
        <w:rPr>
          <w:rFonts w:ascii="David" w:hAnsi="David" w:cs="David"/>
        </w:rPr>
        <w:t xml:space="preserve"> Koessler, Ann-Kathrin, et al. "Commitment to pay taxes: Results from field and laboratory experiments." European Economic Review 115 (2019): 78-98.</w:t>
      </w:r>
      <w:r w:rsidRPr="00961CA5">
        <w:rPr>
          <w:rFonts w:ascii="David" w:hAnsi="David" w:cs="David"/>
          <w:rtl/>
        </w:rPr>
        <w:t>‏</w:t>
      </w:r>
    </w:p>
  </w:footnote>
  <w:footnote w:id="48">
    <w:p w14:paraId="238E6845" w14:textId="64A66887" w:rsidR="00AA5E14" w:rsidRPr="00961CA5" w:rsidRDefault="00AA5E14">
      <w:pPr>
        <w:pStyle w:val="FootnoteText"/>
        <w:rPr>
          <w:rFonts w:ascii="David" w:hAnsi="David" w:cs="David"/>
        </w:rPr>
      </w:pPr>
      <w:r w:rsidRPr="00961CA5">
        <w:footnoteRef/>
      </w:r>
      <w:r w:rsidRPr="00961CA5">
        <w:rPr>
          <w:rFonts w:ascii="David" w:hAnsi="David" w:cs="David"/>
        </w:rPr>
        <w:t xml:space="preserve"> Alm, James, Gary H. McClelland, and William D. Schulze. "Changing the social norm of tax compliance by voting." </w:t>
      </w:r>
      <w:proofErr w:type="spellStart"/>
      <w:r w:rsidRPr="00961CA5">
        <w:rPr>
          <w:rFonts w:ascii="David" w:hAnsi="David" w:cs="David"/>
        </w:rPr>
        <w:t>Kyklos</w:t>
      </w:r>
      <w:proofErr w:type="spellEnd"/>
      <w:r w:rsidRPr="00961CA5">
        <w:rPr>
          <w:rFonts w:ascii="David" w:hAnsi="David" w:cs="David"/>
        </w:rPr>
        <w:t> 52.2 (1999): 141-171. Also see Becker, Winfried, Heinz-Jürgen Büchner, and Simon Sleeking. "The impact of public transfer expenditures on tax evasion: An experimental approach." Journal of public economics 34.2 (1987): 243-252.</w:t>
      </w:r>
      <w:r w:rsidRPr="00961CA5">
        <w:rPr>
          <w:rFonts w:ascii="David" w:hAnsi="David" w:cs="David"/>
          <w:rtl/>
        </w:rPr>
        <w:t>‏</w:t>
      </w:r>
    </w:p>
  </w:footnote>
  <w:footnote w:id="49">
    <w:p w14:paraId="727EAF50" w14:textId="5F52DE0C" w:rsidR="00AA5E14" w:rsidRDefault="00AA5E14">
      <w:pPr>
        <w:pStyle w:val="FootnoteText"/>
      </w:pPr>
      <w:r w:rsidRPr="00961CA5">
        <w:footnoteRef/>
      </w:r>
      <w:r w:rsidRPr="00961CA5">
        <w:rPr>
          <w:rFonts w:ascii="David" w:hAnsi="David" w:cs="David"/>
        </w:rPr>
        <w:t xml:space="preserve">  Alm, James, Gary H. McClelland, and William D. Schulze. "Why do people pay </w:t>
      </w:r>
      <w:proofErr w:type="gramStart"/>
      <w:r w:rsidRPr="00961CA5">
        <w:rPr>
          <w:rFonts w:ascii="David" w:hAnsi="David" w:cs="David"/>
        </w:rPr>
        <w:t>taxes?.</w:t>
      </w:r>
      <w:proofErr w:type="gramEnd"/>
      <w:r w:rsidRPr="00961CA5">
        <w:rPr>
          <w:rFonts w:ascii="David" w:hAnsi="David" w:cs="David"/>
        </w:rPr>
        <w:t>" Journal of public Economics 48.1 (1992): 21-38.</w:t>
      </w:r>
      <w:r w:rsidRPr="00961CA5">
        <w:rPr>
          <w:rFonts w:ascii="David" w:hAnsi="David" w:cs="David"/>
          <w:rtl/>
        </w:rPr>
        <w:t>‏</w:t>
      </w:r>
      <w:r w:rsidRPr="00961CA5">
        <w:rPr>
          <w:rFonts w:ascii="David" w:hAnsi="David" w:cs="David"/>
        </w:rPr>
        <w:t xml:space="preserve"> also see Dwenger, Nadja, et al. "Extrinsic and intrinsic motivations for tax compliance: Evidence from a field experiment in Germany." American Economic Journal: Economic Policy 8.3 (2016): 203-</w:t>
      </w:r>
      <w:proofErr w:type="gramStart"/>
      <w:r w:rsidRPr="00961CA5">
        <w:rPr>
          <w:rFonts w:ascii="David" w:hAnsi="David" w:cs="David"/>
        </w:rPr>
        <w:t>232.</w:t>
      </w:r>
      <w:r w:rsidRPr="00961CA5">
        <w:rPr>
          <w:rFonts w:ascii="David" w:hAnsi="David" w:cs="David"/>
          <w:rtl/>
        </w:rPr>
        <w:t>‏</w:t>
      </w:r>
      <w:r w:rsidRPr="00961CA5">
        <w:rPr>
          <w:rFonts w:ascii="David" w:hAnsi="David" w:cs="David"/>
        </w:rPr>
        <w:t>also</w:t>
      </w:r>
      <w:proofErr w:type="gramEnd"/>
      <w:r w:rsidRPr="00961CA5">
        <w:rPr>
          <w:rFonts w:ascii="David" w:hAnsi="David" w:cs="David"/>
        </w:rPr>
        <w:t xml:space="preserve"> see Torgler, Benno. Tax morale: Theory and empirical analysis of tax compliance. Diss. </w:t>
      </w:r>
      <w:proofErr w:type="spellStart"/>
      <w:r w:rsidRPr="00961CA5">
        <w:rPr>
          <w:rFonts w:ascii="David" w:hAnsi="David" w:cs="David"/>
        </w:rPr>
        <w:t>University_of_Basel</w:t>
      </w:r>
      <w:proofErr w:type="spellEnd"/>
      <w:r w:rsidRPr="00961CA5">
        <w:rPr>
          <w:rFonts w:ascii="David" w:hAnsi="David" w:cs="David"/>
        </w:rPr>
        <w:t xml:space="preserve">, 2003 also see </w:t>
      </w:r>
      <w:proofErr w:type="spellStart"/>
      <w:r w:rsidRPr="00961CA5">
        <w:rPr>
          <w:rFonts w:ascii="David" w:hAnsi="David" w:cs="David"/>
        </w:rPr>
        <w:t>Karusheva</w:t>
      </w:r>
      <w:proofErr w:type="spellEnd"/>
      <w:r w:rsidRPr="00961CA5">
        <w:rPr>
          <w:rFonts w:ascii="David" w:hAnsi="David" w:cs="David"/>
        </w:rPr>
        <w:t xml:space="preserve">, </w:t>
      </w:r>
      <w:proofErr w:type="spellStart"/>
      <w:r w:rsidRPr="00961CA5">
        <w:rPr>
          <w:rFonts w:ascii="David" w:hAnsi="David" w:cs="David"/>
        </w:rPr>
        <w:t>Yanislava</w:t>
      </w:r>
      <w:proofErr w:type="spellEnd"/>
      <w:r w:rsidRPr="00961CA5">
        <w:rPr>
          <w:rFonts w:ascii="David" w:hAnsi="David" w:cs="David"/>
        </w:rPr>
        <w:t>, et al. "Short-term dietary reduction of branched-chain amino acids reduces meal-induced insulin secretion and modifies microbiome composition in type 2 diabetes: a randomized controlled crossover trial." The American</w:t>
      </w:r>
      <w:r w:rsidRPr="00961CA5">
        <w:rPr>
          <w:rFonts w:ascii="David" w:eastAsia="Arial" w:hAnsi="David" w:cs="David"/>
        </w:rPr>
        <w:t xml:space="preserve"> journal of clinical nutrition 110.5 (2019): 1098-1107.</w:t>
      </w:r>
      <w:r w:rsidRPr="00961CA5">
        <w:rPr>
          <w:rFonts w:ascii="David" w:eastAsia="Arial" w:hAnsi="David" w:cs="David"/>
          <w:rtl/>
        </w:rPr>
        <w:t>‏‏</w:t>
      </w:r>
    </w:p>
  </w:footnote>
  <w:footnote w:id="50">
    <w:p w14:paraId="53B09645" w14:textId="71958FF9" w:rsidR="00AA5E14" w:rsidRPr="00961CA5" w:rsidRDefault="00AA5E14">
      <w:pPr>
        <w:pStyle w:val="FootnoteText"/>
        <w:rPr>
          <w:rFonts w:ascii="David" w:hAnsi="David" w:cs="David"/>
          <w:rtl/>
        </w:rPr>
      </w:pPr>
      <w:r>
        <w:rPr>
          <w:rStyle w:val="FootnoteReference"/>
        </w:rPr>
        <w:footnoteRef/>
      </w:r>
      <w:r w:rsidRPr="00961CA5">
        <w:rPr>
          <w:rFonts w:ascii="David" w:hAnsi="David" w:cs="David"/>
        </w:rPr>
        <w:t>, Julian, Erik Gómez-</w:t>
      </w:r>
      <w:proofErr w:type="spellStart"/>
      <w:r w:rsidRPr="00961CA5">
        <w:rPr>
          <w:rFonts w:ascii="David" w:hAnsi="David" w:cs="David"/>
        </w:rPr>
        <w:t>Baggethun</w:t>
      </w:r>
      <w:proofErr w:type="spellEnd"/>
      <w:r w:rsidRPr="00961CA5">
        <w:rPr>
          <w:rFonts w:ascii="David" w:hAnsi="David" w:cs="David"/>
        </w:rPr>
        <w:t xml:space="preserve">, and Torsten Krause. "Motivation crowding by economic incentives in conservation policy: A review of the empirical evidence." Ecological Economics 117 (2015): 270-282. Also see </w:t>
      </w:r>
      <w:r w:rsidRPr="00961CA5">
        <w:rPr>
          <w:rFonts w:ascii="David" w:hAnsi="David" w:cs="David"/>
          <w:color w:val="222222"/>
          <w:shd w:val="clear" w:color="auto" w:fill="FFFFFF"/>
        </w:rPr>
        <w:t xml:space="preserve">Maki, Alexander, et al. "Paying people to protect the environment: A meta-analysis of financial incentive interventions to promote </w:t>
      </w:r>
      <w:proofErr w:type="spellStart"/>
      <w:r w:rsidRPr="00961CA5">
        <w:rPr>
          <w:rFonts w:ascii="David" w:hAnsi="David" w:cs="David"/>
          <w:color w:val="222222"/>
          <w:shd w:val="clear" w:color="auto" w:fill="FFFFFF"/>
        </w:rPr>
        <w:t>proenvironmental</w:t>
      </w:r>
      <w:proofErr w:type="spellEnd"/>
      <w:r w:rsidRPr="00961CA5">
        <w:rPr>
          <w:rFonts w:ascii="David" w:hAnsi="David" w:cs="David"/>
          <w:color w:val="222222"/>
          <w:shd w:val="clear" w:color="auto" w:fill="FFFFFF"/>
        </w:rPr>
        <w:t xml:space="preserve"> behaviors." </w:t>
      </w:r>
      <w:r w:rsidRPr="00961CA5">
        <w:rPr>
          <w:rFonts w:ascii="David" w:hAnsi="David" w:cs="David"/>
          <w:i/>
          <w:iCs/>
          <w:color w:val="222222"/>
          <w:shd w:val="clear" w:color="auto" w:fill="FFFFFF"/>
        </w:rPr>
        <w:t>Journal of Environmental Psychology</w:t>
      </w:r>
      <w:r w:rsidRPr="00961CA5">
        <w:rPr>
          <w:rFonts w:ascii="David" w:hAnsi="David" w:cs="David"/>
          <w:color w:val="222222"/>
          <w:shd w:val="clear" w:color="auto" w:fill="FFFFFF"/>
        </w:rPr>
        <w:t> 47 (2016): 242-255. Also see Bansal, Sangeeta, and Shubhashis Gangopadhyay. "Tax/subsidy policies in the presence of environmentally aware consumers." </w:t>
      </w:r>
      <w:r w:rsidRPr="00961CA5">
        <w:rPr>
          <w:rFonts w:ascii="David" w:hAnsi="David" w:cs="David"/>
          <w:i/>
          <w:iCs/>
          <w:color w:val="222222"/>
          <w:shd w:val="clear" w:color="auto" w:fill="FFFFFF"/>
        </w:rPr>
        <w:t>Journal of Environmental Economics and Management</w:t>
      </w:r>
      <w:r w:rsidRPr="00961CA5">
        <w:rPr>
          <w:rFonts w:ascii="David" w:hAnsi="David" w:cs="David"/>
          <w:color w:val="222222"/>
          <w:shd w:val="clear" w:color="auto" w:fill="FFFFFF"/>
        </w:rPr>
        <w:t> 45.2 (2003): 333-355. Also see Santarsiero, B. D., et al. "An approach to rapid protein crystallization using nanodroplets." </w:t>
      </w:r>
      <w:r w:rsidRPr="00961CA5">
        <w:rPr>
          <w:rFonts w:ascii="David" w:hAnsi="David" w:cs="David"/>
          <w:i/>
          <w:iCs/>
          <w:color w:val="222222"/>
          <w:shd w:val="clear" w:color="auto" w:fill="FFFFFF"/>
        </w:rPr>
        <w:t>Journal of Applied Crystallography</w:t>
      </w:r>
      <w:r w:rsidRPr="00961CA5">
        <w:rPr>
          <w:rFonts w:ascii="David" w:hAnsi="David" w:cs="David"/>
          <w:color w:val="222222"/>
          <w:shd w:val="clear" w:color="auto" w:fill="FFFFFF"/>
        </w:rPr>
        <w:t> 35.2 (2002): 278-281.</w:t>
      </w:r>
      <w:r w:rsidRPr="00961CA5">
        <w:rPr>
          <w:rFonts w:ascii="David" w:hAnsi="David" w:cs="David"/>
          <w:color w:val="222222"/>
          <w:shd w:val="clear" w:color="auto" w:fill="FFFFFF"/>
          <w:rtl/>
        </w:rPr>
        <w:t>‏</w:t>
      </w:r>
    </w:p>
  </w:footnote>
  <w:footnote w:id="51">
    <w:p w14:paraId="502D3E19" w14:textId="11C146F6" w:rsidR="00AA5E14" w:rsidRPr="002F65B9" w:rsidRDefault="00AA5E14" w:rsidP="002E2CE5">
      <w:pPr>
        <w:pStyle w:val="FootnoteText"/>
        <w:rPr>
          <w:rFonts w:ascii="David" w:hAnsi="David" w:cs="David"/>
        </w:rPr>
      </w:pPr>
      <w:r w:rsidRPr="00961CA5">
        <w:rPr>
          <w:rStyle w:val="FootnoteReference"/>
          <w:rFonts w:ascii="David" w:hAnsi="David" w:cs="David"/>
        </w:rPr>
        <w:footnoteRef/>
      </w:r>
      <w:r w:rsidRPr="008E4B6D">
        <w:rPr>
          <w:rFonts w:ascii="David" w:hAnsi="David" w:cs="David"/>
          <w:lang w:val="it-IT"/>
        </w:rPr>
        <w:t xml:space="preserve"> Fabbri, Marco, Paolo Nicola Barbieri, and Maria Bigoni. </w:t>
      </w:r>
      <w:r w:rsidRPr="00961CA5">
        <w:rPr>
          <w:rFonts w:ascii="David" w:hAnsi="David" w:cs="David"/>
        </w:rPr>
        <w:t>"Ride your luck! A field experiment on lottery-based incentives for compliance." </w:t>
      </w:r>
      <w:r w:rsidRPr="00961CA5">
        <w:rPr>
          <w:rFonts w:ascii="David" w:hAnsi="David" w:cs="David"/>
          <w:i/>
          <w:iCs/>
        </w:rPr>
        <w:t>Management Science</w:t>
      </w:r>
      <w:r w:rsidRPr="00961CA5">
        <w:rPr>
          <w:rFonts w:ascii="David" w:hAnsi="David" w:cs="David"/>
        </w:rPr>
        <w:t> 65.9 (2019): 4336-4348.</w:t>
      </w:r>
      <w:r w:rsidRPr="00961CA5">
        <w:rPr>
          <w:rFonts w:ascii="David" w:hAnsi="David" w:cs="David"/>
          <w:rtl/>
        </w:rPr>
        <w:t>‏</w:t>
      </w:r>
    </w:p>
  </w:footnote>
  <w:footnote w:id="52">
    <w:p w14:paraId="46ECE81B" w14:textId="31BA84A0" w:rsidR="00AA5E14" w:rsidRPr="00961CA5" w:rsidRDefault="00AA5E14" w:rsidP="002E2CE5">
      <w:pPr>
        <w:pStyle w:val="FootnoteText"/>
        <w:rPr>
          <w:rFonts w:ascii="David" w:hAnsi="David" w:cs="David"/>
        </w:rPr>
      </w:pPr>
      <w:r w:rsidRPr="002F65B9">
        <w:rPr>
          <w:rStyle w:val="FootnoteReference"/>
          <w:rFonts w:ascii="David" w:hAnsi="David" w:cs="David"/>
        </w:rPr>
        <w:footnoteRef/>
      </w:r>
      <w:r w:rsidRPr="002F65B9">
        <w:rPr>
          <w:rFonts w:ascii="David" w:hAnsi="David" w:cs="David"/>
        </w:rPr>
        <w:t xml:space="preserve"> </w:t>
      </w:r>
      <w:proofErr w:type="spellStart"/>
      <w:r w:rsidRPr="00961CA5">
        <w:rPr>
          <w:rFonts w:ascii="David" w:hAnsi="David" w:cs="David"/>
        </w:rPr>
        <w:t>Kölle</w:t>
      </w:r>
      <w:proofErr w:type="spellEnd"/>
      <w:r w:rsidRPr="00961CA5">
        <w:rPr>
          <w:rFonts w:ascii="David" w:hAnsi="David" w:cs="David"/>
        </w:rPr>
        <w:t xml:space="preserve">, Felix, et al. Low-cost interventions to promote voter registration: What works and </w:t>
      </w:r>
      <w:proofErr w:type="gramStart"/>
      <w:r w:rsidRPr="00961CA5">
        <w:rPr>
          <w:rFonts w:ascii="David" w:hAnsi="David" w:cs="David"/>
        </w:rPr>
        <w:t>why?.</w:t>
      </w:r>
      <w:proofErr w:type="gramEnd"/>
      <w:r w:rsidRPr="00961CA5">
        <w:rPr>
          <w:rFonts w:ascii="David" w:hAnsi="David" w:cs="David"/>
        </w:rPr>
        <w:t xml:space="preserve"> No. 2017-16. </w:t>
      </w:r>
      <w:proofErr w:type="spellStart"/>
      <w:r w:rsidRPr="00961CA5">
        <w:rPr>
          <w:rFonts w:ascii="David" w:hAnsi="David" w:cs="David"/>
        </w:rPr>
        <w:t>CeDEx</w:t>
      </w:r>
      <w:proofErr w:type="spellEnd"/>
      <w:r w:rsidRPr="00961CA5">
        <w:rPr>
          <w:rFonts w:ascii="David" w:hAnsi="David" w:cs="David"/>
        </w:rPr>
        <w:t xml:space="preserve"> Discussion Paper Series, 2017.</w:t>
      </w:r>
      <w:r w:rsidRPr="00961CA5">
        <w:rPr>
          <w:rFonts w:ascii="David" w:hAnsi="David" w:cs="David"/>
          <w:rtl/>
        </w:rPr>
        <w:t>‏</w:t>
      </w:r>
      <w:r w:rsidRPr="00961CA5">
        <w:rPr>
          <w:rFonts w:ascii="David" w:hAnsi="David" w:cs="David"/>
          <w:color w:val="222222"/>
          <w:shd w:val="clear" w:color="auto" w:fill="FFFFFF"/>
        </w:rPr>
        <w:t xml:space="preserve"> </w:t>
      </w:r>
      <w:r w:rsidRPr="00961CA5">
        <w:rPr>
          <w:rFonts w:ascii="David" w:hAnsi="David" w:cs="David"/>
        </w:rPr>
        <w:t>John, Peter, Elizabeth MacDonald, and Michael Sanders. "Targeting voter registration with incentives: A randomized controlled trial of a lottery in a London borough." </w:t>
      </w:r>
      <w:r w:rsidRPr="00961CA5">
        <w:rPr>
          <w:rFonts w:ascii="David" w:hAnsi="David" w:cs="David"/>
          <w:i/>
          <w:iCs/>
        </w:rPr>
        <w:t>Electoral Studies</w:t>
      </w:r>
      <w:r w:rsidRPr="00961CA5">
        <w:rPr>
          <w:rFonts w:ascii="David" w:hAnsi="David" w:cs="David"/>
        </w:rPr>
        <w:t xml:space="preserve"> 40 (2015): 170-175. Also see </w:t>
      </w:r>
      <w:r w:rsidRPr="00961CA5">
        <w:rPr>
          <w:rFonts w:ascii="David" w:hAnsi="David" w:cs="David"/>
          <w:color w:val="222222"/>
          <w:shd w:val="clear" w:color="auto" w:fill="FFFFFF"/>
        </w:rPr>
        <w:t>Panagopoulos, Costas. "Extrinsic rewards, intrinsic motivation and voting." </w:t>
      </w:r>
      <w:r w:rsidRPr="00961CA5">
        <w:rPr>
          <w:rFonts w:ascii="David" w:hAnsi="David" w:cs="David"/>
          <w:i/>
          <w:iCs/>
          <w:color w:val="222222"/>
          <w:shd w:val="clear" w:color="auto" w:fill="FFFFFF"/>
        </w:rPr>
        <w:t>The Journal of Politics</w:t>
      </w:r>
      <w:r w:rsidRPr="00961CA5">
        <w:rPr>
          <w:rFonts w:ascii="David" w:hAnsi="David" w:cs="David"/>
          <w:color w:val="222222"/>
          <w:shd w:val="clear" w:color="auto" w:fill="FFFFFF"/>
        </w:rPr>
        <w:t> 75.1 (2013): 266-280.</w:t>
      </w:r>
      <w:r w:rsidRPr="00961CA5">
        <w:rPr>
          <w:rFonts w:ascii="David" w:hAnsi="David" w:cs="David"/>
          <w:color w:val="222222"/>
          <w:shd w:val="clear" w:color="auto" w:fill="FFFFFF"/>
          <w:rtl/>
        </w:rPr>
        <w:t>‏</w:t>
      </w:r>
    </w:p>
  </w:footnote>
  <w:footnote w:id="53">
    <w:p w14:paraId="2B02A3F3" w14:textId="29E6DF1C" w:rsidR="00AA5E14" w:rsidRPr="002F65B9" w:rsidRDefault="00AA5E14" w:rsidP="004E39E6">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w:t>
      </w:r>
      <w:r w:rsidRPr="00961CA5">
        <w:rPr>
          <w:rFonts w:ascii="David" w:eastAsia="Arial" w:hAnsi="David" w:cs="David"/>
        </w:rPr>
        <w:t xml:space="preserve">case in experimental studies (Alm, James. "What motivates tax </w:t>
      </w:r>
      <w:proofErr w:type="gramStart"/>
      <w:r w:rsidRPr="00961CA5">
        <w:rPr>
          <w:rFonts w:ascii="David" w:eastAsia="Arial" w:hAnsi="David" w:cs="David"/>
        </w:rPr>
        <w:t>compliance?.</w:t>
      </w:r>
      <w:proofErr w:type="gramEnd"/>
      <w:r w:rsidRPr="00961CA5">
        <w:rPr>
          <w:rFonts w:ascii="David" w:eastAsia="Arial" w:hAnsi="David" w:cs="David"/>
        </w:rPr>
        <w:t>" </w:t>
      </w:r>
      <w:r w:rsidRPr="00961CA5">
        <w:rPr>
          <w:rFonts w:ascii="David" w:eastAsia="Arial" w:hAnsi="David" w:cs="David"/>
          <w:i/>
          <w:iCs/>
        </w:rPr>
        <w:t>Journal of economic surveys</w:t>
      </w:r>
      <w:r w:rsidRPr="00961CA5">
        <w:rPr>
          <w:rFonts w:ascii="David" w:eastAsia="Arial" w:hAnsi="David" w:cs="David"/>
        </w:rPr>
        <w:t> 33.2 (2019): 353-</w:t>
      </w:r>
      <w:proofErr w:type="gramStart"/>
      <w:r w:rsidRPr="00961CA5">
        <w:rPr>
          <w:rFonts w:ascii="David" w:eastAsia="Arial" w:hAnsi="David" w:cs="David"/>
        </w:rPr>
        <w:t>388,  but</w:t>
      </w:r>
      <w:proofErr w:type="gramEnd"/>
      <w:r w:rsidRPr="00961CA5">
        <w:rPr>
          <w:rFonts w:ascii="David" w:eastAsia="Arial" w:hAnsi="David" w:cs="David"/>
        </w:rPr>
        <w:t xml:space="preserve"> see </w:t>
      </w:r>
      <w:r w:rsidRPr="00961CA5">
        <w:rPr>
          <w:rFonts w:ascii="David" w:hAnsi="David" w:cs="David"/>
          <w:color w:val="222222"/>
          <w:shd w:val="clear" w:color="auto" w:fill="FFFFFF"/>
        </w:rPr>
        <w:t xml:space="preserve">Brockmann, Hilke, Philipp </w:t>
      </w:r>
      <w:proofErr w:type="spellStart"/>
      <w:r w:rsidRPr="00961CA5">
        <w:rPr>
          <w:rFonts w:ascii="David" w:hAnsi="David" w:cs="David"/>
          <w:color w:val="222222"/>
          <w:shd w:val="clear" w:color="auto" w:fill="FFFFFF"/>
        </w:rPr>
        <w:t>Genschel</w:t>
      </w:r>
      <w:proofErr w:type="spellEnd"/>
      <w:r w:rsidRPr="00961CA5">
        <w:rPr>
          <w:rFonts w:ascii="David" w:hAnsi="David" w:cs="David"/>
          <w:color w:val="222222"/>
          <w:shd w:val="clear" w:color="auto" w:fill="FFFFFF"/>
        </w:rPr>
        <w:t xml:space="preserve">, and Laura </w:t>
      </w:r>
      <w:proofErr w:type="spellStart"/>
      <w:r w:rsidRPr="00961CA5">
        <w:rPr>
          <w:rFonts w:ascii="David" w:hAnsi="David" w:cs="David"/>
          <w:color w:val="222222"/>
          <w:shd w:val="clear" w:color="auto" w:fill="FFFFFF"/>
        </w:rPr>
        <w:t>Seelkopf</w:t>
      </w:r>
      <w:proofErr w:type="spellEnd"/>
      <w:r w:rsidRPr="00961CA5">
        <w:rPr>
          <w:rFonts w:ascii="David" w:hAnsi="David" w:cs="David"/>
          <w:color w:val="222222"/>
          <w:shd w:val="clear" w:color="auto" w:fill="FFFFFF"/>
        </w:rPr>
        <w:t xml:space="preserve">. "Happy taxation: increasing tax compliance through positive </w:t>
      </w:r>
      <w:proofErr w:type="gramStart"/>
      <w:r w:rsidRPr="00961CA5">
        <w:rPr>
          <w:rFonts w:ascii="David" w:hAnsi="David" w:cs="David"/>
          <w:color w:val="222222"/>
          <w:shd w:val="clear" w:color="auto" w:fill="FFFFFF"/>
        </w:rPr>
        <w:t>rewards?.</w:t>
      </w:r>
      <w:proofErr w:type="gramEnd"/>
      <w:r w:rsidRPr="00961CA5">
        <w:rPr>
          <w:rFonts w:ascii="David" w:hAnsi="David" w:cs="David"/>
          <w:color w:val="222222"/>
          <w:shd w:val="clear" w:color="auto" w:fill="FFFFFF"/>
        </w:rPr>
        <w:t>" </w:t>
      </w:r>
      <w:r w:rsidRPr="00961CA5">
        <w:rPr>
          <w:rFonts w:ascii="David" w:hAnsi="David" w:cs="David"/>
          <w:i/>
          <w:iCs/>
          <w:color w:val="222222"/>
          <w:shd w:val="clear" w:color="auto" w:fill="FFFFFF"/>
        </w:rPr>
        <w:t>Journal of Public Policy</w:t>
      </w:r>
      <w:r w:rsidRPr="00961CA5">
        <w:rPr>
          <w:rFonts w:ascii="David" w:hAnsi="David" w:cs="David"/>
          <w:color w:val="222222"/>
          <w:shd w:val="clear" w:color="auto" w:fill="FFFFFF"/>
        </w:rPr>
        <w:t> 36.3 (2016): 381-406.</w:t>
      </w:r>
      <w:r w:rsidRPr="00961CA5">
        <w:rPr>
          <w:rFonts w:ascii="David" w:hAnsi="David" w:cs="David"/>
          <w:color w:val="222222"/>
          <w:shd w:val="clear" w:color="auto" w:fill="FFFFFF"/>
          <w:rtl/>
        </w:rPr>
        <w:t>‏</w:t>
      </w:r>
      <w:r w:rsidRPr="00961CA5">
        <w:rPr>
          <w:rFonts w:ascii="David" w:eastAsia="Arial" w:hAnsi="David" w:cs="David"/>
        </w:rPr>
        <w:t>), but favorable effects have also been demonstrated in field research (e.g., Dwenger et al., 2016; Torgler, 2003; Koessler et al., 2019).</w:t>
      </w:r>
    </w:p>
  </w:footnote>
  <w:footnote w:id="54">
    <w:p w14:paraId="35079DA3" w14:textId="77777777" w:rsidR="00007C82" w:rsidRDefault="00007C82" w:rsidP="00007C82">
      <w:pPr>
        <w:pStyle w:val="FootnoteText"/>
      </w:pPr>
      <w:r>
        <w:rPr>
          <w:rStyle w:val="FootnoteReference"/>
        </w:rPr>
        <w:footnoteRef/>
      </w:r>
      <w:r>
        <w:t xml:space="preserve"> </w:t>
      </w:r>
      <w:r>
        <w:rPr>
          <w:rFonts w:ascii="Arial" w:hAnsi="Arial" w:cs="Arial"/>
          <w:color w:val="222222"/>
          <w:shd w:val="clear" w:color="auto" w:fill="FFFFFF"/>
        </w:rPr>
        <w:t>Fine, Adam, et al. "Rule orientation and behavior: Development and validation of a scale measuring individual acceptance of rule violation." </w:t>
      </w:r>
      <w:r>
        <w:rPr>
          <w:rFonts w:ascii="Arial" w:hAnsi="Arial" w:cs="Arial"/>
          <w:i/>
          <w:iCs/>
          <w:color w:val="222222"/>
          <w:shd w:val="clear" w:color="auto" w:fill="FFFFFF"/>
        </w:rPr>
        <w:t>Psychology, Public Policy, and Law</w:t>
      </w:r>
      <w:r>
        <w:rPr>
          <w:rFonts w:ascii="Arial" w:hAnsi="Arial" w:cs="Arial"/>
          <w:color w:val="222222"/>
          <w:shd w:val="clear" w:color="auto" w:fill="FFFFFF"/>
        </w:rPr>
        <w:t> 22.3 (2016): 314.</w:t>
      </w:r>
    </w:p>
  </w:footnote>
  <w:footnote w:id="55">
    <w:p w14:paraId="00374245" w14:textId="77777777" w:rsidR="00007C82" w:rsidRDefault="00007C82" w:rsidP="00007C82">
      <w:pPr>
        <w:pStyle w:val="FootnoteText"/>
      </w:pPr>
      <w:r>
        <w:rPr>
          <w:rStyle w:val="FootnoteReference"/>
        </w:rPr>
        <w:footnoteRef/>
      </w:r>
      <w:r>
        <w:t xml:space="preserve"> </w:t>
      </w:r>
      <w:r>
        <w:rPr>
          <w:rFonts w:ascii="Arial" w:hAnsi="Arial" w:cs="Arial"/>
          <w:color w:val="222222"/>
          <w:shd w:val="clear" w:color="auto" w:fill="FFFFFF"/>
        </w:rPr>
        <w:t>van Rooij, Benjamin, et al. "The obligation to obey the law: exploring National Differences." </w:t>
      </w:r>
      <w:r>
        <w:rPr>
          <w:rFonts w:ascii="Arial" w:hAnsi="Arial" w:cs="Arial"/>
          <w:i/>
          <w:iCs/>
          <w:color w:val="222222"/>
          <w:shd w:val="clear" w:color="auto" w:fill="FFFFFF"/>
        </w:rPr>
        <w:t xml:space="preserve">Crime, </w:t>
      </w:r>
      <w:proofErr w:type="gramStart"/>
      <w:r>
        <w:rPr>
          <w:rFonts w:ascii="Arial" w:hAnsi="Arial" w:cs="Arial"/>
          <w:i/>
          <w:iCs/>
          <w:color w:val="222222"/>
          <w:shd w:val="clear" w:color="auto" w:fill="FFFFFF"/>
        </w:rPr>
        <w:t>Law</w:t>
      </w:r>
      <w:proofErr w:type="gramEnd"/>
      <w:r>
        <w:rPr>
          <w:rFonts w:ascii="Arial" w:hAnsi="Arial" w:cs="Arial"/>
          <w:i/>
          <w:iCs/>
          <w:color w:val="222222"/>
          <w:shd w:val="clear" w:color="auto" w:fill="FFFFFF"/>
        </w:rPr>
        <w:t xml:space="preserve"> and Social Change</w:t>
      </w:r>
      <w:r>
        <w:rPr>
          <w:rFonts w:ascii="Arial" w:hAnsi="Arial" w:cs="Arial"/>
          <w:color w:val="222222"/>
          <w:shd w:val="clear" w:color="auto" w:fill="FFFFFF"/>
        </w:rPr>
        <w:t> (2024): 1-18.</w:t>
      </w:r>
    </w:p>
  </w:footnote>
  <w:footnote w:id="56">
    <w:p w14:paraId="7BCFE065" w14:textId="1F070BCC" w:rsidR="00AA5E14" w:rsidRPr="00961CA5" w:rsidRDefault="00AA5E14" w:rsidP="00EA7BC9">
      <w:pPr>
        <w:pStyle w:val="FootnoteText"/>
        <w:rPr>
          <w:rFonts w:ascii="David" w:hAnsi="David" w:cs="David"/>
        </w:rPr>
      </w:pPr>
      <w:r w:rsidRPr="002F65B9">
        <w:rPr>
          <w:rStyle w:val="FootnoteReference"/>
          <w:rFonts w:ascii="David" w:hAnsi="David" w:cs="David"/>
        </w:rPr>
        <w:footnoteRef/>
      </w:r>
      <w:r w:rsidRPr="002F65B9">
        <w:rPr>
          <w:rFonts w:ascii="David" w:hAnsi="David" w:cs="David"/>
        </w:rPr>
        <w:t xml:space="preserve"> </w:t>
      </w:r>
      <w:r w:rsidRPr="00961CA5">
        <w:rPr>
          <w:rFonts w:ascii="David" w:hAnsi="David" w:cs="David"/>
          <w:color w:val="222222"/>
          <w:shd w:val="clear" w:color="auto" w:fill="FFFFFF"/>
        </w:rPr>
        <w:t>Plohl, Nejc, and Bojan Musil. "Modeling compliance with COVID-19 prevention guidelines: The critical role of trust in science." </w:t>
      </w:r>
      <w:r w:rsidRPr="00961CA5">
        <w:rPr>
          <w:rFonts w:ascii="David" w:hAnsi="David" w:cs="David"/>
          <w:i/>
          <w:iCs/>
          <w:color w:val="222222"/>
          <w:shd w:val="clear" w:color="auto" w:fill="FFFFFF"/>
        </w:rPr>
        <w:t>Psychology, health &amp; medicine</w:t>
      </w:r>
      <w:r w:rsidRPr="00961CA5">
        <w:rPr>
          <w:rFonts w:ascii="David" w:hAnsi="David" w:cs="David"/>
          <w:color w:val="222222"/>
          <w:shd w:val="clear" w:color="auto" w:fill="FFFFFF"/>
        </w:rPr>
        <w:t> 26.1 (2021): 1-12.</w:t>
      </w:r>
    </w:p>
  </w:footnote>
  <w:footnote w:id="57">
    <w:p w14:paraId="6A3116BA" w14:textId="0B4D7968" w:rsidR="00AA5E14" w:rsidRPr="002F65B9" w:rsidRDefault="00AA5E14" w:rsidP="00EA7BC9">
      <w:pPr>
        <w:pStyle w:val="FootnoteText"/>
        <w:rPr>
          <w:rFonts w:ascii="David" w:hAnsi="David" w:cs="David"/>
        </w:rPr>
      </w:pPr>
      <w:r w:rsidRPr="002F65B9">
        <w:rPr>
          <w:rStyle w:val="FootnoteReference"/>
          <w:rFonts w:ascii="David" w:hAnsi="David" w:cs="David"/>
        </w:rPr>
        <w:footnoteRef/>
      </w:r>
      <w:r w:rsidRPr="002F65B9">
        <w:rPr>
          <w:rFonts w:ascii="David" w:hAnsi="David" w:cs="David"/>
        </w:rPr>
        <w:t xml:space="preserve"> Dharmapala, Dhammika, and Richard H. McAdams. "The Condorcet jury theorem and the expressive function of law: a theory of informative law." </w:t>
      </w:r>
      <w:r w:rsidRPr="002F65B9">
        <w:rPr>
          <w:rFonts w:ascii="David" w:hAnsi="David" w:cs="David"/>
          <w:i/>
          <w:iCs/>
        </w:rPr>
        <w:t>American Law and Economics Review</w:t>
      </w:r>
      <w:r w:rsidRPr="002F65B9">
        <w:rPr>
          <w:rFonts w:ascii="David" w:hAnsi="David" w:cs="David"/>
        </w:rPr>
        <w:t> 5.1 (2003): 1-31.</w:t>
      </w:r>
      <w:r w:rsidRPr="002F65B9">
        <w:rPr>
          <w:rFonts w:ascii="David" w:hAnsi="David" w:cs="David"/>
          <w:rtl/>
        </w:rPr>
        <w:t>‏</w:t>
      </w:r>
    </w:p>
  </w:footnote>
  <w:footnote w:id="58">
    <w:p w14:paraId="37CAFC16" w14:textId="243ED515" w:rsidR="00AA5E14" w:rsidRDefault="00AA5E14">
      <w:pPr>
        <w:pStyle w:val="FootnoteText"/>
      </w:pPr>
      <w:r w:rsidRPr="002F65B9">
        <w:rPr>
          <w:rStyle w:val="FootnoteReference"/>
          <w:rFonts w:ascii="David" w:hAnsi="David" w:cs="David"/>
        </w:rPr>
        <w:footnoteRef/>
      </w:r>
      <w:r w:rsidRPr="002F65B9">
        <w:rPr>
          <w:rFonts w:ascii="David" w:hAnsi="David" w:cs="David"/>
        </w:rPr>
        <w:t xml:space="preserve"> Kagan, Robert. Power and weakness. Vol. 113. Hoover Institution, 2002.</w:t>
      </w:r>
      <w:r w:rsidRPr="002F65B9">
        <w:rPr>
          <w:rFonts w:ascii="David" w:hAnsi="David" w:cs="David"/>
          <w:rtl/>
        </w:rPr>
        <w:t>‏</w:t>
      </w:r>
    </w:p>
  </w:footnote>
  <w:footnote w:id="59">
    <w:p w14:paraId="36A5632B" w14:textId="261C289C" w:rsidR="00AA5E14" w:rsidRPr="00961CA5" w:rsidRDefault="00AA5E14">
      <w:pPr>
        <w:pStyle w:val="FootnoteText"/>
        <w:rPr>
          <w:rFonts w:ascii="David" w:hAnsi="David" w:cs="David"/>
        </w:rPr>
      </w:pPr>
      <w:r>
        <w:rPr>
          <w:rStyle w:val="FootnoteReference"/>
        </w:rPr>
        <w:footnoteRef/>
      </w:r>
      <w:r>
        <w:t xml:space="preserve"> </w:t>
      </w:r>
      <w:r w:rsidRPr="00961CA5">
        <w:rPr>
          <w:rFonts w:ascii="David" w:eastAsiaTheme="majorEastAsia" w:hAnsi="David" w:cs="David"/>
          <w:color w:val="222222"/>
          <w:shd w:val="clear" w:color="auto" w:fill="FFFFFF"/>
        </w:rPr>
        <w:t xml:space="preserve">Latour, Michael S., and Shaker A. Zahra. "Fear appeals as advertising strategy: Should they be </w:t>
      </w:r>
      <w:proofErr w:type="gramStart"/>
      <w:r w:rsidRPr="00961CA5">
        <w:rPr>
          <w:rFonts w:ascii="David" w:eastAsiaTheme="majorEastAsia" w:hAnsi="David" w:cs="David"/>
          <w:color w:val="222222"/>
          <w:shd w:val="clear" w:color="auto" w:fill="FFFFFF"/>
        </w:rPr>
        <w:t>used?.</w:t>
      </w:r>
      <w:proofErr w:type="gramEnd"/>
      <w:r w:rsidRPr="00961CA5">
        <w:rPr>
          <w:rFonts w:ascii="David" w:eastAsiaTheme="majorEastAsia" w:hAnsi="David" w:cs="David"/>
          <w:color w:val="222222"/>
          <w:shd w:val="clear" w:color="auto" w:fill="FFFFFF"/>
        </w:rPr>
        <w:t xml:space="preserve">" Journal of Services Marketing 2.4 (1988): 5-14. Also see Tay, Richard. "General and specific deterrent effects of traffic enforcement: do we have to catch offenders to reduce </w:t>
      </w:r>
      <w:proofErr w:type="gramStart"/>
      <w:r w:rsidRPr="00961CA5">
        <w:rPr>
          <w:rFonts w:ascii="David" w:eastAsiaTheme="majorEastAsia" w:hAnsi="David" w:cs="David"/>
          <w:color w:val="222222"/>
          <w:shd w:val="clear" w:color="auto" w:fill="FFFFFF"/>
        </w:rPr>
        <w:t>crashes?.</w:t>
      </w:r>
      <w:proofErr w:type="gramEnd"/>
      <w:r w:rsidRPr="00961CA5">
        <w:rPr>
          <w:rFonts w:ascii="David" w:eastAsiaTheme="majorEastAsia" w:hAnsi="David" w:cs="David"/>
          <w:color w:val="222222"/>
          <w:shd w:val="clear" w:color="auto" w:fill="FFFFFF"/>
        </w:rPr>
        <w:t>" Journal of Transport Economics and Policy (JTEP) 39.2 (2005): 209-224.</w:t>
      </w:r>
      <w:r w:rsidRPr="00961CA5">
        <w:rPr>
          <w:rFonts w:ascii="David" w:eastAsiaTheme="majorEastAsia" w:hAnsi="David" w:cs="David"/>
          <w:color w:val="222222"/>
          <w:shd w:val="clear" w:color="auto" w:fill="FFFFFF"/>
          <w:rtl/>
        </w:rPr>
        <w:t>‏</w:t>
      </w:r>
    </w:p>
  </w:footnote>
  <w:footnote w:id="60">
    <w:p w14:paraId="1D6754F4" w14:textId="31509D76" w:rsidR="00AA5E14" w:rsidRPr="00961CA5" w:rsidRDefault="00AA5E14" w:rsidP="00961CA5">
      <w:pPr>
        <w:pStyle w:val="Heading2"/>
        <w:spacing w:before="210" w:line="240" w:lineRule="auto"/>
        <w:rPr>
          <w:rFonts w:ascii="David" w:hAnsi="David" w:cs="David"/>
          <w:sz w:val="20"/>
          <w:szCs w:val="20"/>
        </w:rPr>
      </w:pPr>
      <w:r w:rsidRPr="00961CA5">
        <w:rPr>
          <w:rStyle w:val="FootnoteReference"/>
          <w:rFonts w:ascii="David" w:hAnsi="David" w:cs="David"/>
          <w:sz w:val="20"/>
          <w:szCs w:val="20"/>
        </w:rPr>
        <w:footnoteRef/>
      </w:r>
      <w:r w:rsidRPr="00961CA5">
        <w:rPr>
          <w:rFonts w:ascii="David" w:hAnsi="David" w:cs="David"/>
          <w:sz w:val="20"/>
          <w:szCs w:val="20"/>
        </w:rPr>
        <w:t xml:space="preserve"> </w:t>
      </w:r>
      <w:r w:rsidRPr="00961CA5">
        <w:rPr>
          <w:rFonts w:ascii="David" w:hAnsi="David" w:cs="David"/>
          <w:color w:val="222222"/>
          <w:sz w:val="20"/>
          <w:szCs w:val="20"/>
          <w:shd w:val="clear" w:color="auto" w:fill="FFFFFF"/>
        </w:rPr>
        <w:t>Lewinsohn-Zamir, Daphna, Eyal Zamir, and Ori Katz. "Giving reasons as a means to enhance compliance with legal norms." </w:t>
      </w:r>
      <w:r w:rsidRPr="00961CA5">
        <w:rPr>
          <w:rFonts w:ascii="David" w:hAnsi="David" w:cs="David"/>
          <w:i/>
          <w:iCs/>
          <w:color w:val="222222"/>
          <w:sz w:val="20"/>
          <w:szCs w:val="20"/>
          <w:shd w:val="clear" w:color="auto" w:fill="FFFFFF"/>
        </w:rPr>
        <w:t>University of Toronto Law Journal</w:t>
      </w:r>
      <w:r w:rsidRPr="00961CA5">
        <w:rPr>
          <w:rFonts w:ascii="David" w:hAnsi="David" w:cs="David"/>
          <w:color w:val="222222"/>
          <w:sz w:val="20"/>
          <w:szCs w:val="20"/>
          <w:shd w:val="clear" w:color="auto" w:fill="FFFFFF"/>
        </w:rPr>
        <w:t> 72.3 (2022): 316-355.</w:t>
      </w:r>
    </w:p>
  </w:footnote>
  <w:footnote w:id="61">
    <w:p w14:paraId="387F6BC3" w14:textId="01A71E0B" w:rsidR="00AA5E14" w:rsidRDefault="00AA5E14">
      <w:pPr>
        <w:pStyle w:val="FootnoteText"/>
      </w:pPr>
      <w:r w:rsidRPr="00961CA5">
        <w:rPr>
          <w:rStyle w:val="FootnoteReference"/>
          <w:rFonts w:ascii="David" w:hAnsi="David" w:cs="David"/>
        </w:rPr>
        <w:footnoteRef/>
      </w:r>
      <w:r w:rsidRPr="00961CA5">
        <w:rPr>
          <w:rFonts w:ascii="David" w:hAnsi="David" w:cs="David"/>
        </w:rPr>
        <w:t xml:space="preserve"> See discussion in chapter 3 of the law of good people.</w:t>
      </w:r>
    </w:p>
  </w:footnote>
  <w:footnote w:id="62">
    <w:p w14:paraId="7FFCAA15" w14:textId="060E76CD" w:rsidR="00AA5E14" w:rsidRPr="00961CA5" w:rsidRDefault="00AA5E14">
      <w:pPr>
        <w:pStyle w:val="FootnoteText"/>
        <w:rPr>
          <w:rFonts w:ascii="David" w:hAnsi="David" w:cs="David"/>
        </w:rPr>
      </w:pPr>
      <w:r>
        <w:rPr>
          <w:rStyle w:val="FootnoteReference"/>
        </w:rPr>
        <w:footnoteRef/>
      </w:r>
      <w:r w:rsidRPr="008E4B6D">
        <w:rPr>
          <w:lang w:val="it-IT"/>
        </w:rPr>
        <w:t xml:space="preserve"> </w:t>
      </w:r>
      <w:r w:rsidRPr="008E4B6D">
        <w:rPr>
          <w:rFonts w:ascii="David" w:hAnsi="David" w:cs="David"/>
          <w:lang w:val="it-IT"/>
        </w:rPr>
        <w:t xml:space="preserve">Baumeister, R. F. &amp; Leary, M. (1995). </w:t>
      </w:r>
      <w:r w:rsidRPr="008670F0">
        <w:rPr>
          <w:rFonts w:ascii="David" w:hAnsi="David" w:cs="David"/>
        </w:rPr>
        <w:t xml:space="preserve">The Need to Belong: Desire for Interpersonal Attachments as a Fundamental Human Motivation, Psychological Bulletin, 117(3), 497-529 </w:t>
      </w:r>
    </w:p>
  </w:footnote>
  <w:footnote w:id="63">
    <w:p w14:paraId="3A4867A3" w14:textId="73F05389" w:rsidR="00AA5E14" w:rsidRDefault="00AA5E14">
      <w:pPr>
        <w:pStyle w:val="FootnoteText"/>
      </w:pPr>
      <w:r w:rsidRPr="00961CA5">
        <w:rPr>
          <w:rStyle w:val="FootnoteReference"/>
          <w:rFonts w:ascii="David" w:hAnsi="David" w:cs="David"/>
        </w:rPr>
        <w:footnoteRef/>
      </w:r>
      <w:r w:rsidRPr="00961CA5">
        <w:rPr>
          <w:rFonts w:ascii="David" w:hAnsi="David" w:cs="David"/>
        </w:rPr>
        <w:t xml:space="preserve"> Cooter, Robert D., Michal Feldman, and Yuval Feldman. "The misperception of norms: The psychology of bias and the economics of equilibrium." Review of Law &amp; Economics 4.3 (2008): 889-911.</w:t>
      </w:r>
      <w:r w:rsidRPr="00961CA5">
        <w:rPr>
          <w:rFonts w:ascii="David" w:hAnsi="David" w:cs="David"/>
          <w:rtl/>
        </w:rPr>
        <w:t>‏</w:t>
      </w:r>
    </w:p>
  </w:footnote>
  <w:footnote w:id="64">
    <w:p w14:paraId="1E852E5E" w14:textId="6C91E2E5" w:rsidR="00A45E8C" w:rsidRDefault="00A45E8C">
      <w:pPr>
        <w:pStyle w:val="FootnoteText"/>
      </w:pPr>
      <w:r>
        <w:rPr>
          <w:rStyle w:val="FootnoteReference"/>
        </w:rPr>
        <w:footnoteRef/>
      </w:r>
      <w:r>
        <w:t xml:space="preserve"> </w:t>
      </w:r>
      <w:r>
        <w:rPr>
          <w:rFonts w:ascii="Arial" w:hAnsi="Arial" w:cs="Arial"/>
          <w:color w:val="222222"/>
          <w:shd w:val="clear" w:color="auto" w:fill="FFFFFF"/>
        </w:rPr>
        <w:t xml:space="preserve">Fehr, Ernst, and Simon </w:t>
      </w:r>
      <w:proofErr w:type="spellStart"/>
      <w:r>
        <w:rPr>
          <w:rFonts w:ascii="Arial" w:hAnsi="Arial" w:cs="Arial"/>
          <w:color w:val="222222"/>
          <w:shd w:val="clear" w:color="auto" w:fill="FFFFFF"/>
        </w:rPr>
        <w:t>Gächter</w:t>
      </w:r>
      <w:proofErr w:type="spellEnd"/>
      <w:r>
        <w:rPr>
          <w:rFonts w:ascii="Arial" w:hAnsi="Arial" w:cs="Arial"/>
          <w:color w:val="222222"/>
          <w:shd w:val="clear" w:color="auto" w:fill="FFFFFF"/>
        </w:rPr>
        <w:t>. "Altruistic punishment in humans." </w:t>
      </w:r>
      <w:r>
        <w:rPr>
          <w:rFonts w:ascii="Arial" w:hAnsi="Arial" w:cs="Arial"/>
          <w:i/>
          <w:iCs/>
          <w:color w:val="222222"/>
          <w:shd w:val="clear" w:color="auto" w:fill="FFFFFF"/>
        </w:rPr>
        <w:t>Nature</w:t>
      </w:r>
      <w:r>
        <w:rPr>
          <w:rFonts w:ascii="Arial" w:hAnsi="Arial" w:cs="Arial"/>
          <w:color w:val="222222"/>
          <w:shd w:val="clear" w:color="auto" w:fill="FFFFFF"/>
        </w:rPr>
        <w:t> 415.6868 (2002): 137-140.</w:t>
      </w:r>
    </w:p>
  </w:footnote>
  <w:footnote w:id="65">
    <w:p w14:paraId="235DB3B8" w14:textId="77777777" w:rsidR="00630A79" w:rsidRDefault="00630A79" w:rsidP="00630A79">
      <w:pPr>
        <w:pStyle w:val="FootnoteText"/>
      </w:pPr>
      <w:r>
        <w:rPr>
          <w:rStyle w:val="FootnoteReference"/>
        </w:rPr>
        <w:footnoteRef/>
      </w:r>
      <w:r>
        <w:t xml:space="preserve"> </w:t>
      </w:r>
      <w:r w:rsidRPr="0047237E">
        <w:rPr>
          <w:rFonts w:ascii="David" w:hAnsi="David" w:cs="David"/>
          <w:color w:val="222222"/>
          <w:shd w:val="clear" w:color="auto" w:fill="FFFFFF"/>
        </w:rPr>
        <w:t>Pedersen, E.J., Kurzban, R. and McCullough, M.E., 2013. Do humans really punish altruistically? A closer look. </w:t>
      </w:r>
      <w:r w:rsidRPr="0047237E">
        <w:rPr>
          <w:rFonts w:ascii="David" w:hAnsi="David" w:cs="David"/>
          <w:i/>
          <w:iCs/>
          <w:color w:val="222222"/>
          <w:shd w:val="clear" w:color="auto" w:fill="FFFFFF"/>
        </w:rPr>
        <w:t>Proceedings of the Royal Society B: Biological Sciences</w:t>
      </w:r>
      <w:r w:rsidRPr="0047237E">
        <w:rPr>
          <w:rFonts w:ascii="David" w:hAnsi="David" w:cs="David"/>
          <w:color w:val="222222"/>
          <w:shd w:val="clear" w:color="auto" w:fill="FFFFFF"/>
        </w:rPr>
        <w:t>, </w:t>
      </w:r>
      <w:r w:rsidRPr="0047237E">
        <w:rPr>
          <w:rFonts w:ascii="David" w:hAnsi="David" w:cs="David"/>
          <w:i/>
          <w:iCs/>
          <w:color w:val="222222"/>
          <w:shd w:val="clear" w:color="auto" w:fill="FFFFFF"/>
        </w:rPr>
        <w:t>280</w:t>
      </w:r>
      <w:r w:rsidRPr="0047237E">
        <w:rPr>
          <w:rFonts w:ascii="David" w:hAnsi="David" w:cs="David"/>
          <w:color w:val="222222"/>
          <w:shd w:val="clear" w:color="auto" w:fill="FFFFFF"/>
        </w:rPr>
        <w:t>(1758), p.20122723</w:t>
      </w:r>
      <w:r>
        <w:rPr>
          <w:rFonts w:ascii="David" w:hAnsi="David" w:cs="David"/>
          <w:color w:val="222222"/>
          <w:shd w:val="clear" w:color="auto" w:fill="FFFFFF"/>
        </w:rPr>
        <w:t xml:space="preserve">. </w:t>
      </w:r>
      <w:r w:rsidRPr="0047237E">
        <w:rPr>
          <w:rFonts w:ascii="David" w:hAnsi="David" w:cs="David"/>
          <w:color w:val="222222"/>
          <w:shd w:val="clear" w:color="auto" w:fill="FFFFFF"/>
        </w:rPr>
        <w:t>Pedersen, E.J., Kurzban, R. and McCullough, M.E., 2013. Do humans really punish altruistically? A closer look. </w:t>
      </w:r>
      <w:r w:rsidRPr="0047237E">
        <w:rPr>
          <w:rFonts w:ascii="David" w:hAnsi="David" w:cs="David"/>
          <w:i/>
          <w:iCs/>
          <w:color w:val="222222"/>
          <w:shd w:val="clear" w:color="auto" w:fill="FFFFFF"/>
        </w:rPr>
        <w:t>Proceedings of the Royal Society B: Biological Sciences</w:t>
      </w:r>
      <w:r w:rsidRPr="0047237E">
        <w:rPr>
          <w:rFonts w:ascii="David" w:hAnsi="David" w:cs="David"/>
          <w:color w:val="222222"/>
          <w:shd w:val="clear" w:color="auto" w:fill="FFFFFF"/>
        </w:rPr>
        <w:t>, </w:t>
      </w:r>
      <w:r w:rsidRPr="0047237E">
        <w:rPr>
          <w:rFonts w:ascii="David" w:hAnsi="David" w:cs="David"/>
          <w:i/>
          <w:iCs/>
          <w:color w:val="222222"/>
          <w:shd w:val="clear" w:color="auto" w:fill="FFFFFF"/>
        </w:rPr>
        <w:t>280</w:t>
      </w:r>
      <w:r w:rsidRPr="0047237E">
        <w:rPr>
          <w:rFonts w:ascii="David" w:hAnsi="David" w:cs="David"/>
          <w:color w:val="222222"/>
          <w:shd w:val="clear" w:color="auto" w:fill="FFFFFF"/>
        </w:rPr>
        <w:t>(1758), p.20122723.</w:t>
      </w:r>
    </w:p>
  </w:footnote>
  <w:footnote w:id="66">
    <w:p w14:paraId="055894D4" w14:textId="0308DBAE" w:rsidR="00AA5E14" w:rsidRPr="00961CA5" w:rsidRDefault="00AA5E14" w:rsidP="00443965">
      <w:pPr>
        <w:pStyle w:val="FootnoteText"/>
        <w:rPr>
          <w:rFonts w:ascii="David" w:hAnsi="David" w:cs="David"/>
        </w:rPr>
      </w:pPr>
      <w:r>
        <w:rPr>
          <w:rStyle w:val="FootnoteReference"/>
        </w:rPr>
        <w:footnoteRef/>
      </w:r>
      <w:r>
        <w:t xml:space="preserve"> </w:t>
      </w:r>
      <w:r w:rsidRPr="00961CA5">
        <w:rPr>
          <w:rFonts w:ascii="David" w:hAnsi="David" w:cs="David"/>
        </w:rPr>
        <w:t>Sunstein, Cass R. "Social norms and social roles." </w:t>
      </w:r>
      <w:r w:rsidRPr="00961CA5">
        <w:rPr>
          <w:rFonts w:ascii="David" w:hAnsi="David" w:cs="David"/>
          <w:i/>
          <w:iCs/>
        </w:rPr>
        <w:t>Colum. L. Rev.</w:t>
      </w:r>
      <w:r w:rsidRPr="00961CA5">
        <w:rPr>
          <w:rFonts w:ascii="David" w:hAnsi="David" w:cs="David"/>
        </w:rPr>
        <w:t> 96 (1996): 903 Also see Cooter, Robert. "Do good laws make good citizens? An economic analysis of internalized norms." </w:t>
      </w:r>
      <w:r w:rsidRPr="00961CA5">
        <w:rPr>
          <w:rFonts w:ascii="David" w:hAnsi="David" w:cs="David"/>
          <w:i/>
          <w:iCs/>
        </w:rPr>
        <w:t>Virginia Law Review</w:t>
      </w:r>
      <w:r w:rsidRPr="00961CA5">
        <w:rPr>
          <w:rFonts w:ascii="David" w:hAnsi="David" w:cs="David"/>
        </w:rPr>
        <w:t> (2000): 1577-1601. Also see McAdams, Richard H. "The focal point theory of expressive law." </w:t>
      </w:r>
      <w:r w:rsidRPr="00961CA5">
        <w:rPr>
          <w:rFonts w:ascii="David" w:hAnsi="David" w:cs="David"/>
          <w:i/>
          <w:iCs/>
        </w:rPr>
        <w:t>Encyclopedia of Law and Economics</w:t>
      </w:r>
      <w:r w:rsidRPr="00961CA5">
        <w:rPr>
          <w:rFonts w:ascii="David" w:hAnsi="David" w:cs="David"/>
        </w:rPr>
        <w:t>. Edward Elgar Publishing Limited, 2000.</w:t>
      </w:r>
      <w:r w:rsidRPr="00961CA5">
        <w:rPr>
          <w:rFonts w:ascii="David" w:hAnsi="David" w:cs="David"/>
          <w:rtl/>
        </w:rPr>
        <w:t>‏</w:t>
      </w:r>
    </w:p>
  </w:footnote>
  <w:footnote w:id="67">
    <w:p w14:paraId="1E36A88A" w14:textId="30B8C732"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Posner, Richard A. "Rational choice, behavioral economics, and the law." </w:t>
      </w:r>
      <w:proofErr w:type="spellStart"/>
      <w:r w:rsidRPr="00961CA5">
        <w:rPr>
          <w:rFonts w:ascii="David" w:hAnsi="David" w:cs="David"/>
          <w:i/>
          <w:iCs/>
          <w:color w:val="222222"/>
          <w:shd w:val="clear" w:color="auto" w:fill="FFFFFF"/>
        </w:rPr>
        <w:t>StAn</w:t>
      </w:r>
      <w:proofErr w:type="spellEnd"/>
      <w:r w:rsidRPr="00961CA5">
        <w:rPr>
          <w:rFonts w:ascii="David" w:hAnsi="David" w:cs="David"/>
          <w:i/>
          <w:iCs/>
          <w:color w:val="222222"/>
          <w:shd w:val="clear" w:color="auto" w:fill="FFFFFF"/>
        </w:rPr>
        <w:t xml:space="preserve">. l. </w:t>
      </w:r>
      <w:proofErr w:type="spellStart"/>
      <w:r w:rsidRPr="00961CA5">
        <w:rPr>
          <w:rFonts w:ascii="David" w:hAnsi="David" w:cs="David"/>
          <w:i/>
          <w:iCs/>
          <w:color w:val="222222"/>
          <w:shd w:val="clear" w:color="auto" w:fill="FFFFFF"/>
        </w:rPr>
        <w:t>reV.</w:t>
      </w:r>
      <w:proofErr w:type="spellEnd"/>
      <w:r w:rsidRPr="00961CA5">
        <w:rPr>
          <w:rFonts w:ascii="David" w:hAnsi="David" w:cs="David"/>
          <w:color w:val="222222"/>
          <w:shd w:val="clear" w:color="auto" w:fill="FFFFFF"/>
        </w:rPr>
        <w:t> 50 (1997): 1551.</w:t>
      </w:r>
      <w:r w:rsidRPr="00961CA5">
        <w:rPr>
          <w:rFonts w:ascii="David" w:hAnsi="David" w:cs="David"/>
          <w:color w:val="222222"/>
          <w:shd w:val="clear" w:color="auto" w:fill="FFFFFF"/>
          <w:rtl/>
        </w:rPr>
        <w:t>‏</w:t>
      </w:r>
    </w:p>
  </w:footnote>
  <w:footnote w:id="68">
    <w:p w14:paraId="6731C5BA" w14:textId="222BBA02" w:rsidR="00AA5E14" w:rsidRDefault="00AA5E14">
      <w:pPr>
        <w:pStyle w:val="FootnoteText"/>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Posner, Eric A. "Law and social norms: The case of tax compliance." </w:t>
      </w:r>
      <w:r w:rsidRPr="00961CA5">
        <w:rPr>
          <w:rFonts w:ascii="David" w:hAnsi="David" w:cs="David"/>
          <w:i/>
          <w:iCs/>
          <w:color w:val="222222"/>
          <w:shd w:val="clear" w:color="auto" w:fill="FFFFFF"/>
        </w:rPr>
        <w:t>Virginia Law Review</w:t>
      </w:r>
      <w:r w:rsidRPr="00961CA5">
        <w:rPr>
          <w:rFonts w:ascii="David" w:hAnsi="David" w:cs="David"/>
          <w:color w:val="222222"/>
          <w:shd w:val="clear" w:color="auto" w:fill="FFFFFF"/>
        </w:rPr>
        <w:t> (2000): 1781-1819.</w:t>
      </w:r>
      <w:r w:rsidRPr="00961CA5">
        <w:rPr>
          <w:rFonts w:ascii="David" w:hAnsi="David" w:cs="David"/>
          <w:color w:val="222222"/>
          <w:shd w:val="clear" w:color="auto" w:fill="FFFFFF"/>
          <w:rtl/>
        </w:rPr>
        <w:t>‏</w:t>
      </w:r>
    </w:p>
  </w:footnote>
  <w:footnote w:id="69">
    <w:p w14:paraId="56F0002B" w14:textId="77777777" w:rsidR="0037592A" w:rsidRDefault="0037592A" w:rsidP="0037592A">
      <w:pPr>
        <w:pStyle w:val="FootnoteText"/>
      </w:pPr>
      <w:r>
        <w:rPr>
          <w:rStyle w:val="FootnoteReference"/>
        </w:rPr>
        <w:footnoteRef/>
      </w:r>
      <w:r>
        <w:t xml:space="preserve"> </w:t>
      </w:r>
      <w:r w:rsidRPr="0047237E">
        <w:rPr>
          <w:rFonts w:ascii="David" w:hAnsi="David" w:cs="David"/>
          <w:color w:val="222222"/>
          <w:shd w:val="clear" w:color="auto" w:fill="FFFFFF"/>
        </w:rPr>
        <w:t>Scott, Robert E. "The limits of behavioral theories of law and social norms." </w:t>
      </w:r>
      <w:r w:rsidRPr="0047237E">
        <w:rPr>
          <w:rFonts w:ascii="David" w:hAnsi="David" w:cs="David"/>
          <w:i/>
          <w:iCs/>
          <w:color w:val="222222"/>
          <w:shd w:val="clear" w:color="auto" w:fill="FFFFFF"/>
        </w:rPr>
        <w:t>Va. L. Rev.</w:t>
      </w:r>
      <w:r w:rsidRPr="0047237E">
        <w:rPr>
          <w:rFonts w:ascii="David" w:hAnsi="David" w:cs="David"/>
          <w:color w:val="222222"/>
          <w:shd w:val="clear" w:color="auto" w:fill="FFFFFF"/>
        </w:rPr>
        <w:t> 86 (2000): 1603.</w:t>
      </w:r>
    </w:p>
  </w:footnote>
  <w:footnote w:id="70">
    <w:p w14:paraId="0AD65924" w14:textId="0FA6FB5D" w:rsidR="00AA5E14" w:rsidRPr="0047237E" w:rsidRDefault="00AA5E14">
      <w:pPr>
        <w:pStyle w:val="FootnoteText"/>
        <w:rPr>
          <w:rFonts w:ascii="David" w:hAnsi="David" w:cs="David"/>
        </w:rPr>
      </w:pPr>
      <w:r>
        <w:rPr>
          <w:rStyle w:val="FootnoteReference"/>
        </w:rPr>
        <w:footnoteRef/>
      </w:r>
      <w:r>
        <w:t xml:space="preserve"> </w:t>
      </w:r>
      <w:r w:rsidR="00D070F5">
        <w:rPr>
          <w:rFonts w:ascii="Arial" w:hAnsi="Arial" w:cs="Arial"/>
          <w:color w:val="222222"/>
          <w:shd w:val="clear" w:color="auto" w:fill="FFFFFF"/>
        </w:rPr>
        <w:t>Bicchieri, Cristina. </w:t>
      </w:r>
      <w:r w:rsidR="00D070F5">
        <w:rPr>
          <w:rFonts w:ascii="Arial" w:hAnsi="Arial" w:cs="Arial"/>
          <w:i/>
          <w:iCs/>
          <w:color w:val="222222"/>
          <w:shd w:val="clear" w:color="auto" w:fill="FFFFFF"/>
        </w:rPr>
        <w:t>Norms in the wild: How to diagnose, measure, and change social norms</w:t>
      </w:r>
      <w:r w:rsidR="00D070F5">
        <w:rPr>
          <w:rFonts w:ascii="Arial" w:hAnsi="Arial" w:cs="Arial"/>
          <w:color w:val="222222"/>
          <w:shd w:val="clear" w:color="auto" w:fill="FFFFFF"/>
        </w:rPr>
        <w:t>. Oxford University Press, 2016.</w:t>
      </w:r>
    </w:p>
  </w:footnote>
  <w:footnote w:id="71">
    <w:p w14:paraId="2F0A6113" w14:textId="1405E37F" w:rsidR="006E132F" w:rsidRPr="00C61BC6" w:rsidRDefault="006E132F" w:rsidP="006E132F">
      <w:pPr>
        <w:pStyle w:val="FootnoteText"/>
        <w:rPr>
          <w:rFonts w:ascii="David" w:hAnsi="David" w:cs="David"/>
          <w:b/>
          <w:bCs/>
          <w:u w:val="single"/>
        </w:rPr>
      </w:pPr>
      <w:r w:rsidRPr="009A5CFE">
        <w:rPr>
          <w:rStyle w:val="FootnoteReference"/>
          <w:rFonts w:ascii="David" w:hAnsi="David" w:cs="David"/>
          <w:b/>
          <w:bCs/>
          <w:highlight w:val="green"/>
          <w:u w:val="single"/>
        </w:rPr>
        <w:footnoteRef/>
      </w:r>
      <w:r w:rsidRPr="009A5CFE">
        <w:rPr>
          <w:rFonts w:ascii="David" w:hAnsi="David" w:cs="David"/>
          <w:b/>
          <w:bCs/>
          <w:highlight w:val="green"/>
          <w:u w:val="single"/>
        </w:rPr>
        <w:t xml:space="preserve"> </w:t>
      </w:r>
      <w:r w:rsidR="00D070F5">
        <w:rPr>
          <w:rFonts w:ascii="Arial" w:hAnsi="Arial" w:cs="Arial"/>
          <w:color w:val="222222"/>
          <w:shd w:val="clear" w:color="auto" w:fill="FFFFFF"/>
        </w:rPr>
        <w:t>Kahan, Dan M. "The secret ambition of deterrence." </w:t>
      </w:r>
      <w:r w:rsidR="00D070F5">
        <w:rPr>
          <w:rFonts w:ascii="Arial" w:hAnsi="Arial" w:cs="Arial"/>
          <w:i/>
          <w:iCs/>
          <w:color w:val="222222"/>
          <w:shd w:val="clear" w:color="auto" w:fill="FFFFFF"/>
        </w:rPr>
        <w:t>Deterrence</w:t>
      </w:r>
      <w:r w:rsidR="00D070F5">
        <w:rPr>
          <w:rFonts w:ascii="Arial" w:hAnsi="Arial" w:cs="Arial"/>
          <w:color w:val="222222"/>
          <w:shd w:val="clear" w:color="auto" w:fill="FFFFFF"/>
        </w:rPr>
        <w:t>. Routledge, 2019. 409-496.</w:t>
      </w:r>
    </w:p>
  </w:footnote>
  <w:footnote w:id="72">
    <w:p w14:paraId="3C3AE075" w14:textId="77777777" w:rsidR="006E132F" w:rsidRPr="0086078C" w:rsidRDefault="006E132F" w:rsidP="006E132F">
      <w:pPr>
        <w:pStyle w:val="FootnoteText"/>
        <w:rPr>
          <w:rFonts w:ascii="David" w:hAnsi="David" w:cs="David"/>
        </w:rPr>
      </w:pPr>
      <w:r w:rsidRPr="0086078C">
        <w:rPr>
          <w:rStyle w:val="FootnoteReference"/>
          <w:rFonts w:ascii="David" w:hAnsi="David" w:cs="David"/>
        </w:rPr>
        <w:footnoteRef/>
      </w:r>
      <w:r w:rsidRPr="0086078C">
        <w:rPr>
          <w:rFonts w:ascii="David" w:hAnsi="David" w:cs="David"/>
        </w:rPr>
        <w:t xml:space="preserve"> See also </w:t>
      </w:r>
      <w:r w:rsidRPr="0086078C">
        <w:rPr>
          <w:rFonts w:ascii="David" w:hAnsi="David" w:cs="David"/>
          <w:color w:val="222222"/>
          <w:shd w:val="clear" w:color="auto" w:fill="FFFFFF"/>
        </w:rPr>
        <w:t xml:space="preserve">Goldstein, Noah J., Robert B. Cialdini, and Vladas </w:t>
      </w:r>
      <w:proofErr w:type="spellStart"/>
      <w:r w:rsidRPr="0086078C">
        <w:rPr>
          <w:rFonts w:ascii="David" w:hAnsi="David" w:cs="David"/>
          <w:color w:val="222222"/>
          <w:shd w:val="clear" w:color="auto" w:fill="FFFFFF"/>
        </w:rPr>
        <w:t>Griskevicius</w:t>
      </w:r>
      <w:proofErr w:type="spellEnd"/>
      <w:r w:rsidRPr="0086078C">
        <w:rPr>
          <w:rFonts w:ascii="David" w:hAnsi="David" w:cs="David"/>
          <w:color w:val="222222"/>
          <w:shd w:val="clear" w:color="auto" w:fill="FFFFFF"/>
        </w:rPr>
        <w:t xml:space="preserve">. "A </w:t>
      </w:r>
      <w:r>
        <w:rPr>
          <w:rFonts w:ascii="David" w:hAnsi="David" w:cs="David"/>
          <w:color w:val="222222"/>
          <w:shd w:val="clear" w:color="auto" w:fill="FFFFFF"/>
        </w:rPr>
        <w:t>Ro</w:t>
      </w:r>
      <w:r w:rsidRPr="0086078C">
        <w:rPr>
          <w:rFonts w:ascii="David" w:hAnsi="David" w:cs="David"/>
          <w:color w:val="222222"/>
          <w:shd w:val="clear" w:color="auto" w:fill="FFFFFF"/>
        </w:rPr>
        <w:t xml:space="preserve">om with a </w:t>
      </w:r>
      <w:r>
        <w:rPr>
          <w:rFonts w:ascii="David" w:hAnsi="David" w:cs="David"/>
          <w:color w:val="222222"/>
          <w:shd w:val="clear" w:color="auto" w:fill="FFFFFF"/>
        </w:rPr>
        <w:t>V</w:t>
      </w:r>
      <w:r w:rsidRPr="0086078C">
        <w:rPr>
          <w:rFonts w:ascii="David" w:hAnsi="David" w:cs="David"/>
          <w:color w:val="222222"/>
          <w:shd w:val="clear" w:color="auto" w:fill="FFFFFF"/>
        </w:rPr>
        <w:t xml:space="preserve">iewpoint: Using </w:t>
      </w:r>
      <w:r>
        <w:rPr>
          <w:rFonts w:ascii="David" w:hAnsi="David" w:cs="David"/>
          <w:color w:val="222222"/>
          <w:shd w:val="clear" w:color="auto" w:fill="FFFFFF"/>
        </w:rPr>
        <w:t>S</w:t>
      </w:r>
      <w:r w:rsidRPr="0086078C">
        <w:rPr>
          <w:rFonts w:ascii="David" w:hAnsi="David" w:cs="David"/>
          <w:color w:val="222222"/>
          <w:shd w:val="clear" w:color="auto" w:fill="FFFFFF"/>
        </w:rPr>
        <w:t xml:space="preserve">ocial </w:t>
      </w:r>
      <w:r>
        <w:rPr>
          <w:rFonts w:ascii="David" w:hAnsi="David" w:cs="David"/>
          <w:color w:val="222222"/>
          <w:shd w:val="clear" w:color="auto" w:fill="FFFFFF"/>
        </w:rPr>
        <w:t>N</w:t>
      </w:r>
      <w:r w:rsidRPr="0086078C">
        <w:rPr>
          <w:rFonts w:ascii="David" w:hAnsi="David" w:cs="David"/>
          <w:color w:val="222222"/>
          <w:shd w:val="clear" w:color="auto" w:fill="FFFFFF"/>
        </w:rPr>
        <w:t xml:space="preserve">orms to </w:t>
      </w:r>
      <w:r>
        <w:rPr>
          <w:rFonts w:ascii="David" w:hAnsi="David" w:cs="David"/>
          <w:color w:val="222222"/>
          <w:shd w:val="clear" w:color="auto" w:fill="FFFFFF"/>
        </w:rPr>
        <w:t>M</w:t>
      </w:r>
      <w:r w:rsidRPr="0086078C">
        <w:rPr>
          <w:rFonts w:ascii="David" w:hAnsi="David" w:cs="David"/>
          <w:color w:val="222222"/>
          <w:shd w:val="clear" w:color="auto" w:fill="FFFFFF"/>
        </w:rPr>
        <w:t xml:space="preserve">otivate </w:t>
      </w:r>
      <w:r>
        <w:rPr>
          <w:rFonts w:ascii="David" w:hAnsi="David" w:cs="David"/>
          <w:color w:val="222222"/>
          <w:shd w:val="clear" w:color="auto" w:fill="FFFFFF"/>
        </w:rPr>
        <w:t>E</w:t>
      </w:r>
      <w:r w:rsidRPr="0086078C">
        <w:rPr>
          <w:rFonts w:ascii="David" w:hAnsi="David" w:cs="David"/>
          <w:color w:val="222222"/>
          <w:shd w:val="clear" w:color="auto" w:fill="FFFFFF"/>
        </w:rPr>
        <w:t xml:space="preserve">nvironmental </w:t>
      </w:r>
      <w:r>
        <w:rPr>
          <w:rFonts w:ascii="David" w:hAnsi="David" w:cs="David"/>
          <w:color w:val="222222"/>
          <w:shd w:val="clear" w:color="auto" w:fill="FFFFFF"/>
        </w:rPr>
        <w:t>C</w:t>
      </w:r>
      <w:r w:rsidRPr="0086078C">
        <w:rPr>
          <w:rFonts w:ascii="David" w:hAnsi="David" w:cs="David"/>
          <w:color w:val="222222"/>
          <w:shd w:val="clear" w:color="auto" w:fill="FFFFFF"/>
        </w:rPr>
        <w:t xml:space="preserve">onservation in </w:t>
      </w:r>
      <w:r>
        <w:rPr>
          <w:rFonts w:ascii="David" w:hAnsi="David" w:cs="David"/>
          <w:color w:val="222222"/>
          <w:shd w:val="clear" w:color="auto" w:fill="FFFFFF"/>
        </w:rPr>
        <w:t>H</w:t>
      </w:r>
      <w:r w:rsidRPr="0086078C">
        <w:rPr>
          <w:rFonts w:ascii="David" w:hAnsi="David" w:cs="David"/>
          <w:color w:val="222222"/>
          <w:shd w:val="clear" w:color="auto" w:fill="FFFFFF"/>
        </w:rPr>
        <w:t>otels." </w:t>
      </w:r>
      <w:r w:rsidRPr="0086078C">
        <w:rPr>
          <w:rFonts w:ascii="David" w:hAnsi="David" w:cs="David"/>
          <w:i/>
          <w:iCs/>
          <w:color w:val="222222"/>
          <w:shd w:val="clear" w:color="auto" w:fill="FFFFFF"/>
        </w:rPr>
        <w:t xml:space="preserve">Journal of </w:t>
      </w:r>
      <w:r>
        <w:rPr>
          <w:rFonts w:ascii="David" w:hAnsi="David" w:cs="David"/>
          <w:i/>
          <w:iCs/>
          <w:color w:val="222222"/>
          <w:shd w:val="clear" w:color="auto" w:fill="FFFFFF"/>
        </w:rPr>
        <w:t>C</w:t>
      </w:r>
      <w:r w:rsidRPr="0086078C">
        <w:rPr>
          <w:rFonts w:ascii="David" w:hAnsi="David" w:cs="David"/>
          <w:i/>
          <w:iCs/>
          <w:color w:val="222222"/>
          <w:shd w:val="clear" w:color="auto" w:fill="FFFFFF"/>
        </w:rPr>
        <w:t>onsumer Research</w:t>
      </w:r>
      <w:r>
        <w:rPr>
          <w:rFonts w:ascii="David" w:hAnsi="David" w:cs="David"/>
          <w:i/>
          <w:iCs/>
          <w:color w:val="222222"/>
          <w:shd w:val="clear" w:color="auto" w:fill="FFFFFF"/>
        </w:rPr>
        <w:t>,</w:t>
      </w:r>
      <w:r w:rsidRPr="0086078C">
        <w:rPr>
          <w:rFonts w:ascii="David" w:hAnsi="David" w:cs="David"/>
          <w:color w:val="222222"/>
          <w:shd w:val="clear" w:color="auto" w:fill="FFFFFF"/>
        </w:rPr>
        <w:t> </w:t>
      </w:r>
      <w:r>
        <w:rPr>
          <w:rFonts w:ascii="David" w:hAnsi="David" w:cs="David"/>
          <w:color w:val="222222"/>
          <w:shd w:val="clear" w:color="auto" w:fill="FFFFFF"/>
        </w:rPr>
        <w:t xml:space="preserve">vol. </w:t>
      </w:r>
      <w:r w:rsidRPr="0086078C">
        <w:rPr>
          <w:rFonts w:ascii="David" w:hAnsi="David" w:cs="David"/>
          <w:color w:val="222222"/>
          <w:shd w:val="clear" w:color="auto" w:fill="FFFFFF"/>
        </w:rPr>
        <w:t>35.3</w:t>
      </w:r>
      <w:r>
        <w:rPr>
          <w:rFonts w:ascii="David" w:hAnsi="David" w:cs="David"/>
          <w:color w:val="222222"/>
          <w:shd w:val="clear" w:color="auto" w:fill="FFFFFF"/>
        </w:rPr>
        <w:t>,</w:t>
      </w:r>
      <w:r w:rsidRPr="0086078C">
        <w:rPr>
          <w:rFonts w:ascii="David" w:hAnsi="David" w:cs="David"/>
          <w:color w:val="222222"/>
          <w:shd w:val="clear" w:color="auto" w:fill="FFFFFF"/>
        </w:rPr>
        <w:t xml:space="preserve"> 200</w:t>
      </w:r>
      <w:r>
        <w:rPr>
          <w:rFonts w:ascii="David" w:hAnsi="David" w:cs="David"/>
          <w:color w:val="222222"/>
          <w:shd w:val="clear" w:color="auto" w:fill="FFFFFF"/>
        </w:rPr>
        <w:t>8, pp.</w:t>
      </w:r>
      <w:r w:rsidRPr="0086078C">
        <w:rPr>
          <w:rFonts w:ascii="David" w:hAnsi="David" w:cs="David"/>
          <w:color w:val="222222"/>
          <w:shd w:val="clear" w:color="auto" w:fill="FFFFFF"/>
        </w:rPr>
        <w:t xml:space="preserve"> 472-482.</w:t>
      </w:r>
    </w:p>
  </w:footnote>
  <w:footnote w:id="73">
    <w:p w14:paraId="39C1B814" w14:textId="77777777" w:rsidR="006E132F" w:rsidRPr="0086078C" w:rsidRDefault="006E132F" w:rsidP="006E132F">
      <w:pPr>
        <w:pStyle w:val="FootnoteText"/>
        <w:rPr>
          <w:rFonts w:ascii="David" w:hAnsi="David" w:cs="David"/>
        </w:rPr>
      </w:pPr>
      <w:r w:rsidRPr="0086078C">
        <w:rPr>
          <w:rStyle w:val="FootnoteReference"/>
          <w:rFonts w:ascii="David" w:hAnsi="David" w:cs="David"/>
        </w:rPr>
        <w:footnoteRef/>
      </w:r>
      <w:r w:rsidRPr="0086078C">
        <w:rPr>
          <w:rFonts w:ascii="David" w:hAnsi="David" w:cs="David"/>
        </w:rPr>
        <w:t xml:space="preserve"> </w:t>
      </w:r>
      <w:r w:rsidRPr="00F01C74">
        <w:rPr>
          <w:rFonts w:ascii="Arial" w:hAnsi="Arial" w:cs="Arial"/>
          <w:color w:val="222222"/>
          <w:shd w:val="clear" w:color="auto" w:fill="FFFFFF"/>
        </w:rPr>
        <w:t xml:space="preserve"> </w:t>
      </w:r>
      <w:r w:rsidRPr="00F01C74">
        <w:rPr>
          <w:rFonts w:ascii="David" w:hAnsi="David" w:cs="David"/>
        </w:rPr>
        <w:t xml:space="preserve">Walker, N. J., and R. E. Schulze. "Climate </w:t>
      </w:r>
      <w:r>
        <w:rPr>
          <w:rFonts w:ascii="David" w:hAnsi="David" w:cs="David"/>
        </w:rPr>
        <w:t>C</w:t>
      </w:r>
      <w:r w:rsidRPr="00F01C74">
        <w:rPr>
          <w:rFonts w:ascii="David" w:hAnsi="David" w:cs="David"/>
        </w:rPr>
        <w:t xml:space="preserve">hange </w:t>
      </w:r>
      <w:r>
        <w:rPr>
          <w:rFonts w:ascii="David" w:hAnsi="David" w:cs="David"/>
        </w:rPr>
        <w:t>I</w:t>
      </w:r>
      <w:r w:rsidRPr="00F01C74">
        <w:rPr>
          <w:rFonts w:ascii="David" w:hAnsi="David" w:cs="David"/>
        </w:rPr>
        <w:t xml:space="preserve">mpacts on </w:t>
      </w:r>
      <w:proofErr w:type="spellStart"/>
      <w:r>
        <w:rPr>
          <w:rFonts w:ascii="David" w:hAnsi="David" w:cs="David"/>
        </w:rPr>
        <w:t>A</w:t>
      </w:r>
      <w:r w:rsidRPr="00F01C74">
        <w:rPr>
          <w:rFonts w:ascii="David" w:hAnsi="David" w:cs="David"/>
        </w:rPr>
        <w:t>gro</w:t>
      </w:r>
      <w:proofErr w:type="spellEnd"/>
      <w:r w:rsidRPr="00F01C74">
        <w:rPr>
          <w:rFonts w:ascii="David" w:hAnsi="David" w:cs="David"/>
        </w:rPr>
        <w:t xml:space="preserve">-ecosystem </w:t>
      </w:r>
      <w:r>
        <w:rPr>
          <w:rFonts w:ascii="David" w:hAnsi="David" w:cs="David"/>
        </w:rPr>
        <w:t>S</w:t>
      </w:r>
      <w:r w:rsidRPr="00F01C74">
        <w:rPr>
          <w:rFonts w:ascii="David" w:hAnsi="David" w:cs="David"/>
        </w:rPr>
        <w:t xml:space="preserve">ustainability </w:t>
      </w:r>
      <w:r>
        <w:rPr>
          <w:rFonts w:ascii="David" w:hAnsi="David" w:cs="David"/>
        </w:rPr>
        <w:t>A</w:t>
      </w:r>
      <w:r w:rsidRPr="00F01C74">
        <w:rPr>
          <w:rFonts w:ascii="David" w:hAnsi="David" w:cs="David"/>
        </w:rPr>
        <w:t xml:space="preserve">cross </w:t>
      </w:r>
      <w:r>
        <w:rPr>
          <w:rFonts w:ascii="David" w:hAnsi="David" w:cs="David"/>
        </w:rPr>
        <w:t>T</w:t>
      </w:r>
      <w:r w:rsidRPr="00F01C74">
        <w:rPr>
          <w:rFonts w:ascii="David" w:hAnsi="David" w:cs="David"/>
        </w:rPr>
        <w:t xml:space="preserve">hree </w:t>
      </w:r>
      <w:r>
        <w:rPr>
          <w:rFonts w:ascii="David" w:hAnsi="David" w:cs="David"/>
        </w:rPr>
        <w:t>C</w:t>
      </w:r>
      <w:r w:rsidRPr="00F01C74">
        <w:rPr>
          <w:rFonts w:ascii="David" w:hAnsi="David" w:cs="David"/>
        </w:rPr>
        <w:t xml:space="preserve">limate </w:t>
      </w:r>
      <w:r>
        <w:rPr>
          <w:rFonts w:ascii="David" w:hAnsi="David" w:cs="David"/>
        </w:rPr>
        <w:t>R</w:t>
      </w:r>
      <w:r w:rsidRPr="00F01C74">
        <w:rPr>
          <w:rFonts w:ascii="David" w:hAnsi="David" w:cs="David"/>
        </w:rPr>
        <w:t xml:space="preserve">egions in the </w:t>
      </w:r>
      <w:r>
        <w:rPr>
          <w:rFonts w:ascii="David" w:hAnsi="David" w:cs="David"/>
        </w:rPr>
        <w:t>M</w:t>
      </w:r>
      <w:r w:rsidRPr="00F01C74">
        <w:rPr>
          <w:rFonts w:ascii="David" w:hAnsi="David" w:cs="David"/>
        </w:rPr>
        <w:t xml:space="preserve">aize </w:t>
      </w:r>
      <w:r>
        <w:rPr>
          <w:rFonts w:ascii="David" w:hAnsi="David" w:cs="David"/>
        </w:rPr>
        <w:t>B</w:t>
      </w:r>
      <w:r w:rsidRPr="00F01C74">
        <w:rPr>
          <w:rFonts w:ascii="David" w:hAnsi="David" w:cs="David"/>
        </w:rPr>
        <w:t>elt of South Africa." </w:t>
      </w:r>
      <w:r w:rsidRPr="00F01C74">
        <w:rPr>
          <w:rFonts w:ascii="David" w:hAnsi="David" w:cs="David"/>
          <w:i/>
          <w:iCs/>
        </w:rPr>
        <w:t xml:space="preserve">Agriculture, </w:t>
      </w:r>
      <w:r>
        <w:rPr>
          <w:rFonts w:ascii="David" w:hAnsi="David" w:cs="David"/>
          <w:i/>
          <w:iCs/>
        </w:rPr>
        <w:t>E</w:t>
      </w:r>
      <w:r w:rsidRPr="00F01C74">
        <w:rPr>
          <w:rFonts w:ascii="David" w:hAnsi="David" w:cs="David"/>
          <w:i/>
          <w:iCs/>
        </w:rPr>
        <w:t xml:space="preserve">cosystems &amp; </w:t>
      </w:r>
      <w:r>
        <w:rPr>
          <w:rFonts w:ascii="David" w:hAnsi="David" w:cs="David"/>
          <w:i/>
          <w:iCs/>
        </w:rPr>
        <w:t>E</w:t>
      </w:r>
      <w:r w:rsidRPr="00F01C74">
        <w:rPr>
          <w:rFonts w:ascii="David" w:hAnsi="David" w:cs="David"/>
          <w:i/>
          <w:iCs/>
        </w:rPr>
        <w:t>nvironment</w:t>
      </w:r>
      <w:r>
        <w:rPr>
          <w:rFonts w:ascii="David" w:hAnsi="David" w:cs="David"/>
          <w:i/>
          <w:iCs/>
        </w:rPr>
        <w:t>,</w:t>
      </w:r>
      <w:r w:rsidRPr="00F01C74">
        <w:rPr>
          <w:rFonts w:ascii="David" w:hAnsi="David" w:cs="David"/>
        </w:rPr>
        <w:t> </w:t>
      </w:r>
      <w:r>
        <w:rPr>
          <w:rFonts w:ascii="David" w:hAnsi="David" w:cs="David"/>
        </w:rPr>
        <w:t xml:space="preserve">vol. </w:t>
      </w:r>
      <w:r w:rsidRPr="00F01C74">
        <w:rPr>
          <w:rFonts w:ascii="David" w:hAnsi="David" w:cs="David"/>
        </w:rPr>
        <w:t>124.1-2</w:t>
      </w:r>
      <w:r>
        <w:rPr>
          <w:rFonts w:ascii="David" w:hAnsi="David" w:cs="David"/>
        </w:rPr>
        <w:t xml:space="preserve">, </w:t>
      </w:r>
      <w:r w:rsidRPr="00F01C74">
        <w:rPr>
          <w:rFonts w:ascii="David" w:hAnsi="David" w:cs="David"/>
        </w:rPr>
        <w:t>2008</w:t>
      </w:r>
      <w:r>
        <w:rPr>
          <w:rFonts w:ascii="David" w:hAnsi="David" w:cs="David"/>
        </w:rPr>
        <w:t>, pp.</w:t>
      </w:r>
      <w:r w:rsidRPr="00F01C74">
        <w:rPr>
          <w:rFonts w:ascii="David" w:hAnsi="David" w:cs="David"/>
        </w:rPr>
        <w:t xml:space="preserve"> 114-124.</w:t>
      </w:r>
      <w:r w:rsidRPr="00F01C74">
        <w:rPr>
          <w:rFonts w:ascii="David" w:hAnsi="David" w:cs="David"/>
          <w:rtl/>
        </w:rPr>
        <w:t>‏</w:t>
      </w:r>
    </w:p>
  </w:footnote>
  <w:footnote w:id="74">
    <w:p w14:paraId="57BFAD5B" w14:textId="77777777" w:rsidR="006E132F" w:rsidRDefault="006E132F" w:rsidP="006E132F">
      <w:pPr>
        <w:pStyle w:val="FootnoteText"/>
      </w:pPr>
      <w:r>
        <w:rPr>
          <w:rStyle w:val="FootnoteReference"/>
        </w:rPr>
        <w:footnoteRef/>
      </w:r>
      <w:r>
        <w:t xml:space="preserve"> </w:t>
      </w:r>
      <w:r>
        <w:rPr>
          <w:rFonts w:ascii="David" w:hAnsi="David" w:cs="David"/>
          <w:color w:val="222222"/>
          <w:shd w:val="clear" w:color="auto" w:fill="FFFFFF"/>
        </w:rPr>
        <w:t>Go</w:t>
      </w:r>
      <w:r w:rsidRPr="0086078C">
        <w:rPr>
          <w:rFonts w:ascii="David" w:hAnsi="David" w:cs="David"/>
          <w:color w:val="222222"/>
          <w:shd w:val="clear" w:color="auto" w:fill="FFFFFF"/>
        </w:rPr>
        <w:t xml:space="preserve">ldstein, A </w:t>
      </w:r>
      <w:r>
        <w:rPr>
          <w:rFonts w:ascii="David" w:hAnsi="David" w:cs="David"/>
          <w:color w:val="222222"/>
          <w:shd w:val="clear" w:color="auto" w:fill="FFFFFF"/>
        </w:rPr>
        <w:t>Ro</w:t>
      </w:r>
      <w:r w:rsidRPr="0086078C">
        <w:rPr>
          <w:rFonts w:ascii="David" w:hAnsi="David" w:cs="David"/>
          <w:color w:val="222222"/>
          <w:shd w:val="clear" w:color="auto" w:fill="FFFFFF"/>
        </w:rPr>
        <w:t xml:space="preserve">om with a </w:t>
      </w:r>
      <w:r>
        <w:rPr>
          <w:rFonts w:ascii="David" w:hAnsi="David" w:cs="David"/>
          <w:color w:val="222222"/>
          <w:shd w:val="clear" w:color="auto" w:fill="FFFFFF"/>
        </w:rPr>
        <w:t>V</w:t>
      </w:r>
      <w:r w:rsidRPr="0086078C">
        <w:rPr>
          <w:rFonts w:ascii="David" w:hAnsi="David" w:cs="David"/>
          <w:color w:val="222222"/>
          <w:shd w:val="clear" w:color="auto" w:fill="FFFFFF"/>
        </w:rPr>
        <w:t xml:space="preserve">iewpoint: Using </w:t>
      </w:r>
      <w:r>
        <w:rPr>
          <w:rFonts w:ascii="David" w:hAnsi="David" w:cs="David"/>
          <w:color w:val="222222"/>
          <w:shd w:val="clear" w:color="auto" w:fill="FFFFFF"/>
        </w:rPr>
        <w:t>S</w:t>
      </w:r>
      <w:r w:rsidRPr="0086078C">
        <w:rPr>
          <w:rFonts w:ascii="David" w:hAnsi="David" w:cs="David"/>
          <w:color w:val="222222"/>
          <w:shd w:val="clear" w:color="auto" w:fill="FFFFFF"/>
        </w:rPr>
        <w:t xml:space="preserve">ocial </w:t>
      </w:r>
      <w:r>
        <w:rPr>
          <w:rFonts w:ascii="David" w:hAnsi="David" w:cs="David"/>
          <w:color w:val="222222"/>
          <w:shd w:val="clear" w:color="auto" w:fill="FFFFFF"/>
        </w:rPr>
        <w:t>N</w:t>
      </w:r>
      <w:r w:rsidRPr="0086078C">
        <w:rPr>
          <w:rFonts w:ascii="David" w:hAnsi="David" w:cs="David"/>
          <w:color w:val="222222"/>
          <w:shd w:val="clear" w:color="auto" w:fill="FFFFFF"/>
        </w:rPr>
        <w:t xml:space="preserve">orms to </w:t>
      </w:r>
      <w:r>
        <w:rPr>
          <w:rFonts w:ascii="David" w:hAnsi="David" w:cs="David"/>
          <w:color w:val="222222"/>
          <w:shd w:val="clear" w:color="auto" w:fill="FFFFFF"/>
        </w:rPr>
        <w:t>M</w:t>
      </w:r>
      <w:r w:rsidRPr="0086078C">
        <w:rPr>
          <w:rFonts w:ascii="David" w:hAnsi="David" w:cs="David"/>
          <w:color w:val="222222"/>
          <w:shd w:val="clear" w:color="auto" w:fill="FFFFFF"/>
        </w:rPr>
        <w:t xml:space="preserve">otivate </w:t>
      </w:r>
      <w:r>
        <w:rPr>
          <w:rFonts w:ascii="David" w:hAnsi="David" w:cs="David"/>
          <w:color w:val="222222"/>
          <w:shd w:val="clear" w:color="auto" w:fill="FFFFFF"/>
        </w:rPr>
        <w:t>E</w:t>
      </w:r>
      <w:r w:rsidRPr="0086078C">
        <w:rPr>
          <w:rFonts w:ascii="David" w:hAnsi="David" w:cs="David"/>
          <w:color w:val="222222"/>
          <w:shd w:val="clear" w:color="auto" w:fill="FFFFFF"/>
        </w:rPr>
        <w:t xml:space="preserve">nvironmental </w:t>
      </w:r>
      <w:r>
        <w:rPr>
          <w:rFonts w:ascii="David" w:hAnsi="David" w:cs="David"/>
          <w:color w:val="222222"/>
          <w:shd w:val="clear" w:color="auto" w:fill="FFFFFF"/>
        </w:rPr>
        <w:t>C</w:t>
      </w:r>
      <w:r w:rsidRPr="0086078C">
        <w:rPr>
          <w:rFonts w:ascii="David" w:hAnsi="David" w:cs="David"/>
          <w:color w:val="222222"/>
          <w:shd w:val="clear" w:color="auto" w:fill="FFFFFF"/>
        </w:rPr>
        <w:t xml:space="preserve">onservation in </w:t>
      </w:r>
      <w:r>
        <w:rPr>
          <w:rFonts w:ascii="David" w:hAnsi="David" w:cs="David"/>
          <w:color w:val="222222"/>
          <w:shd w:val="clear" w:color="auto" w:fill="FFFFFF"/>
        </w:rPr>
        <w:t>H</w:t>
      </w:r>
      <w:r w:rsidRPr="0086078C">
        <w:rPr>
          <w:rFonts w:ascii="David" w:hAnsi="David" w:cs="David"/>
          <w:color w:val="222222"/>
          <w:shd w:val="clear" w:color="auto" w:fill="FFFFFF"/>
        </w:rPr>
        <w:t>otels</w:t>
      </w:r>
      <w:r>
        <w:rPr>
          <w:rFonts w:ascii="David" w:hAnsi="David" w:cs="David"/>
          <w:color w:val="222222"/>
          <w:shd w:val="clear" w:color="auto" w:fill="FFFFFF"/>
        </w:rPr>
        <w:t>, pp. 472-482.</w:t>
      </w:r>
    </w:p>
  </w:footnote>
  <w:footnote w:id="75">
    <w:p w14:paraId="6F6A70F2" w14:textId="77777777" w:rsidR="006E132F" w:rsidRDefault="006E132F" w:rsidP="006E132F">
      <w:pPr>
        <w:pStyle w:val="FootnoteText"/>
      </w:pPr>
      <w:r>
        <w:rPr>
          <w:rStyle w:val="FootnoteReference"/>
        </w:rPr>
        <w:footnoteRef/>
      </w:r>
      <w:r>
        <w:t xml:space="preserve"> </w:t>
      </w:r>
      <w:r w:rsidRPr="00B96360">
        <w:rPr>
          <w:rFonts w:ascii="David" w:hAnsi="David" w:cs="David"/>
          <w:color w:val="222222"/>
          <w:shd w:val="clear" w:color="auto" w:fill="FFFFFF"/>
        </w:rPr>
        <w:t xml:space="preserve">Cooter, Robert D. "Three </w:t>
      </w:r>
      <w:r>
        <w:rPr>
          <w:rFonts w:ascii="David" w:hAnsi="David" w:cs="David"/>
          <w:color w:val="222222"/>
          <w:shd w:val="clear" w:color="auto" w:fill="FFFFFF"/>
        </w:rPr>
        <w:t>E</w:t>
      </w:r>
      <w:r w:rsidRPr="00B96360">
        <w:rPr>
          <w:rFonts w:ascii="David" w:hAnsi="David" w:cs="David"/>
          <w:color w:val="222222"/>
          <w:shd w:val="clear" w:color="auto" w:fill="FFFFFF"/>
        </w:rPr>
        <w:t xml:space="preserve">ffects of </w:t>
      </w:r>
      <w:r>
        <w:rPr>
          <w:rFonts w:ascii="David" w:hAnsi="David" w:cs="David"/>
          <w:color w:val="222222"/>
          <w:shd w:val="clear" w:color="auto" w:fill="FFFFFF"/>
        </w:rPr>
        <w:t>S</w:t>
      </w:r>
      <w:r w:rsidRPr="00B96360">
        <w:rPr>
          <w:rFonts w:ascii="David" w:hAnsi="David" w:cs="David"/>
          <w:color w:val="222222"/>
          <w:shd w:val="clear" w:color="auto" w:fill="FFFFFF"/>
        </w:rPr>
        <w:t xml:space="preserve">ocial </w:t>
      </w:r>
      <w:r>
        <w:rPr>
          <w:rFonts w:ascii="David" w:hAnsi="David" w:cs="David"/>
          <w:color w:val="222222"/>
          <w:shd w:val="clear" w:color="auto" w:fill="FFFFFF"/>
        </w:rPr>
        <w:t>N</w:t>
      </w:r>
      <w:r w:rsidRPr="00B96360">
        <w:rPr>
          <w:rFonts w:ascii="David" w:hAnsi="David" w:cs="David"/>
          <w:color w:val="222222"/>
          <w:shd w:val="clear" w:color="auto" w:fill="FFFFFF"/>
        </w:rPr>
        <w:t xml:space="preserve">orms on </w:t>
      </w:r>
      <w:r>
        <w:rPr>
          <w:rFonts w:ascii="David" w:hAnsi="David" w:cs="David"/>
          <w:color w:val="222222"/>
          <w:shd w:val="clear" w:color="auto" w:fill="FFFFFF"/>
        </w:rPr>
        <w:t>L</w:t>
      </w:r>
      <w:r w:rsidRPr="00B96360">
        <w:rPr>
          <w:rFonts w:ascii="David" w:hAnsi="David" w:cs="David"/>
          <w:color w:val="222222"/>
          <w:shd w:val="clear" w:color="auto" w:fill="FFFFFF"/>
        </w:rPr>
        <w:t xml:space="preserve">aw: </w:t>
      </w:r>
      <w:r>
        <w:rPr>
          <w:rFonts w:ascii="David" w:hAnsi="David" w:cs="David"/>
          <w:color w:val="222222"/>
          <w:shd w:val="clear" w:color="auto" w:fill="FFFFFF"/>
        </w:rPr>
        <w:t>E</w:t>
      </w:r>
      <w:r w:rsidRPr="00B96360">
        <w:rPr>
          <w:rFonts w:ascii="David" w:hAnsi="David" w:cs="David"/>
          <w:color w:val="222222"/>
          <w:shd w:val="clear" w:color="auto" w:fill="FFFFFF"/>
        </w:rPr>
        <w:t xml:space="preserve">xpression, </w:t>
      </w:r>
      <w:r>
        <w:rPr>
          <w:rFonts w:ascii="David" w:hAnsi="David" w:cs="David"/>
          <w:color w:val="222222"/>
          <w:shd w:val="clear" w:color="auto" w:fill="FFFFFF"/>
        </w:rPr>
        <w:t>D</w:t>
      </w:r>
      <w:r w:rsidRPr="00B96360">
        <w:rPr>
          <w:rFonts w:ascii="David" w:hAnsi="David" w:cs="David"/>
          <w:color w:val="222222"/>
          <w:shd w:val="clear" w:color="auto" w:fill="FFFFFF"/>
        </w:rPr>
        <w:t xml:space="preserve">eterrence, and </w:t>
      </w:r>
      <w:r>
        <w:rPr>
          <w:rFonts w:ascii="David" w:hAnsi="David" w:cs="David"/>
          <w:color w:val="222222"/>
          <w:shd w:val="clear" w:color="auto" w:fill="FFFFFF"/>
        </w:rPr>
        <w:t>I</w:t>
      </w:r>
      <w:r w:rsidRPr="00B96360">
        <w:rPr>
          <w:rFonts w:ascii="David" w:hAnsi="David" w:cs="David"/>
          <w:color w:val="222222"/>
          <w:shd w:val="clear" w:color="auto" w:fill="FFFFFF"/>
        </w:rPr>
        <w:t>nternalization." </w:t>
      </w:r>
      <w:r w:rsidRPr="00B96360">
        <w:rPr>
          <w:rFonts w:ascii="David" w:hAnsi="David" w:cs="David"/>
          <w:i/>
          <w:iCs/>
          <w:color w:val="222222"/>
          <w:shd w:val="clear" w:color="auto" w:fill="FFFFFF"/>
        </w:rPr>
        <w:t>Or. L. Rev</w:t>
      </w:r>
      <w:r>
        <w:rPr>
          <w:rFonts w:ascii="David" w:hAnsi="David" w:cs="David"/>
          <w:i/>
          <w:iCs/>
          <w:color w:val="222222"/>
          <w:shd w:val="clear" w:color="auto" w:fill="FFFFFF"/>
        </w:rPr>
        <w:t>,</w:t>
      </w:r>
      <w:r w:rsidRPr="00B96360">
        <w:rPr>
          <w:rFonts w:ascii="David" w:hAnsi="David" w:cs="David"/>
          <w:color w:val="222222"/>
          <w:shd w:val="clear" w:color="auto" w:fill="FFFFFF"/>
        </w:rPr>
        <w:t> </w:t>
      </w:r>
      <w:r>
        <w:rPr>
          <w:rFonts w:ascii="David" w:hAnsi="David" w:cs="David"/>
          <w:color w:val="222222"/>
          <w:shd w:val="clear" w:color="auto" w:fill="FFFFFF"/>
        </w:rPr>
        <w:t xml:space="preserve">vol. </w:t>
      </w:r>
      <w:r w:rsidRPr="00B96360">
        <w:rPr>
          <w:rFonts w:ascii="David" w:hAnsi="David" w:cs="David"/>
          <w:color w:val="222222"/>
          <w:shd w:val="clear" w:color="auto" w:fill="FFFFFF"/>
        </w:rPr>
        <w:t>79</w:t>
      </w:r>
      <w:r>
        <w:rPr>
          <w:rFonts w:ascii="David" w:hAnsi="David" w:cs="David"/>
          <w:color w:val="222222"/>
          <w:shd w:val="clear" w:color="auto" w:fill="FFFFFF"/>
        </w:rPr>
        <w:t>,</w:t>
      </w:r>
      <w:r w:rsidRPr="00B96360">
        <w:rPr>
          <w:rFonts w:ascii="David" w:hAnsi="David" w:cs="David"/>
          <w:color w:val="222222"/>
          <w:shd w:val="clear" w:color="auto" w:fill="FFFFFF"/>
        </w:rPr>
        <w:t xml:space="preserve"> 2000</w:t>
      </w:r>
      <w:r>
        <w:rPr>
          <w:rFonts w:ascii="David" w:hAnsi="David" w:cs="David"/>
          <w:color w:val="222222"/>
          <w:shd w:val="clear" w:color="auto" w:fill="FFFFFF"/>
        </w:rPr>
        <w:t>. A</w:t>
      </w:r>
      <w:r w:rsidRPr="00B96360">
        <w:rPr>
          <w:rFonts w:ascii="David" w:hAnsi="David" w:cs="David"/>
          <w:color w:val="222222"/>
          <w:shd w:val="clear" w:color="auto" w:fill="FFFFFF"/>
        </w:rPr>
        <w:t>lso see</w:t>
      </w:r>
      <w:r>
        <w:rPr>
          <w:rFonts w:ascii="David" w:hAnsi="David" w:cs="David"/>
          <w:color w:val="222222"/>
          <w:shd w:val="clear" w:color="auto" w:fill="FFFFFF"/>
        </w:rPr>
        <w:t>:</w:t>
      </w:r>
      <w:r w:rsidRPr="00B96360">
        <w:rPr>
          <w:rFonts w:ascii="David" w:hAnsi="David" w:cs="David"/>
          <w:color w:val="222222"/>
          <w:shd w:val="clear" w:color="auto" w:fill="FFFFFF"/>
        </w:rPr>
        <w:t xml:space="preserve"> </w:t>
      </w:r>
      <w:proofErr w:type="spellStart"/>
      <w:r w:rsidRPr="00B96360">
        <w:rPr>
          <w:rFonts w:ascii="David" w:hAnsi="David" w:cs="David"/>
          <w:color w:val="222222"/>
          <w:shd w:val="clear" w:color="auto" w:fill="FFFFFF"/>
        </w:rPr>
        <w:t>Gavrilets</w:t>
      </w:r>
      <w:proofErr w:type="spellEnd"/>
      <w:r w:rsidRPr="00B96360">
        <w:rPr>
          <w:rFonts w:ascii="David" w:hAnsi="David" w:cs="David"/>
          <w:color w:val="222222"/>
          <w:shd w:val="clear" w:color="auto" w:fill="FFFFFF"/>
        </w:rPr>
        <w:t xml:space="preserve">, Sergey, and Peter J. Richerson. "Collective </w:t>
      </w:r>
      <w:r>
        <w:rPr>
          <w:rFonts w:ascii="David" w:hAnsi="David" w:cs="David"/>
          <w:color w:val="222222"/>
          <w:shd w:val="clear" w:color="auto" w:fill="FFFFFF"/>
        </w:rPr>
        <w:t>A</w:t>
      </w:r>
      <w:r w:rsidRPr="00B96360">
        <w:rPr>
          <w:rFonts w:ascii="David" w:hAnsi="David" w:cs="David"/>
          <w:color w:val="222222"/>
          <w:shd w:val="clear" w:color="auto" w:fill="FFFFFF"/>
        </w:rPr>
        <w:t xml:space="preserve">ction and the </w:t>
      </w:r>
      <w:r>
        <w:rPr>
          <w:rFonts w:ascii="David" w:hAnsi="David" w:cs="David"/>
          <w:color w:val="222222"/>
          <w:shd w:val="clear" w:color="auto" w:fill="FFFFFF"/>
        </w:rPr>
        <w:t>E</w:t>
      </w:r>
      <w:r w:rsidRPr="00B96360">
        <w:rPr>
          <w:rFonts w:ascii="David" w:hAnsi="David" w:cs="David"/>
          <w:color w:val="222222"/>
          <w:shd w:val="clear" w:color="auto" w:fill="FFFFFF"/>
        </w:rPr>
        <w:t xml:space="preserve">volution of </w:t>
      </w:r>
      <w:r>
        <w:rPr>
          <w:rFonts w:ascii="David" w:hAnsi="David" w:cs="David"/>
          <w:color w:val="222222"/>
          <w:shd w:val="clear" w:color="auto" w:fill="FFFFFF"/>
        </w:rPr>
        <w:t>S</w:t>
      </w:r>
      <w:r w:rsidRPr="00B96360">
        <w:rPr>
          <w:rFonts w:ascii="David" w:hAnsi="David" w:cs="David"/>
          <w:color w:val="222222"/>
          <w:shd w:val="clear" w:color="auto" w:fill="FFFFFF"/>
        </w:rPr>
        <w:t xml:space="preserve">ocial </w:t>
      </w:r>
      <w:r>
        <w:rPr>
          <w:rFonts w:ascii="David" w:hAnsi="David" w:cs="David"/>
          <w:color w:val="222222"/>
          <w:shd w:val="clear" w:color="auto" w:fill="FFFFFF"/>
        </w:rPr>
        <w:t>N</w:t>
      </w:r>
      <w:r w:rsidRPr="00B96360">
        <w:rPr>
          <w:rFonts w:ascii="David" w:hAnsi="David" w:cs="David"/>
          <w:color w:val="222222"/>
          <w:shd w:val="clear" w:color="auto" w:fill="FFFFFF"/>
        </w:rPr>
        <w:t xml:space="preserve">orm </w:t>
      </w:r>
      <w:r>
        <w:rPr>
          <w:rFonts w:ascii="David" w:hAnsi="David" w:cs="David"/>
          <w:color w:val="222222"/>
          <w:shd w:val="clear" w:color="auto" w:fill="FFFFFF"/>
        </w:rPr>
        <w:t>I</w:t>
      </w:r>
      <w:r w:rsidRPr="00B96360">
        <w:rPr>
          <w:rFonts w:ascii="David" w:hAnsi="David" w:cs="David"/>
          <w:color w:val="222222"/>
          <w:shd w:val="clear" w:color="auto" w:fill="FFFFFF"/>
        </w:rPr>
        <w:t>nternalization." </w:t>
      </w:r>
      <w:r w:rsidRPr="00B96360">
        <w:rPr>
          <w:rFonts w:ascii="David" w:hAnsi="David" w:cs="David"/>
          <w:i/>
          <w:iCs/>
          <w:color w:val="222222"/>
          <w:shd w:val="clear" w:color="auto" w:fill="FFFFFF"/>
        </w:rPr>
        <w:t>Proceedings of the National Academy of Sciences</w:t>
      </w:r>
      <w:r w:rsidRPr="00B96360">
        <w:rPr>
          <w:rFonts w:ascii="David" w:hAnsi="David" w:cs="David"/>
          <w:color w:val="222222"/>
          <w:shd w:val="clear" w:color="auto" w:fill="FFFFFF"/>
        </w:rPr>
        <w:t> </w:t>
      </w:r>
      <w:r>
        <w:rPr>
          <w:rFonts w:ascii="David" w:hAnsi="David" w:cs="David"/>
          <w:color w:val="222222"/>
          <w:shd w:val="clear" w:color="auto" w:fill="FFFFFF"/>
        </w:rPr>
        <w:t xml:space="preserve">vol. </w:t>
      </w:r>
      <w:r w:rsidRPr="00B96360">
        <w:rPr>
          <w:rFonts w:ascii="David" w:hAnsi="David" w:cs="David"/>
          <w:color w:val="222222"/>
          <w:shd w:val="clear" w:color="auto" w:fill="FFFFFF"/>
        </w:rPr>
        <w:t>114.23</w:t>
      </w:r>
      <w:r>
        <w:rPr>
          <w:rFonts w:ascii="David" w:hAnsi="David" w:cs="David"/>
          <w:color w:val="222222"/>
          <w:shd w:val="clear" w:color="auto" w:fill="FFFFFF"/>
        </w:rPr>
        <w:t>,</w:t>
      </w:r>
      <w:r w:rsidRPr="00B96360">
        <w:rPr>
          <w:rFonts w:ascii="David" w:hAnsi="David" w:cs="David"/>
          <w:color w:val="222222"/>
          <w:shd w:val="clear" w:color="auto" w:fill="FFFFFF"/>
        </w:rPr>
        <w:t>2017</w:t>
      </w:r>
      <w:r>
        <w:rPr>
          <w:rFonts w:ascii="David" w:hAnsi="David" w:cs="David"/>
          <w:color w:val="222222"/>
          <w:shd w:val="clear" w:color="auto" w:fill="FFFFFF"/>
        </w:rPr>
        <w:t>, pp.</w:t>
      </w:r>
      <w:r w:rsidRPr="00B96360">
        <w:rPr>
          <w:rFonts w:ascii="David" w:hAnsi="David" w:cs="David"/>
          <w:color w:val="222222"/>
          <w:shd w:val="clear" w:color="auto" w:fill="FFFFFF"/>
        </w:rPr>
        <w:t xml:space="preserve"> 6068-6073.</w:t>
      </w:r>
      <w:r w:rsidRPr="00B96360">
        <w:rPr>
          <w:rFonts w:ascii="David" w:hAnsi="David" w:cs="David"/>
          <w:color w:val="222222"/>
          <w:shd w:val="clear" w:color="auto" w:fill="FFFFFF"/>
          <w:rtl/>
        </w:rPr>
        <w:t>‏</w:t>
      </w:r>
      <w:r w:rsidRPr="00B96360">
        <w:rPr>
          <w:rFonts w:ascii="David" w:hAnsi="David" w:cs="David"/>
          <w:color w:val="222222"/>
          <w:shd w:val="clear" w:color="auto" w:fill="FFFFFF"/>
        </w:rPr>
        <w:t xml:space="preserve"> </w:t>
      </w:r>
      <w:r>
        <w:rPr>
          <w:rFonts w:ascii="David" w:hAnsi="David" w:cs="David"/>
          <w:color w:val="222222"/>
          <w:shd w:val="clear" w:color="auto" w:fill="FFFFFF"/>
        </w:rPr>
        <w:t>A</w:t>
      </w:r>
      <w:r w:rsidRPr="00B96360">
        <w:rPr>
          <w:rFonts w:ascii="David" w:hAnsi="David" w:cs="David"/>
          <w:color w:val="222222"/>
          <w:shd w:val="clear" w:color="auto" w:fill="FFFFFF"/>
        </w:rPr>
        <w:t>lso see</w:t>
      </w:r>
      <w:r>
        <w:rPr>
          <w:rFonts w:ascii="David" w:hAnsi="David" w:cs="David"/>
          <w:color w:val="222222"/>
          <w:shd w:val="clear" w:color="auto" w:fill="FFFFFF"/>
        </w:rPr>
        <w:t>:</w:t>
      </w:r>
      <w:r w:rsidRPr="00B96360">
        <w:rPr>
          <w:rFonts w:ascii="David" w:hAnsi="David" w:cs="David"/>
          <w:color w:val="222222"/>
          <w:shd w:val="clear" w:color="auto" w:fill="FFFFFF"/>
        </w:rPr>
        <w:t xml:space="preserve"> Etzioni, Amitai. "Social </w:t>
      </w:r>
      <w:r>
        <w:rPr>
          <w:rFonts w:ascii="David" w:hAnsi="David" w:cs="David"/>
          <w:color w:val="222222"/>
          <w:shd w:val="clear" w:color="auto" w:fill="FFFFFF"/>
        </w:rPr>
        <w:t>N</w:t>
      </w:r>
      <w:r w:rsidRPr="00B96360">
        <w:rPr>
          <w:rFonts w:ascii="David" w:hAnsi="David" w:cs="David"/>
          <w:color w:val="222222"/>
          <w:shd w:val="clear" w:color="auto" w:fill="FFFFFF"/>
        </w:rPr>
        <w:t xml:space="preserve">orms: Internalization, </w:t>
      </w:r>
      <w:r>
        <w:rPr>
          <w:rFonts w:ascii="David" w:hAnsi="David" w:cs="David"/>
          <w:color w:val="222222"/>
          <w:shd w:val="clear" w:color="auto" w:fill="FFFFFF"/>
        </w:rPr>
        <w:t>P</w:t>
      </w:r>
      <w:r w:rsidRPr="00B96360">
        <w:rPr>
          <w:rFonts w:ascii="David" w:hAnsi="David" w:cs="David"/>
          <w:color w:val="222222"/>
          <w:shd w:val="clear" w:color="auto" w:fill="FFFFFF"/>
        </w:rPr>
        <w:t xml:space="preserve">ersuasion, and </w:t>
      </w:r>
      <w:r>
        <w:rPr>
          <w:rFonts w:ascii="David" w:hAnsi="David" w:cs="David"/>
          <w:color w:val="222222"/>
          <w:shd w:val="clear" w:color="auto" w:fill="FFFFFF"/>
        </w:rPr>
        <w:t>H</w:t>
      </w:r>
      <w:r w:rsidRPr="00B96360">
        <w:rPr>
          <w:rFonts w:ascii="David" w:hAnsi="David" w:cs="David"/>
          <w:color w:val="222222"/>
          <w:shd w:val="clear" w:color="auto" w:fill="FFFFFF"/>
        </w:rPr>
        <w:t>istory." </w:t>
      </w:r>
      <w:r w:rsidRPr="00B96360">
        <w:rPr>
          <w:rFonts w:ascii="David" w:hAnsi="David" w:cs="David"/>
          <w:i/>
          <w:iCs/>
          <w:color w:val="222222"/>
          <w:shd w:val="clear" w:color="auto" w:fill="FFFFFF"/>
        </w:rPr>
        <w:t xml:space="preserve">Law and </w:t>
      </w:r>
      <w:r>
        <w:rPr>
          <w:rFonts w:ascii="David" w:hAnsi="David" w:cs="David"/>
          <w:i/>
          <w:iCs/>
          <w:color w:val="222222"/>
          <w:shd w:val="clear" w:color="auto" w:fill="FFFFFF"/>
        </w:rPr>
        <w:t>S</w:t>
      </w:r>
      <w:r w:rsidRPr="00B96360">
        <w:rPr>
          <w:rFonts w:ascii="David" w:hAnsi="David" w:cs="David"/>
          <w:i/>
          <w:iCs/>
          <w:color w:val="222222"/>
          <w:shd w:val="clear" w:color="auto" w:fill="FFFFFF"/>
        </w:rPr>
        <w:t xml:space="preserve">ociety </w:t>
      </w:r>
      <w:r>
        <w:rPr>
          <w:rFonts w:ascii="David" w:hAnsi="David" w:cs="David"/>
          <w:i/>
          <w:iCs/>
          <w:color w:val="222222"/>
          <w:shd w:val="clear" w:color="auto" w:fill="FFFFFF"/>
        </w:rPr>
        <w:t>R</w:t>
      </w:r>
      <w:r w:rsidRPr="00B96360">
        <w:rPr>
          <w:rFonts w:ascii="David" w:hAnsi="David" w:cs="David"/>
          <w:i/>
          <w:iCs/>
          <w:color w:val="222222"/>
          <w:shd w:val="clear" w:color="auto" w:fill="FFFFFF"/>
        </w:rPr>
        <w:t>eview</w:t>
      </w:r>
      <w:r>
        <w:rPr>
          <w:rFonts w:ascii="David" w:hAnsi="David" w:cs="David"/>
          <w:i/>
          <w:iCs/>
          <w:color w:val="222222"/>
          <w:shd w:val="clear" w:color="auto" w:fill="FFFFFF"/>
        </w:rPr>
        <w:t>,</w:t>
      </w:r>
      <w:r w:rsidRPr="00B96360">
        <w:rPr>
          <w:rFonts w:ascii="David" w:hAnsi="David" w:cs="David"/>
          <w:color w:val="222222"/>
          <w:shd w:val="clear" w:color="auto" w:fill="FFFFFF"/>
        </w:rPr>
        <w:t> 2000</w:t>
      </w:r>
      <w:r>
        <w:rPr>
          <w:rFonts w:ascii="David" w:hAnsi="David" w:cs="David"/>
          <w:color w:val="222222"/>
          <w:shd w:val="clear" w:color="auto" w:fill="FFFFFF"/>
        </w:rPr>
        <w:t>, pp.</w:t>
      </w:r>
      <w:r w:rsidRPr="00B96360">
        <w:rPr>
          <w:rFonts w:ascii="David" w:hAnsi="David" w:cs="David"/>
          <w:color w:val="222222"/>
          <w:shd w:val="clear" w:color="auto" w:fill="FFFFFF"/>
        </w:rPr>
        <w:t xml:space="preserve"> 157-178.</w:t>
      </w:r>
      <w:r w:rsidRPr="00B96360">
        <w:rPr>
          <w:rFonts w:ascii="David" w:hAnsi="David" w:cs="David"/>
          <w:color w:val="222222"/>
          <w:shd w:val="clear" w:color="auto" w:fill="FFFFFF"/>
          <w:rtl/>
        </w:rPr>
        <w:t>‏</w:t>
      </w:r>
      <w:r w:rsidRPr="00B96360">
        <w:rPr>
          <w:rFonts w:ascii="David" w:hAnsi="David" w:cs="David"/>
          <w:color w:val="222222"/>
          <w:shd w:val="clear" w:color="auto" w:fill="FFFFFF"/>
        </w:rPr>
        <w:t xml:space="preserve"> </w:t>
      </w:r>
      <w:r>
        <w:rPr>
          <w:rFonts w:ascii="David" w:hAnsi="David" w:cs="David"/>
          <w:color w:val="222222"/>
          <w:shd w:val="clear" w:color="auto" w:fill="FFFFFF"/>
        </w:rPr>
        <w:t>S</w:t>
      </w:r>
      <w:r w:rsidRPr="00B96360">
        <w:rPr>
          <w:rFonts w:ascii="David" w:hAnsi="David" w:cs="David"/>
          <w:color w:val="222222"/>
          <w:shd w:val="clear" w:color="auto" w:fill="FFFFFF"/>
        </w:rPr>
        <w:t>ee</w:t>
      </w:r>
      <w:r>
        <w:rPr>
          <w:rFonts w:ascii="David" w:hAnsi="David" w:cs="David"/>
          <w:color w:val="222222"/>
          <w:shd w:val="clear" w:color="auto" w:fill="FFFFFF"/>
        </w:rPr>
        <w:t xml:space="preserve"> also:</w:t>
      </w:r>
      <w:r w:rsidRPr="00B96360">
        <w:rPr>
          <w:rFonts w:ascii="David" w:hAnsi="David" w:cs="David"/>
          <w:color w:val="222222"/>
          <w:shd w:val="clear" w:color="auto" w:fill="FFFFFF"/>
        </w:rPr>
        <w:t xml:space="preserve"> Crandall, Christian S., Amy Eshleman, and Laurie O'</w:t>
      </w:r>
      <w:r>
        <w:rPr>
          <w:rFonts w:ascii="David" w:hAnsi="David" w:cs="David"/>
          <w:color w:val="222222"/>
          <w:shd w:val="clear" w:color="auto" w:fill="FFFFFF"/>
        </w:rPr>
        <w:t>B</w:t>
      </w:r>
      <w:r w:rsidRPr="00B96360">
        <w:rPr>
          <w:rFonts w:ascii="David" w:hAnsi="David" w:cs="David"/>
          <w:color w:val="222222"/>
          <w:shd w:val="clear" w:color="auto" w:fill="FFFFFF"/>
        </w:rPr>
        <w:t xml:space="preserve">rien. </w:t>
      </w:r>
      <w:r>
        <w:rPr>
          <w:rFonts w:ascii="David" w:hAnsi="David" w:cs="David"/>
          <w:color w:val="222222"/>
          <w:shd w:val="clear" w:color="auto" w:fill="FFFFFF"/>
        </w:rPr>
        <w:t>“</w:t>
      </w:r>
      <w:r w:rsidRPr="00B96360">
        <w:rPr>
          <w:rFonts w:ascii="David" w:hAnsi="David" w:cs="David"/>
          <w:color w:val="222222"/>
          <w:shd w:val="clear" w:color="auto" w:fill="FFFFFF"/>
        </w:rPr>
        <w:t xml:space="preserve">Social </w:t>
      </w:r>
      <w:r>
        <w:rPr>
          <w:rFonts w:ascii="David" w:hAnsi="David" w:cs="David"/>
          <w:color w:val="222222"/>
          <w:shd w:val="clear" w:color="auto" w:fill="FFFFFF"/>
        </w:rPr>
        <w:t>N</w:t>
      </w:r>
      <w:r w:rsidRPr="00B96360">
        <w:rPr>
          <w:rFonts w:ascii="David" w:hAnsi="David" w:cs="David"/>
          <w:color w:val="222222"/>
          <w:shd w:val="clear" w:color="auto" w:fill="FFFFFF"/>
        </w:rPr>
        <w:t xml:space="preserve">orms and the </w:t>
      </w:r>
      <w:r>
        <w:rPr>
          <w:rFonts w:ascii="David" w:hAnsi="David" w:cs="David"/>
          <w:color w:val="222222"/>
          <w:shd w:val="clear" w:color="auto" w:fill="FFFFFF"/>
        </w:rPr>
        <w:t>E</w:t>
      </w:r>
      <w:r w:rsidRPr="00B96360">
        <w:rPr>
          <w:rFonts w:ascii="David" w:hAnsi="David" w:cs="David"/>
          <w:color w:val="222222"/>
          <w:shd w:val="clear" w:color="auto" w:fill="FFFFFF"/>
        </w:rPr>
        <w:t xml:space="preserve">xpression and </w:t>
      </w:r>
      <w:r>
        <w:rPr>
          <w:rFonts w:ascii="David" w:hAnsi="David" w:cs="David"/>
          <w:color w:val="222222"/>
          <w:shd w:val="clear" w:color="auto" w:fill="FFFFFF"/>
        </w:rPr>
        <w:t>S</w:t>
      </w:r>
      <w:r w:rsidRPr="00B96360">
        <w:rPr>
          <w:rFonts w:ascii="David" w:hAnsi="David" w:cs="David"/>
          <w:color w:val="222222"/>
          <w:shd w:val="clear" w:color="auto" w:fill="FFFFFF"/>
        </w:rPr>
        <w:t xml:space="preserve">uppression of </w:t>
      </w:r>
      <w:r>
        <w:rPr>
          <w:rFonts w:ascii="David" w:hAnsi="David" w:cs="David"/>
          <w:color w:val="222222"/>
          <w:shd w:val="clear" w:color="auto" w:fill="FFFFFF"/>
        </w:rPr>
        <w:t>Pr</w:t>
      </w:r>
      <w:r w:rsidRPr="00B96360">
        <w:rPr>
          <w:rFonts w:ascii="David" w:hAnsi="David" w:cs="David"/>
          <w:color w:val="222222"/>
          <w:shd w:val="clear" w:color="auto" w:fill="FFFFFF"/>
        </w:rPr>
        <w:t xml:space="preserve">ejudice: </w:t>
      </w:r>
      <w:r>
        <w:rPr>
          <w:rFonts w:ascii="David" w:hAnsi="David" w:cs="David"/>
          <w:color w:val="222222"/>
          <w:shd w:val="clear" w:color="auto" w:fill="FFFFFF"/>
        </w:rPr>
        <w:t>T</w:t>
      </w:r>
      <w:r w:rsidRPr="00B96360">
        <w:rPr>
          <w:rFonts w:ascii="David" w:hAnsi="David" w:cs="David"/>
          <w:color w:val="222222"/>
          <w:shd w:val="clear" w:color="auto" w:fill="FFFFFF"/>
        </w:rPr>
        <w:t xml:space="preserve">he </w:t>
      </w:r>
      <w:r>
        <w:rPr>
          <w:rFonts w:ascii="David" w:hAnsi="David" w:cs="David"/>
          <w:color w:val="222222"/>
          <w:shd w:val="clear" w:color="auto" w:fill="FFFFFF"/>
        </w:rPr>
        <w:t>S</w:t>
      </w:r>
      <w:r w:rsidRPr="00B96360">
        <w:rPr>
          <w:rFonts w:ascii="David" w:hAnsi="David" w:cs="David"/>
          <w:color w:val="222222"/>
          <w:shd w:val="clear" w:color="auto" w:fill="FFFFFF"/>
        </w:rPr>
        <w:t xml:space="preserve">truggle for </w:t>
      </w:r>
      <w:r>
        <w:rPr>
          <w:rFonts w:ascii="David" w:hAnsi="David" w:cs="David"/>
          <w:color w:val="222222"/>
          <w:shd w:val="clear" w:color="auto" w:fill="FFFFFF"/>
        </w:rPr>
        <w:t>I</w:t>
      </w:r>
      <w:r w:rsidRPr="00B96360">
        <w:rPr>
          <w:rFonts w:ascii="David" w:hAnsi="David" w:cs="David"/>
          <w:color w:val="222222"/>
          <w:shd w:val="clear" w:color="auto" w:fill="FFFFFF"/>
        </w:rPr>
        <w:t>nternalization.</w:t>
      </w:r>
      <w:r>
        <w:rPr>
          <w:rFonts w:ascii="David" w:hAnsi="David" w:cs="David"/>
          <w:color w:val="222222"/>
          <w:shd w:val="clear" w:color="auto" w:fill="FFFFFF"/>
        </w:rPr>
        <w:t>”</w:t>
      </w:r>
      <w:r w:rsidRPr="00B96360">
        <w:rPr>
          <w:rFonts w:ascii="David" w:hAnsi="David" w:cs="David"/>
          <w:color w:val="222222"/>
          <w:shd w:val="clear" w:color="auto" w:fill="FFFFFF"/>
        </w:rPr>
        <w:t> </w:t>
      </w:r>
      <w:r w:rsidRPr="00B96360">
        <w:rPr>
          <w:rFonts w:ascii="David" w:hAnsi="David" w:cs="David"/>
          <w:i/>
          <w:iCs/>
          <w:color w:val="222222"/>
          <w:shd w:val="clear" w:color="auto" w:fill="FFFFFF"/>
        </w:rPr>
        <w:t xml:space="preserve">Journal of </w:t>
      </w:r>
      <w:r>
        <w:rPr>
          <w:rFonts w:ascii="David" w:hAnsi="David" w:cs="David"/>
          <w:i/>
          <w:iCs/>
          <w:color w:val="222222"/>
          <w:shd w:val="clear" w:color="auto" w:fill="FFFFFF"/>
        </w:rPr>
        <w:t>P</w:t>
      </w:r>
      <w:r w:rsidRPr="00B96360">
        <w:rPr>
          <w:rFonts w:ascii="David" w:hAnsi="David" w:cs="David"/>
          <w:i/>
          <w:iCs/>
          <w:color w:val="222222"/>
          <w:shd w:val="clear" w:color="auto" w:fill="FFFFFF"/>
        </w:rPr>
        <w:t xml:space="preserve">ersonality and </w:t>
      </w:r>
      <w:r>
        <w:rPr>
          <w:rFonts w:ascii="David" w:hAnsi="David" w:cs="David"/>
          <w:i/>
          <w:iCs/>
          <w:color w:val="222222"/>
          <w:shd w:val="clear" w:color="auto" w:fill="FFFFFF"/>
        </w:rPr>
        <w:t>S</w:t>
      </w:r>
      <w:r w:rsidRPr="00B96360">
        <w:rPr>
          <w:rFonts w:ascii="David" w:hAnsi="David" w:cs="David"/>
          <w:i/>
          <w:iCs/>
          <w:color w:val="222222"/>
          <w:shd w:val="clear" w:color="auto" w:fill="FFFFFF"/>
        </w:rPr>
        <w:t xml:space="preserve">ocial </w:t>
      </w:r>
      <w:proofErr w:type="gramStart"/>
      <w:r>
        <w:rPr>
          <w:rFonts w:ascii="David" w:hAnsi="David" w:cs="David"/>
          <w:i/>
          <w:iCs/>
          <w:color w:val="222222"/>
          <w:shd w:val="clear" w:color="auto" w:fill="FFFFFF"/>
        </w:rPr>
        <w:t>P</w:t>
      </w:r>
      <w:r w:rsidRPr="00B96360">
        <w:rPr>
          <w:rFonts w:ascii="David" w:hAnsi="David" w:cs="David"/>
          <w:i/>
          <w:iCs/>
          <w:color w:val="222222"/>
          <w:shd w:val="clear" w:color="auto" w:fill="FFFFFF"/>
        </w:rPr>
        <w:t>sychology</w:t>
      </w:r>
      <w:r w:rsidRPr="00B96360">
        <w:rPr>
          <w:rFonts w:ascii="David" w:hAnsi="David" w:cs="David"/>
          <w:color w:val="222222"/>
          <w:shd w:val="clear" w:color="auto" w:fill="FFFFFF"/>
        </w:rPr>
        <w:t> </w:t>
      </w:r>
      <w:r>
        <w:rPr>
          <w:rFonts w:ascii="David" w:hAnsi="David" w:cs="David"/>
          <w:color w:val="222222"/>
          <w:shd w:val="clear" w:color="auto" w:fill="FFFFFF"/>
        </w:rPr>
        <w:t>,</w:t>
      </w:r>
      <w:proofErr w:type="gramEnd"/>
      <w:r>
        <w:rPr>
          <w:rFonts w:ascii="David" w:hAnsi="David" w:cs="David"/>
          <w:color w:val="222222"/>
          <w:shd w:val="clear" w:color="auto" w:fill="FFFFFF"/>
        </w:rPr>
        <w:t xml:space="preserve"> vol. </w:t>
      </w:r>
      <w:r w:rsidRPr="00B96360">
        <w:rPr>
          <w:rFonts w:ascii="David" w:hAnsi="David" w:cs="David"/>
          <w:color w:val="222222"/>
          <w:shd w:val="clear" w:color="auto" w:fill="FFFFFF"/>
        </w:rPr>
        <w:t>82.3</w:t>
      </w:r>
      <w:r>
        <w:rPr>
          <w:rFonts w:ascii="David" w:hAnsi="David" w:cs="David"/>
          <w:color w:val="222222"/>
          <w:shd w:val="clear" w:color="auto" w:fill="FFFFFF"/>
        </w:rPr>
        <w:t>,</w:t>
      </w:r>
      <w:r w:rsidRPr="00B96360">
        <w:rPr>
          <w:rFonts w:ascii="David" w:hAnsi="David" w:cs="David"/>
          <w:color w:val="222222"/>
          <w:shd w:val="clear" w:color="auto" w:fill="FFFFFF"/>
        </w:rPr>
        <w:t xml:space="preserve"> 2002</w:t>
      </w:r>
      <w:r>
        <w:rPr>
          <w:rFonts w:ascii="David" w:hAnsi="David" w:cs="David"/>
          <w:color w:val="222222"/>
          <w:shd w:val="clear" w:color="auto" w:fill="FFFFFF"/>
        </w:rPr>
        <w:t>,</w:t>
      </w:r>
      <w:r w:rsidRPr="00B96360">
        <w:rPr>
          <w:rFonts w:ascii="David" w:hAnsi="David" w:cs="David"/>
          <w:color w:val="222222"/>
          <w:shd w:val="clear" w:color="auto" w:fill="FFFFFF"/>
        </w:rPr>
        <w:t xml:space="preserve"> </w:t>
      </w:r>
      <w:r>
        <w:rPr>
          <w:rFonts w:ascii="David" w:hAnsi="David" w:cs="David"/>
          <w:color w:val="222222"/>
          <w:shd w:val="clear" w:color="auto" w:fill="FFFFFF"/>
        </w:rPr>
        <w:t xml:space="preserve">pp. </w:t>
      </w:r>
      <w:r w:rsidRPr="00B96360">
        <w:rPr>
          <w:rFonts w:ascii="David" w:hAnsi="David" w:cs="David"/>
          <w:color w:val="222222"/>
          <w:shd w:val="clear" w:color="auto" w:fill="FFFFFF"/>
        </w:rPr>
        <w:t>359.</w:t>
      </w:r>
      <w:r w:rsidRPr="00B96360">
        <w:rPr>
          <w:rFonts w:ascii="David" w:hAnsi="David" w:cs="David"/>
          <w:color w:val="222222"/>
          <w:shd w:val="clear" w:color="auto" w:fill="FFFFFF"/>
          <w:rtl/>
        </w:rPr>
        <w:t>‏</w:t>
      </w:r>
    </w:p>
  </w:footnote>
  <w:footnote w:id="76">
    <w:p w14:paraId="617BDB8A" w14:textId="77777777" w:rsidR="006E132F" w:rsidRDefault="006E132F" w:rsidP="006E132F">
      <w:pPr>
        <w:pStyle w:val="FootnoteText"/>
      </w:pPr>
      <w:r>
        <w:rPr>
          <w:rStyle w:val="FootnoteReference"/>
        </w:rPr>
        <w:footnoteRef/>
      </w:r>
      <w:r>
        <w:t xml:space="preserve"> </w:t>
      </w:r>
      <w:proofErr w:type="spellStart"/>
      <w:r>
        <w:rPr>
          <w:rStyle w:val="cf01"/>
        </w:rPr>
        <w:t>obert</w:t>
      </w:r>
      <w:proofErr w:type="spellEnd"/>
      <w:r>
        <w:rPr>
          <w:rStyle w:val="cf01"/>
        </w:rPr>
        <w:t xml:space="preserve"> B</w:t>
      </w:r>
      <w:r>
        <w:rPr>
          <w:rStyle w:val="cf11"/>
        </w:rPr>
        <w:t xml:space="preserve">. </w:t>
      </w:r>
      <w:r>
        <w:rPr>
          <w:rStyle w:val="cf01"/>
        </w:rPr>
        <w:t>Cialdini and</w:t>
      </w:r>
      <w:r>
        <w:rPr>
          <w:rStyle w:val="cf11"/>
        </w:rPr>
        <w:t xml:space="preserve"> </w:t>
      </w:r>
      <w:r>
        <w:rPr>
          <w:rStyle w:val="cf01"/>
        </w:rPr>
        <w:t>Melanie</w:t>
      </w:r>
      <w:r>
        <w:rPr>
          <w:rStyle w:val="cf11"/>
        </w:rPr>
        <w:t xml:space="preserve"> </w:t>
      </w:r>
      <w:r>
        <w:rPr>
          <w:rStyle w:val="cf01"/>
        </w:rPr>
        <w:t>R</w:t>
      </w:r>
      <w:r>
        <w:rPr>
          <w:rStyle w:val="cf11"/>
        </w:rPr>
        <w:t xml:space="preserve">. </w:t>
      </w:r>
      <w:r>
        <w:rPr>
          <w:rStyle w:val="cf01"/>
        </w:rPr>
        <w:t>Trost, Social</w:t>
      </w:r>
      <w:r>
        <w:rPr>
          <w:rStyle w:val="cf11"/>
        </w:rPr>
        <w:t xml:space="preserve"> </w:t>
      </w:r>
      <w:r>
        <w:rPr>
          <w:rStyle w:val="cf01"/>
        </w:rPr>
        <w:t>Influence</w:t>
      </w:r>
      <w:r>
        <w:rPr>
          <w:rStyle w:val="cf11"/>
        </w:rPr>
        <w:t xml:space="preserve">: </w:t>
      </w:r>
      <w:r>
        <w:rPr>
          <w:rStyle w:val="cf01"/>
        </w:rPr>
        <w:t>Social</w:t>
      </w:r>
      <w:r>
        <w:rPr>
          <w:rStyle w:val="cf11"/>
        </w:rPr>
        <w:t xml:space="preserve"> </w:t>
      </w:r>
      <w:r>
        <w:rPr>
          <w:rStyle w:val="cf01"/>
        </w:rPr>
        <w:t>Norms</w:t>
      </w:r>
      <w:r>
        <w:rPr>
          <w:rStyle w:val="cf11"/>
        </w:rPr>
        <w:t xml:space="preserve">, </w:t>
      </w:r>
      <w:proofErr w:type="spellStart"/>
      <w:r>
        <w:rPr>
          <w:rStyle w:val="cf01"/>
        </w:rPr>
        <w:t>Sonfromity</w:t>
      </w:r>
      <w:proofErr w:type="spellEnd"/>
      <w:r>
        <w:rPr>
          <w:rStyle w:val="cf11"/>
        </w:rPr>
        <w:t xml:space="preserve">, </w:t>
      </w:r>
      <w:r>
        <w:rPr>
          <w:rStyle w:val="cf01"/>
        </w:rPr>
        <w:t>and</w:t>
      </w:r>
      <w:r>
        <w:rPr>
          <w:rStyle w:val="cf11"/>
        </w:rPr>
        <w:t xml:space="preserve"> </w:t>
      </w:r>
      <w:r>
        <w:rPr>
          <w:rStyle w:val="cf01"/>
        </w:rPr>
        <w:t>Compliance</w:t>
      </w:r>
      <w:r>
        <w:rPr>
          <w:rStyle w:val="cf11"/>
        </w:rPr>
        <w:t xml:space="preserve">, </w:t>
      </w:r>
      <w:r>
        <w:rPr>
          <w:rStyle w:val="cf01"/>
        </w:rPr>
        <w:t>in</w:t>
      </w:r>
      <w:r>
        <w:rPr>
          <w:rStyle w:val="cf11"/>
        </w:rPr>
        <w:t xml:space="preserve"> </w:t>
      </w:r>
      <w:r>
        <w:rPr>
          <w:rStyle w:val="cf01"/>
        </w:rPr>
        <w:t>D</w:t>
      </w:r>
      <w:r>
        <w:rPr>
          <w:rStyle w:val="cf11"/>
        </w:rPr>
        <w:t xml:space="preserve">. </w:t>
      </w:r>
      <w:r>
        <w:rPr>
          <w:rStyle w:val="cf01"/>
        </w:rPr>
        <w:t>T. Gilbert, S</w:t>
      </w:r>
      <w:r>
        <w:rPr>
          <w:rStyle w:val="cf11"/>
        </w:rPr>
        <w:t xml:space="preserve">. </w:t>
      </w:r>
      <w:r>
        <w:rPr>
          <w:rStyle w:val="cf01"/>
        </w:rPr>
        <w:t>T. Fiske</w:t>
      </w:r>
      <w:r>
        <w:rPr>
          <w:rStyle w:val="cf11"/>
        </w:rPr>
        <w:t xml:space="preserve">, &amp; </w:t>
      </w:r>
      <w:r>
        <w:rPr>
          <w:rStyle w:val="cf01"/>
        </w:rPr>
        <w:t>G. Lindzey (Eds.)</w:t>
      </w:r>
      <w:r>
        <w:rPr>
          <w:rStyle w:val="cf11"/>
        </w:rPr>
        <w:t xml:space="preserve">, </w:t>
      </w:r>
      <w:r>
        <w:rPr>
          <w:rStyle w:val="cf01"/>
        </w:rPr>
        <w:t>The</w:t>
      </w:r>
      <w:r>
        <w:rPr>
          <w:rStyle w:val="cf11"/>
        </w:rPr>
        <w:t xml:space="preserve"> </w:t>
      </w:r>
      <w:r>
        <w:rPr>
          <w:rStyle w:val="cf01"/>
        </w:rPr>
        <w:t>Handbook</w:t>
      </w:r>
      <w:r>
        <w:rPr>
          <w:rStyle w:val="cf11"/>
        </w:rPr>
        <w:t xml:space="preserve"> </w:t>
      </w:r>
      <w:r>
        <w:rPr>
          <w:rStyle w:val="cf01"/>
        </w:rPr>
        <w:t>of</w:t>
      </w:r>
      <w:r>
        <w:rPr>
          <w:rStyle w:val="cf11"/>
        </w:rPr>
        <w:t xml:space="preserve"> </w:t>
      </w:r>
      <w:r>
        <w:rPr>
          <w:rStyle w:val="cf01"/>
        </w:rPr>
        <w:t>Social</w:t>
      </w:r>
      <w:r>
        <w:rPr>
          <w:rStyle w:val="cf11"/>
        </w:rPr>
        <w:t xml:space="preserve"> </w:t>
      </w:r>
      <w:r>
        <w:rPr>
          <w:rStyle w:val="cf01"/>
        </w:rPr>
        <w:t>Psychology</w:t>
      </w:r>
      <w:r>
        <w:rPr>
          <w:rStyle w:val="cf11"/>
        </w:rPr>
        <w:t xml:space="preserve"> (1998), pp. 151–192</w:t>
      </w:r>
    </w:p>
  </w:footnote>
  <w:footnote w:id="77">
    <w:p w14:paraId="67A21F10" w14:textId="77777777" w:rsidR="006E132F" w:rsidRDefault="006E132F" w:rsidP="006E132F">
      <w:pPr>
        <w:pStyle w:val="FootnoteText"/>
      </w:pPr>
      <w:r>
        <w:rPr>
          <w:rStyle w:val="FootnoteReference"/>
        </w:rPr>
        <w:footnoteRef/>
      </w:r>
      <w:r w:rsidRPr="000901AA">
        <w:rPr>
          <w:lang w:val="it-IT"/>
        </w:rPr>
        <w:t xml:space="preserve"> </w:t>
      </w:r>
      <w:r w:rsidRPr="000901AA">
        <w:rPr>
          <w:rStyle w:val="cf01"/>
          <w:lang w:val="it-IT"/>
        </w:rPr>
        <w:t xml:space="preserve">icchieri, Cristina, and Ryan Muldoon. </w:t>
      </w:r>
      <w:r>
        <w:rPr>
          <w:rStyle w:val="cf01"/>
        </w:rPr>
        <w:t>"Social norms at chapter 5</w:t>
      </w:r>
    </w:p>
  </w:footnote>
  <w:footnote w:id="78">
    <w:p w14:paraId="518E9229" w14:textId="77777777" w:rsidR="006E132F" w:rsidRDefault="006E132F" w:rsidP="006E132F">
      <w:pPr>
        <w:pStyle w:val="FootnoteText"/>
        <w:rPr>
          <w:rtl/>
        </w:rPr>
      </w:pPr>
      <w:r>
        <w:rPr>
          <w:rStyle w:val="FootnoteReference"/>
        </w:rPr>
        <w:footnoteRef/>
      </w:r>
      <w:r>
        <w:t xml:space="preserve"> Supra note at chapter 4 they say: “</w:t>
      </w:r>
      <w:r w:rsidRPr="00861062">
        <w:rPr>
          <w:rFonts w:ascii="Segoe UI" w:hAnsi="Segoe UI" w:cs="Segoe UI"/>
          <w:color w:val="1A1A1A"/>
          <w:sz w:val="18"/>
          <w:szCs w:val="18"/>
          <w:shd w:val="clear" w:color="auto" w:fill="FFFFFF"/>
        </w:rPr>
        <w:t>we only observe a correlation between people's choices and (a) what they think other people believe ought to be done (normative expectations)</w:t>
      </w:r>
      <w:r>
        <w:rPr>
          <w:rFonts w:ascii="Segoe UI" w:hAnsi="Segoe UI" w:cs="Segoe UI"/>
          <w:color w:val="1A1A1A"/>
          <w:sz w:val="18"/>
          <w:szCs w:val="18"/>
          <w:shd w:val="clear" w:color="auto" w:fill="FFFFFF"/>
        </w:rPr>
        <w:t>”</w:t>
      </w:r>
    </w:p>
  </w:footnote>
  <w:footnote w:id="79">
    <w:p w14:paraId="658A1791" w14:textId="77777777" w:rsidR="006E132F" w:rsidRPr="00B96360" w:rsidRDefault="006E132F" w:rsidP="006E132F">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w:t>
      </w:r>
      <w:r w:rsidRPr="00F01C74">
        <w:rPr>
          <w:rFonts w:ascii="Arial" w:hAnsi="Arial" w:cs="Arial"/>
          <w:color w:val="222222"/>
          <w:shd w:val="clear" w:color="auto" w:fill="FFFFFF"/>
        </w:rPr>
        <w:t xml:space="preserve"> </w:t>
      </w:r>
      <w:r w:rsidRPr="00F01C74">
        <w:rPr>
          <w:rFonts w:ascii="David" w:hAnsi="David" w:cs="David"/>
        </w:rPr>
        <w:t xml:space="preserve">Posner, Eric A. </w:t>
      </w:r>
      <w:r>
        <w:rPr>
          <w:rFonts w:ascii="David" w:hAnsi="David" w:cs="David"/>
        </w:rPr>
        <w:t>“</w:t>
      </w:r>
      <w:r w:rsidRPr="00F01C74">
        <w:rPr>
          <w:rFonts w:ascii="David" w:hAnsi="David" w:cs="David"/>
        </w:rPr>
        <w:t xml:space="preserve">Law and </w:t>
      </w:r>
      <w:r>
        <w:rPr>
          <w:rFonts w:ascii="David" w:hAnsi="David" w:cs="David"/>
        </w:rPr>
        <w:t>S</w:t>
      </w:r>
      <w:r w:rsidRPr="00F01C74">
        <w:rPr>
          <w:rFonts w:ascii="David" w:hAnsi="David" w:cs="David"/>
        </w:rPr>
        <w:t xml:space="preserve">ocial </w:t>
      </w:r>
      <w:r>
        <w:rPr>
          <w:rFonts w:ascii="David" w:hAnsi="David" w:cs="David"/>
        </w:rPr>
        <w:t>N</w:t>
      </w:r>
      <w:r w:rsidRPr="00F01C74">
        <w:rPr>
          <w:rFonts w:ascii="David" w:hAnsi="David" w:cs="David"/>
        </w:rPr>
        <w:t xml:space="preserve">orms: The </w:t>
      </w:r>
      <w:r>
        <w:rPr>
          <w:rFonts w:ascii="David" w:hAnsi="David" w:cs="David"/>
        </w:rPr>
        <w:t>C</w:t>
      </w:r>
      <w:r w:rsidRPr="00F01C74">
        <w:rPr>
          <w:rFonts w:ascii="David" w:hAnsi="David" w:cs="David"/>
        </w:rPr>
        <w:t xml:space="preserve">ase of </w:t>
      </w:r>
      <w:r>
        <w:rPr>
          <w:rFonts w:ascii="David" w:hAnsi="David" w:cs="David"/>
        </w:rPr>
        <w:t>T</w:t>
      </w:r>
      <w:r w:rsidRPr="00F01C74">
        <w:rPr>
          <w:rFonts w:ascii="David" w:hAnsi="David" w:cs="David"/>
        </w:rPr>
        <w:t xml:space="preserve">ax </w:t>
      </w:r>
      <w:r>
        <w:rPr>
          <w:rFonts w:ascii="David" w:hAnsi="David" w:cs="David"/>
        </w:rPr>
        <w:t>C</w:t>
      </w:r>
      <w:r w:rsidRPr="00F01C74">
        <w:rPr>
          <w:rFonts w:ascii="David" w:hAnsi="David" w:cs="David"/>
        </w:rPr>
        <w:t>ompliance.</w:t>
      </w:r>
      <w:r>
        <w:rPr>
          <w:rFonts w:ascii="David" w:hAnsi="David" w:cs="David"/>
        </w:rPr>
        <w:t>”</w:t>
      </w:r>
      <w:r w:rsidRPr="00F01C74">
        <w:rPr>
          <w:rFonts w:ascii="David" w:hAnsi="David" w:cs="David"/>
        </w:rPr>
        <w:t> </w:t>
      </w:r>
      <w:r w:rsidRPr="00F01C74">
        <w:rPr>
          <w:rFonts w:ascii="David" w:hAnsi="David" w:cs="David"/>
          <w:i/>
          <w:iCs/>
        </w:rPr>
        <w:t>Virginia Law Review</w:t>
      </w:r>
      <w:r w:rsidRPr="00F01C74">
        <w:rPr>
          <w:rFonts w:ascii="David" w:hAnsi="David" w:cs="David"/>
        </w:rPr>
        <w:t> 2000</w:t>
      </w:r>
      <w:r>
        <w:rPr>
          <w:rFonts w:ascii="David" w:hAnsi="David" w:cs="David"/>
        </w:rPr>
        <w:t xml:space="preserve">, pp. </w:t>
      </w:r>
      <w:r w:rsidRPr="00F01C74">
        <w:rPr>
          <w:rFonts w:ascii="David" w:hAnsi="David" w:cs="David"/>
        </w:rPr>
        <w:t>1781-1819.</w:t>
      </w:r>
      <w:r w:rsidRPr="00F01C74">
        <w:rPr>
          <w:rFonts w:ascii="David" w:hAnsi="David" w:cs="David"/>
          <w:rtl/>
        </w:rPr>
        <w:t>‏</w:t>
      </w:r>
    </w:p>
  </w:footnote>
  <w:footnote w:id="80">
    <w:p w14:paraId="7C111936" w14:textId="2A971A82" w:rsidR="00AA5E14" w:rsidRDefault="00AA5E14">
      <w:pPr>
        <w:pStyle w:val="FootnoteText"/>
      </w:pPr>
      <w:r>
        <w:rPr>
          <w:rStyle w:val="FootnoteReference"/>
        </w:rPr>
        <w:footnoteRef/>
      </w:r>
      <w:r>
        <w:t xml:space="preserve"> </w:t>
      </w:r>
      <w:proofErr w:type="spellStart"/>
      <w:r w:rsidRPr="00961CA5">
        <w:rPr>
          <w:rFonts w:ascii="David" w:hAnsi="David" w:cs="David"/>
        </w:rPr>
        <w:t>Buttenheim</w:t>
      </w:r>
      <w:proofErr w:type="spellEnd"/>
      <w:r w:rsidRPr="00961CA5">
        <w:rPr>
          <w:rFonts w:ascii="David" w:hAnsi="David" w:cs="David"/>
        </w:rPr>
        <w:t xml:space="preserve">, Alison M., et al. "Is participation contagious? Evidence from a household vector control campaign in urban Peru." J Epidemiol Community Health 68.2 (2014): 103-109. Also see </w:t>
      </w:r>
      <w:r w:rsidRPr="00961CA5">
        <w:rPr>
          <w:rFonts w:ascii="David" w:hAnsi="David" w:cs="David"/>
          <w:color w:val="222222"/>
          <w:shd w:val="clear" w:color="auto" w:fill="FFFFFF"/>
        </w:rPr>
        <w:t>Kelly, Daniel, and Taylor Davis. "Social norms and human normative psychology." </w:t>
      </w:r>
      <w:r w:rsidRPr="00961CA5">
        <w:rPr>
          <w:rFonts w:ascii="David" w:hAnsi="David" w:cs="David"/>
          <w:i/>
          <w:iCs/>
          <w:color w:val="222222"/>
          <w:shd w:val="clear" w:color="auto" w:fill="FFFFFF"/>
        </w:rPr>
        <w:t>Social Philosophy and Policy</w:t>
      </w:r>
      <w:r w:rsidRPr="00961CA5">
        <w:rPr>
          <w:rFonts w:ascii="David" w:hAnsi="David" w:cs="David"/>
          <w:color w:val="222222"/>
          <w:shd w:val="clear" w:color="auto" w:fill="FFFFFF"/>
        </w:rPr>
        <w:t xml:space="preserve"> 35.1 (2018): 54-76. Also see Hansson, Sven Ove. "The Dynamics of Norms, Christina Bicchieri, Richard Jeffrey, and Brain </w:t>
      </w:r>
      <w:proofErr w:type="spellStart"/>
      <w:r w:rsidRPr="00961CA5">
        <w:rPr>
          <w:rFonts w:ascii="David" w:hAnsi="David" w:cs="David"/>
          <w:color w:val="222222"/>
          <w:shd w:val="clear" w:color="auto" w:fill="FFFFFF"/>
        </w:rPr>
        <w:t>Skyrms</w:t>
      </w:r>
      <w:proofErr w:type="spellEnd"/>
      <w:r w:rsidRPr="00961CA5">
        <w:rPr>
          <w:rFonts w:ascii="David" w:hAnsi="David" w:cs="David"/>
          <w:color w:val="222222"/>
          <w:shd w:val="clear" w:color="auto" w:fill="FFFFFF"/>
        </w:rPr>
        <w:t xml:space="preserve"> (eds.). Cambridge University Press, 1997, 222+ x pages." </w:t>
      </w:r>
      <w:r w:rsidRPr="00961CA5">
        <w:rPr>
          <w:rFonts w:ascii="David" w:hAnsi="David" w:cs="David"/>
          <w:i/>
          <w:iCs/>
          <w:color w:val="222222"/>
          <w:shd w:val="clear" w:color="auto" w:fill="FFFFFF"/>
        </w:rPr>
        <w:t>Economics &amp; Philosophy</w:t>
      </w:r>
      <w:r w:rsidRPr="00961CA5">
        <w:rPr>
          <w:rFonts w:ascii="David" w:hAnsi="David" w:cs="David"/>
          <w:color w:val="222222"/>
          <w:shd w:val="clear" w:color="auto" w:fill="FFFFFF"/>
        </w:rPr>
        <w:t> 15.2 (1999): 307-311.</w:t>
      </w:r>
      <w:r w:rsidRPr="00961CA5">
        <w:rPr>
          <w:rFonts w:ascii="David" w:hAnsi="David" w:cs="David"/>
          <w:color w:val="222222"/>
          <w:shd w:val="clear" w:color="auto" w:fill="FFFFFF"/>
          <w:rtl/>
        </w:rPr>
        <w:t>‏</w:t>
      </w:r>
    </w:p>
  </w:footnote>
  <w:footnote w:id="81">
    <w:p w14:paraId="3CDC1C33" w14:textId="77777777" w:rsidR="00AA5E14" w:rsidRPr="00F16308" w:rsidRDefault="00AA5E14" w:rsidP="009D6CAE">
      <w:pPr>
        <w:pStyle w:val="FootnoteText"/>
        <w:rPr>
          <w:rFonts w:ascii="David" w:hAnsi="David" w:cs="David"/>
        </w:rPr>
      </w:pPr>
      <w:r w:rsidRPr="00F16308">
        <w:rPr>
          <w:rStyle w:val="FootnoteReference"/>
          <w:rFonts w:ascii="David" w:hAnsi="David" w:cs="David"/>
        </w:rPr>
        <w:footnoteRef/>
      </w:r>
      <w:r w:rsidRPr="00F16308">
        <w:rPr>
          <w:rFonts w:ascii="David" w:hAnsi="David" w:cs="David"/>
        </w:rPr>
        <w:t xml:space="preserve"> </w:t>
      </w:r>
      <w:proofErr w:type="spellStart"/>
      <w:r w:rsidRPr="00F16308">
        <w:rPr>
          <w:rFonts w:ascii="David" w:hAnsi="David" w:cs="David"/>
        </w:rPr>
        <w:t>Bicherri</w:t>
      </w:r>
      <w:proofErr w:type="spellEnd"/>
      <w:r w:rsidRPr="00F16308">
        <w:rPr>
          <w:rFonts w:ascii="David" w:hAnsi="David" w:cs="David"/>
        </w:rPr>
        <w:t xml:space="preserve"> The grammar of </w:t>
      </w:r>
      <w:proofErr w:type="gramStart"/>
      <w:r w:rsidRPr="00F16308">
        <w:rPr>
          <w:rFonts w:ascii="David" w:hAnsi="David" w:cs="David"/>
        </w:rPr>
        <w:t>society,:</w:t>
      </w:r>
      <w:proofErr w:type="gramEnd"/>
      <w:r w:rsidRPr="00F16308">
        <w:rPr>
          <w:rFonts w:ascii="David" w:hAnsi="David" w:cs="David"/>
        </w:rPr>
        <w:t xml:space="preserve"> the nature and dynamics of social norms</w:t>
      </w:r>
    </w:p>
  </w:footnote>
  <w:footnote w:id="82">
    <w:p w14:paraId="6332A558" w14:textId="77777777" w:rsidR="00AA5E14" w:rsidRPr="00F16308" w:rsidRDefault="00AA5E14" w:rsidP="009D6CAE">
      <w:pPr>
        <w:pStyle w:val="FootnoteText"/>
        <w:rPr>
          <w:rFonts w:ascii="David" w:hAnsi="David" w:cs="David"/>
        </w:rPr>
      </w:pPr>
      <w:r w:rsidRPr="00F16308">
        <w:rPr>
          <w:rStyle w:val="FootnoteReference"/>
          <w:rFonts w:ascii="David" w:hAnsi="David" w:cs="David"/>
        </w:rPr>
        <w:footnoteRef/>
      </w:r>
      <w:r w:rsidRPr="00F16308">
        <w:rPr>
          <w:rFonts w:ascii="David" w:hAnsi="David" w:cs="David"/>
        </w:rPr>
        <w:t xml:space="preserve"> Norms in the wild, how to diagnose, measure, and change social </w:t>
      </w:r>
      <w:proofErr w:type="gramStart"/>
      <w:r w:rsidRPr="00F16308">
        <w:rPr>
          <w:rFonts w:ascii="David" w:hAnsi="David" w:cs="David"/>
        </w:rPr>
        <w:t>norms</w:t>
      </w:r>
      <w:proofErr w:type="gramEnd"/>
    </w:p>
  </w:footnote>
  <w:footnote w:id="83">
    <w:p w14:paraId="0DC9A197" w14:textId="6F21A419" w:rsidR="00F41B4A" w:rsidRDefault="00F41B4A">
      <w:pPr>
        <w:pStyle w:val="FootnoteText"/>
      </w:pPr>
      <w:r>
        <w:rPr>
          <w:rStyle w:val="FootnoteReference"/>
        </w:rPr>
        <w:footnoteRef/>
      </w:r>
      <w:r>
        <w:t xml:space="preserve"> </w:t>
      </w:r>
      <w:r>
        <w:rPr>
          <w:rFonts w:ascii="Arial" w:hAnsi="Arial" w:cs="Arial"/>
          <w:color w:val="222222"/>
          <w:shd w:val="clear" w:color="auto" w:fill="FFFFFF"/>
        </w:rPr>
        <w:t>Bicchieri, Cristina. "Norms, preferences, and conditional behavior." </w:t>
      </w:r>
      <w:r>
        <w:rPr>
          <w:rFonts w:ascii="Arial" w:hAnsi="Arial" w:cs="Arial"/>
          <w:i/>
          <w:iCs/>
          <w:color w:val="222222"/>
          <w:shd w:val="clear" w:color="auto" w:fill="FFFFFF"/>
        </w:rPr>
        <w:t>Politics, philosophy &amp; economics</w:t>
      </w:r>
      <w:r>
        <w:rPr>
          <w:rFonts w:ascii="Arial" w:hAnsi="Arial" w:cs="Arial"/>
          <w:color w:val="222222"/>
          <w:shd w:val="clear" w:color="auto" w:fill="FFFFFF"/>
        </w:rPr>
        <w:t> 9.3 (2010): 297-313.</w:t>
      </w:r>
    </w:p>
  </w:footnote>
  <w:footnote w:id="84">
    <w:p w14:paraId="0CE527D0" w14:textId="24D1FFFA" w:rsidR="00AA5E14" w:rsidRPr="00F16308" w:rsidRDefault="00AA5E14" w:rsidP="00F16308">
      <w:pPr>
        <w:pStyle w:val="FootnoteText"/>
        <w:rPr>
          <w:rFonts w:ascii="David" w:hAnsi="David" w:cs="David"/>
        </w:rPr>
      </w:pPr>
      <w:r w:rsidRPr="00F16308">
        <w:rPr>
          <w:rStyle w:val="FootnoteReference"/>
          <w:rFonts w:ascii="David" w:hAnsi="David" w:cs="David"/>
        </w:rPr>
        <w:footnoteRef/>
      </w:r>
      <w:r w:rsidRPr="00F16308">
        <w:rPr>
          <w:rFonts w:ascii="David" w:hAnsi="David" w:cs="David"/>
        </w:rPr>
        <w:t xml:space="preserve">   Ayal, Shahar, Jérémy </w:t>
      </w:r>
      <w:proofErr w:type="spellStart"/>
      <w:r w:rsidRPr="00F16308">
        <w:rPr>
          <w:rFonts w:ascii="David" w:hAnsi="David" w:cs="David"/>
        </w:rPr>
        <w:t>Celse</w:t>
      </w:r>
      <w:proofErr w:type="spellEnd"/>
      <w:r w:rsidRPr="00F16308">
        <w:rPr>
          <w:rFonts w:ascii="David" w:hAnsi="David" w:cs="David"/>
        </w:rPr>
        <w:t>, and Guy Hochman. "Crafting messages to fight dishonesty: A field investigation of the effects of social norms and watching eye cues on fare evasion." Organizational Behavior and Human Decision Processes 166 (2021): 9-19.</w:t>
      </w:r>
      <w:r w:rsidRPr="00F16308">
        <w:rPr>
          <w:rFonts w:ascii="David" w:hAnsi="David" w:cs="David"/>
          <w:rtl/>
        </w:rPr>
        <w:t>‏</w:t>
      </w:r>
    </w:p>
    <w:p w14:paraId="54A217BD" w14:textId="3D18F95C" w:rsidR="00AA5E14" w:rsidRDefault="00AA5E14" w:rsidP="00E30B1B">
      <w:pPr>
        <w:pStyle w:val="FootnoteText"/>
      </w:pPr>
    </w:p>
  </w:footnote>
  <w:footnote w:id="85">
    <w:p w14:paraId="7758F96B" w14:textId="401EADBD" w:rsidR="00AA5E14" w:rsidRDefault="00AA5E14">
      <w:pPr>
        <w:pStyle w:val="FootnoteText"/>
      </w:pPr>
      <w:r>
        <w:rPr>
          <w:rStyle w:val="FootnoteReference"/>
        </w:rPr>
        <w:footnoteRef/>
      </w:r>
      <w:r>
        <w:t xml:space="preserve"> </w:t>
      </w:r>
      <w:r w:rsidRPr="00F16308">
        <w:rPr>
          <w:rFonts w:ascii="David" w:hAnsi="David" w:cs="David"/>
          <w:color w:val="222222"/>
          <w:shd w:val="clear" w:color="auto" w:fill="FFFFFF"/>
        </w:rPr>
        <w:t>Shalvi, Shaul, et al. "Justified ethicality: Observing desired counterfactuals modifies ethical perceptions and behavior." </w:t>
      </w:r>
      <w:r w:rsidRPr="00F16308">
        <w:rPr>
          <w:rFonts w:ascii="David" w:hAnsi="David" w:cs="David"/>
          <w:i/>
          <w:iCs/>
          <w:color w:val="222222"/>
          <w:shd w:val="clear" w:color="auto" w:fill="FFFFFF"/>
        </w:rPr>
        <w:t>Organizational behavior and human decision processes</w:t>
      </w:r>
      <w:r w:rsidRPr="00F16308">
        <w:rPr>
          <w:rFonts w:ascii="David" w:hAnsi="David" w:cs="David"/>
          <w:color w:val="222222"/>
          <w:shd w:val="clear" w:color="auto" w:fill="FFFFFF"/>
        </w:rPr>
        <w:t> 115.2 (2011): 181-190.</w:t>
      </w:r>
    </w:p>
  </w:footnote>
  <w:footnote w:id="86">
    <w:p w14:paraId="728AD767" w14:textId="1B0E65BC" w:rsidR="00AA5E14" w:rsidRPr="00961CA5" w:rsidRDefault="00AA5E14">
      <w:pPr>
        <w:pStyle w:val="FootnoteText"/>
        <w:rPr>
          <w:rFonts w:ascii="David" w:hAnsi="David" w:cs="David"/>
          <w:iCs/>
        </w:rPr>
      </w:pPr>
      <w:r>
        <w:rPr>
          <w:rStyle w:val="FootnoteReference"/>
        </w:rPr>
        <w:footnoteRef/>
      </w:r>
      <w:r>
        <w:t xml:space="preserve"> </w:t>
      </w:r>
      <w:r w:rsidRPr="00961CA5">
        <w:rPr>
          <w:rFonts w:ascii="David" w:hAnsi="David" w:cs="David"/>
          <w:bCs/>
          <w:iCs/>
        </w:rPr>
        <w:t xml:space="preserve">Jackson, J. W. (2002). Reactions to Social Dilemmas are Influenced by Group Identification Motives, In P. </w:t>
      </w:r>
      <w:proofErr w:type="spellStart"/>
      <w:r w:rsidRPr="00961CA5">
        <w:rPr>
          <w:rFonts w:ascii="David" w:hAnsi="David" w:cs="David"/>
          <w:bCs/>
          <w:iCs/>
        </w:rPr>
        <w:t>Shohov</w:t>
      </w:r>
      <w:proofErr w:type="spellEnd"/>
      <w:r w:rsidRPr="00961CA5">
        <w:rPr>
          <w:rFonts w:ascii="David" w:hAnsi="David" w:cs="David"/>
          <w:bCs/>
          <w:iCs/>
        </w:rPr>
        <w:t xml:space="preserve"> </w:t>
      </w:r>
      <w:proofErr w:type="gramStart"/>
      <w:r w:rsidRPr="00961CA5">
        <w:rPr>
          <w:rFonts w:ascii="David" w:hAnsi="David" w:cs="David"/>
          <w:bCs/>
          <w:iCs/>
        </w:rPr>
        <w:t>( ed</w:t>
      </w:r>
      <w:proofErr w:type="gramEnd"/>
      <w:r w:rsidRPr="00961CA5">
        <w:rPr>
          <w:rFonts w:ascii="David" w:hAnsi="David" w:cs="David"/>
          <w:bCs/>
          <w:iCs/>
        </w:rPr>
        <w:t>), 16 Advances in Psychology Research, NY: Hauppauge Serge, 167-183..</w:t>
      </w:r>
    </w:p>
  </w:footnote>
  <w:footnote w:id="87">
    <w:p w14:paraId="63DC7650" w14:textId="5CA41F64" w:rsidR="00AA5E14" w:rsidRPr="00961CA5" w:rsidRDefault="00AA5E14">
      <w:pPr>
        <w:pStyle w:val="FootnoteText"/>
        <w:rPr>
          <w:rFonts w:ascii="David" w:hAnsi="David" w:cs="David"/>
          <w:iCs/>
        </w:rPr>
      </w:pPr>
      <w:r w:rsidRPr="00961CA5">
        <w:rPr>
          <w:rStyle w:val="FootnoteReference"/>
          <w:rFonts w:ascii="David" w:hAnsi="David" w:cs="David"/>
          <w:iCs/>
        </w:rPr>
        <w:footnoteRef/>
      </w:r>
      <w:r w:rsidRPr="008E4B6D">
        <w:rPr>
          <w:rFonts w:ascii="David" w:hAnsi="David" w:cs="David"/>
          <w:iCs/>
          <w:lang w:val="it-IT"/>
        </w:rPr>
        <w:t xml:space="preserve"> </w:t>
      </w:r>
      <w:r w:rsidRPr="00961CA5">
        <w:rPr>
          <w:rFonts w:ascii="David" w:hAnsi="David" w:cs="David"/>
          <w:iCs/>
          <w:lang w:val="de-DE"/>
        </w:rPr>
        <w:t xml:space="preserve">Baumeister, R.  F. &amp; Leary, M. (1995). </w:t>
      </w:r>
      <w:r w:rsidRPr="00961CA5">
        <w:rPr>
          <w:rFonts w:ascii="David" w:hAnsi="David" w:cs="David"/>
          <w:iCs/>
        </w:rPr>
        <w:t>The Need to Belong: Desire for Interpersonal Attachments as a Fundamental Human Motivation, Psychological Bulletin, 117(3), 497-529</w:t>
      </w:r>
    </w:p>
  </w:footnote>
  <w:footnote w:id="88">
    <w:p w14:paraId="5DEFC2F6" w14:textId="41E59643" w:rsidR="00AA5E14" w:rsidRPr="00961CA5" w:rsidRDefault="00AA5E14">
      <w:pPr>
        <w:pStyle w:val="FootnoteText"/>
        <w:rPr>
          <w:rFonts w:ascii="David" w:hAnsi="David" w:cs="David"/>
          <w:iCs/>
        </w:rPr>
      </w:pPr>
      <w:r w:rsidRPr="00961CA5">
        <w:rPr>
          <w:rStyle w:val="FootnoteReference"/>
          <w:rFonts w:ascii="David" w:hAnsi="David" w:cs="David"/>
          <w:iCs/>
        </w:rPr>
        <w:footnoteRef/>
      </w:r>
      <w:r w:rsidRPr="00961CA5">
        <w:rPr>
          <w:rFonts w:ascii="David" w:hAnsi="David" w:cs="David"/>
          <w:iCs/>
        </w:rPr>
        <w:t xml:space="preserve"> </w:t>
      </w:r>
      <w:r w:rsidRPr="00961CA5">
        <w:rPr>
          <w:rFonts w:ascii="David" w:hAnsi="David" w:cs="David"/>
          <w:iCs/>
          <w:color w:val="222222"/>
          <w:shd w:val="clear" w:color="auto" w:fill="FFFFFF"/>
        </w:rPr>
        <w:t>Brewer, Marilynn B., and Roderick M. Kramer. "Choice behavior in social dilemmas: Effects of social identity, group size, and decision framing." Journal of personality and social psychology 50.3 (1986): 543. Also see Jackson, Ronald L. "Cultural contracts theory: Toward an understanding of identity negotiation." Communication Quarterly 50.3-4 (2002): 359-367.</w:t>
      </w:r>
      <w:r w:rsidRPr="00961CA5">
        <w:rPr>
          <w:rFonts w:ascii="David" w:hAnsi="David" w:cs="David"/>
          <w:iCs/>
          <w:color w:val="222222"/>
          <w:shd w:val="clear" w:color="auto" w:fill="FFFFFF"/>
          <w:rtl/>
        </w:rPr>
        <w:t>‏</w:t>
      </w:r>
    </w:p>
  </w:footnote>
  <w:footnote w:id="89">
    <w:p w14:paraId="38178B6E" w14:textId="4D7EEA9C" w:rsidR="00AA5E14" w:rsidRPr="00961CA5" w:rsidRDefault="00AA5E14">
      <w:pPr>
        <w:pStyle w:val="FootnoteText"/>
        <w:rPr>
          <w:rFonts w:ascii="David" w:hAnsi="David" w:cs="David"/>
          <w:iCs/>
        </w:rPr>
      </w:pPr>
      <w:r w:rsidRPr="00961CA5">
        <w:rPr>
          <w:rStyle w:val="FootnoteReference"/>
          <w:rFonts w:ascii="David" w:hAnsi="David" w:cs="David"/>
          <w:iCs/>
        </w:rPr>
        <w:footnoteRef/>
      </w:r>
      <w:r w:rsidRPr="00961CA5">
        <w:rPr>
          <w:rFonts w:ascii="David" w:hAnsi="David" w:cs="David"/>
          <w:iCs/>
        </w:rPr>
        <w:t xml:space="preserve"> </w:t>
      </w:r>
      <w:r w:rsidRPr="00961CA5">
        <w:rPr>
          <w:rFonts w:ascii="David" w:hAnsi="David" w:cs="David"/>
          <w:iCs/>
          <w:color w:val="222222"/>
          <w:shd w:val="clear" w:color="auto" w:fill="FFFFFF"/>
        </w:rPr>
        <w:t>Tyran, Jean-Robert, and Lars P. Feld. "Why people obey the law: Experimental evidence from the provision of public goods." Available at SSRN 290231 (2002).</w:t>
      </w:r>
      <w:r w:rsidRPr="00961CA5">
        <w:rPr>
          <w:rFonts w:ascii="David" w:hAnsi="David" w:cs="David"/>
          <w:iCs/>
          <w:color w:val="222222"/>
          <w:shd w:val="clear" w:color="auto" w:fill="FFFFFF"/>
          <w:rtl/>
        </w:rPr>
        <w:t>‏</w:t>
      </w:r>
    </w:p>
  </w:footnote>
  <w:footnote w:id="90">
    <w:p w14:paraId="2F2300D8" w14:textId="599E5E15" w:rsidR="00AA5E14" w:rsidRPr="00961CA5" w:rsidRDefault="00AA5E14" w:rsidP="004B7256">
      <w:pPr>
        <w:pStyle w:val="FootnoteText"/>
        <w:rPr>
          <w:rFonts w:ascii="David" w:hAnsi="David" w:cs="David"/>
          <w:iCs/>
          <w:lang w:val="en"/>
        </w:rPr>
      </w:pPr>
      <w:r w:rsidRPr="00961CA5">
        <w:rPr>
          <w:rStyle w:val="FootnoteReference"/>
          <w:rFonts w:ascii="David" w:hAnsi="David" w:cs="David"/>
          <w:iCs/>
        </w:rPr>
        <w:footnoteRef/>
      </w:r>
      <w:r w:rsidRPr="00961CA5">
        <w:rPr>
          <w:rFonts w:ascii="David" w:hAnsi="David" w:cs="David"/>
          <w:iCs/>
        </w:rPr>
        <w:t xml:space="preserve"> Kahan, Dan M. (2001), Trust, Collective Action, and </w:t>
      </w:r>
      <w:proofErr w:type="gramStart"/>
      <w:r w:rsidRPr="00961CA5">
        <w:rPr>
          <w:rFonts w:ascii="David" w:hAnsi="David" w:cs="David"/>
          <w:iCs/>
        </w:rPr>
        <w:t>Law,  81</w:t>
      </w:r>
      <w:proofErr w:type="gramEnd"/>
      <w:r w:rsidRPr="00961CA5">
        <w:rPr>
          <w:rFonts w:ascii="David" w:hAnsi="David" w:cs="David"/>
          <w:iCs/>
        </w:rPr>
        <w:t xml:space="preserve"> B.U. L. Rev. 333.</w:t>
      </w:r>
    </w:p>
  </w:footnote>
  <w:footnote w:id="91">
    <w:p w14:paraId="6F7FE780" w14:textId="634D2904" w:rsidR="00AA5E14" w:rsidRDefault="00AA5E14">
      <w:pPr>
        <w:pStyle w:val="FootnoteText"/>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Tapp, June L., and Felice J. Levine. "Persuasion to virtue: A preliminary statement." </w:t>
      </w:r>
      <w:r w:rsidRPr="00961CA5">
        <w:rPr>
          <w:rFonts w:ascii="David" w:hAnsi="David" w:cs="David"/>
          <w:i/>
          <w:iCs/>
          <w:color w:val="222222"/>
          <w:shd w:val="clear" w:color="auto" w:fill="FFFFFF"/>
        </w:rPr>
        <w:t>Law and Society Review</w:t>
      </w:r>
      <w:r w:rsidRPr="00961CA5">
        <w:rPr>
          <w:rFonts w:ascii="David" w:hAnsi="David" w:cs="David"/>
          <w:color w:val="222222"/>
          <w:shd w:val="clear" w:color="auto" w:fill="FFFFFF"/>
        </w:rPr>
        <w:t> (1970): 565-582. Also see Robinson, Paul H., and John M. Darley. "Testing competing theories of justification." </w:t>
      </w:r>
      <w:r w:rsidRPr="00961CA5">
        <w:rPr>
          <w:rFonts w:ascii="David" w:hAnsi="David" w:cs="David"/>
          <w:i/>
          <w:iCs/>
          <w:color w:val="222222"/>
          <w:shd w:val="clear" w:color="auto" w:fill="FFFFFF"/>
        </w:rPr>
        <w:t>NCL Rev.</w:t>
      </w:r>
      <w:r w:rsidRPr="00961CA5">
        <w:rPr>
          <w:rFonts w:ascii="David" w:hAnsi="David" w:cs="David"/>
          <w:color w:val="222222"/>
          <w:shd w:val="clear" w:color="auto" w:fill="FFFFFF"/>
        </w:rPr>
        <w:t> 76 (1997): 1095.</w:t>
      </w:r>
      <w:r w:rsidRPr="00961CA5">
        <w:rPr>
          <w:rFonts w:ascii="David" w:hAnsi="David" w:cs="David"/>
          <w:color w:val="222222"/>
          <w:shd w:val="clear" w:color="auto" w:fill="FFFFFF"/>
          <w:rtl/>
        </w:rPr>
        <w:t>‏</w:t>
      </w:r>
    </w:p>
  </w:footnote>
  <w:footnote w:id="92">
    <w:p w14:paraId="0B137FFF" w14:textId="0BE39730" w:rsidR="00AA5E14" w:rsidRPr="00961CA5" w:rsidRDefault="00AA5E14">
      <w:pPr>
        <w:pStyle w:val="FootnoteText"/>
        <w:rPr>
          <w:rFonts w:ascii="David" w:hAnsi="David" w:cs="David"/>
        </w:rPr>
      </w:pPr>
      <w:r>
        <w:rPr>
          <w:rStyle w:val="FootnoteReference"/>
        </w:rPr>
        <w:footnoteRef/>
      </w:r>
      <w:r>
        <w:t xml:space="preserve"> </w:t>
      </w:r>
      <w:r w:rsidRPr="00961CA5">
        <w:rPr>
          <w:rFonts w:ascii="David" w:hAnsi="David" w:cs="David"/>
          <w:color w:val="222222"/>
          <w:shd w:val="clear" w:color="auto" w:fill="FFFFFF"/>
        </w:rPr>
        <w:t>Fehr, Ernst, and Klaus M. Schmidt. "A theory of fairness, competition, and cooperation." </w:t>
      </w:r>
      <w:r w:rsidRPr="00961CA5">
        <w:rPr>
          <w:rFonts w:ascii="David" w:hAnsi="David" w:cs="David"/>
          <w:i/>
          <w:iCs/>
          <w:color w:val="222222"/>
          <w:shd w:val="clear" w:color="auto" w:fill="FFFFFF"/>
        </w:rPr>
        <w:t>The quarterly journal of economics</w:t>
      </w:r>
      <w:r w:rsidRPr="00961CA5">
        <w:rPr>
          <w:rFonts w:ascii="David" w:hAnsi="David" w:cs="David"/>
          <w:color w:val="222222"/>
          <w:shd w:val="clear" w:color="auto" w:fill="FFFFFF"/>
        </w:rPr>
        <w:t> 114.3 (1999): 817-868, also see Kahneman, Daniel, Jack L. Knetsch, and Richard Thaler. "Fairness as a constraint on profit seeking: Entitlements in the market." </w:t>
      </w:r>
      <w:r w:rsidRPr="00961CA5">
        <w:rPr>
          <w:rFonts w:ascii="David" w:hAnsi="David" w:cs="David"/>
          <w:i/>
          <w:iCs/>
          <w:color w:val="222222"/>
          <w:shd w:val="clear" w:color="auto" w:fill="FFFFFF"/>
        </w:rPr>
        <w:t>The American economic review</w:t>
      </w:r>
      <w:r w:rsidRPr="00961CA5">
        <w:rPr>
          <w:rFonts w:ascii="David" w:hAnsi="David" w:cs="David"/>
          <w:color w:val="222222"/>
          <w:shd w:val="clear" w:color="auto" w:fill="FFFFFF"/>
        </w:rPr>
        <w:t> (1986): 728-741.</w:t>
      </w:r>
      <w:r w:rsidRPr="00961CA5">
        <w:rPr>
          <w:rFonts w:ascii="David" w:hAnsi="David" w:cs="David"/>
          <w:color w:val="222222"/>
          <w:shd w:val="clear" w:color="auto" w:fill="FFFFFF"/>
          <w:rtl/>
        </w:rPr>
        <w:t>‏</w:t>
      </w:r>
    </w:p>
  </w:footnote>
  <w:footnote w:id="93">
    <w:p w14:paraId="54DE90B5" w14:textId="0DC7A4A4"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 xml:space="preserve">Darley, John M., Paul H. Robinson, and Kevin M. Carlsmith. "The </w:t>
      </w:r>
      <w:proofErr w:type="spellStart"/>
      <w:proofErr w:type="gramStart"/>
      <w:r w:rsidRPr="00961CA5">
        <w:rPr>
          <w:rFonts w:ascii="David" w:hAnsi="David" w:cs="David"/>
          <w:color w:val="222222"/>
          <w:shd w:val="clear" w:color="auto" w:fill="FFFFFF"/>
        </w:rPr>
        <w:t>ex ante</w:t>
      </w:r>
      <w:proofErr w:type="spellEnd"/>
      <w:proofErr w:type="gramEnd"/>
      <w:r w:rsidRPr="00961CA5">
        <w:rPr>
          <w:rFonts w:ascii="David" w:hAnsi="David" w:cs="David"/>
          <w:color w:val="222222"/>
          <w:shd w:val="clear" w:color="auto" w:fill="FFFFFF"/>
        </w:rPr>
        <w:t xml:space="preserve"> function of the criminal law." </w:t>
      </w:r>
      <w:r w:rsidRPr="00961CA5">
        <w:rPr>
          <w:rFonts w:ascii="David" w:hAnsi="David" w:cs="David"/>
          <w:i/>
          <w:iCs/>
          <w:color w:val="222222"/>
          <w:shd w:val="clear" w:color="auto" w:fill="FFFFFF"/>
        </w:rPr>
        <w:t>Law &amp; Soc'y Rev.</w:t>
      </w:r>
      <w:r w:rsidRPr="00961CA5">
        <w:rPr>
          <w:rFonts w:ascii="David" w:hAnsi="David" w:cs="David"/>
          <w:color w:val="222222"/>
          <w:shd w:val="clear" w:color="auto" w:fill="FFFFFF"/>
        </w:rPr>
        <w:t> 35 (2001): 165.</w:t>
      </w:r>
      <w:r w:rsidRPr="00961CA5">
        <w:rPr>
          <w:rFonts w:ascii="David" w:hAnsi="David" w:cs="David"/>
          <w:color w:val="222222"/>
          <w:shd w:val="clear" w:color="auto" w:fill="FFFFFF"/>
          <w:rtl/>
        </w:rPr>
        <w:t>‏</w:t>
      </w:r>
    </w:p>
  </w:footnote>
  <w:footnote w:id="94">
    <w:p w14:paraId="2933D828" w14:textId="77777777" w:rsidR="00F230AE" w:rsidRPr="0086078C" w:rsidRDefault="00F230AE" w:rsidP="00F230AE">
      <w:pPr>
        <w:shd w:val="clear" w:color="auto" w:fill="FFFFFF"/>
        <w:spacing w:after="0" w:line="240" w:lineRule="auto"/>
        <w:jc w:val="both"/>
        <w:rPr>
          <w:rFonts w:ascii="David" w:hAnsi="David" w:cs="David"/>
        </w:rPr>
      </w:pPr>
      <w:r>
        <w:rPr>
          <w:rStyle w:val="FootnoteReference"/>
        </w:rPr>
        <w:footnoteRef/>
      </w:r>
      <w:r>
        <w:rPr>
          <w:rFonts w:asciiTheme="majorBidi" w:hAnsiTheme="majorBidi" w:cstheme="majorBidi"/>
          <w:sz w:val="20"/>
          <w:szCs w:val="20"/>
        </w:rPr>
        <w:t xml:space="preserve"> </w:t>
      </w:r>
      <w:r w:rsidRPr="0086078C">
        <w:rPr>
          <w:rFonts w:ascii="David" w:hAnsi="David" w:cs="David"/>
          <w:sz w:val="20"/>
          <w:szCs w:val="20"/>
        </w:rPr>
        <w:t xml:space="preserve">Frey, Bruno S., and Benno Torgler. "Tax </w:t>
      </w:r>
      <w:r>
        <w:rPr>
          <w:rFonts w:ascii="David" w:hAnsi="David" w:cs="David"/>
          <w:sz w:val="20"/>
          <w:szCs w:val="20"/>
        </w:rPr>
        <w:t>M</w:t>
      </w:r>
      <w:r w:rsidRPr="0086078C">
        <w:rPr>
          <w:rFonts w:ascii="David" w:hAnsi="David" w:cs="David"/>
          <w:sz w:val="20"/>
          <w:szCs w:val="20"/>
        </w:rPr>
        <w:t xml:space="preserve">orale and </w:t>
      </w:r>
      <w:r>
        <w:rPr>
          <w:rFonts w:ascii="David" w:hAnsi="David" w:cs="David"/>
          <w:sz w:val="20"/>
          <w:szCs w:val="20"/>
        </w:rPr>
        <w:t>C</w:t>
      </w:r>
      <w:r w:rsidRPr="0086078C">
        <w:rPr>
          <w:rFonts w:ascii="David" w:hAnsi="David" w:cs="David"/>
          <w:sz w:val="20"/>
          <w:szCs w:val="20"/>
        </w:rPr>
        <w:t xml:space="preserve">onditional </w:t>
      </w:r>
      <w:r>
        <w:rPr>
          <w:rFonts w:ascii="David" w:hAnsi="David" w:cs="David"/>
          <w:sz w:val="20"/>
          <w:szCs w:val="20"/>
        </w:rPr>
        <w:t>C</w:t>
      </w:r>
      <w:r w:rsidRPr="0086078C">
        <w:rPr>
          <w:rFonts w:ascii="David" w:hAnsi="David" w:cs="David"/>
          <w:sz w:val="20"/>
          <w:szCs w:val="20"/>
        </w:rPr>
        <w:t xml:space="preserve">ooperation." </w:t>
      </w:r>
      <w:r w:rsidRPr="0086078C">
        <w:rPr>
          <w:rFonts w:ascii="David" w:hAnsi="David" w:cs="David"/>
          <w:i/>
          <w:iCs/>
          <w:sz w:val="20"/>
          <w:szCs w:val="20"/>
        </w:rPr>
        <w:t xml:space="preserve">Journal of </w:t>
      </w:r>
      <w:r>
        <w:rPr>
          <w:rFonts w:ascii="David" w:hAnsi="David" w:cs="David"/>
          <w:i/>
          <w:iCs/>
          <w:sz w:val="20"/>
          <w:szCs w:val="20"/>
        </w:rPr>
        <w:t>C</w:t>
      </w:r>
      <w:r w:rsidRPr="0086078C">
        <w:rPr>
          <w:rFonts w:ascii="David" w:hAnsi="David" w:cs="David"/>
          <w:i/>
          <w:iCs/>
          <w:sz w:val="20"/>
          <w:szCs w:val="20"/>
        </w:rPr>
        <w:t xml:space="preserve">omparative </w:t>
      </w:r>
      <w:r>
        <w:rPr>
          <w:rFonts w:ascii="David" w:hAnsi="David" w:cs="David"/>
          <w:i/>
          <w:iCs/>
          <w:sz w:val="20"/>
          <w:szCs w:val="20"/>
        </w:rPr>
        <w:t>E</w:t>
      </w:r>
      <w:r w:rsidRPr="0086078C">
        <w:rPr>
          <w:rFonts w:ascii="David" w:hAnsi="David" w:cs="David"/>
          <w:i/>
          <w:iCs/>
          <w:sz w:val="20"/>
          <w:szCs w:val="20"/>
        </w:rPr>
        <w:t>conomics</w:t>
      </w:r>
      <w:r>
        <w:rPr>
          <w:rFonts w:ascii="David" w:hAnsi="David" w:cs="David"/>
          <w:i/>
          <w:iCs/>
          <w:sz w:val="20"/>
          <w:szCs w:val="20"/>
        </w:rPr>
        <w:t>,</w:t>
      </w:r>
      <w:r w:rsidRPr="0086078C">
        <w:rPr>
          <w:rFonts w:ascii="David" w:hAnsi="David" w:cs="David"/>
          <w:sz w:val="20"/>
          <w:szCs w:val="20"/>
        </w:rPr>
        <w:t xml:space="preserve"> </w:t>
      </w:r>
      <w:r>
        <w:rPr>
          <w:rFonts w:ascii="David" w:hAnsi="David" w:cs="David"/>
          <w:sz w:val="20"/>
          <w:szCs w:val="20"/>
        </w:rPr>
        <w:t xml:space="preserve">vol. </w:t>
      </w:r>
      <w:r w:rsidRPr="0086078C">
        <w:rPr>
          <w:rFonts w:ascii="David" w:hAnsi="David" w:cs="David"/>
          <w:sz w:val="20"/>
          <w:szCs w:val="20"/>
        </w:rPr>
        <w:t>35.1</w:t>
      </w:r>
      <w:r>
        <w:rPr>
          <w:rFonts w:ascii="David" w:hAnsi="David" w:cs="David"/>
          <w:sz w:val="20"/>
          <w:szCs w:val="20"/>
        </w:rPr>
        <w:t xml:space="preserve">, </w:t>
      </w:r>
      <w:r w:rsidRPr="0086078C">
        <w:rPr>
          <w:rFonts w:ascii="David" w:hAnsi="David" w:cs="David"/>
          <w:sz w:val="20"/>
          <w:szCs w:val="20"/>
        </w:rPr>
        <w:t>2007</w:t>
      </w:r>
      <w:r>
        <w:rPr>
          <w:rFonts w:ascii="David" w:hAnsi="David" w:cs="David"/>
          <w:sz w:val="20"/>
          <w:szCs w:val="20"/>
        </w:rPr>
        <w:t>,</w:t>
      </w:r>
      <w:r w:rsidRPr="0086078C">
        <w:rPr>
          <w:rFonts w:ascii="David" w:hAnsi="David" w:cs="David"/>
          <w:sz w:val="20"/>
          <w:szCs w:val="20"/>
        </w:rPr>
        <w:t xml:space="preserve"> </w:t>
      </w:r>
      <w:r>
        <w:rPr>
          <w:rFonts w:ascii="David" w:hAnsi="David" w:cs="David"/>
          <w:sz w:val="20"/>
          <w:szCs w:val="20"/>
        </w:rPr>
        <w:t xml:space="preserve">pp. </w:t>
      </w:r>
      <w:r w:rsidRPr="0086078C">
        <w:rPr>
          <w:rFonts w:ascii="David" w:hAnsi="David" w:cs="David"/>
          <w:sz w:val="20"/>
          <w:szCs w:val="20"/>
        </w:rPr>
        <w:t>136-159.</w:t>
      </w:r>
      <w:r w:rsidRPr="0086078C">
        <w:rPr>
          <w:rFonts w:ascii="David" w:hAnsi="David" w:cs="David"/>
          <w:sz w:val="20"/>
          <w:szCs w:val="20"/>
          <w:rtl/>
        </w:rPr>
        <w:t>‏</w:t>
      </w:r>
    </w:p>
  </w:footnote>
  <w:footnote w:id="95">
    <w:p w14:paraId="44F838D8" w14:textId="77777777" w:rsidR="00F230AE" w:rsidRPr="0086078C" w:rsidRDefault="00F230AE" w:rsidP="00F230AE">
      <w:pPr>
        <w:pStyle w:val="FootnoteText"/>
        <w:rPr>
          <w:rFonts w:ascii="David" w:hAnsi="David" w:cs="David"/>
        </w:rPr>
      </w:pPr>
      <w:r w:rsidRPr="0086078C">
        <w:rPr>
          <w:rStyle w:val="FootnoteReference"/>
          <w:rFonts w:ascii="David" w:hAnsi="David" w:cs="David"/>
        </w:rPr>
        <w:footnoteRef/>
      </w:r>
      <w:r w:rsidRPr="0086078C">
        <w:rPr>
          <w:rFonts w:ascii="David" w:hAnsi="David" w:cs="David"/>
        </w:rPr>
        <w:t xml:space="preserve"> Eigen, Zev J. "When and </w:t>
      </w:r>
      <w:r>
        <w:rPr>
          <w:rFonts w:ascii="David" w:hAnsi="David" w:cs="David"/>
        </w:rPr>
        <w:t>W</w:t>
      </w:r>
      <w:r w:rsidRPr="0086078C">
        <w:rPr>
          <w:rFonts w:ascii="David" w:hAnsi="David" w:cs="David"/>
        </w:rPr>
        <w:t xml:space="preserve">hy </w:t>
      </w:r>
      <w:r>
        <w:rPr>
          <w:rFonts w:ascii="David" w:hAnsi="David" w:cs="David"/>
        </w:rPr>
        <w:t>I</w:t>
      </w:r>
      <w:r w:rsidRPr="0086078C">
        <w:rPr>
          <w:rFonts w:ascii="David" w:hAnsi="David" w:cs="David"/>
        </w:rPr>
        <w:t xml:space="preserve">ndividuals </w:t>
      </w:r>
      <w:r>
        <w:rPr>
          <w:rFonts w:ascii="David" w:hAnsi="David" w:cs="David"/>
        </w:rPr>
        <w:t>O</w:t>
      </w:r>
      <w:r w:rsidRPr="0086078C">
        <w:rPr>
          <w:rFonts w:ascii="David" w:hAnsi="David" w:cs="David"/>
        </w:rPr>
        <w:t xml:space="preserve">bey </w:t>
      </w:r>
      <w:r>
        <w:rPr>
          <w:rFonts w:ascii="David" w:hAnsi="David" w:cs="David"/>
        </w:rPr>
        <w:t>C</w:t>
      </w:r>
      <w:r w:rsidRPr="0086078C">
        <w:rPr>
          <w:rFonts w:ascii="David" w:hAnsi="David" w:cs="David"/>
        </w:rPr>
        <w:t xml:space="preserve">ontracts: </w:t>
      </w:r>
      <w:r>
        <w:rPr>
          <w:rFonts w:ascii="David" w:hAnsi="David" w:cs="David"/>
        </w:rPr>
        <w:t>E</w:t>
      </w:r>
      <w:r w:rsidRPr="0086078C">
        <w:rPr>
          <w:rFonts w:ascii="David" w:hAnsi="David" w:cs="David"/>
        </w:rPr>
        <w:t xml:space="preserve">xperimental </w:t>
      </w:r>
      <w:r>
        <w:rPr>
          <w:rFonts w:ascii="David" w:hAnsi="David" w:cs="David"/>
        </w:rPr>
        <w:t>E</w:t>
      </w:r>
      <w:r w:rsidRPr="0086078C">
        <w:rPr>
          <w:rFonts w:ascii="David" w:hAnsi="David" w:cs="David"/>
        </w:rPr>
        <w:t xml:space="preserve">vidence of </w:t>
      </w:r>
      <w:r>
        <w:rPr>
          <w:rFonts w:ascii="David" w:hAnsi="David" w:cs="David"/>
        </w:rPr>
        <w:t>C</w:t>
      </w:r>
      <w:r w:rsidRPr="0086078C">
        <w:rPr>
          <w:rFonts w:ascii="David" w:hAnsi="David" w:cs="David"/>
        </w:rPr>
        <w:t xml:space="preserve">onsent, </w:t>
      </w:r>
      <w:r>
        <w:rPr>
          <w:rFonts w:ascii="David" w:hAnsi="David" w:cs="David"/>
        </w:rPr>
        <w:t>C</w:t>
      </w:r>
      <w:r w:rsidRPr="0086078C">
        <w:rPr>
          <w:rFonts w:ascii="David" w:hAnsi="David" w:cs="David"/>
        </w:rPr>
        <w:t xml:space="preserve">ompliance, </w:t>
      </w:r>
      <w:r>
        <w:rPr>
          <w:rFonts w:ascii="David" w:hAnsi="David" w:cs="David"/>
        </w:rPr>
        <w:t>P</w:t>
      </w:r>
      <w:r w:rsidRPr="0086078C">
        <w:rPr>
          <w:rFonts w:ascii="David" w:hAnsi="David" w:cs="David"/>
        </w:rPr>
        <w:t xml:space="preserve">romise, and </w:t>
      </w:r>
      <w:r>
        <w:rPr>
          <w:rFonts w:ascii="David" w:hAnsi="David" w:cs="David"/>
        </w:rPr>
        <w:t>P</w:t>
      </w:r>
      <w:r w:rsidRPr="0086078C">
        <w:rPr>
          <w:rFonts w:ascii="David" w:hAnsi="David" w:cs="David"/>
        </w:rPr>
        <w:t>erformance." </w:t>
      </w:r>
      <w:r w:rsidRPr="0086078C">
        <w:rPr>
          <w:rFonts w:ascii="David" w:hAnsi="David" w:cs="David"/>
          <w:i/>
          <w:iCs/>
        </w:rPr>
        <w:t>The Journal of Legal Studies</w:t>
      </w:r>
      <w:r>
        <w:rPr>
          <w:rFonts w:ascii="David" w:hAnsi="David" w:cs="David"/>
          <w:i/>
          <w:iCs/>
        </w:rPr>
        <w:t>,</w:t>
      </w:r>
      <w:r w:rsidRPr="0086078C">
        <w:rPr>
          <w:rFonts w:ascii="David" w:hAnsi="David" w:cs="David"/>
        </w:rPr>
        <w:t> </w:t>
      </w:r>
      <w:r>
        <w:rPr>
          <w:rFonts w:ascii="David" w:hAnsi="David" w:cs="David"/>
        </w:rPr>
        <w:t xml:space="preserve">vol. </w:t>
      </w:r>
      <w:r w:rsidRPr="0086078C">
        <w:rPr>
          <w:rFonts w:ascii="David" w:hAnsi="David" w:cs="David"/>
        </w:rPr>
        <w:t>41.1</w:t>
      </w:r>
      <w:r>
        <w:rPr>
          <w:rFonts w:ascii="David" w:hAnsi="David" w:cs="David"/>
        </w:rPr>
        <w:t xml:space="preserve">, </w:t>
      </w:r>
      <w:r w:rsidRPr="0086078C">
        <w:rPr>
          <w:rFonts w:ascii="David" w:hAnsi="David" w:cs="David"/>
        </w:rPr>
        <w:t>2012</w:t>
      </w:r>
      <w:r>
        <w:rPr>
          <w:rFonts w:ascii="David" w:hAnsi="David" w:cs="David"/>
        </w:rPr>
        <w:t>, pp.</w:t>
      </w:r>
      <w:r w:rsidRPr="0086078C">
        <w:rPr>
          <w:rFonts w:ascii="David" w:hAnsi="David" w:cs="David"/>
        </w:rPr>
        <w:t xml:space="preserve"> 67-93.</w:t>
      </w:r>
      <w:r w:rsidRPr="0086078C">
        <w:rPr>
          <w:rFonts w:ascii="David" w:hAnsi="David" w:cs="David"/>
          <w:rtl/>
        </w:rPr>
        <w:t>‏</w:t>
      </w:r>
    </w:p>
  </w:footnote>
  <w:footnote w:id="96">
    <w:p w14:paraId="01A986CC" w14:textId="77777777" w:rsidR="00F230AE" w:rsidRPr="0086078C" w:rsidRDefault="00F230AE" w:rsidP="00F230AE">
      <w:pPr>
        <w:pStyle w:val="FootnoteText"/>
        <w:rPr>
          <w:rFonts w:ascii="David" w:hAnsi="David" w:cs="David"/>
        </w:rPr>
      </w:pPr>
      <w:r w:rsidRPr="0086078C">
        <w:rPr>
          <w:rStyle w:val="FootnoteReference"/>
          <w:rFonts w:ascii="David" w:hAnsi="David" w:cs="David"/>
        </w:rPr>
        <w:footnoteRef/>
      </w:r>
      <w:r w:rsidRPr="0086078C">
        <w:rPr>
          <w:rFonts w:ascii="David" w:hAnsi="David" w:cs="David"/>
        </w:rPr>
        <w:t xml:space="preserve"> Friedman, Lawrence M. </w:t>
      </w:r>
      <w:r w:rsidRPr="0086078C">
        <w:rPr>
          <w:rFonts w:ascii="David" w:hAnsi="David" w:cs="David"/>
          <w:i/>
          <w:iCs/>
        </w:rPr>
        <w:t xml:space="preserve">Impact: How </w:t>
      </w:r>
      <w:r>
        <w:rPr>
          <w:rFonts w:ascii="David" w:hAnsi="David" w:cs="David"/>
          <w:i/>
          <w:iCs/>
        </w:rPr>
        <w:t>L</w:t>
      </w:r>
      <w:r w:rsidRPr="0086078C">
        <w:rPr>
          <w:rFonts w:ascii="David" w:hAnsi="David" w:cs="David"/>
          <w:i/>
          <w:iCs/>
        </w:rPr>
        <w:t xml:space="preserve">aw </w:t>
      </w:r>
      <w:r>
        <w:rPr>
          <w:rFonts w:ascii="David" w:hAnsi="David" w:cs="David"/>
          <w:i/>
          <w:iCs/>
        </w:rPr>
        <w:t>A</w:t>
      </w:r>
      <w:r w:rsidRPr="0086078C">
        <w:rPr>
          <w:rFonts w:ascii="David" w:hAnsi="David" w:cs="David"/>
          <w:i/>
          <w:iCs/>
        </w:rPr>
        <w:t xml:space="preserve">ffects </w:t>
      </w:r>
      <w:r>
        <w:rPr>
          <w:rFonts w:ascii="David" w:hAnsi="David" w:cs="David"/>
          <w:i/>
          <w:iCs/>
        </w:rPr>
        <w:t>B</w:t>
      </w:r>
      <w:r w:rsidRPr="0086078C">
        <w:rPr>
          <w:rFonts w:ascii="David" w:hAnsi="David" w:cs="David"/>
          <w:i/>
          <w:iCs/>
        </w:rPr>
        <w:t>ehavior</w:t>
      </w:r>
      <w:r w:rsidRPr="0086078C">
        <w:rPr>
          <w:rFonts w:ascii="David" w:hAnsi="David" w:cs="David"/>
        </w:rPr>
        <w:t>. Harvard University Press, 2016.</w:t>
      </w:r>
      <w:r w:rsidRPr="0086078C">
        <w:rPr>
          <w:rFonts w:ascii="David" w:hAnsi="David" w:cs="David"/>
          <w:rtl/>
        </w:rPr>
        <w:t>‏</w:t>
      </w:r>
    </w:p>
  </w:footnote>
  <w:footnote w:id="97">
    <w:p w14:paraId="37112A0C" w14:textId="31330A7F"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color w:val="222222"/>
          <w:shd w:val="clear" w:color="auto" w:fill="FFFFFF"/>
        </w:rPr>
        <w:t>Thibaut, John W., and Laurens Walker. "Procedural justice: A psychological analysis." </w:t>
      </w:r>
      <w:r w:rsidRPr="00961CA5">
        <w:rPr>
          <w:rFonts w:ascii="David" w:hAnsi="David" w:cs="David"/>
          <w:i/>
          <w:iCs/>
          <w:color w:val="222222"/>
          <w:shd w:val="clear" w:color="auto" w:fill="FFFFFF"/>
        </w:rPr>
        <w:t>(No Title)</w:t>
      </w:r>
      <w:r w:rsidRPr="00961CA5">
        <w:rPr>
          <w:rFonts w:ascii="David" w:hAnsi="David" w:cs="David"/>
          <w:color w:val="222222"/>
          <w:shd w:val="clear" w:color="auto" w:fill="FFFFFF"/>
        </w:rPr>
        <w:t> (1975).</w:t>
      </w:r>
      <w:r w:rsidRPr="00961CA5">
        <w:rPr>
          <w:rFonts w:ascii="David" w:hAnsi="David" w:cs="David"/>
          <w:color w:val="222222"/>
          <w:shd w:val="clear" w:color="auto" w:fill="FFFFFF"/>
          <w:rtl/>
        </w:rPr>
        <w:t>‏</w:t>
      </w:r>
    </w:p>
  </w:footnote>
  <w:footnote w:id="98">
    <w:p w14:paraId="22C9EAB3" w14:textId="05EEA7BF"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Lind, E. Allan, and Tom R. Tyler. </w:t>
      </w:r>
      <w:r w:rsidRPr="00961CA5">
        <w:rPr>
          <w:rFonts w:ascii="David" w:hAnsi="David" w:cs="David"/>
          <w:i/>
          <w:iCs/>
          <w:color w:val="222222"/>
          <w:shd w:val="clear" w:color="auto" w:fill="FFFFFF"/>
        </w:rPr>
        <w:t>The social psychology of procedural justice</w:t>
      </w:r>
      <w:r w:rsidRPr="00961CA5">
        <w:rPr>
          <w:rFonts w:ascii="David" w:hAnsi="David" w:cs="David"/>
          <w:color w:val="222222"/>
          <w:shd w:val="clear" w:color="auto" w:fill="FFFFFF"/>
        </w:rPr>
        <w:t>. Springer Science &amp; Business Media, 1988.</w:t>
      </w:r>
      <w:r w:rsidRPr="00961CA5">
        <w:rPr>
          <w:rFonts w:ascii="David" w:hAnsi="David" w:cs="David"/>
          <w:color w:val="222222"/>
          <w:shd w:val="clear" w:color="auto" w:fill="FFFFFF"/>
          <w:rtl/>
        </w:rPr>
        <w:t>‏</w:t>
      </w:r>
    </w:p>
  </w:footnote>
  <w:footnote w:id="99">
    <w:p w14:paraId="2ACB4844" w14:textId="301C0B49"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Leventhal, G.S, Fry W.R. &amp; </w:t>
      </w:r>
      <w:proofErr w:type="spellStart"/>
      <w:r w:rsidRPr="00961CA5">
        <w:rPr>
          <w:rFonts w:ascii="David" w:hAnsi="David" w:cs="David"/>
        </w:rPr>
        <w:t>Karuza</w:t>
      </w:r>
      <w:proofErr w:type="spellEnd"/>
      <w:r w:rsidRPr="00961CA5">
        <w:rPr>
          <w:rFonts w:ascii="David" w:hAnsi="David" w:cs="David"/>
        </w:rPr>
        <w:t xml:space="preserve"> J. (1980), Beyond fairness: A Theory of Allocation Preferences, In G. </w:t>
      </w:r>
      <w:proofErr w:type="gramStart"/>
      <w:r w:rsidRPr="00961CA5">
        <w:rPr>
          <w:rFonts w:ascii="David" w:hAnsi="David" w:cs="David"/>
        </w:rPr>
        <w:t>Mikula(</w:t>
      </w:r>
      <w:proofErr w:type="gramEnd"/>
      <w:r w:rsidRPr="00961CA5">
        <w:rPr>
          <w:rFonts w:ascii="David" w:hAnsi="David" w:cs="David"/>
        </w:rPr>
        <w:t>Ed.), Justice and social interaction, 176-218.</w:t>
      </w:r>
    </w:p>
  </w:footnote>
  <w:footnote w:id="100">
    <w:p w14:paraId="701336D4" w14:textId="1F80DA60"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w:t>
      </w:r>
      <w:r w:rsidRPr="00961CA5">
        <w:rPr>
          <w:rFonts w:ascii="David" w:hAnsi="David" w:cs="David"/>
          <w:color w:val="222222"/>
          <w:shd w:val="clear" w:color="auto" w:fill="FFFFFF"/>
        </w:rPr>
        <w:t>Tyler, Tom R. "Justice, self-interest, and the legitimacy of legal and political authority." (1990). Also see Brockner, Joel, Tom R. Tyler, and Rochelle Cooper-Schneider. "The influence of prior commitment to an institution on reactions to perceived unfairness: The higher they are, the harder they fall." </w:t>
      </w:r>
      <w:r w:rsidRPr="00961CA5">
        <w:rPr>
          <w:rFonts w:ascii="David" w:hAnsi="David" w:cs="David"/>
          <w:i/>
          <w:iCs/>
          <w:color w:val="222222"/>
          <w:shd w:val="clear" w:color="auto" w:fill="FFFFFF"/>
        </w:rPr>
        <w:t>Administrative science quarterly</w:t>
      </w:r>
      <w:r w:rsidRPr="00961CA5">
        <w:rPr>
          <w:rFonts w:ascii="David" w:hAnsi="David" w:cs="David"/>
          <w:color w:val="222222"/>
          <w:shd w:val="clear" w:color="auto" w:fill="FFFFFF"/>
        </w:rPr>
        <w:t> (1992): 241-261.</w:t>
      </w:r>
      <w:r w:rsidRPr="00961CA5">
        <w:rPr>
          <w:rFonts w:ascii="David" w:hAnsi="David" w:cs="David"/>
          <w:color w:val="222222"/>
          <w:shd w:val="clear" w:color="auto" w:fill="FFFFFF"/>
          <w:rtl/>
        </w:rPr>
        <w:t>‏</w:t>
      </w:r>
    </w:p>
  </w:footnote>
  <w:footnote w:id="101">
    <w:p w14:paraId="5C5E309B" w14:textId="73CA4A09" w:rsidR="00AA5E14" w:rsidRDefault="00AA5E14">
      <w:pPr>
        <w:pStyle w:val="FootnoteText"/>
      </w:pPr>
      <w:r w:rsidRPr="00961CA5">
        <w:rPr>
          <w:rStyle w:val="FootnoteReference"/>
          <w:rFonts w:ascii="David" w:hAnsi="David" w:cs="David"/>
        </w:rPr>
        <w:footnoteRef/>
      </w:r>
      <w:r w:rsidRPr="00961CA5">
        <w:rPr>
          <w:rFonts w:ascii="David" w:hAnsi="David" w:cs="David"/>
        </w:rPr>
        <w:t xml:space="preserve"> See also </w:t>
      </w:r>
      <w:r w:rsidRPr="00961CA5">
        <w:rPr>
          <w:rFonts w:ascii="David" w:hAnsi="David" w:cs="David"/>
          <w:color w:val="222222"/>
          <w:shd w:val="clear" w:color="auto" w:fill="FFFFFF"/>
        </w:rPr>
        <w:t>Tyler, Tom R., and John M. Darley. "Building a law-abiding society: Taking public views about morality and the legitimacy of legal authorities into account when formulating substantive law." </w:t>
      </w:r>
      <w:r w:rsidRPr="00961CA5">
        <w:rPr>
          <w:rFonts w:ascii="David" w:hAnsi="David" w:cs="David"/>
          <w:i/>
          <w:iCs/>
          <w:color w:val="222222"/>
          <w:shd w:val="clear" w:color="auto" w:fill="FFFFFF"/>
        </w:rPr>
        <w:t>Hofstra L. Rev.</w:t>
      </w:r>
      <w:r w:rsidRPr="00961CA5">
        <w:rPr>
          <w:rFonts w:ascii="David" w:hAnsi="David" w:cs="David"/>
          <w:color w:val="222222"/>
          <w:shd w:val="clear" w:color="auto" w:fill="FFFFFF"/>
        </w:rPr>
        <w:t xml:space="preserve"> 28 (1999): </w:t>
      </w:r>
      <w:proofErr w:type="gramStart"/>
      <w:r w:rsidRPr="00961CA5">
        <w:rPr>
          <w:rFonts w:ascii="David" w:hAnsi="David" w:cs="David"/>
          <w:color w:val="222222"/>
          <w:shd w:val="clear" w:color="auto" w:fill="FFFFFF"/>
        </w:rPr>
        <w:t>707,  And</w:t>
      </w:r>
      <w:proofErr w:type="gramEnd"/>
      <w:r w:rsidRPr="00961CA5">
        <w:rPr>
          <w:rFonts w:ascii="David" w:hAnsi="David" w:cs="David"/>
          <w:color w:val="222222"/>
          <w:shd w:val="clear" w:color="auto" w:fill="FFFFFF"/>
        </w:rPr>
        <w:t xml:space="preserve"> also Sunshine, Jason, and Tom R. Tyler. "The role of procedural justice and legitimacy in shaping public support for policing." </w:t>
      </w:r>
      <w:r w:rsidRPr="00961CA5">
        <w:rPr>
          <w:rFonts w:ascii="David" w:hAnsi="David" w:cs="David"/>
          <w:i/>
          <w:iCs/>
          <w:color w:val="222222"/>
          <w:shd w:val="clear" w:color="auto" w:fill="FFFFFF"/>
        </w:rPr>
        <w:t>Law &amp; society review</w:t>
      </w:r>
      <w:r w:rsidRPr="00961CA5">
        <w:rPr>
          <w:rFonts w:ascii="David" w:hAnsi="David" w:cs="David"/>
          <w:color w:val="222222"/>
          <w:shd w:val="clear" w:color="auto" w:fill="FFFFFF"/>
        </w:rPr>
        <w:t> 37.3 (2003): 513-548.</w:t>
      </w:r>
      <w:r w:rsidRPr="00961CA5">
        <w:rPr>
          <w:rFonts w:ascii="David" w:hAnsi="David" w:cs="David"/>
          <w:color w:val="222222"/>
          <w:shd w:val="clear" w:color="auto" w:fill="FFFFFF"/>
          <w:rtl/>
        </w:rPr>
        <w:t>‏</w:t>
      </w:r>
    </w:p>
  </w:footnote>
  <w:footnote w:id="102">
    <w:p w14:paraId="09AECD0C" w14:textId="12983964" w:rsidR="00AA5E14" w:rsidRPr="00961CA5" w:rsidRDefault="00AA5E14">
      <w:pPr>
        <w:pStyle w:val="FootnoteText"/>
        <w:rPr>
          <w:rFonts w:ascii="David" w:hAnsi="David" w:cs="David"/>
        </w:rPr>
      </w:pPr>
      <w:r w:rsidRPr="00961CA5">
        <w:rPr>
          <w:rStyle w:val="FootnoteReference"/>
          <w:rFonts w:ascii="David" w:hAnsi="David" w:cs="David"/>
        </w:rPr>
        <w:footnoteRef/>
      </w:r>
      <w:r w:rsidRPr="00961CA5">
        <w:rPr>
          <w:rFonts w:ascii="David" w:hAnsi="David" w:cs="David"/>
        </w:rPr>
        <w:t xml:space="preserve"> (see Wenzel, Michael (2005), Motivation or </w:t>
      </w:r>
      <w:proofErr w:type="spellStart"/>
      <w:r w:rsidRPr="00961CA5">
        <w:rPr>
          <w:rFonts w:ascii="David" w:hAnsi="David" w:cs="David"/>
        </w:rPr>
        <w:t>Rationalisation</w:t>
      </w:r>
      <w:proofErr w:type="spellEnd"/>
      <w:r w:rsidRPr="00961CA5">
        <w:rPr>
          <w:rFonts w:ascii="David" w:hAnsi="David" w:cs="David"/>
        </w:rPr>
        <w:t xml:space="preserve">? Causal Relations Between Ethics, Norms and Tax Compliance, J. of Economic Psychology. Vol 26(4), 491-508. In this </w:t>
      </w:r>
      <w:proofErr w:type="gramStart"/>
      <w:r w:rsidRPr="00961CA5">
        <w:rPr>
          <w:rFonts w:ascii="David" w:hAnsi="David" w:cs="David"/>
        </w:rPr>
        <w:t>context ,</w:t>
      </w:r>
      <w:proofErr w:type="gramEnd"/>
      <w:r w:rsidRPr="00961CA5">
        <w:rPr>
          <w:rFonts w:ascii="David" w:hAnsi="David" w:cs="David"/>
        </w:rPr>
        <w:t xml:space="preserve"> , studies have shown that people are more likely to comply with tax laws when they view the tax system as fair and just. This includes not only the fairness of the amount of tax owed, but also the fairness of the procedures and processes involved in the tax system.</w:t>
      </w:r>
    </w:p>
  </w:footnote>
  <w:footnote w:id="103">
    <w:p w14:paraId="461D19C1" w14:textId="681A2F6A" w:rsidR="00AA5E14" w:rsidRPr="004B7256" w:rsidRDefault="00AA5E14">
      <w:pPr>
        <w:pStyle w:val="FootnoteText"/>
        <w:rPr>
          <w:rFonts w:ascii="David" w:hAnsi="David" w:cs="David"/>
          <w:iCs/>
        </w:rPr>
      </w:pPr>
      <w:r>
        <w:rPr>
          <w:rStyle w:val="FootnoteReference"/>
        </w:rPr>
        <w:footnoteRef/>
      </w:r>
      <w:r>
        <w:t xml:space="preserve"> </w:t>
      </w:r>
      <w:r w:rsidRPr="004B7256">
        <w:rPr>
          <w:rFonts w:ascii="David" w:hAnsi="David" w:cs="David"/>
          <w:iCs/>
        </w:rPr>
        <w:t xml:space="preserve">Van den Bos, K., Lind, E. A., &amp;Wilke, H. A. M. (2001). The Psychology of Procedural and Distributive Justice Viewed </w:t>
      </w:r>
      <w:proofErr w:type="gramStart"/>
      <w:r w:rsidRPr="004B7256">
        <w:rPr>
          <w:rFonts w:ascii="David" w:hAnsi="David" w:cs="David"/>
          <w:iCs/>
        </w:rPr>
        <w:t>From</w:t>
      </w:r>
      <w:proofErr w:type="gramEnd"/>
      <w:r w:rsidRPr="004B7256">
        <w:rPr>
          <w:rFonts w:ascii="David" w:hAnsi="David" w:cs="David"/>
          <w:iCs/>
        </w:rPr>
        <w:t xml:space="preserve"> the Perspective of Fairness Heuristic Theory. In R. </w:t>
      </w:r>
      <w:proofErr w:type="spellStart"/>
      <w:r w:rsidRPr="004B7256">
        <w:rPr>
          <w:rFonts w:ascii="David" w:hAnsi="David" w:cs="David"/>
          <w:iCs/>
        </w:rPr>
        <w:t>Cropanzano</w:t>
      </w:r>
      <w:proofErr w:type="spellEnd"/>
      <w:r w:rsidRPr="004B7256">
        <w:rPr>
          <w:rFonts w:ascii="David" w:hAnsi="David" w:cs="David"/>
          <w:iCs/>
        </w:rPr>
        <w:t xml:space="preserve"> (Ed.), Justice in the Workplace (Vol. 2): From Theory to Practice, 49–66.  </w:t>
      </w:r>
    </w:p>
  </w:footnote>
  <w:footnote w:id="104">
    <w:p w14:paraId="016A4CDD" w14:textId="304A75DD" w:rsidR="00AA5E14" w:rsidRDefault="00AA5E14">
      <w:pPr>
        <w:pStyle w:val="FootnoteText"/>
      </w:pPr>
      <w:r w:rsidRPr="004B7256">
        <w:rPr>
          <w:rStyle w:val="FootnoteReference"/>
          <w:rFonts w:ascii="David" w:hAnsi="David" w:cs="David"/>
          <w:iCs/>
        </w:rPr>
        <w:footnoteRef/>
      </w:r>
      <w:r w:rsidRPr="004B7256">
        <w:rPr>
          <w:rFonts w:ascii="David" w:hAnsi="David" w:cs="David"/>
          <w:iCs/>
        </w:rPr>
        <w:t xml:space="preserve"> </w:t>
      </w:r>
      <w:r w:rsidRPr="004B7256">
        <w:rPr>
          <w:rFonts w:ascii="David" w:hAnsi="David" w:cs="David"/>
          <w:iCs/>
          <w:color w:val="222222"/>
          <w:shd w:val="clear" w:color="auto" w:fill="FFFFFF"/>
        </w:rPr>
        <w:t>Sunshine, Jason, and Tom Tyler. "Moral solidarity, identification with the community, and the importance of procedural justice: The police as prototypical representatives of a group's moral values." Social psychology quarterly (2003): 153-165.</w:t>
      </w:r>
    </w:p>
  </w:footnote>
  <w:footnote w:id="105">
    <w:p w14:paraId="557DF885" w14:textId="05D14194" w:rsidR="008805A9" w:rsidRDefault="008805A9">
      <w:pPr>
        <w:pStyle w:val="FootnoteText"/>
      </w:pPr>
      <w:r>
        <w:rPr>
          <w:rStyle w:val="FootnoteReference"/>
        </w:rPr>
        <w:footnoteRef/>
      </w:r>
      <w:r>
        <w:t xml:space="preserve"> </w:t>
      </w:r>
      <w:r>
        <w:rPr>
          <w:rFonts w:ascii="Arial" w:hAnsi="Arial" w:cs="Arial"/>
          <w:color w:val="222222"/>
          <w:shd w:val="clear" w:color="auto" w:fill="FFFFFF"/>
        </w:rPr>
        <w:t>Levi, Margaret, and Laura Stoker. "Political trust and trustworthiness." </w:t>
      </w:r>
      <w:r>
        <w:rPr>
          <w:rFonts w:ascii="Arial" w:hAnsi="Arial" w:cs="Arial"/>
          <w:i/>
          <w:iCs/>
          <w:color w:val="222222"/>
          <w:shd w:val="clear" w:color="auto" w:fill="FFFFFF"/>
        </w:rPr>
        <w:t>Annual review of political science</w:t>
      </w:r>
      <w:r>
        <w:rPr>
          <w:rFonts w:ascii="Arial" w:hAnsi="Arial" w:cs="Arial"/>
          <w:color w:val="222222"/>
          <w:shd w:val="clear" w:color="auto" w:fill="FFFFFF"/>
        </w:rPr>
        <w:t> 3.1 (2000): 475-507.</w:t>
      </w:r>
    </w:p>
  </w:footnote>
  <w:footnote w:id="106">
    <w:p w14:paraId="2A5F55C3" w14:textId="6BFBE101" w:rsidR="008805A9" w:rsidRDefault="008805A9">
      <w:pPr>
        <w:pStyle w:val="FootnoteText"/>
      </w:pPr>
      <w:r>
        <w:rPr>
          <w:rStyle w:val="FootnoteReference"/>
        </w:rPr>
        <w:footnoteRef/>
      </w:r>
      <w:r>
        <w:t xml:space="preserve"> </w:t>
      </w:r>
      <w:r>
        <w:rPr>
          <w:rFonts w:ascii="Arial" w:hAnsi="Arial" w:cs="Arial"/>
          <w:color w:val="222222"/>
          <w:shd w:val="clear" w:color="auto" w:fill="FFFFFF"/>
        </w:rPr>
        <w:t>Levi, Margaret. </w:t>
      </w:r>
      <w:r>
        <w:rPr>
          <w:rFonts w:ascii="Arial" w:hAnsi="Arial" w:cs="Arial"/>
          <w:i/>
          <w:iCs/>
          <w:color w:val="222222"/>
          <w:shd w:val="clear" w:color="auto" w:fill="FFFFFF"/>
        </w:rPr>
        <w:t>Consent, dissent, and patriotism</w:t>
      </w:r>
      <w:r>
        <w:rPr>
          <w:rFonts w:ascii="Arial" w:hAnsi="Arial" w:cs="Arial"/>
          <w:color w:val="222222"/>
          <w:shd w:val="clear" w:color="auto" w:fill="FFFFFF"/>
        </w:rPr>
        <w:t>. Cambridge University Press, 1997.</w:t>
      </w:r>
    </w:p>
  </w:footnote>
  <w:footnote w:id="107">
    <w:p w14:paraId="71B5AD91" w14:textId="77777777" w:rsidR="00E5491A" w:rsidRDefault="00E5491A" w:rsidP="00E5491A">
      <w:pPr>
        <w:spacing w:line="240" w:lineRule="auto"/>
        <w:jc w:val="both"/>
        <w:rPr>
          <w:rFonts w:ascii="David" w:hAnsi="David" w:cs="David"/>
          <w:sz w:val="24"/>
          <w:szCs w:val="24"/>
        </w:rPr>
      </w:pPr>
      <w:r>
        <w:rPr>
          <w:rStyle w:val="FootnoteReference"/>
        </w:rPr>
        <w:footnoteRef/>
      </w:r>
      <w:r>
        <w:t xml:space="preserve"> </w:t>
      </w:r>
      <w:r w:rsidRPr="00774474">
        <w:rPr>
          <w:rFonts w:ascii="David" w:hAnsi="David" w:cs="David"/>
          <w:sz w:val="20"/>
          <w:szCs w:val="20"/>
        </w:rPr>
        <w:t xml:space="preserve">Levi, Margaret, and Laura Stoker. "Political Trust and Trustworthiness," Annual Review of </w:t>
      </w:r>
      <w:proofErr w:type="spellStart"/>
      <w:r w:rsidRPr="00774474">
        <w:rPr>
          <w:rFonts w:ascii="David" w:hAnsi="David" w:cs="David"/>
          <w:sz w:val="20"/>
          <w:szCs w:val="20"/>
        </w:rPr>
        <w:t>PoliticalScience</w:t>
      </w:r>
      <w:proofErr w:type="spellEnd"/>
      <w:r w:rsidRPr="00774474">
        <w:rPr>
          <w:rFonts w:ascii="David" w:hAnsi="David" w:cs="David"/>
          <w:sz w:val="20"/>
          <w:szCs w:val="20"/>
        </w:rPr>
        <w:t>, 3, 2000, pp. 475-507.</w:t>
      </w:r>
    </w:p>
    <w:p w14:paraId="61D093F4" w14:textId="77777777" w:rsidR="00E5491A" w:rsidRDefault="00E5491A" w:rsidP="00E5491A">
      <w:pPr>
        <w:pStyle w:val="FootnoteText"/>
      </w:pPr>
    </w:p>
  </w:footnote>
  <w:footnote w:id="108">
    <w:p w14:paraId="19C8E75D" w14:textId="77777777" w:rsidR="00E5491A" w:rsidRDefault="00E5491A" w:rsidP="00E5491A">
      <w:pPr>
        <w:pStyle w:val="FootnoteText"/>
      </w:pPr>
      <w:r>
        <w:rPr>
          <w:rStyle w:val="FootnoteReference"/>
        </w:rPr>
        <w:footnoteRef/>
      </w:r>
      <w:r w:rsidRPr="00774474">
        <w:rPr>
          <w:sz w:val="16"/>
          <w:szCs w:val="16"/>
        </w:rPr>
        <w:t xml:space="preserve"> </w:t>
      </w:r>
      <w:r w:rsidRPr="00774474">
        <w:rPr>
          <w:rFonts w:ascii="David" w:hAnsi="David" w:cs="David"/>
        </w:rPr>
        <w:t xml:space="preserve">Levi, </w:t>
      </w:r>
      <w:proofErr w:type="gramStart"/>
      <w:r w:rsidRPr="00774474">
        <w:rPr>
          <w:rFonts w:ascii="David" w:hAnsi="David" w:cs="David"/>
        </w:rPr>
        <w:t>and  Stoker</w:t>
      </w:r>
      <w:proofErr w:type="gramEnd"/>
      <w:r w:rsidRPr="00774474">
        <w:rPr>
          <w:rFonts w:ascii="David" w:hAnsi="David" w:cs="David"/>
        </w:rPr>
        <w:t xml:space="preserve">. Supra note </w:t>
      </w:r>
      <w:r>
        <w:rPr>
          <w:rFonts w:ascii="David" w:hAnsi="David" w:cs="David"/>
        </w:rPr>
        <w:t>99</w:t>
      </w:r>
      <w:r>
        <w:t>.</w:t>
      </w:r>
    </w:p>
  </w:footnote>
  <w:footnote w:id="109">
    <w:p w14:paraId="4B608798" w14:textId="77777777" w:rsidR="00E5491A" w:rsidRPr="00774474" w:rsidRDefault="00E5491A" w:rsidP="00E5491A">
      <w:pPr>
        <w:pStyle w:val="FootnoteText"/>
        <w:rPr>
          <w:rFonts w:ascii="David" w:hAnsi="David" w:cs="David"/>
        </w:rPr>
      </w:pPr>
      <w:r w:rsidRPr="00774474">
        <w:rPr>
          <w:rStyle w:val="FootnoteReference"/>
          <w:rFonts w:ascii="David" w:hAnsi="David" w:cs="David"/>
        </w:rPr>
        <w:footnoteRef/>
      </w:r>
      <w:r w:rsidRPr="00774474">
        <w:rPr>
          <w:rFonts w:ascii="David" w:hAnsi="David" w:cs="David"/>
        </w:rPr>
        <w:t xml:space="preserve"> Levi, Margaret, et al. "Conceptualizing Legitimacy, Measuring Legitimating Beliefs," </w:t>
      </w:r>
      <w:r w:rsidRPr="00774474">
        <w:rPr>
          <w:rFonts w:ascii="David" w:hAnsi="David" w:cs="David"/>
          <w:i/>
          <w:iCs/>
        </w:rPr>
        <w:t>American Behavioral Scientist</w:t>
      </w:r>
      <w:r w:rsidRPr="00774474">
        <w:rPr>
          <w:rFonts w:ascii="David" w:hAnsi="David" w:cs="David"/>
        </w:rPr>
        <w:t>, 53(3), 2009, pp. 354-375.</w:t>
      </w:r>
    </w:p>
  </w:footnote>
  <w:footnote w:id="110">
    <w:p w14:paraId="513E9D85" w14:textId="77777777" w:rsidR="00E5491A" w:rsidRPr="00774474" w:rsidRDefault="00E5491A" w:rsidP="00E5491A">
      <w:pPr>
        <w:spacing w:line="240" w:lineRule="auto"/>
        <w:jc w:val="both"/>
        <w:rPr>
          <w:rFonts w:ascii="David" w:hAnsi="David" w:cs="David"/>
          <w:sz w:val="20"/>
          <w:szCs w:val="20"/>
        </w:rPr>
      </w:pPr>
      <w:r w:rsidRPr="00774474">
        <w:rPr>
          <w:rStyle w:val="FootnoteReference"/>
          <w:rFonts w:ascii="David" w:hAnsi="David" w:cs="David"/>
          <w:sz w:val="20"/>
          <w:szCs w:val="20"/>
        </w:rPr>
        <w:footnoteRef/>
      </w:r>
      <w:r w:rsidRPr="00774474">
        <w:rPr>
          <w:rFonts w:ascii="David" w:hAnsi="David" w:cs="David"/>
          <w:sz w:val="20"/>
          <w:szCs w:val="20"/>
        </w:rPr>
        <w:t xml:space="preserve"> For further discussion of the relationship between procedural justice, legitimacy and compliance see Levi, Margaret, et al. "The Reasons for Compliance with Law," in Ryan Goodman et al. Eds. </w:t>
      </w:r>
      <w:r w:rsidRPr="00774474">
        <w:rPr>
          <w:rFonts w:ascii="David" w:hAnsi="David" w:cs="David"/>
          <w:i/>
          <w:iCs/>
          <w:sz w:val="20"/>
          <w:szCs w:val="20"/>
        </w:rPr>
        <w:t>Understanding Social Action, Promoting Human Rights</w:t>
      </w:r>
      <w:r w:rsidRPr="00774474">
        <w:rPr>
          <w:rFonts w:ascii="David" w:hAnsi="David" w:cs="David"/>
          <w:sz w:val="20"/>
          <w:szCs w:val="20"/>
        </w:rPr>
        <w:t>. New York: Oxford University Press, 2012, pp. 70-91.</w:t>
      </w:r>
    </w:p>
    <w:p w14:paraId="6A2DE635" w14:textId="77777777" w:rsidR="00E5491A" w:rsidRDefault="00E5491A" w:rsidP="00E5491A">
      <w:pPr>
        <w:pStyle w:val="FootnoteText"/>
      </w:pPr>
    </w:p>
  </w:footnote>
  <w:footnote w:id="111">
    <w:p w14:paraId="447EE096" w14:textId="7FB977B8" w:rsidR="00AA5E14" w:rsidRDefault="00AA5E14">
      <w:pPr>
        <w:pStyle w:val="FootnoteText"/>
      </w:pPr>
      <w:r>
        <w:rPr>
          <w:rStyle w:val="FootnoteReference"/>
        </w:rPr>
        <w:footnoteRef/>
      </w:r>
      <w:r>
        <w:t xml:space="preserve"> </w:t>
      </w:r>
      <w:r w:rsidRPr="004B7256">
        <w:rPr>
          <w:rFonts w:ascii="David" w:hAnsi="David" w:cs="David"/>
        </w:rPr>
        <w:t>Levi, Margaret, Tom R. Tyler, and Audrey Sacks. "The reasons for compliance with law." </w:t>
      </w:r>
      <w:r w:rsidRPr="004B7256">
        <w:rPr>
          <w:rFonts w:ascii="David" w:hAnsi="David" w:cs="David"/>
          <w:i/>
          <w:iCs/>
        </w:rPr>
        <w:t>Understanding social action, promoting human rights</w:t>
      </w:r>
      <w:r w:rsidRPr="004B7256">
        <w:rPr>
          <w:rFonts w:ascii="David" w:hAnsi="David" w:cs="David"/>
        </w:rPr>
        <w:t> (2012): 70-99.</w:t>
      </w:r>
      <w:r w:rsidRPr="004B7256">
        <w:rPr>
          <w:rFonts w:ascii="David" w:hAnsi="David" w:cs="David"/>
          <w:rtl/>
        </w:rPr>
        <w:t>‏</w:t>
      </w:r>
    </w:p>
  </w:footnote>
  <w:footnote w:id="112">
    <w:p w14:paraId="7A485C10" w14:textId="093BA2BD" w:rsidR="00610A88" w:rsidRDefault="00610A88">
      <w:pPr>
        <w:pStyle w:val="FootnoteText"/>
      </w:pPr>
      <w:r>
        <w:rPr>
          <w:rStyle w:val="FootnoteReference"/>
        </w:rPr>
        <w:footnoteRef/>
      </w:r>
      <w:r>
        <w:t xml:space="preserve"> </w:t>
      </w:r>
      <w:r>
        <w:rPr>
          <w:rFonts w:ascii="Arial" w:hAnsi="Arial" w:cs="Arial"/>
          <w:color w:val="222222"/>
          <w:shd w:val="clear" w:color="auto" w:fill="FFFFFF"/>
        </w:rPr>
        <w:t>Nagin, Daniel S., and Cody W. Telep. "Procedural justice and legal compliance: A revisionist perspective." </w:t>
      </w:r>
      <w:r>
        <w:rPr>
          <w:rFonts w:ascii="Arial" w:hAnsi="Arial" w:cs="Arial"/>
          <w:i/>
          <w:iCs/>
          <w:color w:val="222222"/>
          <w:shd w:val="clear" w:color="auto" w:fill="FFFFFF"/>
        </w:rPr>
        <w:t>Criminology &amp; Public Policy</w:t>
      </w:r>
      <w:r>
        <w:rPr>
          <w:rFonts w:ascii="Arial" w:hAnsi="Arial" w:cs="Arial"/>
          <w:color w:val="222222"/>
          <w:shd w:val="clear" w:color="auto" w:fill="FFFFFF"/>
        </w:rPr>
        <w:t> 19.3 (2020): 761-786.</w:t>
      </w:r>
    </w:p>
  </w:footnote>
  <w:footnote w:id="113">
    <w:p w14:paraId="50301616" w14:textId="67FEB09C" w:rsidR="00610A88" w:rsidRDefault="00610A88">
      <w:pPr>
        <w:pStyle w:val="FootnoteText"/>
        <w:rPr>
          <w:rtl/>
        </w:rPr>
      </w:pPr>
      <w:r>
        <w:rPr>
          <w:rStyle w:val="FootnoteReference"/>
        </w:rPr>
        <w:footnoteRef/>
      </w:r>
      <w:r>
        <w:t xml:space="preserve"> </w:t>
      </w:r>
      <w:r>
        <w:rPr>
          <w:rFonts w:ascii="Arial" w:hAnsi="Arial" w:cs="Arial"/>
          <w:color w:val="222222"/>
          <w:shd w:val="clear" w:color="auto" w:fill="FFFFFF"/>
        </w:rPr>
        <w:t>Walters, Glenn D., and P. Colin Bolger. "Procedural justice perceptions, legitimacy beliefs, and compliance with the law: A meta-analysis." </w:t>
      </w:r>
      <w:r>
        <w:rPr>
          <w:rFonts w:ascii="Arial" w:hAnsi="Arial" w:cs="Arial"/>
          <w:i/>
          <w:iCs/>
          <w:color w:val="222222"/>
          <w:shd w:val="clear" w:color="auto" w:fill="FFFFFF"/>
        </w:rPr>
        <w:t>Journal of experimental Criminology</w:t>
      </w:r>
      <w:r>
        <w:rPr>
          <w:rFonts w:ascii="Arial" w:hAnsi="Arial" w:cs="Arial"/>
          <w:color w:val="222222"/>
          <w:shd w:val="clear" w:color="auto" w:fill="FFFFFF"/>
        </w:rPr>
        <w:t> 15 (2019): 341-372.</w:t>
      </w:r>
    </w:p>
  </w:footnote>
  <w:footnote w:id="114">
    <w:p w14:paraId="7337CAEE" w14:textId="37C51CEE" w:rsidR="005B4F16" w:rsidRDefault="005B4F16">
      <w:pPr>
        <w:pStyle w:val="FootnoteText"/>
      </w:pPr>
      <w:r>
        <w:rPr>
          <w:rStyle w:val="FootnoteReference"/>
        </w:rPr>
        <w:footnoteRef/>
      </w:r>
      <w:r>
        <w:t xml:space="preserve"> </w:t>
      </w:r>
      <w:r>
        <w:rPr>
          <w:rFonts w:ascii="Arial" w:hAnsi="Arial" w:cs="Arial"/>
          <w:color w:val="222222"/>
          <w:shd w:val="clear" w:color="auto" w:fill="FFFFFF"/>
        </w:rPr>
        <w:t>Cerasoli, Christopher P., Jessica M. Nicklin, and Michael T. Ford. "Intrinsic motivation and extrinsic incentives jointly predict performance: a 40-year meta-analysis." </w:t>
      </w:r>
      <w:r>
        <w:rPr>
          <w:rFonts w:ascii="Arial" w:hAnsi="Arial" w:cs="Arial"/>
          <w:i/>
          <w:iCs/>
          <w:color w:val="222222"/>
          <w:shd w:val="clear" w:color="auto" w:fill="FFFFFF"/>
        </w:rPr>
        <w:t>Psychological bulletin</w:t>
      </w:r>
      <w:r>
        <w:rPr>
          <w:rFonts w:ascii="Arial" w:hAnsi="Arial" w:cs="Arial"/>
          <w:color w:val="222222"/>
          <w:shd w:val="clear" w:color="auto" w:fill="FFFFFF"/>
        </w:rPr>
        <w:t> 140.4 (2014): 980.</w:t>
      </w:r>
    </w:p>
  </w:footnote>
  <w:footnote w:id="115">
    <w:p w14:paraId="57D36C90" w14:textId="5F23A37A" w:rsidR="00561B97" w:rsidRDefault="00561B97">
      <w:pPr>
        <w:pStyle w:val="FootnoteText"/>
        <w:rPr>
          <w:rtl/>
        </w:rPr>
      </w:pPr>
      <w:r>
        <w:rPr>
          <w:rStyle w:val="FootnoteReference"/>
        </w:rPr>
        <w:footnoteRef/>
      </w:r>
      <w:r>
        <w:t xml:space="preserve"> Compare with the argument made in </w:t>
      </w:r>
      <w:r>
        <w:rPr>
          <w:rFonts w:ascii="Arial" w:hAnsi="Arial" w:cs="Arial"/>
          <w:color w:val="222222"/>
          <w:shd w:val="clear" w:color="auto" w:fill="FFFFFF"/>
        </w:rPr>
        <w:t>Feldman, Yuval, and Doron Teichman. "Are all legal probabilities created equal." </w:t>
      </w:r>
      <w:r>
        <w:rPr>
          <w:rFonts w:ascii="Arial" w:hAnsi="Arial" w:cs="Arial"/>
          <w:i/>
          <w:iCs/>
          <w:color w:val="222222"/>
          <w:shd w:val="clear" w:color="auto" w:fill="FFFFFF"/>
        </w:rPr>
        <w:t>NYUL Rev.</w:t>
      </w:r>
      <w:r>
        <w:rPr>
          <w:rFonts w:ascii="Arial" w:hAnsi="Arial" w:cs="Arial"/>
          <w:color w:val="222222"/>
          <w:shd w:val="clear" w:color="auto" w:fill="FFFFFF"/>
        </w:rPr>
        <w:t xml:space="preserve"> 84 (2009): 980 regarding the effect of </w:t>
      </w:r>
    </w:p>
  </w:footnote>
  <w:footnote w:id="116">
    <w:p w14:paraId="0F6C1776" w14:textId="5F2C68EF" w:rsidR="00AA5E14" w:rsidRPr="00C2358B" w:rsidRDefault="00AA5E14">
      <w:pPr>
        <w:pStyle w:val="FootnoteText"/>
        <w:rPr>
          <w:rFonts w:ascii="David" w:hAnsi="David" w:cs="David"/>
        </w:rPr>
      </w:pPr>
      <w:r>
        <w:rPr>
          <w:rStyle w:val="FootnoteReference"/>
        </w:rPr>
        <w:footnoteRef/>
      </w:r>
      <w:r>
        <w:t xml:space="preserve"> </w:t>
      </w:r>
      <w:r w:rsidRPr="00E02CCB">
        <w:rPr>
          <w:rFonts w:ascii="David" w:hAnsi="David" w:cs="David"/>
          <w:color w:val="222222"/>
          <w:shd w:val="clear" w:color="auto" w:fill="FFFFFF"/>
        </w:rPr>
        <w:t>Strauss, David A. (2005), Reply: Legitimacy and Obedience, 118 Harv. L. Rev. 1854.</w:t>
      </w:r>
      <w:r w:rsidRPr="00C2358B">
        <w:rPr>
          <w:rFonts w:ascii="David" w:hAnsi="David" w:cs="David"/>
          <w:color w:val="222222"/>
          <w:shd w:val="clear" w:color="auto" w:fill="FFFFFF"/>
          <w:rtl/>
        </w:rPr>
        <w:t>‏</w:t>
      </w:r>
    </w:p>
  </w:footnote>
  <w:footnote w:id="117">
    <w:p w14:paraId="1148E365" w14:textId="576B1EC6" w:rsidR="00AA5E14" w:rsidRPr="00C2358B" w:rsidRDefault="00AA5E14">
      <w:pPr>
        <w:pStyle w:val="FootnoteText"/>
        <w:rPr>
          <w:rFonts w:ascii="David" w:hAnsi="David" w:cs="David"/>
        </w:rPr>
      </w:pPr>
      <w:r w:rsidRPr="00C2358B">
        <w:rPr>
          <w:rStyle w:val="FootnoteReference"/>
          <w:rFonts w:ascii="David" w:hAnsi="David" w:cs="David"/>
        </w:rPr>
        <w:footnoteRef/>
      </w:r>
      <w:r w:rsidRPr="00C2358B">
        <w:rPr>
          <w:rFonts w:ascii="David" w:hAnsi="David" w:cs="David"/>
        </w:rPr>
        <w:t xml:space="preserve"> </w:t>
      </w:r>
      <w:r w:rsidRPr="00C2358B">
        <w:rPr>
          <w:rFonts w:ascii="David" w:hAnsi="David" w:cs="David"/>
          <w:color w:val="222222"/>
          <w:shd w:val="clear" w:color="auto" w:fill="FFFFFF"/>
        </w:rPr>
        <w:t>Tyler, Tom R., and Jeffrey Fagan. "Legitimacy and cooperation: Why do people help the police fight crime in their communities." </w:t>
      </w:r>
      <w:r w:rsidRPr="00C2358B">
        <w:rPr>
          <w:rFonts w:ascii="David" w:hAnsi="David" w:cs="David"/>
          <w:i/>
          <w:iCs/>
          <w:color w:val="222222"/>
          <w:shd w:val="clear" w:color="auto" w:fill="FFFFFF"/>
        </w:rPr>
        <w:t>Ohio St. J. Crim. L.</w:t>
      </w:r>
      <w:r w:rsidRPr="00C2358B">
        <w:rPr>
          <w:rFonts w:ascii="David" w:hAnsi="David" w:cs="David"/>
          <w:color w:val="222222"/>
          <w:shd w:val="clear" w:color="auto" w:fill="FFFFFF"/>
        </w:rPr>
        <w:t> 6 (2008): 231.</w:t>
      </w:r>
      <w:r w:rsidRPr="00C2358B">
        <w:rPr>
          <w:rFonts w:ascii="David" w:hAnsi="David" w:cs="David"/>
          <w:color w:val="222222"/>
          <w:shd w:val="clear" w:color="auto" w:fill="FFFFFF"/>
          <w:rtl/>
        </w:rPr>
        <w:t>‏</w:t>
      </w:r>
    </w:p>
  </w:footnote>
  <w:footnote w:id="118">
    <w:p w14:paraId="55C03554" w14:textId="77777777" w:rsidR="008F3928" w:rsidRPr="002F65B9" w:rsidRDefault="008F3928" w:rsidP="008F3928">
      <w:pPr>
        <w:pStyle w:val="FootnoteText"/>
        <w:rPr>
          <w:rFonts w:ascii="David" w:hAnsi="David" w:cs="David"/>
        </w:rPr>
      </w:pPr>
      <w:r w:rsidRPr="00B95F90">
        <w:rPr>
          <w:rStyle w:val="FootnoteReference"/>
          <w:rFonts w:ascii="David" w:hAnsi="David" w:cs="David"/>
        </w:rPr>
        <w:footnoteRef/>
      </w:r>
      <w:r w:rsidRPr="00B95F90">
        <w:rPr>
          <w:rFonts w:ascii="David" w:hAnsi="David" w:cs="David"/>
        </w:rPr>
        <w:t xml:space="preserve"> </w:t>
      </w:r>
      <w:r w:rsidRPr="002F65B9">
        <w:rPr>
          <w:rFonts w:ascii="David" w:hAnsi="David" w:cs="David"/>
          <w:color w:val="222222"/>
          <w:shd w:val="clear" w:color="auto" w:fill="FFFFFF"/>
        </w:rPr>
        <w:t>Murphy, Kristina. "Turning defiance into compliance with procedural justice: Understanding reactions to regulatory encounters through motivational posturing." </w:t>
      </w:r>
      <w:r w:rsidRPr="002F65B9">
        <w:rPr>
          <w:rFonts w:ascii="David" w:hAnsi="David" w:cs="David"/>
          <w:i/>
          <w:iCs/>
          <w:color w:val="222222"/>
          <w:shd w:val="clear" w:color="auto" w:fill="FFFFFF"/>
        </w:rPr>
        <w:t>Regulation &amp; Governance</w:t>
      </w:r>
      <w:r w:rsidRPr="002F65B9">
        <w:rPr>
          <w:rFonts w:ascii="David" w:hAnsi="David" w:cs="David"/>
          <w:color w:val="222222"/>
          <w:shd w:val="clear" w:color="auto" w:fill="FFFFFF"/>
        </w:rPr>
        <w:t> 10.1 (2016): 93-109.</w:t>
      </w:r>
      <w:r w:rsidRPr="002F65B9">
        <w:rPr>
          <w:rFonts w:ascii="David" w:hAnsi="David" w:cs="David"/>
          <w:color w:val="222222"/>
          <w:shd w:val="clear" w:color="auto" w:fill="FFFFFF"/>
          <w:rtl/>
        </w:rPr>
        <w:t>‏</w:t>
      </w:r>
    </w:p>
  </w:footnote>
  <w:footnote w:id="119">
    <w:p w14:paraId="207C41E4" w14:textId="09950EF6" w:rsidR="00AA5E14" w:rsidRDefault="00AA5E14">
      <w:pPr>
        <w:pStyle w:val="FootnoteText"/>
      </w:pPr>
      <w:r w:rsidRPr="00C2358B">
        <w:rPr>
          <w:rStyle w:val="FootnoteReference"/>
          <w:rFonts w:ascii="David" w:hAnsi="David" w:cs="David"/>
        </w:rPr>
        <w:footnoteRef/>
      </w:r>
      <w:r w:rsidRPr="00C2358B">
        <w:rPr>
          <w:rFonts w:ascii="David" w:hAnsi="David" w:cs="David"/>
        </w:rPr>
        <w:t xml:space="preserve"> </w:t>
      </w:r>
      <w:r w:rsidRPr="00C2358B">
        <w:rPr>
          <w:rFonts w:ascii="David" w:hAnsi="David" w:cs="David"/>
          <w:color w:val="222222"/>
          <w:shd w:val="clear" w:color="auto" w:fill="FFFFFF"/>
        </w:rPr>
        <w:t>Kelman, Mark. "Market discrimination and groups." </w:t>
      </w:r>
      <w:r w:rsidRPr="00C2358B">
        <w:rPr>
          <w:rFonts w:ascii="David" w:hAnsi="David" w:cs="David"/>
          <w:i/>
          <w:iCs/>
          <w:color w:val="222222"/>
          <w:shd w:val="clear" w:color="auto" w:fill="FFFFFF"/>
        </w:rPr>
        <w:t>Stanford Law Review</w:t>
      </w:r>
      <w:r w:rsidRPr="00C2358B">
        <w:rPr>
          <w:rFonts w:ascii="David" w:hAnsi="David" w:cs="David"/>
          <w:color w:val="222222"/>
          <w:shd w:val="clear" w:color="auto" w:fill="FFFFFF"/>
        </w:rPr>
        <w:t> (2001): 833-896.</w:t>
      </w:r>
      <w:r w:rsidRPr="00C2358B">
        <w:rPr>
          <w:rFonts w:ascii="David" w:hAnsi="David" w:cs="David"/>
          <w:color w:val="222222"/>
          <w:shd w:val="clear" w:color="auto" w:fill="FFFFFF"/>
          <w:rtl/>
        </w:rPr>
        <w:t>‏</w:t>
      </w:r>
    </w:p>
  </w:footnote>
  <w:footnote w:id="120">
    <w:p w14:paraId="364DD0AD" w14:textId="77777777" w:rsidR="00CE79F8" w:rsidRDefault="00CE79F8" w:rsidP="00CE79F8">
      <w:pPr>
        <w:pStyle w:val="FootnoteText"/>
      </w:pPr>
      <w:r>
        <w:rPr>
          <w:rStyle w:val="FootnoteReference"/>
        </w:rPr>
        <w:footnoteRef/>
      </w:r>
      <w:r>
        <w:t xml:space="preserve"> </w:t>
      </w:r>
      <w:r w:rsidRPr="00961CA5">
        <w:rPr>
          <w:rFonts w:ascii="David" w:hAnsi="David" w:cs="David"/>
          <w:color w:val="222222"/>
          <w:shd w:val="clear" w:color="auto" w:fill="FFFFFF"/>
        </w:rPr>
        <w:t>Losoncz, Ibolya, and Ibolya Losoncz. "Responses to Institutional Disrespect." </w:t>
      </w:r>
      <w:r w:rsidRPr="00961CA5">
        <w:rPr>
          <w:rFonts w:ascii="David" w:hAnsi="David" w:cs="David"/>
          <w:i/>
          <w:iCs/>
          <w:color w:val="222222"/>
          <w:shd w:val="clear" w:color="auto" w:fill="FFFFFF"/>
        </w:rPr>
        <w:t xml:space="preserve">Institutional Disrespect: South Sudanese Experiences of the Structural </w:t>
      </w:r>
      <w:proofErr w:type="spellStart"/>
      <w:r w:rsidRPr="00961CA5">
        <w:rPr>
          <w:rFonts w:ascii="David" w:hAnsi="David" w:cs="David"/>
          <w:i/>
          <w:iCs/>
          <w:color w:val="222222"/>
          <w:shd w:val="clear" w:color="auto" w:fill="FFFFFF"/>
        </w:rPr>
        <w:t>Marginalisation</w:t>
      </w:r>
      <w:proofErr w:type="spellEnd"/>
      <w:r w:rsidRPr="00961CA5">
        <w:rPr>
          <w:rFonts w:ascii="David" w:hAnsi="David" w:cs="David"/>
          <w:i/>
          <w:iCs/>
          <w:color w:val="222222"/>
          <w:shd w:val="clear" w:color="auto" w:fill="FFFFFF"/>
        </w:rPr>
        <w:t xml:space="preserve"> of Refugee Migrants in Australia</w:t>
      </w:r>
      <w:r w:rsidRPr="00961CA5">
        <w:rPr>
          <w:rFonts w:ascii="David" w:hAnsi="David" w:cs="David"/>
          <w:color w:val="222222"/>
          <w:shd w:val="clear" w:color="auto" w:fill="FFFFFF"/>
        </w:rPr>
        <w:t> (2019): 115-133.</w:t>
      </w:r>
      <w:r w:rsidRPr="00961CA5">
        <w:rPr>
          <w:rFonts w:ascii="David" w:hAnsi="David" w:cs="David"/>
          <w:color w:val="222222"/>
          <w:shd w:val="clear" w:color="auto" w:fill="FFFFFF"/>
          <w:rtl/>
        </w:rPr>
        <w:t>‏</w:t>
      </w:r>
    </w:p>
  </w:footnote>
  <w:footnote w:id="121">
    <w:p w14:paraId="4E69903E" w14:textId="77777777" w:rsidR="00CE79F8" w:rsidRPr="00A1783F" w:rsidRDefault="00CE79F8" w:rsidP="00CE79F8">
      <w:pPr>
        <w:autoSpaceDE w:val="0"/>
        <w:autoSpaceDN w:val="0"/>
        <w:adjustRightInd w:val="0"/>
        <w:spacing w:after="0" w:line="240" w:lineRule="auto"/>
        <w:rPr>
          <w:rFonts w:ascii="David" w:eastAsia="Times New Roman" w:hAnsi="David" w:cs="David"/>
          <w:color w:val="333333"/>
          <w:spacing w:val="2"/>
          <w:kern w:val="32"/>
          <w:sz w:val="24"/>
          <w:szCs w:val="24"/>
          <w:shd w:val="clear" w:color="auto" w:fill="FCFCFC"/>
        </w:rPr>
      </w:pPr>
      <w:r>
        <w:rPr>
          <w:rStyle w:val="FootnoteReference"/>
        </w:rPr>
        <w:footnoteRef/>
      </w:r>
      <w:r>
        <w:t xml:space="preserve"> </w:t>
      </w:r>
      <w:r w:rsidRPr="009C1FB2">
        <w:rPr>
          <w:rFonts w:ascii="David" w:eastAsia="Times New Roman" w:hAnsi="David" w:cs="David"/>
          <w:color w:val="333333"/>
          <w:spacing w:val="2"/>
          <w:kern w:val="32"/>
          <w:shd w:val="clear" w:color="auto" w:fill="FCFCFC"/>
        </w:rPr>
        <w:t xml:space="preserve">Taxation Threat, Motivational </w:t>
      </w:r>
      <w:proofErr w:type="spellStart"/>
      <w:proofErr w:type="gramStart"/>
      <w:r w:rsidRPr="009C1FB2">
        <w:rPr>
          <w:rFonts w:ascii="David" w:eastAsia="Times New Roman" w:hAnsi="David" w:cs="David"/>
          <w:color w:val="333333"/>
          <w:spacing w:val="2"/>
          <w:kern w:val="32"/>
          <w:shd w:val="clear" w:color="auto" w:fill="FCFCFC"/>
        </w:rPr>
        <w:t>Postures,and</w:t>
      </w:r>
      <w:proofErr w:type="spellEnd"/>
      <w:proofErr w:type="gramEnd"/>
      <w:r w:rsidRPr="009C1FB2">
        <w:rPr>
          <w:rFonts w:ascii="David" w:eastAsia="Times New Roman" w:hAnsi="David" w:cs="David"/>
          <w:color w:val="333333"/>
          <w:spacing w:val="2"/>
          <w:kern w:val="32"/>
          <w:shd w:val="clear" w:color="auto" w:fill="FCFCFC"/>
        </w:rPr>
        <w:t xml:space="preserve"> Responsive Regulation</w:t>
      </w:r>
      <w:r>
        <w:rPr>
          <w:rFonts w:ascii="David" w:eastAsia="Times New Roman" w:hAnsi="David" w:cs="David"/>
          <w:color w:val="333333"/>
          <w:spacing w:val="2"/>
          <w:kern w:val="32"/>
          <w:sz w:val="24"/>
          <w:szCs w:val="24"/>
          <w:shd w:val="clear" w:color="auto" w:fill="FCFCFC"/>
        </w:rPr>
        <w:t>.</w:t>
      </w:r>
    </w:p>
    <w:p w14:paraId="42CF7064" w14:textId="77777777" w:rsidR="00CE79F8" w:rsidRDefault="00CE79F8" w:rsidP="00CE79F8">
      <w:pPr>
        <w:pStyle w:val="FootnoteText"/>
      </w:pPr>
    </w:p>
  </w:footnote>
  <w:footnote w:id="122">
    <w:p w14:paraId="6D0ECBC5" w14:textId="77777777" w:rsidR="00DE399F" w:rsidRPr="0047237E" w:rsidRDefault="00DE399F" w:rsidP="00DE399F">
      <w:pPr>
        <w:spacing w:line="360" w:lineRule="auto"/>
        <w:jc w:val="both"/>
        <w:rPr>
          <w:rFonts w:ascii="David" w:hAnsi="David" w:cs="David"/>
          <w:b/>
          <w:bCs/>
        </w:rPr>
      </w:pPr>
      <w:r>
        <w:rPr>
          <w:rStyle w:val="FootnoteReference"/>
        </w:rPr>
        <w:footnoteRef/>
      </w:r>
      <w:r>
        <w:t xml:space="preserve"> </w:t>
      </w:r>
      <w:r w:rsidRPr="0047237E">
        <w:rPr>
          <w:rFonts w:ascii="David" w:hAnsi="David" w:cs="David"/>
        </w:rPr>
        <w:t>(</w:t>
      </w:r>
      <w:hyperlink r:id="rId1" w:history="1">
        <w:r w:rsidRPr="0047237E">
          <w:rPr>
            <w:rFonts w:ascii="David" w:hAnsi="David" w:cs="David"/>
          </w:rPr>
          <w:t>Braithwaite, 1995</w:t>
        </w:r>
      </w:hyperlink>
      <w:r w:rsidRPr="0047237E">
        <w:rPr>
          <w:rFonts w:ascii="David" w:hAnsi="David" w:cs="David"/>
        </w:rPr>
        <w:t xml:space="preserve">; </w:t>
      </w:r>
      <w:hyperlink r:id="rId2" w:history="1">
        <w:r w:rsidRPr="0047237E">
          <w:rPr>
            <w:rFonts w:ascii="David" w:hAnsi="David" w:cs="David"/>
          </w:rPr>
          <w:t>Braithwaite, 2014</w:t>
        </w:r>
      </w:hyperlink>
      <w:r w:rsidRPr="0047237E">
        <w:rPr>
          <w:rFonts w:ascii="David" w:hAnsi="David" w:cs="David"/>
        </w:rPr>
        <w:t>).</w:t>
      </w:r>
      <w:r>
        <w:rPr>
          <w:rStyle w:val="CommentReference"/>
          <w:rFonts w:ascii="Calibri" w:eastAsia="Calibri" w:hAnsi="Calibri" w:cs="Arial"/>
          <w:rtl/>
        </w:rPr>
        <w:annotationRef/>
      </w:r>
    </w:p>
    <w:p w14:paraId="24EA1A1D" w14:textId="6BAC3A93" w:rsidR="00DE399F" w:rsidRDefault="00DE399F">
      <w:pPr>
        <w:pStyle w:val="FootnoteText"/>
        <w:rPr>
          <w:rtl/>
        </w:rPr>
      </w:pPr>
    </w:p>
  </w:footnote>
  <w:footnote w:id="123">
    <w:p w14:paraId="2F4A03AF" w14:textId="4310A839" w:rsidR="00AA5E14" w:rsidRPr="002F65B9" w:rsidRDefault="00AA5E14">
      <w:pPr>
        <w:pStyle w:val="FootnoteText"/>
        <w:rPr>
          <w:rFonts w:ascii="David" w:hAnsi="David" w:cs="David"/>
        </w:rPr>
      </w:pPr>
      <w:r w:rsidRPr="00B95F90">
        <w:rPr>
          <w:rStyle w:val="FootnoteReference"/>
          <w:rFonts w:ascii="David" w:hAnsi="David" w:cs="David"/>
        </w:rPr>
        <w:footnoteRef/>
      </w:r>
      <w:r w:rsidRPr="00B95F90">
        <w:rPr>
          <w:rFonts w:ascii="David" w:hAnsi="David" w:cs="David"/>
        </w:rPr>
        <w:t xml:space="preserve"> </w:t>
      </w:r>
      <w:r w:rsidRPr="002F65B9">
        <w:rPr>
          <w:rFonts w:ascii="David" w:hAnsi="David" w:cs="David"/>
          <w:color w:val="222222"/>
          <w:shd w:val="clear" w:color="auto" w:fill="FFFFFF"/>
        </w:rPr>
        <w:t>Murphy, Kristina. "Turning defiance into compliance with procedural justice: Understanding reactions to regulatory encounters through motivational posturing." </w:t>
      </w:r>
      <w:r w:rsidRPr="002F65B9">
        <w:rPr>
          <w:rFonts w:ascii="David" w:hAnsi="David" w:cs="David"/>
          <w:i/>
          <w:iCs/>
          <w:color w:val="222222"/>
          <w:shd w:val="clear" w:color="auto" w:fill="FFFFFF"/>
        </w:rPr>
        <w:t>Regulation &amp; Governance</w:t>
      </w:r>
      <w:r w:rsidRPr="002F65B9">
        <w:rPr>
          <w:rFonts w:ascii="David" w:hAnsi="David" w:cs="David"/>
          <w:color w:val="222222"/>
          <w:shd w:val="clear" w:color="auto" w:fill="FFFFFF"/>
        </w:rPr>
        <w:t> 10.1 (2016): 93-109.</w:t>
      </w:r>
      <w:r w:rsidRPr="002F65B9">
        <w:rPr>
          <w:rFonts w:ascii="David" w:hAnsi="David" w:cs="David"/>
          <w:color w:val="222222"/>
          <w:shd w:val="clear" w:color="auto" w:fill="FFFFFF"/>
          <w:rtl/>
        </w:rPr>
        <w:t>‏</w:t>
      </w:r>
    </w:p>
  </w:footnote>
  <w:footnote w:id="124">
    <w:p w14:paraId="0856FB14" w14:textId="2F40311C" w:rsidR="00AA5E14" w:rsidRPr="002F65B9" w:rsidRDefault="00AA5E14">
      <w:pPr>
        <w:pStyle w:val="FootnoteText"/>
        <w:rPr>
          <w:rFonts w:ascii="David" w:hAnsi="David" w:cs="David"/>
        </w:rPr>
      </w:pPr>
      <w:r w:rsidRPr="002F65B9">
        <w:rPr>
          <w:rStyle w:val="FootnoteReference"/>
          <w:rFonts w:ascii="David" w:hAnsi="David" w:cs="David"/>
        </w:rPr>
        <w:footnoteRef/>
      </w:r>
      <w:r w:rsidRPr="002F65B9">
        <w:rPr>
          <w:rFonts w:ascii="David" w:hAnsi="David" w:cs="David"/>
        </w:rPr>
        <w:t xml:space="preserve"> </w:t>
      </w:r>
      <w:r w:rsidRPr="002F65B9">
        <w:rPr>
          <w:rFonts w:ascii="David" w:hAnsi="David" w:cs="David"/>
          <w:color w:val="333333"/>
          <w:spacing w:val="2"/>
          <w:shd w:val="clear" w:color="auto" w:fill="FCFCFC"/>
        </w:rPr>
        <w:t xml:space="preserve">A mail survey of 5235 farmers across Australia was conducted to examine motivational postures and attitudes to government, environmental problems, environmental laws and regulations and farm management </w:t>
      </w:r>
      <w:proofErr w:type="spellStart"/>
      <w:r w:rsidRPr="002F65B9">
        <w:rPr>
          <w:rFonts w:ascii="David" w:hAnsi="David" w:cs="David"/>
          <w:color w:val="333333"/>
          <w:spacing w:val="2"/>
          <w:shd w:val="clear" w:color="auto" w:fill="FCFCFC"/>
        </w:rPr>
        <w:t>behaviours</w:t>
      </w:r>
      <w:proofErr w:type="spellEnd"/>
      <w:r w:rsidRPr="002F65B9">
        <w:rPr>
          <w:rFonts w:ascii="David" w:hAnsi="David" w:cs="David"/>
          <w:color w:val="333333"/>
          <w:spacing w:val="2"/>
          <w:shd w:val="clear" w:color="auto" w:fill="FCFCFC"/>
        </w:rPr>
        <w:t xml:space="preserve">. Four postures are empirically derived: one associated with compliance, here labelled “Aligned”, and three associated with non- or creative compliance: one Disengaged, one Game playing and one Resistant. motivational postures are related to place, jurisdiction and degree of regulatory alignment: the degree of agreement between </w:t>
      </w:r>
      <w:proofErr w:type="spellStart"/>
      <w:r w:rsidRPr="002F65B9">
        <w:rPr>
          <w:rFonts w:ascii="David" w:hAnsi="David" w:cs="David"/>
          <w:color w:val="333333"/>
          <w:spacing w:val="2"/>
          <w:shd w:val="clear" w:color="auto" w:fill="FCFCFC"/>
        </w:rPr>
        <w:t>regulatees</w:t>
      </w:r>
      <w:proofErr w:type="spellEnd"/>
      <w:r w:rsidRPr="002F65B9">
        <w:rPr>
          <w:rFonts w:ascii="David" w:hAnsi="David" w:cs="David"/>
          <w:color w:val="333333"/>
          <w:spacing w:val="2"/>
          <w:shd w:val="clear" w:color="auto" w:fill="FCFCFC"/>
        </w:rPr>
        <w:t xml:space="preserve"> and regulators on the latter’s role and on the content, process and aims of regulatory </w:t>
      </w:r>
      <w:proofErr w:type="gramStart"/>
      <w:r w:rsidRPr="002F65B9">
        <w:rPr>
          <w:rFonts w:ascii="David" w:hAnsi="David" w:cs="David"/>
          <w:color w:val="333333"/>
          <w:spacing w:val="2"/>
          <w:shd w:val="clear" w:color="auto" w:fill="FCFCFC"/>
        </w:rPr>
        <w:t>interventions</w:t>
      </w:r>
      <w:proofErr w:type="gramEnd"/>
    </w:p>
  </w:footnote>
  <w:footnote w:id="125">
    <w:p w14:paraId="5CF9A43D" w14:textId="3F425E90" w:rsidR="00AA5E14" w:rsidRPr="002F65B9" w:rsidRDefault="00AA5E14">
      <w:pPr>
        <w:pStyle w:val="FootnoteText"/>
        <w:rPr>
          <w:rFonts w:ascii="David" w:hAnsi="David" w:cs="David"/>
        </w:rPr>
      </w:pPr>
      <w:r w:rsidRPr="002F65B9">
        <w:rPr>
          <w:rStyle w:val="FootnoteReference"/>
          <w:rFonts w:ascii="David" w:hAnsi="David" w:cs="David"/>
        </w:rPr>
        <w:footnoteRef/>
      </w:r>
      <w:r w:rsidRPr="002F65B9">
        <w:rPr>
          <w:rFonts w:ascii="David" w:hAnsi="David" w:cs="David"/>
        </w:rPr>
        <w:t xml:space="preserve"> </w:t>
      </w:r>
      <w:r w:rsidRPr="002F65B9">
        <w:rPr>
          <w:rFonts w:ascii="David" w:hAnsi="David" w:cs="David"/>
          <w:color w:val="222222"/>
          <w:shd w:val="clear" w:color="auto" w:fill="FFFFFF"/>
        </w:rPr>
        <w:t>Bartel, Robyn, and Elaine Barclay. "Motivational postures and compliance with environmental law in Australian agriculture." </w:t>
      </w:r>
      <w:r w:rsidRPr="002F65B9">
        <w:rPr>
          <w:rFonts w:ascii="David" w:hAnsi="David" w:cs="David"/>
          <w:i/>
          <w:iCs/>
          <w:color w:val="222222"/>
          <w:shd w:val="clear" w:color="auto" w:fill="FFFFFF"/>
        </w:rPr>
        <w:t>Journal of Rural Studies</w:t>
      </w:r>
      <w:r w:rsidRPr="002F65B9">
        <w:rPr>
          <w:rFonts w:ascii="David" w:hAnsi="David" w:cs="David"/>
          <w:color w:val="222222"/>
          <w:shd w:val="clear" w:color="auto" w:fill="FFFFFF"/>
        </w:rPr>
        <w:t> 27.2 (2011): 153-170.</w:t>
      </w:r>
      <w:r w:rsidRPr="002F65B9">
        <w:rPr>
          <w:rFonts w:ascii="David" w:hAnsi="David" w:cs="David"/>
          <w:color w:val="222222"/>
          <w:shd w:val="clear" w:color="auto" w:fill="FFFFFF"/>
          <w:rtl/>
        </w:rPr>
        <w:t>‏</w:t>
      </w:r>
    </w:p>
  </w:footnote>
  <w:footnote w:id="126">
    <w:p w14:paraId="5B90E57C" w14:textId="10DC0C9F" w:rsidR="00AA5E14" w:rsidRPr="002F65B9" w:rsidRDefault="00AA5E14">
      <w:pPr>
        <w:pStyle w:val="FootnoteText"/>
        <w:rPr>
          <w:rFonts w:ascii="David" w:hAnsi="David" w:cs="David"/>
        </w:rPr>
      </w:pPr>
      <w:r w:rsidRPr="002F65B9">
        <w:rPr>
          <w:rStyle w:val="FootnoteReference"/>
          <w:rFonts w:ascii="David" w:hAnsi="David" w:cs="David"/>
        </w:rPr>
        <w:footnoteRef/>
      </w:r>
      <w:r w:rsidRPr="002F65B9">
        <w:rPr>
          <w:rFonts w:ascii="David" w:hAnsi="David" w:cs="David"/>
        </w:rPr>
        <w:t xml:space="preserve"> </w:t>
      </w:r>
      <w:r w:rsidRPr="002F65B9">
        <w:rPr>
          <w:rFonts w:ascii="David" w:hAnsi="David" w:cs="David"/>
          <w:color w:val="222222"/>
          <w:shd w:val="clear" w:color="auto" w:fill="FFFFFF"/>
        </w:rPr>
        <w:t>Braithwaite, John, and Toni Makkai. "Trust and compliance." </w:t>
      </w:r>
      <w:r w:rsidRPr="002F65B9">
        <w:rPr>
          <w:rFonts w:ascii="David" w:hAnsi="David" w:cs="David"/>
          <w:i/>
          <w:iCs/>
          <w:color w:val="222222"/>
          <w:shd w:val="clear" w:color="auto" w:fill="FFFFFF"/>
        </w:rPr>
        <w:t>Policing and Society: An International Journal</w:t>
      </w:r>
      <w:r w:rsidRPr="002F65B9">
        <w:rPr>
          <w:rFonts w:ascii="David" w:hAnsi="David" w:cs="David"/>
          <w:color w:val="222222"/>
          <w:shd w:val="clear" w:color="auto" w:fill="FFFFFF"/>
        </w:rPr>
        <w:t> 4.1 (1994): 1-12.</w:t>
      </w:r>
      <w:r w:rsidRPr="002F65B9">
        <w:rPr>
          <w:rFonts w:ascii="David" w:hAnsi="David" w:cs="David"/>
          <w:color w:val="222222"/>
          <w:shd w:val="clear" w:color="auto" w:fill="FFFFFF"/>
          <w:rtl/>
        </w:rPr>
        <w:t>‏</w:t>
      </w:r>
    </w:p>
  </w:footnote>
  <w:footnote w:id="127">
    <w:p w14:paraId="46209032" w14:textId="48792785" w:rsidR="0030759B" w:rsidRDefault="0030759B">
      <w:pPr>
        <w:pStyle w:val="FootnoteText"/>
      </w:pPr>
      <w:r>
        <w:rPr>
          <w:rStyle w:val="FootnoteReference"/>
        </w:rPr>
        <w:footnoteRef/>
      </w:r>
      <w:r>
        <w:t xml:space="preserve"> See </w:t>
      </w:r>
      <w:r w:rsidR="00717BB5">
        <w:rPr>
          <w:rFonts w:ascii="Arial" w:hAnsi="Arial" w:cs="Arial"/>
          <w:color w:val="222222"/>
          <w:shd w:val="clear" w:color="auto" w:fill="FFFFFF"/>
        </w:rPr>
        <w:t>Weibel, Antoinette, and Frédérique Six. "Trust and control: The role of intrinsic motivation." </w:t>
      </w:r>
      <w:r w:rsidR="00717BB5">
        <w:rPr>
          <w:rFonts w:ascii="Arial" w:hAnsi="Arial" w:cs="Arial"/>
          <w:i/>
          <w:iCs/>
          <w:color w:val="222222"/>
          <w:shd w:val="clear" w:color="auto" w:fill="FFFFFF"/>
        </w:rPr>
        <w:t>Handbook of advances in trust research</w:t>
      </w:r>
      <w:r w:rsidR="00717BB5">
        <w:rPr>
          <w:rFonts w:ascii="Arial" w:hAnsi="Arial" w:cs="Arial"/>
          <w:color w:val="222222"/>
          <w:shd w:val="clear" w:color="auto" w:fill="FFFFFF"/>
        </w:rPr>
        <w:t>. Edward Elgar Publishing, 2013. 57-81.</w:t>
      </w:r>
      <w:r>
        <w:t xml:space="preserve">, see also </w:t>
      </w:r>
      <w:r>
        <w:rPr>
          <w:rFonts w:ascii="Arial" w:hAnsi="Arial" w:cs="Arial"/>
          <w:color w:val="222222"/>
          <w:shd w:val="clear" w:color="auto" w:fill="FFFFFF"/>
        </w:rPr>
        <w:t>Barak</w:t>
      </w:r>
      <w:r>
        <w:rPr>
          <w:rFonts w:ascii="Cambria Math" w:hAnsi="Cambria Math" w:cs="Cambria Math"/>
          <w:color w:val="222222"/>
          <w:shd w:val="clear" w:color="auto" w:fill="FFFFFF"/>
        </w:rPr>
        <w:t>‐</w:t>
      </w:r>
      <w:r>
        <w:rPr>
          <w:rFonts w:ascii="Arial" w:hAnsi="Arial" w:cs="Arial"/>
          <w:color w:val="222222"/>
          <w:shd w:val="clear" w:color="auto" w:fill="FFFFFF"/>
        </w:rPr>
        <w:t>Corren, Netta, and Yael Kariv</w:t>
      </w:r>
      <w:r>
        <w:rPr>
          <w:rFonts w:ascii="Cambria Math" w:hAnsi="Cambria Math" w:cs="Cambria Math"/>
          <w:color w:val="222222"/>
          <w:shd w:val="clear" w:color="auto" w:fill="FFFFFF"/>
        </w:rPr>
        <w:t>‐</w:t>
      </w:r>
      <w:r>
        <w:rPr>
          <w:rFonts w:ascii="Arial" w:hAnsi="Arial" w:cs="Arial"/>
          <w:color w:val="222222"/>
          <w:shd w:val="clear" w:color="auto" w:fill="FFFFFF"/>
        </w:rPr>
        <w:t>Teitelbaum. "Behavioral responsive regulation: Bringing together responsive regulation and behavioral public policy." </w:t>
      </w:r>
      <w:r>
        <w:rPr>
          <w:rFonts w:ascii="Arial" w:hAnsi="Arial" w:cs="Arial"/>
          <w:i/>
          <w:iCs/>
          <w:color w:val="222222"/>
          <w:shd w:val="clear" w:color="auto" w:fill="FFFFFF"/>
        </w:rPr>
        <w:t>Regulation &amp; Governance</w:t>
      </w:r>
      <w:r>
        <w:rPr>
          <w:rFonts w:ascii="Arial" w:hAnsi="Arial" w:cs="Arial"/>
          <w:color w:val="222222"/>
          <w:shd w:val="clear" w:color="auto" w:fill="FFFFFF"/>
        </w:rPr>
        <w:t> 15 (2021): S163-S182.</w:t>
      </w:r>
    </w:p>
  </w:footnote>
  <w:footnote w:id="128">
    <w:p w14:paraId="45042D61" w14:textId="3D00ABF1" w:rsidR="00AA5E14" w:rsidRPr="002F65B9" w:rsidRDefault="00AA5E14">
      <w:pPr>
        <w:pStyle w:val="FootnoteText"/>
        <w:rPr>
          <w:rFonts w:ascii="David" w:hAnsi="David" w:cs="David"/>
        </w:rPr>
      </w:pPr>
      <w:r w:rsidRPr="002F65B9">
        <w:rPr>
          <w:rStyle w:val="FootnoteReference"/>
          <w:rFonts w:ascii="David" w:hAnsi="David" w:cs="David"/>
        </w:rPr>
        <w:footnoteRef/>
      </w:r>
      <w:r w:rsidRPr="002F65B9">
        <w:rPr>
          <w:rFonts w:ascii="David" w:hAnsi="David" w:cs="David"/>
        </w:rPr>
        <w:t xml:space="preserve"> </w:t>
      </w:r>
      <w:r w:rsidRPr="002F65B9">
        <w:rPr>
          <w:rFonts w:ascii="David" w:hAnsi="David" w:cs="David"/>
          <w:color w:val="222222"/>
          <w:shd w:val="clear" w:color="auto" w:fill="FFFFFF"/>
        </w:rPr>
        <w:t>Braithwaite, Valerie, Kristina Murphy, and Monika Reinhart. "Taxation threat, motivational postures, and responsive regulation." </w:t>
      </w:r>
      <w:r w:rsidRPr="002F65B9">
        <w:rPr>
          <w:rFonts w:ascii="David" w:hAnsi="David" w:cs="David"/>
          <w:i/>
          <w:iCs/>
          <w:color w:val="222222"/>
          <w:shd w:val="clear" w:color="auto" w:fill="FFFFFF"/>
        </w:rPr>
        <w:t>Law &amp; Policy</w:t>
      </w:r>
      <w:r w:rsidRPr="002F65B9">
        <w:rPr>
          <w:rFonts w:ascii="David" w:hAnsi="David" w:cs="David"/>
          <w:color w:val="222222"/>
          <w:shd w:val="clear" w:color="auto" w:fill="FFFFFF"/>
        </w:rPr>
        <w:t> 29.1 (2007): 137-158.</w:t>
      </w:r>
      <w:r w:rsidRPr="002F65B9">
        <w:rPr>
          <w:rFonts w:ascii="David" w:hAnsi="David" w:cs="David"/>
          <w:color w:val="222222"/>
          <w:shd w:val="clear" w:color="auto" w:fill="FFFFFF"/>
          <w:rtl/>
        </w:rPr>
        <w:t>‏</w:t>
      </w:r>
    </w:p>
  </w:footnote>
  <w:footnote w:id="129">
    <w:p w14:paraId="6FC03705" w14:textId="77777777" w:rsidR="006B0436" w:rsidRDefault="006B0436" w:rsidP="006B0436">
      <w:pPr>
        <w:pStyle w:val="FootnoteText"/>
      </w:pPr>
      <w:r>
        <w:rPr>
          <w:rStyle w:val="FootnoteReference"/>
        </w:rPr>
        <w:footnoteRef/>
      </w:r>
      <w:r>
        <w:t xml:space="preserve"> </w:t>
      </w:r>
      <w:r w:rsidRPr="0047237E">
        <w:rPr>
          <w:rFonts w:ascii="David" w:hAnsi="David" w:cs="David"/>
          <w:color w:val="222222"/>
          <w:shd w:val="clear" w:color="auto" w:fill="FFFFFF"/>
        </w:rPr>
        <w:t>Milkman, Katherine L., Julia A. Minson, and Kevin GM Volpp. "Holding the hunger games hostage at the gym: An evaluation of temptation bundling." </w:t>
      </w:r>
      <w:r w:rsidRPr="0047237E">
        <w:rPr>
          <w:rFonts w:ascii="David" w:hAnsi="David" w:cs="David"/>
          <w:i/>
          <w:iCs/>
          <w:color w:val="222222"/>
          <w:shd w:val="clear" w:color="auto" w:fill="FFFFFF"/>
        </w:rPr>
        <w:t>Management science</w:t>
      </w:r>
      <w:r w:rsidRPr="0047237E">
        <w:rPr>
          <w:rFonts w:ascii="David" w:hAnsi="David" w:cs="David"/>
          <w:color w:val="222222"/>
          <w:shd w:val="clear" w:color="auto" w:fill="FFFFFF"/>
        </w:rPr>
        <w:t> 60.2 (2014): 283-299. Staats, Bradley R., et al. "Motivating process compliance through individual electronic monitoring: An empirical examination of hand hygiene in healthcare." </w:t>
      </w:r>
      <w:r w:rsidRPr="0047237E">
        <w:rPr>
          <w:rFonts w:ascii="David" w:hAnsi="David" w:cs="David"/>
          <w:i/>
          <w:iCs/>
          <w:color w:val="222222"/>
          <w:shd w:val="clear" w:color="auto" w:fill="FFFFFF"/>
        </w:rPr>
        <w:t>Management Science</w:t>
      </w:r>
      <w:r w:rsidRPr="0047237E">
        <w:rPr>
          <w:rFonts w:ascii="David" w:hAnsi="David" w:cs="David"/>
          <w:color w:val="222222"/>
          <w:shd w:val="clear" w:color="auto" w:fill="FFFFFF"/>
        </w:rPr>
        <w:t> 63.5 (2017): 1563-1585.</w:t>
      </w:r>
    </w:p>
  </w:footnote>
  <w:footnote w:id="130">
    <w:p w14:paraId="3C0BA391" w14:textId="77777777" w:rsidR="006B0436" w:rsidRDefault="006B0436" w:rsidP="006B0436">
      <w:pPr>
        <w:pStyle w:val="FootnoteText"/>
      </w:pPr>
      <w:r>
        <w:rPr>
          <w:rStyle w:val="FootnoteReference"/>
        </w:rPr>
        <w:footnoteRef/>
      </w:r>
      <w:r>
        <w:t xml:space="preserve"> </w:t>
      </w:r>
      <w:r w:rsidRPr="004F5261">
        <w:rPr>
          <w:rFonts w:ascii="David" w:hAnsi="David" w:cs="David"/>
          <w:color w:val="222222"/>
          <w:shd w:val="clear" w:color="auto" w:fill="FFFFFF"/>
        </w:rPr>
        <w:t>Van Rooij, Benjamin, and Adam Fine. </w:t>
      </w:r>
      <w:r w:rsidRPr="004F5261">
        <w:rPr>
          <w:rFonts w:ascii="David" w:hAnsi="David" w:cs="David"/>
          <w:i/>
          <w:iCs/>
          <w:color w:val="222222"/>
          <w:shd w:val="clear" w:color="auto" w:fill="FFFFFF"/>
        </w:rPr>
        <w:t>The behavioral code: The hidden ways the law makes us better or worse</w:t>
      </w:r>
      <w:r w:rsidRPr="004F5261">
        <w:rPr>
          <w:rFonts w:ascii="David" w:hAnsi="David" w:cs="David"/>
          <w:color w:val="222222"/>
          <w:shd w:val="clear" w:color="auto" w:fill="FFFFFF"/>
        </w:rPr>
        <w:t>. Beacon Press, 2021</w:t>
      </w:r>
      <w:r>
        <w:rPr>
          <w:rFonts w:ascii="David" w:hAnsi="David" w:cs="David"/>
          <w:color w:val="222222"/>
          <w:shd w:val="clear" w:color="auto" w:fill="FFFFFF"/>
        </w:rPr>
        <w:t>.</w:t>
      </w:r>
    </w:p>
    <w:p w14:paraId="258EC91E" w14:textId="77777777" w:rsidR="006B0436" w:rsidRDefault="006B0436" w:rsidP="006B0436">
      <w:pPr>
        <w:pStyle w:val="FootnoteText"/>
      </w:pPr>
    </w:p>
  </w:footnote>
  <w:footnote w:id="131">
    <w:p w14:paraId="71C65CC3" w14:textId="77777777" w:rsidR="006B0436" w:rsidRDefault="006B0436" w:rsidP="006B0436">
      <w:pPr>
        <w:pStyle w:val="FootnoteText"/>
      </w:pPr>
      <w:r>
        <w:rPr>
          <w:rStyle w:val="FootnoteReference"/>
        </w:rPr>
        <w:footnoteRef/>
      </w:r>
      <w:r>
        <w:t xml:space="preserve"> </w:t>
      </w:r>
      <w:r w:rsidRPr="004F5261">
        <w:rPr>
          <w:rFonts w:ascii="David" w:hAnsi="David" w:cs="David"/>
        </w:rPr>
        <w:t xml:space="preserve">This model also targets the </w:t>
      </w:r>
      <w:proofErr w:type="gramStart"/>
      <w:r w:rsidRPr="004F5261">
        <w:rPr>
          <w:rFonts w:ascii="David" w:hAnsi="David" w:cs="David"/>
        </w:rPr>
        <w:t>socially-oriented</w:t>
      </w:r>
      <w:proofErr w:type="gramEnd"/>
      <w:r w:rsidRPr="004F5261">
        <w:rPr>
          <w:rFonts w:ascii="David" w:hAnsi="David" w:cs="David"/>
        </w:rPr>
        <w:t xml:space="preserve"> individual discussed in the next section.</w:t>
      </w:r>
    </w:p>
  </w:footnote>
  <w:footnote w:id="132">
    <w:p w14:paraId="15816946" w14:textId="23001A02" w:rsidR="00AA5E14" w:rsidRDefault="00AA5E14">
      <w:pPr>
        <w:pStyle w:val="FootnoteText"/>
      </w:pPr>
      <w:r>
        <w:rPr>
          <w:rStyle w:val="FootnoteReference"/>
        </w:rPr>
        <w:footnoteRef/>
      </w:r>
      <w:r>
        <w:t xml:space="preserve"> </w:t>
      </w:r>
      <w:r w:rsidRPr="00774474">
        <w:rPr>
          <w:rFonts w:ascii="David" w:hAnsi="David" w:cs="David"/>
        </w:rPr>
        <w:t>Murphy, K. (2004). The role of trust in nurturing compliance: A study of accused tax avoiders. Law and human behavior, 28(2), 187-209.</w:t>
      </w:r>
      <w:r w:rsidRPr="00774474">
        <w:rPr>
          <w:rFonts w:ascii="David" w:hAnsi="David" w:cs="David"/>
          <w:rtl/>
        </w:rPr>
        <w:t>‏</w:t>
      </w:r>
    </w:p>
  </w:footnote>
  <w:footnote w:id="133">
    <w:p w14:paraId="50A85B57" w14:textId="268518E1" w:rsidR="00AA5E14" w:rsidRDefault="00AA5E14">
      <w:pPr>
        <w:pStyle w:val="FootnoteText"/>
      </w:pPr>
      <w:r>
        <w:rPr>
          <w:rStyle w:val="FootnoteReference"/>
        </w:rPr>
        <w:footnoteRef/>
      </w:r>
      <w:r>
        <w:t xml:space="preserve"> </w:t>
      </w:r>
      <w:r w:rsidRPr="00774474">
        <w:rPr>
          <w:rFonts w:ascii="David" w:eastAsia="Times New Roman" w:hAnsi="David" w:cs="David"/>
          <w:color w:val="000000"/>
          <w:sz w:val="22"/>
          <w:szCs w:val="22"/>
        </w:rPr>
        <w:t xml:space="preserve">Pautz, M. C., and Wamsley, C. S. (2012). "Pursuing Trust in Environmental Regulatory Interactions: The Significance of Inspectors' Interactions </w:t>
      </w:r>
      <w:proofErr w:type="gramStart"/>
      <w:r w:rsidRPr="00774474">
        <w:rPr>
          <w:rFonts w:ascii="David" w:eastAsia="Times New Roman" w:hAnsi="David" w:cs="David"/>
          <w:color w:val="000000"/>
          <w:sz w:val="22"/>
          <w:szCs w:val="22"/>
        </w:rPr>
        <w:t>With</w:t>
      </w:r>
      <w:proofErr w:type="gramEnd"/>
      <w:r w:rsidRPr="00774474">
        <w:rPr>
          <w:rFonts w:ascii="David" w:eastAsia="Times New Roman" w:hAnsi="David" w:cs="David"/>
          <w:color w:val="000000"/>
          <w:sz w:val="22"/>
          <w:szCs w:val="22"/>
        </w:rPr>
        <w:t xml:space="preserve"> the Regulated Community," Administration and Society, 44(7), pp. 853-884.</w:t>
      </w:r>
    </w:p>
  </w:footnote>
  <w:footnote w:id="134">
    <w:p w14:paraId="7CC1D9B5" w14:textId="7F65F085" w:rsidR="00AA5E14" w:rsidRDefault="00AA5E14">
      <w:pPr>
        <w:pStyle w:val="FootnoteText"/>
      </w:pPr>
      <w:r>
        <w:rPr>
          <w:rStyle w:val="FootnoteReference"/>
        </w:rPr>
        <w:footnoteRef/>
      </w:r>
      <w:r>
        <w:t xml:space="preserve"> </w:t>
      </w:r>
      <w:r w:rsidRPr="00774474">
        <w:rPr>
          <w:rFonts w:ascii="David" w:hAnsi="David" w:cs="David"/>
        </w:rPr>
        <w:t>(2012).</w:t>
      </w:r>
    </w:p>
  </w:footnote>
  <w:footnote w:id="135">
    <w:p w14:paraId="31F5384C" w14:textId="77777777" w:rsidR="00E5491A" w:rsidRPr="00774474" w:rsidRDefault="00E5491A" w:rsidP="00E5491A">
      <w:pPr>
        <w:autoSpaceDE w:val="0"/>
        <w:autoSpaceDN w:val="0"/>
        <w:adjustRightInd w:val="0"/>
        <w:spacing w:after="0" w:line="240" w:lineRule="auto"/>
        <w:rPr>
          <w:rFonts w:ascii="David" w:eastAsia="TimesNewRomanPSMT" w:hAnsi="David" w:cs="David"/>
          <w:sz w:val="20"/>
          <w:szCs w:val="20"/>
        </w:rPr>
      </w:pPr>
      <w:r>
        <w:rPr>
          <w:rStyle w:val="FootnoteReference"/>
        </w:rPr>
        <w:footnoteRef/>
      </w:r>
      <w:r>
        <w:t xml:space="preserve"> </w:t>
      </w:r>
      <w:r w:rsidRPr="00774474">
        <w:rPr>
          <w:rFonts w:ascii="David" w:eastAsia="TimesNewRomanPSMT" w:hAnsi="David" w:cs="David"/>
          <w:sz w:val="20"/>
          <w:szCs w:val="20"/>
        </w:rPr>
        <w:t>Comparing and Integrating Theories of Law Obedience:</w:t>
      </w:r>
    </w:p>
    <w:p w14:paraId="277D7A1A" w14:textId="77777777" w:rsidR="00E5491A" w:rsidRPr="00774474" w:rsidRDefault="00E5491A" w:rsidP="00E5491A">
      <w:pPr>
        <w:autoSpaceDE w:val="0"/>
        <w:autoSpaceDN w:val="0"/>
        <w:adjustRightInd w:val="0"/>
        <w:spacing w:after="0" w:line="240" w:lineRule="auto"/>
        <w:rPr>
          <w:rFonts w:ascii="David" w:eastAsia="TimesNewRomanPSMT" w:hAnsi="David" w:cs="David"/>
          <w:sz w:val="20"/>
          <w:szCs w:val="20"/>
        </w:rPr>
      </w:pPr>
      <w:r w:rsidRPr="00774474">
        <w:rPr>
          <w:rFonts w:ascii="David" w:eastAsia="TimesNewRomanPSMT" w:hAnsi="David" w:cs="David"/>
          <w:sz w:val="20"/>
          <w:szCs w:val="20"/>
        </w:rPr>
        <w:t>Deterrence, Self-control, and Legitimacy</w:t>
      </w:r>
    </w:p>
    <w:p w14:paraId="13C1FDA8" w14:textId="77777777" w:rsidR="00E5491A" w:rsidRPr="00774474" w:rsidRDefault="00E5491A" w:rsidP="00E5491A">
      <w:pPr>
        <w:pStyle w:val="FootnoteText"/>
        <w:rPr>
          <w:rFonts w:ascii="David" w:hAnsi="David" w:cs="David"/>
          <w:rtl/>
        </w:rPr>
      </w:pPr>
      <w:r w:rsidRPr="00774474">
        <w:rPr>
          <w:rFonts w:ascii="David" w:eastAsia="TimesNewRomanPSMT" w:hAnsi="David" w:cs="David"/>
        </w:rPr>
        <w:t xml:space="preserve">Berenike </w:t>
      </w:r>
      <w:proofErr w:type="spellStart"/>
      <w:r w:rsidRPr="00774474">
        <w:rPr>
          <w:rFonts w:ascii="David" w:eastAsia="TimesNewRomanPSMT" w:hAnsi="David" w:cs="David"/>
        </w:rPr>
        <w:t>Waubert</w:t>
      </w:r>
      <w:proofErr w:type="spellEnd"/>
      <w:r w:rsidRPr="00774474">
        <w:rPr>
          <w:rFonts w:ascii="David" w:eastAsia="TimesNewRomanPSMT" w:hAnsi="David" w:cs="David"/>
        </w:rPr>
        <w:t xml:space="preserve"> de Puiseau1, Andreas Glöckner2,3, &amp; Emanuel V. </w:t>
      </w:r>
      <w:proofErr w:type="spellStart"/>
      <w:r w:rsidRPr="00774474">
        <w:rPr>
          <w:rFonts w:ascii="David" w:eastAsia="TimesNewRomanPSMT" w:hAnsi="David" w:cs="David"/>
        </w:rPr>
        <w:t>Towfigh</w:t>
      </w:r>
      <w:proofErr w:type="spellEnd"/>
      <w:r>
        <w:rPr>
          <w:rFonts w:ascii="David" w:eastAsia="TimesNewRomanPSMT" w:hAnsi="David" w:cs="David"/>
        </w:rPr>
        <w:t xml:space="preserve"> </w:t>
      </w:r>
      <w:r w:rsidRPr="00774474">
        <w:rPr>
          <w:rFonts w:ascii="David" w:eastAsia="TimesNewRomanPSMT" w:hAnsi="David" w:cs="David"/>
        </w:rPr>
        <w:t>3,4</w:t>
      </w:r>
      <w:r>
        <w:rPr>
          <w:rFonts w:ascii="David" w:eastAsia="TimesNewRomanPSMT" w:hAnsi="David" w:cs="David"/>
        </w:rPr>
        <w:t>.</w:t>
      </w:r>
    </w:p>
    <w:p w14:paraId="142CD114" w14:textId="77777777" w:rsidR="00E5491A" w:rsidRDefault="00E5491A" w:rsidP="00E549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385711"/>
      <w:docPartObj>
        <w:docPartGallery w:val="Page Numbers (Top of Page)"/>
        <w:docPartUnique/>
      </w:docPartObj>
    </w:sdtPr>
    <w:sdtEndPr>
      <w:rPr>
        <w:noProof/>
      </w:rPr>
    </w:sdtEndPr>
    <w:sdtContent>
      <w:p w14:paraId="5644D7FA" w14:textId="6D9072FE" w:rsidR="00AA5E14" w:rsidRDefault="00AA5E14">
        <w:pPr>
          <w:pStyle w:val="Header"/>
        </w:pPr>
        <w:r>
          <w:fldChar w:fldCharType="begin"/>
        </w:r>
        <w:r>
          <w:instrText xml:space="preserve"> PAGE   \* MERGEFORMAT </w:instrText>
        </w:r>
        <w:r>
          <w:fldChar w:fldCharType="separate"/>
        </w:r>
        <w:r w:rsidR="0041264A">
          <w:rPr>
            <w:noProof/>
          </w:rPr>
          <w:t>21</w:t>
        </w:r>
        <w:r>
          <w:rPr>
            <w:noProof/>
          </w:rPr>
          <w:fldChar w:fldCharType="end"/>
        </w:r>
      </w:p>
    </w:sdtContent>
  </w:sdt>
  <w:p w14:paraId="103908A0" w14:textId="77777777" w:rsidR="00AA5E14" w:rsidRDefault="00AA5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FE9A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1658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688B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42CE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E0B4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CF4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16A2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A05F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367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068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719E3"/>
    <w:multiLevelType w:val="hybridMultilevel"/>
    <w:tmpl w:val="B048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B26D2"/>
    <w:multiLevelType w:val="hybridMultilevel"/>
    <w:tmpl w:val="18F02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51854"/>
    <w:multiLevelType w:val="hybridMultilevel"/>
    <w:tmpl w:val="20F6F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52002"/>
    <w:multiLevelType w:val="multilevel"/>
    <w:tmpl w:val="4CC2459A"/>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9213645"/>
    <w:multiLevelType w:val="hybridMultilevel"/>
    <w:tmpl w:val="54DA8158"/>
    <w:lvl w:ilvl="0" w:tplc="6DF25AD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5E68D5"/>
    <w:multiLevelType w:val="hybridMultilevel"/>
    <w:tmpl w:val="ED660178"/>
    <w:lvl w:ilvl="0" w:tplc="301AC6C8">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A71372"/>
    <w:multiLevelType w:val="hybridMultilevel"/>
    <w:tmpl w:val="9604B8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CD3FA4"/>
    <w:multiLevelType w:val="hybridMultilevel"/>
    <w:tmpl w:val="5302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368935">
    <w:abstractNumId w:val="17"/>
  </w:num>
  <w:num w:numId="2" w16cid:durableId="1892184499">
    <w:abstractNumId w:val="8"/>
  </w:num>
  <w:num w:numId="3" w16cid:durableId="178348528">
    <w:abstractNumId w:val="3"/>
  </w:num>
  <w:num w:numId="4" w16cid:durableId="844132923">
    <w:abstractNumId w:val="2"/>
  </w:num>
  <w:num w:numId="5" w16cid:durableId="898980014">
    <w:abstractNumId w:val="1"/>
  </w:num>
  <w:num w:numId="6" w16cid:durableId="835655224">
    <w:abstractNumId w:val="0"/>
  </w:num>
  <w:num w:numId="7" w16cid:durableId="243536940">
    <w:abstractNumId w:val="9"/>
  </w:num>
  <w:num w:numId="8" w16cid:durableId="329993748">
    <w:abstractNumId w:val="7"/>
  </w:num>
  <w:num w:numId="9" w16cid:durableId="1835950498">
    <w:abstractNumId w:val="6"/>
  </w:num>
  <w:num w:numId="10" w16cid:durableId="1663196271">
    <w:abstractNumId w:val="5"/>
  </w:num>
  <w:num w:numId="11" w16cid:durableId="554662756">
    <w:abstractNumId w:val="4"/>
  </w:num>
  <w:num w:numId="12" w16cid:durableId="168716461">
    <w:abstractNumId w:val="10"/>
  </w:num>
  <w:num w:numId="13" w16cid:durableId="1978871985">
    <w:abstractNumId w:val="11"/>
  </w:num>
  <w:num w:numId="14" w16cid:durableId="1459957712">
    <w:abstractNumId w:val="15"/>
  </w:num>
  <w:num w:numId="15" w16cid:durableId="1757438237">
    <w:abstractNumId w:val="16"/>
  </w:num>
  <w:num w:numId="16" w16cid:durableId="1721830750">
    <w:abstractNumId w:val="14"/>
  </w:num>
  <w:num w:numId="17" w16cid:durableId="1571963760">
    <w:abstractNumId w:val="12"/>
  </w:num>
  <w:num w:numId="18" w16cid:durableId="528684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l Ben Arie">
    <w15:presenceInfo w15:providerId="AD" w15:userId="S::daniell.benarie@live.biu.ac.il::5563ed05-2c10-4166-a1cf-93d0a4cfd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79"/>
    <w:rsid w:val="0000071C"/>
    <w:rsid w:val="00006BCD"/>
    <w:rsid w:val="00007C82"/>
    <w:rsid w:val="00010AF5"/>
    <w:rsid w:val="00012B0C"/>
    <w:rsid w:val="00033A1E"/>
    <w:rsid w:val="00034B27"/>
    <w:rsid w:val="00037BD6"/>
    <w:rsid w:val="00043B90"/>
    <w:rsid w:val="000513E7"/>
    <w:rsid w:val="000535E6"/>
    <w:rsid w:val="000578A3"/>
    <w:rsid w:val="00062C1A"/>
    <w:rsid w:val="00066545"/>
    <w:rsid w:val="00066891"/>
    <w:rsid w:val="00071342"/>
    <w:rsid w:val="00074EF0"/>
    <w:rsid w:val="00076BEC"/>
    <w:rsid w:val="00084A71"/>
    <w:rsid w:val="000901AA"/>
    <w:rsid w:val="0009427A"/>
    <w:rsid w:val="00095649"/>
    <w:rsid w:val="00096338"/>
    <w:rsid w:val="00096614"/>
    <w:rsid w:val="000970F0"/>
    <w:rsid w:val="000970FE"/>
    <w:rsid w:val="000B52D1"/>
    <w:rsid w:val="000B6461"/>
    <w:rsid w:val="000C3C0F"/>
    <w:rsid w:val="000C66E3"/>
    <w:rsid w:val="000C71F6"/>
    <w:rsid w:val="000D035F"/>
    <w:rsid w:val="000D04A8"/>
    <w:rsid w:val="000D1C97"/>
    <w:rsid w:val="000D6202"/>
    <w:rsid w:val="000E0AFA"/>
    <w:rsid w:val="000E5FB4"/>
    <w:rsid w:val="000E7BAF"/>
    <w:rsid w:val="000F1024"/>
    <w:rsid w:val="000F34E5"/>
    <w:rsid w:val="001037D4"/>
    <w:rsid w:val="00106439"/>
    <w:rsid w:val="0011558F"/>
    <w:rsid w:val="001174AA"/>
    <w:rsid w:val="001206CB"/>
    <w:rsid w:val="00120AC2"/>
    <w:rsid w:val="001252DE"/>
    <w:rsid w:val="001345C2"/>
    <w:rsid w:val="0014300E"/>
    <w:rsid w:val="00147117"/>
    <w:rsid w:val="001615AF"/>
    <w:rsid w:val="00166EE2"/>
    <w:rsid w:val="00171B24"/>
    <w:rsid w:val="00173ACD"/>
    <w:rsid w:val="00176057"/>
    <w:rsid w:val="00176CDA"/>
    <w:rsid w:val="00176F50"/>
    <w:rsid w:val="001854B4"/>
    <w:rsid w:val="00191318"/>
    <w:rsid w:val="001919C6"/>
    <w:rsid w:val="00191CEB"/>
    <w:rsid w:val="00194820"/>
    <w:rsid w:val="00195D99"/>
    <w:rsid w:val="001A3CDF"/>
    <w:rsid w:val="001B6CF1"/>
    <w:rsid w:val="001C66B1"/>
    <w:rsid w:val="001C6CEC"/>
    <w:rsid w:val="001C6E39"/>
    <w:rsid w:val="001D0286"/>
    <w:rsid w:val="001D489B"/>
    <w:rsid w:val="001D4AB3"/>
    <w:rsid w:val="001D5A79"/>
    <w:rsid w:val="001E0045"/>
    <w:rsid w:val="001E1FE6"/>
    <w:rsid w:val="001E6150"/>
    <w:rsid w:val="001E68BF"/>
    <w:rsid w:val="001E787F"/>
    <w:rsid w:val="001F41CC"/>
    <w:rsid w:val="001F4D4D"/>
    <w:rsid w:val="001F7DB6"/>
    <w:rsid w:val="00200686"/>
    <w:rsid w:val="00200AA1"/>
    <w:rsid w:val="002124FC"/>
    <w:rsid w:val="00220112"/>
    <w:rsid w:val="0022450E"/>
    <w:rsid w:val="00224655"/>
    <w:rsid w:val="0022559E"/>
    <w:rsid w:val="00230385"/>
    <w:rsid w:val="002349EA"/>
    <w:rsid w:val="00234ADB"/>
    <w:rsid w:val="0023723E"/>
    <w:rsid w:val="002436E2"/>
    <w:rsid w:val="002448EC"/>
    <w:rsid w:val="00247DF3"/>
    <w:rsid w:val="00260B1A"/>
    <w:rsid w:val="002654AB"/>
    <w:rsid w:val="00281221"/>
    <w:rsid w:val="0028647B"/>
    <w:rsid w:val="00286583"/>
    <w:rsid w:val="00293125"/>
    <w:rsid w:val="0029645C"/>
    <w:rsid w:val="002A0C1B"/>
    <w:rsid w:val="002A5C6D"/>
    <w:rsid w:val="002B00D4"/>
    <w:rsid w:val="002B14D8"/>
    <w:rsid w:val="002B343B"/>
    <w:rsid w:val="002B758F"/>
    <w:rsid w:val="002C104A"/>
    <w:rsid w:val="002C2983"/>
    <w:rsid w:val="002C388D"/>
    <w:rsid w:val="002C5D1F"/>
    <w:rsid w:val="002C6C3F"/>
    <w:rsid w:val="002C783F"/>
    <w:rsid w:val="002D25CE"/>
    <w:rsid w:val="002D37A9"/>
    <w:rsid w:val="002D4905"/>
    <w:rsid w:val="002D4A44"/>
    <w:rsid w:val="002E2CE5"/>
    <w:rsid w:val="002E37CF"/>
    <w:rsid w:val="002E516F"/>
    <w:rsid w:val="002F1C32"/>
    <w:rsid w:val="002F2973"/>
    <w:rsid w:val="002F3376"/>
    <w:rsid w:val="002F65B9"/>
    <w:rsid w:val="002F7C97"/>
    <w:rsid w:val="00305423"/>
    <w:rsid w:val="0030759B"/>
    <w:rsid w:val="0031184E"/>
    <w:rsid w:val="00312F23"/>
    <w:rsid w:val="00315293"/>
    <w:rsid w:val="00321B3A"/>
    <w:rsid w:val="00323197"/>
    <w:rsid w:val="003233D4"/>
    <w:rsid w:val="003313B8"/>
    <w:rsid w:val="003333DE"/>
    <w:rsid w:val="00342A91"/>
    <w:rsid w:val="00357B04"/>
    <w:rsid w:val="003613F0"/>
    <w:rsid w:val="00363942"/>
    <w:rsid w:val="00372466"/>
    <w:rsid w:val="0037592A"/>
    <w:rsid w:val="00386C30"/>
    <w:rsid w:val="003942B0"/>
    <w:rsid w:val="0039519E"/>
    <w:rsid w:val="003A1D33"/>
    <w:rsid w:val="003A2843"/>
    <w:rsid w:val="003A4C23"/>
    <w:rsid w:val="003B143A"/>
    <w:rsid w:val="003B3B1F"/>
    <w:rsid w:val="003B4655"/>
    <w:rsid w:val="003C3C3B"/>
    <w:rsid w:val="003D25FF"/>
    <w:rsid w:val="003D7C3D"/>
    <w:rsid w:val="003E206A"/>
    <w:rsid w:val="003E3401"/>
    <w:rsid w:val="003E460C"/>
    <w:rsid w:val="003F3532"/>
    <w:rsid w:val="00400ADD"/>
    <w:rsid w:val="00401C31"/>
    <w:rsid w:val="00403B05"/>
    <w:rsid w:val="004058FC"/>
    <w:rsid w:val="0041264A"/>
    <w:rsid w:val="004161B0"/>
    <w:rsid w:val="00416BC8"/>
    <w:rsid w:val="004202D7"/>
    <w:rsid w:val="00430B12"/>
    <w:rsid w:val="00432962"/>
    <w:rsid w:val="00432C21"/>
    <w:rsid w:val="004336BD"/>
    <w:rsid w:val="004424D9"/>
    <w:rsid w:val="00443965"/>
    <w:rsid w:val="004443EB"/>
    <w:rsid w:val="0044682A"/>
    <w:rsid w:val="00446A90"/>
    <w:rsid w:val="00451217"/>
    <w:rsid w:val="0045345C"/>
    <w:rsid w:val="00461774"/>
    <w:rsid w:val="004625E1"/>
    <w:rsid w:val="00466B7A"/>
    <w:rsid w:val="00467962"/>
    <w:rsid w:val="00470864"/>
    <w:rsid w:val="0047237E"/>
    <w:rsid w:val="004727D4"/>
    <w:rsid w:val="0048037B"/>
    <w:rsid w:val="00482978"/>
    <w:rsid w:val="004928A0"/>
    <w:rsid w:val="004B7256"/>
    <w:rsid w:val="004C00BC"/>
    <w:rsid w:val="004C42C4"/>
    <w:rsid w:val="004C6E3E"/>
    <w:rsid w:val="004C6FD6"/>
    <w:rsid w:val="004D1D05"/>
    <w:rsid w:val="004E39E6"/>
    <w:rsid w:val="004F5261"/>
    <w:rsid w:val="00500051"/>
    <w:rsid w:val="005002EC"/>
    <w:rsid w:val="0050054D"/>
    <w:rsid w:val="00500E23"/>
    <w:rsid w:val="0050283B"/>
    <w:rsid w:val="00504100"/>
    <w:rsid w:val="0051143F"/>
    <w:rsid w:val="005147CA"/>
    <w:rsid w:val="005149FA"/>
    <w:rsid w:val="00523264"/>
    <w:rsid w:val="00531FB8"/>
    <w:rsid w:val="005336D3"/>
    <w:rsid w:val="005447E9"/>
    <w:rsid w:val="00554EC9"/>
    <w:rsid w:val="00555492"/>
    <w:rsid w:val="005560EF"/>
    <w:rsid w:val="005565B8"/>
    <w:rsid w:val="00561B97"/>
    <w:rsid w:val="005659E8"/>
    <w:rsid w:val="005705B2"/>
    <w:rsid w:val="00570CBB"/>
    <w:rsid w:val="00571999"/>
    <w:rsid w:val="00572530"/>
    <w:rsid w:val="00573D91"/>
    <w:rsid w:val="00584626"/>
    <w:rsid w:val="00586286"/>
    <w:rsid w:val="00587430"/>
    <w:rsid w:val="00592319"/>
    <w:rsid w:val="00593F17"/>
    <w:rsid w:val="005A5E50"/>
    <w:rsid w:val="005A7E35"/>
    <w:rsid w:val="005B0C68"/>
    <w:rsid w:val="005B1A98"/>
    <w:rsid w:val="005B4F16"/>
    <w:rsid w:val="005B6B2D"/>
    <w:rsid w:val="005C0BF9"/>
    <w:rsid w:val="005C0C04"/>
    <w:rsid w:val="005C355C"/>
    <w:rsid w:val="005C39CA"/>
    <w:rsid w:val="005C4AE6"/>
    <w:rsid w:val="005C5265"/>
    <w:rsid w:val="005D3254"/>
    <w:rsid w:val="005D44EF"/>
    <w:rsid w:val="005D740D"/>
    <w:rsid w:val="00602F7E"/>
    <w:rsid w:val="00603937"/>
    <w:rsid w:val="00603A63"/>
    <w:rsid w:val="00610A88"/>
    <w:rsid w:val="00610E4E"/>
    <w:rsid w:val="00614502"/>
    <w:rsid w:val="00615CFE"/>
    <w:rsid w:val="00617B7A"/>
    <w:rsid w:val="006226CC"/>
    <w:rsid w:val="0062445B"/>
    <w:rsid w:val="00624811"/>
    <w:rsid w:val="006259DF"/>
    <w:rsid w:val="00630A79"/>
    <w:rsid w:val="00631321"/>
    <w:rsid w:val="00635254"/>
    <w:rsid w:val="0063712D"/>
    <w:rsid w:val="00637354"/>
    <w:rsid w:val="00640E24"/>
    <w:rsid w:val="00646074"/>
    <w:rsid w:val="0066328A"/>
    <w:rsid w:val="00665A7E"/>
    <w:rsid w:val="006759BF"/>
    <w:rsid w:val="006769C0"/>
    <w:rsid w:val="00682FCF"/>
    <w:rsid w:val="00690148"/>
    <w:rsid w:val="00690F9A"/>
    <w:rsid w:val="0069227C"/>
    <w:rsid w:val="00693866"/>
    <w:rsid w:val="00694B3D"/>
    <w:rsid w:val="00695526"/>
    <w:rsid w:val="006A1017"/>
    <w:rsid w:val="006A2E5E"/>
    <w:rsid w:val="006A3EC7"/>
    <w:rsid w:val="006B0436"/>
    <w:rsid w:val="006B0B8A"/>
    <w:rsid w:val="006B326B"/>
    <w:rsid w:val="006B3C29"/>
    <w:rsid w:val="006B56E6"/>
    <w:rsid w:val="006C09C7"/>
    <w:rsid w:val="006C4279"/>
    <w:rsid w:val="006E0F16"/>
    <w:rsid w:val="006E132F"/>
    <w:rsid w:val="006E1BC3"/>
    <w:rsid w:val="006E6460"/>
    <w:rsid w:val="006F1035"/>
    <w:rsid w:val="006F1356"/>
    <w:rsid w:val="006F27A2"/>
    <w:rsid w:val="006F2B6E"/>
    <w:rsid w:val="006F3E32"/>
    <w:rsid w:val="006F3E8B"/>
    <w:rsid w:val="006F5326"/>
    <w:rsid w:val="0070449B"/>
    <w:rsid w:val="00706348"/>
    <w:rsid w:val="00714E06"/>
    <w:rsid w:val="0071669C"/>
    <w:rsid w:val="00717BB5"/>
    <w:rsid w:val="007213F8"/>
    <w:rsid w:val="007275A6"/>
    <w:rsid w:val="00730BA4"/>
    <w:rsid w:val="00737BEA"/>
    <w:rsid w:val="00752A83"/>
    <w:rsid w:val="00752C8E"/>
    <w:rsid w:val="007534CF"/>
    <w:rsid w:val="007562F0"/>
    <w:rsid w:val="007566C5"/>
    <w:rsid w:val="00766266"/>
    <w:rsid w:val="00774474"/>
    <w:rsid w:val="00776638"/>
    <w:rsid w:val="00777219"/>
    <w:rsid w:val="00783182"/>
    <w:rsid w:val="00785DE1"/>
    <w:rsid w:val="00791AA9"/>
    <w:rsid w:val="007921FC"/>
    <w:rsid w:val="00793F62"/>
    <w:rsid w:val="007955E5"/>
    <w:rsid w:val="007A0FC4"/>
    <w:rsid w:val="007A44CA"/>
    <w:rsid w:val="007A4E63"/>
    <w:rsid w:val="007A57C5"/>
    <w:rsid w:val="007B3A14"/>
    <w:rsid w:val="007B4C92"/>
    <w:rsid w:val="007C61A7"/>
    <w:rsid w:val="007F7A2F"/>
    <w:rsid w:val="00807681"/>
    <w:rsid w:val="00811B88"/>
    <w:rsid w:val="008123DD"/>
    <w:rsid w:val="00813E4E"/>
    <w:rsid w:val="00814B20"/>
    <w:rsid w:val="0081789D"/>
    <w:rsid w:val="0082607F"/>
    <w:rsid w:val="008317A0"/>
    <w:rsid w:val="00837AA5"/>
    <w:rsid w:val="00841F83"/>
    <w:rsid w:val="00847906"/>
    <w:rsid w:val="00852AD1"/>
    <w:rsid w:val="00860692"/>
    <w:rsid w:val="00860881"/>
    <w:rsid w:val="00860E39"/>
    <w:rsid w:val="00861062"/>
    <w:rsid w:val="008670F0"/>
    <w:rsid w:val="008718F2"/>
    <w:rsid w:val="00873152"/>
    <w:rsid w:val="008777D4"/>
    <w:rsid w:val="008779E9"/>
    <w:rsid w:val="008805A9"/>
    <w:rsid w:val="0088169A"/>
    <w:rsid w:val="00886D92"/>
    <w:rsid w:val="0089154B"/>
    <w:rsid w:val="008920B6"/>
    <w:rsid w:val="008A2300"/>
    <w:rsid w:val="008A3661"/>
    <w:rsid w:val="008B0D41"/>
    <w:rsid w:val="008B0EBA"/>
    <w:rsid w:val="008B1FCC"/>
    <w:rsid w:val="008B455C"/>
    <w:rsid w:val="008B4F78"/>
    <w:rsid w:val="008B6F59"/>
    <w:rsid w:val="008C6659"/>
    <w:rsid w:val="008C68A4"/>
    <w:rsid w:val="008C7621"/>
    <w:rsid w:val="008D41A8"/>
    <w:rsid w:val="008E4B6D"/>
    <w:rsid w:val="008F3928"/>
    <w:rsid w:val="008F6CDB"/>
    <w:rsid w:val="00900B00"/>
    <w:rsid w:val="009037CD"/>
    <w:rsid w:val="00904DAA"/>
    <w:rsid w:val="009123D7"/>
    <w:rsid w:val="00912E55"/>
    <w:rsid w:val="00924FDE"/>
    <w:rsid w:val="00930227"/>
    <w:rsid w:val="009311B2"/>
    <w:rsid w:val="00933DB5"/>
    <w:rsid w:val="00933F0E"/>
    <w:rsid w:val="00935A27"/>
    <w:rsid w:val="00937419"/>
    <w:rsid w:val="00937C82"/>
    <w:rsid w:val="009450FD"/>
    <w:rsid w:val="0094642A"/>
    <w:rsid w:val="00951316"/>
    <w:rsid w:val="00952567"/>
    <w:rsid w:val="00952CAA"/>
    <w:rsid w:val="00957EC3"/>
    <w:rsid w:val="00960C51"/>
    <w:rsid w:val="00961CA5"/>
    <w:rsid w:val="00980A05"/>
    <w:rsid w:val="00981F6E"/>
    <w:rsid w:val="00996CA0"/>
    <w:rsid w:val="009A2FA0"/>
    <w:rsid w:val="009A521B"/>
    <w:rsid w:val="009A637D"/>
    <w:rsid w:val="009B305D"/>
    <w:rsid w:val="009B4C23"/>
    <w:rsid w:val="009B4F1C"/>
    <w:rsid w:val="009C1FB2"/>
    <w:rsid w:val="009C5C33"/>
    <w:rsid w:val="009C75EC"/>
    <w:rsid w:val="009D666C"/>
    <w:rsid w:val="009D6CAE"/>
    <w:rsid w:val="009D7911"/>
    <w:rsid w:val="009E603E"/>
    <w:rsid w:val="009E708E"/>
    <w:rsid w:val="009F0B47"/>
    <w:rsid w:val="009F48A4"/>
    <w:rsid w:val="00A004EF"/>
    <w:rsid w:val="00A03B8D"/>
    <w:rsid w:val="00A03E6F"/>
    <w:rsid w:val="00A16E39"/>
    <w:rsid w:val="00A1783F"/>
    <w:rsid w:val="00A22405"/>
    <w:rsid w:val="00A23585"/>
    <w:rsid w:val="00A26369"/>
    <w:rsid w:val="00A274FA"/>
    <w:rsid w:val="00A34771"/>
    <w:rsid w:val="00A36510"/>
    <w:rsid w:val="00A4334D"/>
    <w:rsid w:val="00A45E8C"/>
    <w:rsid w:val="00A46887"/>
    <w:rsid w:val="00A477D9"/>
    <w:rsid w:val="00A50C26"/>
    <w:rsid w:val="00A50EF5"/>
    <w:rsid w:val="00A520D2"/>
    <w:rsid w:val="00A56712"/>
    <w:rsid w:val="00A60DEE"/>
    <w:rsid w:val="00A62D85"/>
    <w:rsid w:val="00A64B6E"/>
    <w:rsid w:val="00A7218F"/>
    <w:rsid w:val="00A733B8"/>
    <w:rsid w:val="00A7353E"/>
    <w:rsid w:val="00A7398D"/>
    <w:rsid w:val="00A8112B"/>
    <w:rsid w:val="00A830AF"/>
    <w:rsid w:val="00A87301"/>
    <w:rsid w:val="00A92CFC"/>
    <w:rsid w:val="00A92F9E"/>
    <w:rsid w:val="00A94329"/>
    <w:rsid w:val="00A94525"/>
    <w:rsid w:val="00A94D58"/>
    <w:rsid w:val="00A950B8"/>
    <w:rsid w:val="00AA2582"/>
    <w:rsid w:val="00AA4CEF"/>
    <w:rsid w:val="00AA5E14"/>
    <w:rsid w:val="00AB7245"/>
    <w:rsid w:val="00AD1AC9"/>
    <w:rsid w:val="00AD3F70"/>
    <w:rsid w:val="00AE192E"/>
    <w:rsid w:val="00AE6838"/>
    <w:rsid w:val="00AF1B24"/>
    <w:rsid w:val="00AF41DE"/>
    <w:rsid w:val="00AF4E45"/>
    <w:rsid w:val="00AF7C3D"/>
    <w:rsid w:val="00B03F3F"/>
    <w:rsid w:val="00B1063E"/>
    <w:rsid w:val="00B11945"/>
    <w:rsid w:val="00B12E1E"/>
    <w:rsid w:val="00B15901"/>
    <w:rsid w:val="00B17C2C"/>
    <w:rsid w:val="00B243E1"/>
    <w:rsid w:val="00B3061A"/>
    <w:rsid w:val="00B34976"/>
    <w:rsid w:val="00B363C6"/>
    <w:rsid w:val="00B406D4"/>
    <w:rsid w:val="00B455CF"/>
    <w:rsid w:val="00B61331"/>
    <w:rsid w:val="00B64747"/>
    <w:rsid w:val="00B652D4"/>
    <w:rsid w:val="00B719E4"/>
    <w:rsid w:val="00B7543B"/>
    <w:rsid w:val="00B75960"/>
    <w:rsid w:val="00B76BA6"/>
    <w:rsid w:val="00B802B5"/>
    <w:rsid w:val="00B8193A"/>
    <w:rsid w:val="00B82A4C"/>
    <w:rsid w:val="00B8485B"/>
    <w:rsid w:val="00B95F90"/>
    <w:rsid w:val="00B96D45"/>
    <w:rsid w:val="00BA0C3F"/>
    <w:rsid w:val="00BA5670"/>
    <w:rsid w:val="00BA6156"/>
    <w:rsid w:val="00BB09EB"/>
    <w:rsid w:val="00BB4B2B"/>
    <w:rsid w:val="00BE0176"/>
    <w:rsid w:val="00BE1287"/>
    <w:rsid w:val="00BE5235"/>
    <w:rsid w:val="00BF0488"/>
    <w:rsid w:val="00BF191A"/>
    <w:rsid w:val="00BF44D0"/>
    <w:rsid w:val="00BF6289"/>
    <w:rsid w:val="00C016E2"/>
    <w:rsid w:val="00C053A6"/>
    <w:rsid w:val="00C1150F"/>
    <w:rsid w:val="00C151BF"/>
    <w:rsid w:val="00C16FDA"/>
    <w:rsid w:val="00C2358B"/>
    <w:rsid w:val="00C23B0B"/>
    <w:rsid w:val="00C31096"/>
    <w:rsid w:val="00C37706"/>
    <w:rsid w:val="00C431F8"/>
    <w:rsid w:val="00C507AE"/>
    <w:rsid w:val="00C54B62"/>
    <w:rsid w:val="00C578C9"/>
    <w:rsid w:val="00C63DD0"/>
    <w:rsid w:val="00C65DA2"/>
    <w:rsid w:val="00C664A5"/>
    <w:rsid w:val="00C80503"/>
    <w:rsid w:val="00C860E9"/>
    <w:rsid w:val="00C87221"/>
    <w:rsid w:val="00C941FC"/>
    <w:rsid w:val="00C9654E"/>
    <w:rsid w:val="00CA0CAA"/>
    <w:rsid w:val="00CA3CCD"/>
    <w:rsid w:val="00CA48E3"/>
    <w:rsid w:val="00CA64A1"/>
    <w:rsid w:val="00CC5079"/>
    <w:rsid w:val="00CC535C"/>
    <w:rsid w:val="00CC5978"/>
    <w:rsid w:val="00CC5B5B"/>
    <w:rsid w:val="00CD2350"/>
    <w:rsid w:val="00CD5352"/>
    <w:rsid w:val="00CD7D21"/>
    <w:rsid w:val="00CD7F76"/>
    <w:rsid w:val="00CE6F0D"/>
    <w:rsid w:val="00CE7097"/>
    <w:rsid w:val="00CE727C"/>
    <w:rsid w:val="00CE79F8"/>
    <w:rsid w:val="00CF023C"/>
    <w:rsid w:val="00CF04D0"/>
    <w:rsid w:val="00CF1173"/>
    <w:rsid w:val="00CF1E01"/>
    <w:rsid w:val="00CF55F5"/>
    <w:rsid w:val="00CF65E0"/>
    <w:rsid w:val="00CF6791"/>
    <w:rsid w:val="00D02662"/>
    <w:rsid w:val="00D053BF"/>
    <w:rsid w:val="00D057E3"/>
    <w:rsid w:val="00D070F5"/>
    <w:rsid w:val="00D126F3"/>
    <w:rsid w:val="00D14D16"/>
    <w:rsid w:val="00D164EA"/>
    <w:rsid w:val="00D24396"/>
    <w:rsid w:val="00D27C86"/>
    <w:rsid w:val="00D335D7"/>
    <w:rsid w:val="00D3361C"/>
    <w:rsid w:val="00D34B42"/>
    <w:rsid w:val="00D410EF"/>
    <w:rsid w:val="00D412AE"/>
    <w:rsid w:val="00D536AE"/>
    <w:rsid w:val="00D536E4"/>
    <w:rsid w:val="00D5446B"/>
    <w:rsid w:val="00D5494B"/>
    <w:rsid w:val="00D54B23"/>
    <w:rsid w:val="00D602D2"/>
    <w:rsid w:val="00D6284C"/>
    <w:rsid w:val="00D64FBE"/>
    <w:rsid w:val="00D8252F"/>
    <w:rsid w:val="00D90239"/>
    <w:rsid w:val="00D9318E"/>
    <w:rsid w:val="00D94753"/>
    <w:rsid w:val="00D94C59"/>
    <w:rsid w:val="00D97CA8"/>
    <w:rsid w:val="00DA554A"/>
    <w:rsid w:val="00DB0D29"/>
    <w:rsid w:val="00DB530C"/>
    <w:rsid w:val="00DC0735"/>
    <w:rsid w:val="00DC2835"/>
    <w:rsid w:val="00DD2DC2"/>
    <w:rsid w:val="00DD3923"/>
    <w:rsid w:val="00DD51A5"/>
    <w:rsid w:val="00DE399F"/>
    <w:rsid w:val="00DE70F9"/>
    <w:rsid w:val="00DF19FC"/>
    <w:rsid w:val="00E00260"/>
    <w:rsid w:val="00E02CCB"/>
    <w:rsid w:val="00E04BFF"/>
    <w:rsid w:val="00E11A80"/>
    <w:rsid w:val="00E11F6E"/>
    <w:rsid w:val="00E21F7D"/>
    <w:rsid w:val="00E25119"/>
    <w:rsid w:val="00E30B1B"/>
    <w:rsid w:val="00E33345"/>
    <w:rsid w:val="00E348D6"/>
    <w:rsid w:val="00E34C03"/>
    <w:rsid w:val="00E350DC"/>
    <w:rsid w:val="00E4187E"/>
    <w:rsid w:val="00E47E63"/>
    <w:rsid w:val="00E5491A"/>
    <w:rsid w:val="00E54FB1"/>
    <w:rsid w:val="00E652A0"/>
    <w:rsid w:val="00E67096"/>
    <w:rsid w:val="00E67971"/>
    <w:rsid w:val="00E92772"/>
    <w:rsid w:val="00E92BE1"/>
    <w:rsid w:val="00EA27F8"/>
    <w:rsid w:val="00EA3094"/>
    <w:rsid w:val="00EA768B"/>
    <w:rsid w:val="00EA7BC9"/>
    <w:rsid w:val="00EB1A6D"/>
    <w:rsid w:val="00EB4C71"/>
    <w:rsid w:val="00EC7CDC"/>
    <w:rsid w:val="00ED2B14"/>
    <w:rsid w:val="00EE3E39"/>
    <w:rsid w:val="00EF1E09"/>
    <w:rsid w:val="00EF43FD"/>
    <w:rsid w:val="00F00FC2"/>
    <w:rsid w:val="00F02C0D"/>
    <w:rsid w:val="00F047D0"/>
    <w:rsid w:val="00F04D91"/>
    <w:rsid w:val="00F04DB7"/>
    <w:rsid w:val="00F1090C"/>
    <w:rsid w:val="00F15832"/>
    <w:rsid w:val="00F161D1"/>
    <w:rsid w:val="00F16308"/>
    <w:rsid w:val="00F210CB"/>
    <w:rsid w:val="00F2241F"/>
    <w:rsid w:val="00F230AE"/>
    <w:rsid w:val="00F304AA"/>
    <w:rsid w:val="00F33253"/>
    <w:rsid w:val="00F4076D"/>
    <w:rsid w:val="00F41B4A"/>
    <w:rsid w:val="00F4325C"/>
    <w:rsid w:val="00F43907"/>
    <w:rsid w:val="00F43D5D"/>
    <w:rsid w:val="00F501CF"/>
    <w:rsid w:val="00F51640"/>
    <w:rsid w:val="00F64CE6"/>
    <w:rsid w:val="00F70E0F"/>
    <w:rsid w:val="00F71030"/>
    <w:rsid w:val="00F7320F"/>
    <w:rsid w:val="00F82A50"/>
    <w:rsid w:val="00F83BBB"/>
    <w:rsid w:val="00F83F2E"/>
    <w:rsid w:val="00F90E74"/>
    <w:rsid w:val="00F91AAA"/>
    <w:rsid w:val="00F9387B"/>
    <w:rsid w:val="00F96382"/>
    <w:rsid w:val="00FA49EE"/>
    <w:rsid w:val="00FA5312"/>
    <w:rsid w:val="00FA5E3D"/>
    <w:rsid w:val="00FB5783"/>
    <w:rsid w:val="00FC2D35"/>
    <w:rsid w:val="00FC57EC"/>
    <w:rsid w:val="00FC5D38"/>
    <w:rsid w:val="00FD1E9A"/>
    <w:rsid w:val="00FD3C10"/>
    <w:rsid w:val="00FE04AD"/>
    <w:rsid w:val="00FE274E"/>
    <w:rsid w:val="00FE59AF"/>
    <w:rsid w:val="00FE671B"/>
    <w:rsid w:val="00FE73BD"/>
    <w:rsid w:val="00FF25B1"/>
    <w:rsid w:val="00FF298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5FF3E"/>
  <w15:docId w15:val="{D3CDE814-527B-4238-9008-0AC6239B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8A"/>
  </w:style>
  <w:style w:type="paragraph" w:styleId="Heading1">
    <w:name w:val="heading 1"/>
    <w:basedOn w:val="Normal"/>
    <w:next w:val="Normal"/>
    <w:link w:val="Heading1Char"/>
    <w:uiPriority w:val="9"/>
    <w:qFormat/>
    <w:rsid w:val="00FA49EE"/>
    <w:pPr>
      <w:keepNext/>
      <w:bidi/>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1D5A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FA49EE"/>
    <w:pPr>
      <w:keepNext/>
      <w:bidi/>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9E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D5A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49EE"/>
    <w:rPr>
      <w:rFonts w:ascii="Cambria" w:eastAsia="Times New Roman" w:hAnsi="Cambria" w:cs="Times New Roman"/>
      <w:b/>
      <w:bCs/>
      <w:sz w:val="26"/>
      <w:szCs w:val="26"/>
    </w:rPr>
  </w:style>
  <w:style w:type="paragraph" w:styleId="FootnoteText">
    <w:name w:val="footnote text"/>
    <w:aliases w:val="תו תו תו תו Char,*Footnote Text Char,fn Char Char,תו תו תו תו Char1,טקסט הערות שוליים תו Char Char Char,טקסט הערות שוליים תו Char,תו תו תו תו,טקסט הערות שוליים תו, תו תו תו תו,fn,Footnotes,Footnote ak,*Footnote Text,F"/>
    <w:basedOn w:val="Normal"/>
    <w:link w:val="FootnoteTextChar"/>
    <w:uiPriority w:val="99"/>
    <w:unhideWhenUsed/>
    <w:rsid w:val="00FA49EE"/>
    <w:pPr>
      <w:spacing w:after="0" w:line="240" w:lineRule="auto"/>
    </w:pPr>
    <w:rPr>
      <w:sz w:val="20"/>
      <w:szCs w:val="20"/>
    </w:rPr>
  </w:style>
  <w:style w:type="character" w:customStyle="1" w:styleId="FootnoteTextChar">
    <w:name w:val="Footnote Text Char"/>
    <w:aliases w:val="תו תו תו תו Char Char,*Footnote Text Char Char,fn Char Char Char,תו תו תו תו Char1 Char1,טקסט הערות שוליים תו Char Char Char Char1,טקסט הערות שוליים תו Char Char1,תו תו תו תו Char2,טקסט הערות שוליים תו Char1, תו תו תו תו Char,fn Char"/>
    <w:basedOn w:val="DefaultParagraphFont"/>
    <w:link w:val="FootnoteText"/>
    <w:uiPriority w:val="99"/>
    <w:rsid w:val="00FA49EE"/>
    <w:rPr>
      <w:sz w:val="20"/>
      <w:szCs w:val="20"/>
    </w:rPr>
  </w:style>
  <w:style w:type="character" w:styleId="FootnoteReference">
    <w:name w:val="footnote reference"/>
    <w:aliases w:val="*Footnote Reference,header 3,Footnotes refss,ה&quot;ש"/>
    <w:basedOn w:val="DefaultParagraphFont"/>
    <w:uiPriority w:val="99"/>
    <w:unhideWhenUsed/>
    <w:qFormat/>
    <w:rsid w:val="00FA49EE"/>
    <w:rPr>
      <w:vertAlign w:val="superscript"/>
    </w:rPr>
  </w:style>
  <w:style w:type="paragraph" w:styleId="HTMLPreformatted">
    <w:name w:val="HTML Preformatted"/>
    <w:basedOn w:val="Normal"/>
    <w:link w:val="HTMLPreformattedChar"/>
    <w:rsid w:val="00FA4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val="ru-RU" w:eastAsia="ru-RU"/>
    </w:rPr>
  </w:style>
  <w:style w:type="character" w:customStyle="1" w:styleId="HTMLPreformattedChar">
    <w:name w:val="HTML Preformatted Char"/>
    <w:basedOn w:val="DefaultParagraphFont"/>
    <w:link w:val="HTMLPreformatted"/>
    <w:rsid w:val="00FA49EE"/>
    <w:rPr>
      <w:rFonts w:ascii="Arial" w:eastAsia="Times New Roman" w:hAnsi="Arial" w:cs="Arial"/>
      <w:sz w:val="20"/>
      <w:szCs w:val="20"/>
      <w:lang w:val="ru-RU" w:eastAsia="ru-RU"/>
    </w:rPr>
  </w:style>
  <w:style w:type="character" w:customStyle="1" w:styleId="term1">
    <w:name w:val="term1"/>
    <w:basedOn w:val="DefaultParagraphFont"/>
    <w:rsid w:val="00FA49EE"/>
    <w:rPr>
      <w:rFonts w:cs="Times New Roman"/>
      <w:b/>
      <w:bCs/>
    </w:rPr>
  </w:style>
  <w:style w:type="character" w:styleId="Emphasis">
    <w:name w:val="Emphasis"/>
    <w:basedOn w:val="DefaultParagraphFont"/>
    <w:uiPriority w:val="20"/>
    <w:qFormat/>
    <w:rsid w:val="00FA49EE"/>
    <w:rPr>
      <w:rFonts w:cs="Times New Roman"/>
      <w:i/>
      <w:iCs/>
    </w:rPr>
  </w:style>
  <w:style w:type="character" w:customStyle="1" w:styleId="FootnoteTextChar1">
    <w:name w:val="Footnote Text Char1"/>
    <w:aliases w:val="Footnote Text Char Char,תו תו תו תו Char1 Char,תו תו תו תו Char Char Char,טקסט הערות שוליים תו Char Char Char Char,תו תו תו תו Char Char1,טקסט הערות שוליים תו Char Char,*Footnote Text Char Char Char,fn Char Char Char Char"/>
    <w:basedOn w:val="DefaultParagraphFont"/>
    <w:semiHidden/>
    <w:locked/>
    <w:rsid w:val="00FA49EE"/>
    <w:rPr>
      <w:lang w:val="en-US" w:eastAsia="en-US" w:bidi="ar-SA"/>
    </w:rPr>
  </w:style>
  <w:style w:type="paragraph" w:customStyle="1" w:styleId="Document">
    <w:name w:val="_Document"/>
    <w:basedOn w:val="Normal"/>
    <w:link w:val="Document0"/>
    <w:rsid w:val="00FA49EE"/>
    <w:pPr>
      <w:widowControl w:val="0"/>
      <w:suppressLineNumbers/>
      <w:tabs>
        <w:tab w:val="left" w:pos="0"/>
        <w:tab w:val="left" w:pos="200"/>
        <w:tab w:val="left" w:pos="620"/>
      </w:tabs>
      <w:spacing w:after="0" w:line="240" w:lineRule="exact"/>
      <w:ind w:firstLine="200"/>
      <w:jc w:val="both"/>
    </w:pPr>
    <w:rPr>
      <w:rFonts w:ascii="Times" w:eastAsia="Times New Roman" w:hAnsi="Times" w:cs="Times New Roman"/>
      <w:szCs w:val="20"/>
      <w:lang w:bidi="ar-SA"/>
    </w:rPr>
  </w:style>
  <w:style w:type="character" w:customStyle="1" w:styleId="Document0">
    <w:name w:val="_Document תו"/>
    <w:basedOn w:val="DefaultParagraphFont"/>
    <w:link w:val="Document"/>
    <w:rsid w:val="00FA49EE"/>
    <w:rPr>
      <w:rFonts w:ascii="Times" w:eastAsia="Times New Roman" w:hAnsi="Times" w:cs="Times New Roman"/>
      <w:szCs w:val="20"/>
      <w:lang w:bidi="ar-SA"/>
    </w:rPr>
  </w:style>
  <w:style w:type="paragraph" w:customStyle="1" w:styleId="FootNote">
    <w:name w:val="_FootNote"/>
    <w:basedOn w:val="Document"/>
    <w:rsid w:val="00FA49EE"/>
    <w:pPr>
      <w:tabs>
        <w:tab w:val="clear" w:pos="0"/>
        <w:tab w:val="clear" w:pos="200"/>
        <w:tab w:val="clear" w:pos="620"/>
        <w:tab w:val="right" w:pos="520"/>
        <w:tab w:val="left" w:pos="720"/>
      </w:tabs>
      <w:spacing w:line="180" w:lineRule="exact"/>
      <w:ind w:firstLine="0"/>
    </w:pPr>
    <w:rPr>
      <w:sz w:val="18"/>
    </w:rPr>
  </w:style>
  <w:style w:type="character" w:customStyle="1" w:styleId="NoterefInText">
    <w:name w:val="_NoterefInText"/>
    <w:basedOn w:val="DefaultParagraphFont"/>
    <w:rsid w:val="00FA49EE"/>
    <w:rPr>
      <w:rFonts w:ascii="Times" w:hAnsi="Times"/>
      <w:sz w:val="22"/>
      <w:vertAlign w:val="superscript"/>
    </w:rPr>
  </w:style>
  <w:style w:type="character" w:customStyle="1" w:styleId="NoterefInNote">
    <w:name w:val="_NoterefInNote"/>
    <w:basedOn w:val="DefaultParagraphFont"/>
    <w:rsid w:val="00FA49EE"/>
    <w:rPr>
      <w:rFonts w:ascii="Times" w:hAnsi="Times"/>
      <w:sz w:val="18"/>
      <w:vertAlign w:val="baseline"/>
    </w:rPr>
  </w:style>
  <w:style w:type="character" w:styleId="HTMLTypewriter">
    <w:name w:val="HTML Typewriter"/>
    <w:basedOn w:val="DefaultParagraphFont"/>
    <w:rsid w:val="00FA49EE"/>
    <w:rPr>
      <w:rFonts w:ascii="Courier New" w:eastAsia="Times New Roman" w:hAnsi="Courier New" w:cs="Times New Roman"/>
      <w:sz w:val="20"/>
    </w:rPr>
  </w:style>
  <w:style w:type="character" w:customStyle="1" w:styleId="HTML2">
    <w:name w:val="מכונת כתיבה HTML2"/>
    <w:basedOn w:val="DefaultParagraphFont"/>
    <w:rsid w:val="00FA49EE"/>
    <w:rPr>
      <w:rFonts w:ascii="Courier New" w:eastAsia="Times New Roman" w:hAnsi="Courier New" w:cs="Courier New"/>
      <w:sz w:val="20"/>
      <w:szCs w:val="20"/>
    </w:rPr>
  </w:style>
  <w:style w:type="paragraph" w:styleId="NormalWeb">
    <w:name w:val="Normal (Web)"/>
    <w:basedOn w:val="Normal"/>
    <w:uiPriority w:val="99"/>
    <w:unhideWhenUsed/>
    <w:rsid w:val="00FA49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9EE"/>
    <w:rPr>
      <w:color w:val="0000FF"/>
      <w:u w:val="single"/>
    </w:rPr>
  </w:style>
  <w:style w:type="character" w:customStyle="1" w:styleId="a">
    <w:name w:val="a"/>
    <w:basedOn w:val="DefaultParagraphFont"/>
    <w:rsid w:val="00FA49EE"/>
  </w:style>
  <w:style w:type="character" w:styleId="CommentReference">
    <w:name w:val="annotation reference"/>
    <w:basedOn w:val="DefaultParagraphFont"/>
    <w:uiPriority w:val="99"/>
    <w:semiHidden/>
    <w:unhideWhenUsed/>
    <w:rsid w:val="00FA49EE"/>
    <w:rPr>
      <w:sz w:val="16"/>
      <w:szCs w:val="16"/>
    </w:rPr>
  </w:style>
  <w:style w:type="paragraph" w:styleId="CommentText">
    <w:name w:val="annotation text"/>
    <w:basedOn w:val="Normal"/>
    <w:link w:val="CommentTextChar"/>
    <w:uiPriority w:val="99"/>
    <w:unhideWhenUsed/>
    <w:rsid w:val="00FA49EE"/>
    <w:pPr>
      <w:bidi/>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FA49EE"/>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FA49EE"/>
    <w:rPr>
      <w:b/>
      <w:bCs/>
    </w:rPr>
  </w:style>
  <w:style w:type="character" w:customStyle="1" w:styleId="CommentSubjectChar">
    <w:name w:val="Comment Subject Char"/>
    <w:basedOn w:val="CommentTextChar"/>
    <w:link w:val="CommentSubject"/>
    <w:uiPriority w:val="99"/>
    <w:semiHidden/>
    <w:rsid w:val="00FA49EE"/>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FA49EE"/>
    <w:pPr>
      <w:bidi/>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A49EE"/>
    <w:rPr>
      <w:rFonts w:ascii="Tahoma" w:eastAsia="Calibri" w:hAnsi="Tahoma" w:cs="Tahoma"/>
      <w:sz w:val="16"/>
      <w:szCs w:val="16"/>
    </w:rPr>
  </w:style>
  <w:style w:type="character" w:styleId="Strong">
    <w:name w:val="Strong"/>
    <w:basedOn w:val="DefaultParagraphFont"/>
    <w:qFormat/>
    <w:rsid w:val="00FA49EE"/>
    <w:rPr>
      <w:b/>
      <w:bCs/>
    </w:rPr>
  </w:style>
  <w:style w:type="character" w:customStyle="1" w:styleId="surname">
    <w:name w:val="surname"/>
    <w:basedOn w:val="DefaultParagraphFont"/>
    <w:rsid w:val="00FA49EE"/>
  </w:style>
  <w:style w:type="character" w:customStyle="1" w:styleId="givennames">
    <w:name w:val="givennames"/>
    <w:basedOn w:val="DefaultParagraphFont"/>
    <w:rsid w:val="00FA49EE"/>
  </w:style>
  <w:style w:type="character" w:customStyle="1" w:styleId="pmterms11">
    <w:name w:val="pmterms11"/>
    <w:basedOn w:val="DefaultParagraphFont"/>
    <w:rsid w:val="00FA49EE"/>
    <w:rPr>
      <w:b/>
      <w:bCs/>
      <w:i w:val="0"/>
      <w:iCs w:val="0"/>
      <w:color w:val="000000"/>
    </w:rPr>
  </w:style>
  <w:style w:type="paragraph" w:customStyle="1" w:styleId="Title1">
    <w:name w:val="Title1"/>
    <w:basedOn w:val="Normal"/>
    <w:rsid w:val="00FA49EE"/>
    <w:pPr>
      <w:spacing w:after="0" w:line="204" w:lineRule="atLeast"/>
      <w:textAlignment w:val="top"/>
    </w:pPr>
    <w:rPr>
      <w:rFonts w:ascii="Verdana" w:eastAsia="Times New Roman" w:hAnsi="Verdana" w:cs="Times New Roman"/>
      <w:color w:val="666666"/>
      <w:sz w:val="15"/>
      <w:szCs w:val="15"/>
    </w:rPr>
  </w:style>
  <w:style w:type="paragraph" w:customStyle="1" w:styleId="creator">
    <w:name w:val="creator"/>
    <w:basedOn w:val="Normal"/>
    <w:rsid w:val="00FA49EE"/>
    <w:pPr>
      <w:spacing w:after="0" w:line="204" w:lineRule="atLeast"/>
      <w:textAlignment w:val="top"/>
    </w:pPr>
    <w:rPr>
      <w:rFonts w:ascii="Verdana" w:eastAsia="Times New Roman" w:hAnsi="Verdana" w:cs="Times New Roman"/>
      <w:color w:val="666666"/>
      <w:sz w:val="15"/>
      <w:szCs w:val="15"/>
    </w:rPr>
  </w:style>
  <w:style w:type="paragraph" w:styleId="EndnoteText">
    <w:name w:val="endnote text"/>
    <w:basedOn w:val="Normal"/>
    <w:link w:val="EndnoteTextChar"/>
    <w:semiHidden/>
    <w:rsid w:val="00FA49EE"/>
    <w:pPr>
      <w:bidi/>
      <w:spacing w:after="200" w:line="276" w:lineRule="auto"/>
    </w:pPr>
    <w:rPr>
      <w:rFonts w:ascii="Calibri" w:eastAsia="Calibri" w:hAnsi="Calibri" w:cs="Arial"/>
      <w:sz w:val="20"/>
      <w:szCs w:val="20"/>
    </w:rPr>
  </w:style>
  <w:style w:type="character" w:customStyle="1" w:styleId="EndnoteTextChar">
    <w:name w:val="Endnote Text Char"/>
    <w:basedOn w:val="DefaultParagraphFont"/>
    <w:link w:val="EndnoteText"/>
    <w:semiHidden/>
    <w:rsid w:val="00FA49EE"/>
    <w:rPr>
      <w:rFonts w:ascii="Calibri" w:eastAsia="Calibri" w:hAnsi="Calibri" w:cs="Arial"/>
      <w:sz w:val="20"/>
      <w:szCs w:val="20"/>
    </w:rPr>
  </w:style>
  <w:style w:type="character" w:styleId="EndnoteReference">
    <w:name w:val="endnote reference"/>
    <w:basedOn w:val="DefaultParagraphFont"/>
    <w:semiHidden/>
    <w:rsid w:val="00FA49EE"/>
    <w:rPr>
      <w:vertAlign w:val="superscript"/>
    </w:rPr>
  </w:style>
  <w:style w:type="paragraph" w:styleId="Revision">
    <w:name w:val="Revision"/>
    <w:hidden/>
    <w:uiPriority w:val="99"/>
    <w:semiHidden/>
    <w:rsid w:val="00FA49EE"/>
    <w:pPr>
      <w:spacing w:after="0" w:line="240" w:lineRule="auto"/>
    </w:pPr>
    <w:rPr>
      <w:rFonts w:ascii="Calibri" w:eastAsia="Calibri" w:hAnsi="Calibri" w:cs="Arial"/>
    </w:rPr>
  </w:style>
  <w:style w:type="table" w:styleId="TableGrid">
    <w:name w:val="Table Grid"/>
    <w:basedOn w:val="TableNormal"/>
    <w:rsid w:val="00FA49EE"/>
    <w:pPr>
      <w:bidi/>
      <w:spacing w:after="200" w:line="276"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6338"/>
    <w:pPr>
      <w:keepLines/>
      <w:bidi w:val="0"/>
      <w:spacing w:after="0" w:line="259" w:lineRule="auto"/>
      <w:outlineLvl w:val="9"/>
    </w:pPr>
    <w:rPr>
      <w:rFonts w:asciiTheme="majorHAnsi" w:eastAsiaTheme="majorEastAsia" w:hAnsiTheme="majorHAnsi" w:cstheme="majorBidi"/>
      <w:b w:val="0"/>
      <w:bCs w:val="0"/>
      <w:color w:val="2F5496" w:themeColor="accent1" w:themeShade="BF"/>
      <w:kern w:val="0"/>
      <w:lang w:bidi="ar-SA"/>
    </w:rPr>
  </w:style>
  <w:style w:type="paragraph" w:styleId="TOC2">
    <w:name w:val="toc 2"/>
    <w:basedOn w:val="Normal"/>
    <w:next w:val="Normal"/>
    <w:autoRedefine/>
    <w:uiPriority w:val="39"/>
    <w:unhideWhenUsed/>
    <w:rsid w:val="00A4334D"/>
    <w:pPr>
      <w:tabs>
        <w:tab w:val="right" w:leader="dot" w:pos="8296"/>
      </w:tabs>
      <w:spacing w:after="100"/>
      <w:ind w:left="220"/>
    </w:pPr>
  </w:style>
  <w:style w:type="paragraph" w:styleId="TOC1">
    <w:name w:val="toc 1"/>
    <w:basedOn w:val="Normal"/>
    <w:next w:val="Normal"/>
    <w:autoRedefine/>
    <w:uiPriority w:val="39"/>
    <w:unhideWhenUsed/>
    <w:rsid w:val="00096338"/>
    <w:pPr>
      <w:spacing w:after="100"/>
    </w:pPr>
  </w:style>
  <w:style w:type="paragraph" w:styleId="TOC3">
    <w:name w:val="toc 3"/>
    <w:basedOn w:val="Normal"/>
    <w:next w:val="Normal"/>
    <w:autoRedefine/>
    <w:uiPriority w:val="39"/>
    <w:unhideWhenUsed/>
    <w:rsid w:val="00096338"/>
    <w:pPr>
      <w:spacing w:after="100"/>
      <w:ind w:left="440"/>
    </w:pPr>
  </w:style>
  <w:style w:type="paragraph" w:customStyle="1" w:styleId="c-author-listitem">
    <w:name w:val="c-author-list__item"/>
    <w:basedOn w:val="Normal"/>
    <w:uiPriority w:val="99"/>
    <w:rsid w:val="00A03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EA768B"/>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096614"/>
    <w:pPr>
      <w:spacing w:after="100"/>
      <w:ind w:left="660"/>
    </w:pPr>
    <w:rPr>
      <w:rFonts w:eastAsiaTheme="minorEastAsia"/>
    </w:rPr>
  </w:style>
  <w:style w:type="paragraph" w:styleId="TOC5">
    <w:name w:val="toc 5"/>
    <w:basedOn w:val="Normal"/>
    <w:next w:val="Normal"/>
    <w:autoRedefine/>
    <w:uiPriority w:val="39"/>
    <w:unhideWhenUsed/>
    <w:rsid w:val="00096614"/>
    <w:pPr>
      <w:spacing w:after="100"/>
      <w:ind w:left="880"/>
    </w:pPr>
    <w:rPr>
      <w:rFonts w:eastAsiaTheme="minorEastAsia"/>
    </w:rPr>
  </w:style>
  <w:style w:type="paragraph" w:styleId="TOC6">
    <w:name w:val="toc 6"/>
    <w:basedOn w:val="Normal"/>
    <w:next w:val="Normal"/>
    <w:autoRedefine/>
    <w:uiPriority w:val="39"/>
    <w:unhideWhenUsed/>
    <w:rsid w:val="00096614"/>
    <w:pPr>
      <w:spacing w:after="100"/>
      <w:ind w:left="1100"/>
    </w:pPr>
    <w:rPr>
      <w:rFonts w:eastAsiaTheme="minorEastAsia"/>
    </w:rPr>
  </w:style>
  <w:style w:type="paragraph" w:styleId="TOC7">
    <w:name w:val="toc 7"/>
    <w:basedOn w:val="Normal"/>
    <w:next w:val="Normal"/>
    <w:autoRedefine/>
    <w:uiPriority w:val="39"/>
    <w:unhideWhenUsed/>
    <w:rsid w:val="00096614"/>
    <w:pPr>
      <w:spacing w:after="100"/>
      <w:ind w:left="1320"/>
    </w:pPr>
    <w:rPr>
      <w:rFonts w:eastAsiaTheme="minorEastAsia"/>
    </w:rPr>
  </w:style>
  <w:style w:type="paragraph" w:styleId="TOC8">
    <w:name w:val="toc 8"/>
    <w:basedOn w:val="Normal"/>
    <w:next w:val="Normal"/>
    <w:autoRedefine/>
    <w:uiPriority w:val="39"/>
    <w:unhideWhenUsed/>
    <w:rsid w:val="00096614"/>
    <w:pPr>
      <w:spacing w:after="100"/>
      <w:ind w:left="1540"/>
    </w:pPr>
    <w:rPr>
      <w:rFonts w:eastAsiaTheme="minorEastAsia"/>
    </w:rPr>
  </w:style>
  <w:style w:type="paragraph" w:styleId="TOC9">
    <w:name w:val="toc 9"/>
    <w:basedOn w:val="Normal"/>
    <w:next w:val="Normal"/>
    <w:autoRedefine/>
    <w:uiPriority w:val="39"/>
    <w:unhideWhenUsed/>
    <w:rsid w:val="00096614"/>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096614"/>
    <w:rPr>
      <w:color w:val="605E5C"/>
      <w:shd w:val="clear" w:color="auto" w:fill="E1DFDD"/>
    </w:rPr>
  </w:style>
  <w:style w:type="paragraph" w:styleId="Header">
    <w:name w:val="header"/>
    <w:basedOn w:val="Normal"/>
    <w:link w:val="HeaderChar"/>
    <w:uiPriority w:val="99"/>
    <w:unhideWhenUsed/>
    <w:rsid w:val="000966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6614"/>
  </w:style>
  <w:style w:type="paragraph" w:styleId="Footer">
    <w:name w:val="footer"/>
    <w:basedOn w:val="Normal"/>
    <w:link w:val="FooterChar"/>
    <w:uiPriority w:val="99"/>
    <w:unhideWhenUsed/>
    <w:rsid w:val="000966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6614"/>
  </w:style>
  <w:style w:type="character" w:customStyle="1" w:styleId="title-text">
    <w:name w:val="title-text"/>
    <w:basedOn w:val="DefaultParagraphFont"/>
    <w:rsid w:val="001252DE"/>
  </w:style>
  <w:style w:type="character" w:customStyle="1" w:styleId="sr-only">
    <w:name w:val="sr-only"/>
    <w:basedOn w:val="DefaultParagraphFont"/>
    <w:rsid w:val="001252DE"/>
  </w:style>
  <w:style w:type="character" w:customStyle="1" w:styleId="text">
    <w:name w:val="text"/>
    <w:basedOn w:val="DefaultParagraphFont"/>
    <w:rsid w:val="001252DE"/>
  </w:style>
  <w:style w:type="character" w:customStyle="1" w:styleId="author-ref">
    <w:name w:val="author-ref"/>
    <w:basedOn w:val="DefaultParagraphFont"/>
    <w:rsid w:val="001252DE"/>
  </w:style>
  <w:style w:type="character" w:customStyle="1" w:styleId="button-text">
    <w:name w:val="button-text"/>
    <w:basedOn w:val="DefaultParagraphFont"/>
    <w:rsid w:val="001252DE"/>
  </w:style>
  <w:style w:type="character" w:customStyle="1" w:styleId="button-link-text">
    <w:name w:val="button-link-text"/>
    <w:basedOn w:val="DefaultParagraphFont"/>
    <w:rsid w:val="001252DE"/>
  </w:style>
  <w:style w:type="character" w:customStyle="1" w:styleId="cf01">
    <w:name w:val="cf01"/>
    <w:basedOn w:val="DefaultParagraphFont"/>
    <w:rsid w:val="00F90E74"/>
    <w:rPr>
      <w:rFonts w:ascii="Segoe UI" w:hAnsi="Segoe UI" w:cs="Segoe UI" w:hint="default"/>
      <w:sz w:val="18"/>
      <w:szCs w:val="18"/>
    </w:rPr>
  </w:style>
  <w:style w:type="character" w:customStyle="1" w:styleId="cf11">
    <w:name w:val="cf11"/>
    <w:basedOn w:val="DefaultParagraphFont"/>
    <w:rsid w:val="00F90E74"/>
    <w:rPr>
      <w:rFonts w:ascii="Segoe UI" w:hAnsi="Segoe UI" w:cs="Segoe UI" w:hint="default"/>
      <w:sz w:val="18"/>
      <w:szCs w:val="18"/>
    </w:rPr>
  </w:style>
  <w:style w:type="character" w:customStyle="1" w:styleId="cf21">
    <w:name w:val="cf21"/>
    <w:basedOn w:val="DefaultParagraphFont"/>
    <w:rsid w:val="00F90E74"/>
    <w:rPr>
      <w:rFonts w:ascii="Segoe UI" w:hAnsi="Segoe UI" w:cs="Segoe UI" w:hint="default"/>
      <w:sz w:val="18"/>
      <w:szCs w:val="18"/>
    </w:rPr>
  </w:style>
  <w:style w:type="paragraph" w:customStyle="1" w:styleId="pf0">
    <w:name w:val="pf0"/>
    <w:basedOn w:val="Normal"/>
    <w:rsid w:val="008E4B6D"/>
    <w:pPr>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21428">
      <w:bodyDiv w:val="1"/>
      <w:marLeft w:val="0"/>
      <w:marRight w:val="0"/>
      <w:marTop w:val="0"/>
      <w:marBottom w:val="0"/>
      <w:divBdr>
        <w:top w:val="none" w:sz="0" w:space="0" w:color="auto"/>
        <w:left w:val="none" w:sz="0" w:space="0" w:color="auto"/>
        <w:bottom w:val="none" w:sz="0" w:space="0" w:color="auto"/>
        <w:right w:val="none" w:sz="0" w:space="0" w:color="auto"/>
      </w:divBdr>
      <w:divsChild>
        <w:div w:id="104465288">
          <w:marLeft w:val="0"/>
          <w:marRight w:val="0"/>
          <w:marTop w:val="0"/>
          <w:marBottom w:val="0"/>
          <w:divBdr>
            <w:top w:val="none" w:sz="0" w:space="0" w:color="auto"/>
            <w:left w:val="none" w:sz="0" w:space="0" w:color="auto"/>
            <w:bottom w:val="none" w:sz="0" w:space="0" w:color="auto"/>
            <w:right w:val="none" w:sz="0" w:space="0" w:color="auto"/>
          </w:divBdr>
          <w:divsChild>
            <w:div w:id="90203578">
              <w:marLeft w:val="0"/>
              <w:marRight w:val="0"/>
              <w:marTop w:val="0"/>
              <w:marBottom w:val="0"/>
              <w:divBdr>
                <w:top w:val="none" w:sz="0" w:space="0" w:color="auto"/>
                <w:left w:val="none" w:sz="0" w:space="0" w:color="auto"/>
                <w:bottom w:val="none" w:sz="0" w:space="0" w:color="auto"/>
                <w:right w:val="none" w:sz="0" w:space="0" w:color="auto"/>
              </w:divBdr>
            </w:div>
            <w:div w:id="1314407746">
              <w:marLeft w:val="0"/>
              <w:marRight w:val="0"/>
              <w:marTop w:val="0"/>
              <w:marBottom w:val="0"/>
              <w:divBdr>
                <w:top w:val="none" w:sz="0" w:space="0" w:color="auto"/>
                <w:left w:val="none" w:sz="0" w:space="0" w:color="auto"/>
                <w:bottom w:val="none" w:sz="0" w:space="0" w:color="auto"/>
                <w:right w:val="none" w:sz="0" w:space="0" w:color="auto"/>
              </w:divBdr>
              <w:divsChild>
                <w:div w:id="1303845091">
                  <w:marLeft w:val="0"/>
                  <w:marRight w:val="0"/>
                  <w:marTop w:val="0"/>
                  <w:marBottom w:val="0"/>
                  <w:divBdr>
                    <w:top w:val="none" w:sz="0" w:space="0" w:color="auto"/>
                    <w:left w:val="none" w:sz="0" w:space="0" w:color="auto"/>
                    <w:bottom w:val="none" w:sz="0" w:space="0" w:color="auto"/>
                    <w:right w:val="none" w:sz="0" w:space="0" w:color="auto"/>
                  </w:divBdr>
                  <w:divsChild>
                    <w:div w:id="1172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5182">
          <w:marLeft w:val="0"/>
          <w:marRight w:val="0"/>
          <w:marTop w:val="0"/>
          <w:marBottom w:val="0"/>
          <w:divBdr>
            <w:top w:val="none" w:sz="0" w:space="0" w:color="auto"/>
            <w:left w:val="none" w:sz="0" w:space="0" w:color="auto"/>
            <w:bottom w:val="none" w:sz="0" w:space="0" w:color="auto"/>
            <w:right w:val="none" w:sz="0" w:space="0" w:color="auto"/>
          </w:divBdr>
          <w:divsChild>
            <w:div w:id="943342945">
              <w:marLeft w:val="0"/>
              <w:marRight w:val="0"/>
              <w:marTop w:val="0"/>
              <w:marBottom w:val="0"/>
              <w:divBdr>
                <w:top w:val="none" w:sz="0" w:space="0" w:color="auto"/>
                <w:left w:val="none" w:sz="0" w:space="0" w:color="auto"/>
                <w:bottom w:val="none" w:sz="0" w:space="0" w:color="auto"/>
                <w:right w:val="none" w:sz="0" w:space="0" w:color="auto"/>
              </w:divBdr>
              <w:divsChild>
                <w:div w:id="9954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6621">
          <w:marLeft w:val="0"/>
          <w:marRight w:val="0"/>
          <w:marTop w:val="0"/>
          <w:marBottom w:val="0"/>
          <w:divBdr>
            <w:top w:val="none" w:sz="0" w:space="0" w:color="auto"/>
            <w:left w:val="none" w:sz="0" w:space="0" w:color="auto"/>
            <w:bottom w:val="none" w:sz="0" w:space="0" w:color="auto"/>
            <w:right w:val="none" w:sz="0" w:space="0" w:color="auto"/>
          </w:divBdr>
          <w:divsChild>
            <w:div w:id="1661805256">
              <w:marLeft w:val="0"/>
              <w:marRight w:val="0"/>
              <w:marTop w:val="0"/>
              <w:marBottom w:val="0"/>
              <w:divBdr>
                <w:top w:val="none" w:sz="0" w:space="0" w:color="auto"/>
                <w:left w:val="none" w:sz="0" w:space="0" w:color="auto"/>
                <w:bottom w:val="none" w:sz="0" w:space="0" w:color="auto"/>
                <w:right w:val="none" w:sz="0" w:space="0" w:color="auto"/>
              </w:divBdr>
              <w:divsChild>
                <w:div w:id="64649603">
                  <w:marLeft w:val="0"/>
                  <w:marRight w:val="300"/>
                  <w:marTop w:val="225"/>
                  <w:marBottom w:val="75"/>
                  <w:divBdr>
                    <w:top w:val="none" w:sz="0" w:space="0" w:color="auto"/>
                    <w:left w:val="none" w:sz="0" w:space="0" w:color="auto"/>
                    <w:bottom w:val="none" w:sz="0" w:space="0" w:color="auto"/>
                    <w:right w:val="none" w:sz="0" w:space="0" w:color="auto"/>
                  </w:divBdr>
                </w:div>
              </w:divsChild>
            </w:div>
            <w:div w:id="1754617949">
              <w:marLeft w:val="0"/>
              <w:marRight w:val="0"/>
              <w:marTop w:val="0"/>
              <w:marBottom w:val="0"/>
              <w:divBdr>
                <w:top w:val="none" w:sz="0" w:space="0" w:color="auto"/>
                <w:left w:val="none" w:sz="0" w:space="0" w:color="auto"/>
                <w:bottom w:val="none" w:sz="0" w:space="0" w:color="auto"/>
                <w:right w:val="none" w:sz="0" w:space="0" w:color="auto"/>
              </w:divBdr>
              <w:divsChild>
                <w:div w:id="605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2419">
      <w:bodyDiv w:val="1"/>
      <w:marLeft w:val="0"/>
      <w:marRight w:val="0"/>
      <w:marTop w:val="0"/>
      <w:marBottom w:val="0"/>
      <w:divBdr>
        <w:top w:val="none" w:sz="0" w:space="0" w:color="auto"/>
        <w:left w:val="none" w:sz="0" w:space="0" w:color="auto"/>
        <w:bottom w:val="none" w:sz="0" w:space="0" w:color="auto"/>
        <w:right w:val="none" w:sz="0" w:space="0" w:color="auto"/>
      </w:divBdr>
    </w:div>
    <w:div w:id="350301214">
      <w:bodyDiv w:val="1"/>
      <w:marLeft w:val="0"/>
      <w:marRight w:val="0"/>
      <w:marTop w:val="0"/>
      <w:marBottom w:val="0"/>
      <w:divBdr>
        <w:top w:val="none" w:sz="0" w:space="0" w:color="auto"/>
        <w:left w:val="none" w:sz="0" w:space="0" w:color="auto"/>
        <w:bottom w:val="none" w:sz="0" w:space="0" w:color="auto"/>
        <w:right w:val="none" w:sz="0" w:space="0" w:color="auto"/>
      </w:divBdr>
    </w:div>
    <w:div w:id="362099246">
      <w:bodyDiv w:val="1"/>
      <w:marLeft w:val="0"/>
      <w:marRight w:val="0"/>
      <w:marTop w:val="0"/>
      <w:marBottom w:val="0"/>
      <w:divBdr>
        <w:top w:val="none" w:sz="0" w:space="0" w:color="auto"/>
        <w:left w:val="none" w:sz="0" w:space="0" w:color="auto"/>
        <w:bottom w:val="none" w:sz="0" w:space="0" w:color="auto"/>
        <w:right w:val="none" w:sz="0" w:space="0" w:color="auto"/>
      </w:divBdr>
    </w:div>
    <w:div w:id="600263229">
      <w:bodyDiv w:val="1"/>
      <w:marLeft w:val="0"/>
      <w:marRight w:val="0"/>
      <w:marTop w:val="0"/>
      <w:marBottom w:val="0"/>
      <w:divBdr>
        <w:top w:val="none" w:sz="0" w:space="0" w:color="auto"/>
        <w:left w:val="none" w:sz="0" w:space="0" w:color="auto"/>
        <w:bottom w:val="none" w:sz="0" w:space="0" w:color="auto"/>
        <w:right w:val="none" w:sz="0" w:space="0" w:color="auto"/>
      </w:divBdr>
      <w:divsChild>
        <w:div w:id="283929963">
          <w:marLeft w:val="0"/>
          <w:marRight w:val="0"/>
          <w:marTop w:val="0"/>
          <w:marBottom w:val="120"/>
          <w:divBdr>
            <w:top w:val="none" w:sz="0" w:space="0" w:color="auto"/>
            <w:left w:val="none" w:sz="0" w:space="0" w:color="auto"/>
            <w:bottom w:val="none" w:sz="0" w:space="0" w:color="auto"/>
            <w:right w:val="none" w:sz="0" w:space="0" w:color="auto"/>
          </w:divBdr>
          <w:divsChild>
            <w:div w:id="1089351630">
              <w:marLeft w:val="0"/>
              <w:marRight w:val="0"/>
              <w:marTop w:val="0"/>
              <w:marBottom w:val="0"/>
              <w:divBdr>
                <w:top w:val="none" w:sz="0" w:space="0" w:color="auto"/>
                <w:left w:val="none" w:sz="0" w:space="0" w:color="auto"/>
                <w:bottom w:val="single" w:sz="6" w:space="0" w:color="000000"/>
                <w:right w:val="none" w:sz="0" w:space="0" w:color="auto"/>
              </w:divBdr>
              <w:divsChild>
                <w:div w:id="386219801">
                  <w:marLeft w:val="0"/>
                  <w:marRight w:val="0"/>
                  <w:marTop w:val="0"/>
                  <w:marBottom w:val="0"/>
                  <w:divBdr>
                    <w:top w:val="none" w:sz="0" w:space="0" w:color="auto"/>
                    <w:left w:val="none" w:sz="0" w:space="0" w:color="auto"/>
                    <w:bottom w:val="none" w:sz="0" w:space="0" w:color="auto"/>
                    <w:right w:val="none" w:sz="0" w:space="0" w:color="auto"/>
                  </w:divBdr>
                  <w:divsChild>
                    <w:div w:id="622735420">
                      <w:marLeft w:val="0"/>
                      <w:marRight w:val="0"/>
                      <w:marTop w:val="0"/>
                      <w:marBottom w:val="0"/>
                      <w:divBdr>
                        <w:top w:val="none" w:sz="0" w:space="0" w:color="auto"/>
                        <w:left w:val="none" w:sz="0" w:space="0" w:color="auto"/>
                        <w:bottom w:val="none" w:sz="0" w:space="0" w:color="auto"/>
                        <w:right w:val="none" w:sz="0" w:space="0" w:color="auto"/>
                      </w:divBdr>
                      <w:divsChild>
                        <w:div w:id="54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0666">
                  <w:marLeft w:val="0"/>
                  <w:marRight w:val="0"/>
                  <w:marTop w:val="0"/>
                  <w:marBottom w:val="0"/>
                  <w:divBdr>
                    <w:top w:val="none" w:sz="0" w:space="0" w:color="auto"/>
                    <w:left w:val="none" w:sz="0" w:space="0" w:color="auto"/>
                    <w:bottom w:val="none" w:sz="0" w:space="0" w:color="auto"/>
                    <w:right w:val="none" w:sz="0" w:space="0" w:color="auto"/>
                  </w:divBdr>
                  <w:divsChild>
                    <w:div w:id="670832206">
                      <w:marLeft w:val="0"/>
                      <w:marRight w:val="0"/>
                      <w:marTop w:val="0"/>
                      <w:marBottom w:val="0"/>
                      <w:divBdr>
                        <w:top w:val="none" w:sz="0" w:space="0" w:color="auto"/>
                        <w:left w:val="none" w:sz="0" w:space="0" w:color="auto"/>
                        <w:bottom w:val="none" w:sz="0" w:space="0" w:color="auto"/>
                        <w:right w:val="none" w:sz="0" w:space="0" w:color="auto"/>
                      </w:divBdr>
                      <w:divsChild>
                        <w:div w:id="12523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1157">
              <w:marLeft w:val="0"/>
              <w:marRight w:val="0"/>
              <w:marTop w:val="0"/>
              <w:marBottom w:val="0"/>
              <w:divBdr>
                <w:top w:val="none" w:sz="0" w:space="0" w:color="auto"/>
                <w:left w:val="none" w:sz="0" w:space="0" w:color="auto"/>
                <w:bottom w:val="none" w:sz="0" w:space="0" w:color="auto"/>
                <w:right w:val="none" w:sz="0" w:space="0" w:color="auto"/>
              </w:divBdr>
              <w:divsChild>
                <w:div w:id="1189762377">
                  <w:marLeft w:val="0"/>
                  <w:marRight w:val="0"/>
                  <w:marTop w:val="0"/>
                  <w:marBottom w:val="0"/>
                  <w:divBdr>
                    <w:top w:val="none" w:sz="0" w:space="0" w:color="auto"/>
                    <w:left w:val="none" w:sz="0" w:space="0" w:color="auto"/>
                    <w:bottom w:val="none" w:sz="0" w:space="0" w:color="auto"/>
                    <w:right w:val="none" w:sz="0" w:space="0" w:color="auto"/>
                  </w:divBdr>
                  <w:divsChild>
                    <w:div w:id="6491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24697">
          <w:marLeft w:val="0"/>
          <w:marRight w:val="0"/>
          <w:marTop w:val="0"/>
          <w:marBottom w:val="0"/>
          <w:divBdr>
            <w:top w:val="none" w:sz="0" w:space="0" w:color="auto"/>
            <w:left w:val="none" w:sz="0" w:space="0" w:color="auto"/>
            <w:bottom w:val="none" w:sz="0" w:space="0" w:color="auto"/>
            <w:right w:val="none" w:sz="0" w:space="0" w:color="auto"/>
          </w:divBdr>
          <w:divsChild>
            <w:div w:id="859512865">
              <w:marLeft w:val="0"/>
              <w:marRight w:val="0"/>
              <w:marTop w:val="0"/>
              <w:marBottom w:val="120"/>
              <w:divBdr>
                <w:top w:val="none" w:sz="0" w:space="0" w:color="auto"/>
                <w:left w:val="none" w:sz="0" w:space="0" w:color="auto"/>
                <w:bottom w:val="none" w:sz="0" w:space="0" w:color="auto"/>
                <w:right w:val="none" w:sz="0" w:space="0" w:color="auto"/>
              </w:divBdr>
              <w:divsChild>
                <w:div w:id="1549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6483">
          <w:marLeft w:val="0"/>
          <w:marRight w:val="0"/>
          <w:marTop w:val="0"/>
          <w:marBottom w:val="0"/>
          <w:divBdr>
            <w:top w:val="none" w:sz="0" w:space="0" w:color="auto"/>
            <w:left w:val="none" w:sz="0" w:space="0" w:color="auto"/>
            <w:bottom w:val="none" w:sz="0" w:space="0" w:color="auto"/>
            <w:right w:val="none" w:sz="0" w:space="0" w:color="auto"/>
          </w:divBdr>
        </w:div>
      </w:divsChild>
    </w:div>
    <w:div w:id="743067746">
      <w:bodyDiv w:val="1"/>
      <w:marLeft w:val="0"/>
      <w:marRight w:val="0"/>
      <w:marTop w:val="0"/>
      <w:marBottom w:val="0"/>
      <w:divBdr>
        <w:top w:val="none" w:sz="0" w:space="0" w:color="auto"/>
        <w:left w:val="none" w:sz="0" w:space="0" w:color="auto"/>
        <w:bottom w:val="none" w:sz="0" w:space="0" w:color="auto"/>
        <w:right w:val="none" w:sz="0" w:space="0" w:color="auto"/>
      </w:divBdr>
    </w:div>
    <w:div w:id="777530390">
      <w:bodyDiv w:val="1"/>
      <w:marLeft w:val="0"/>
      <w:marRight w:val="0"/>
      <w:marTop w:val="0"/>
      <w:marBottom w:val="0"/>
      <w:divBdr>
        <w:top w:val="none" w:sz="0" w:space="0" w:color="auto"/>
        <w:left w:val="none" w:sz="0" w:space="0" w:color="auto"/>
        <w:bottom w:val="none" w:sz="0" w:space="0" w:color="auto"/>
        <w:right w:val="none" w:sz="0" w:space="0" w:color="auto"/>
      </w:divBdr>
    </w:div>
    <w:div w:id="797912903">
      <w:bodyDiv w:val="1"/>
      <w:marLeft w:val="0"/>
      <w:marRight w:val="0"/>
      <w:marTop w:val="0"/>
      <w:marBottom w:val="0"/>
      <w:divBdr>
        <w:top w:val="none" w:sz="0" w:space="0" w:color="auto"/>
        <w:left w:val="none" w:sz="0" w:space="0" w:color="auto"/>
        <w:bottom w:val="none" w:sz="0" w:space="0" w:color="auto"/>
        <w:right w:val="none" w:sz="0" w:space="0" w:color="auto"/>
      </w:divBdr>
    </w:div>
    <w:div w:id="805859449">
      <w:bodyDiv w:val="1"/>
      <w:marLeft w:val="0"/>
      <w:marRight w:val="0"/>
      <w:marTop w:val="0"/>
      <w:marBottom w:val="0"/>
      <w:divBdr>
        <w:top w:val="none" w:sz="0" w:space="0" w:color="auto"/>
        <w:left w:val="none" w:sz="0" w:space="0" w:color="auto"/>
        <w:bottom w:val="none" w:sz="0" w:space="0" w:color="auto"/>
        <w:right w:val="none" w:sz="0" w:space="0" w:color="auto"/>
      </w:divBdr>
      <w:divsChild>
        <w:div w:id="613833374">
          <w:marLeft w:val="0"/>
          <w:marRight w:val="0"/>
          <w:marTop w:val="0"/>
          <w:marBottom w:val="0"/>
          <w:divBdr>
            <w:top w:val="none" w:sz="0" w:space="0" w:color="auto"/>
            <w:left w:val="none" w:sz="0" w:space="0" w:color="auto"/>
            <w:bottom w:val="none" w:sz="0" w:space="0" w:color="auto"/>
            <w:right w:val="none" w:sz="0" w:space="0" w:color="auto"/>
          </w:divBdr>
        </w:div>
        <w:div w:id="1870685022">
          <w:marLeft w:val="0"/>
          <w:marRight w:val="0"/>
          <w:marTop w:val="0"/>
          <w:marBottom w:val="0"/>
          <w:divBdr>
            <w:top w:val="none" w:sz="0" w:space="0" w:color="auto"/>
            <w:left w:val="none" w:sz="0" w:space="0" w:color="auto"/>
            <w:bottom w:val="none" w:sz="0" w:space="0" w:color="auto"/>
            <w:right w:val="none" w:sz="0" w:space="0" w:color="auto"/>
          </w:divBdr>
        </w:div>
      </w:divsChild>
    </w:div>
    <w:div w:id="861017961">
      <w:bodyDiv w:val="1"/>
      <w:marLeft w:val="0"/>
      <w:marRight w:val="0"/>
      <w:marTop w:val="0"/>
      <w:marBottom w:val="0"/>
      <w:divBdr>
        <w:top w:val="none" w:sz="0" w:space="0" w:color="auto"/>
        <w:left w:val="none" w:sz="0" w:space="0" w:color="auto"/>
        <w:bottom w:val="none" w:sz="0" w:space="0" w:color="auto"/>
        <w:right w:val="none" w:sz="0" w:space="0" w:color="auto"/>
      </w:divBdr>
    </w:div>
    <w:div w:id="1006204596">
      <w:bodyDiv w:val="1"/>
      <w:marLeft w:val="0"/>
      <w:marRight w:val="0"/>
      <w:marTop w:val="0"/>
      <w:marBottom w:val="0"/>
      <w:divBdr>
        <w:top w:val="none" w:sz="0" w:space="0" w:color="auto"/>
        <w:left w:val="none" w:sz="0" w:space="0" w:color="auto"/>
        <w:bottom w:val="none" w:sz="0" w:space="0" w:color="auto"/>
        <w:right w:val="none" w:sz="0" w:space="0" w:color="auto"/>
      </w:divBdr>
    </w:div>
    <w:div w:id="1087266690">
      <w:bodyDiv w:val="1"/>
      <w:marLeft w:val="0"/>
      <w:marRight w:val="0"/>
      <w:marTop w:val="0"/>
      <w:marBottom w:val="0"/>
      <w:divBdr>
        <w:top w:val="none" w:sz="0" w:space="0" w:color="auto"/>
        <w:left w:val="none" w:sz="0" w:space="0" w:color="auto"/>
        <w:bottom w:val="none" w:sz="0" w:space="0" w:color="auto"/>
        <w:right w:val="none" w:sz="0" w:space="0" w:color="auto"/>
      </w:divBdr>
    </w:div>
    <w:div w:id="1148209116">
      <w:bodyDiv w:val="1"/>
      <w:marLeft w:val="0"/>
      <w:marRight w:val="0"/>
      <w:marTop w:val="0"/>
      <w:marBottom w:val="0"/>
      <w:divBdr>
        <w:top w:val="none" w:sz="0" w:space="0" w:color="auto"/>
        <w:left w:val="none" w:sz="0" w:space="0" w:color="auto"/>
        <w:bottom w:val="none" w:sz="0" w:space="0" w:color="auto"/>
        <w:right w:val="none" w:sz="0" w:space="0" w:color="auto"/>
      </w:divBdr>
    </w:div>
    <w:div w:id="1450471909">
      <w:bodyDiv w:val="1"/>
      <w:marLeft w:val="0"/>
      <w:marRight w:val="0"/>
      <w:marTop w:val="0"/>
      <w:marBottom w:val="0"/>
      <w:divBdr>
        <w:top w:val="none" w:sz="0" w:space="0" w:color="auto"/>
        <w:left w:val="none" w:sz="0" w:space="0" w:color="auto"/>
        <w:bottom w:val="none" w:sz="0" w:space="0" w:color="auto"/>
        <w:right w:val="none" w:sz="0" w:space="0" w:color="auto"/>
      </w:divBdr>
    </w:div>
    <w:div w:id="1889024336">
      <w:bodyDiv w:val="1"/>
      <w:marLeft w:val="0"/>
      <w:marRight w:val="0"/>
      <w:marTop w:val="0"/>
      <w:marBottom w:val="0"/>
      <w:divBdr>
        <w:top w:val="none" w:sz="0" w:space="0" w:color="auto"/>
        <w:left w:val="none" w:sz="0" w:space="0" w:color="auto"/>
        <w:bottom w:val="none" w:sz="0" w:space="0" w:color="auto"/>
        <w:right w:val="none" w:sz="0" w:space="0" w:color="auto"/>
      </w:divBdr>
    </w:div>
    <w:div w:id="2055736772">
      <w:bodyDiv w:val="1"/>
      <w:marLeft w:val="0"/>
      <w:marRight w:val="0"/>
      <w:marTop w:val="0"/>
      <w:marBottom w:val="0"/>
      <w:divBdr>
        <w:top w:val="none" w:sz="0" w:space="0" w:color="auto"/>
        <w:left w:val="none" w:sz="0" w:space="0" w:color="auto"/>
        <w:bottom w:val="none" w:sz="0" w:space="0" w:color="auto"/>
        <w:right w:val="none" w:sz="0" w:space="0" w:color="auto"/>
      </w:divBdr>
    </w:div>
    <w:div w:id="2091652563">
      <w:bodyDiv w:val="1"/>
      <w:marLeft w:val="0"/>
      <w:marRight w:val="0"/>
      <w:marTop w:val="0"/>
      <w:marBottom w:val="0"/>
      <w:divBdr>
        <w:top w:val="none" w:sz="0" w:space="0" w:color="auto"/>
        <w:left w:val="none" w:sz="0" w:space="0" w:color="auto"/>
        <w:bottom w:val="none" w:sz="0" w:space="0" w:color="auto"/>
        <w:right w:val="none" w:sz="0" w:space="0" w:color="auto"/>
      </w:divBdr>
    </w:div>
    <w:div w:id="2139764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link.springer.com/referenceworkentry/10.1007%2F978-1-4614-5690-2_61" TargetMode="External"/><Relationship Id="rId1" Type="http://schemas.openxmlformats.org/officeDocument/2006/relationships/hyperlink" Target="https://onlinelibrary.wiley.com/doi/abs/10.1111/j.1467-9930.1995.tb0014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8EEF-B3FE-4A84-9550-E789A367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9826</Words>
  <Characters>51494</Characters>
  <Application>Microsoft Office Word</Application>
  <DocSecurity>0</DocSecurity>
  <Lines>757</Lines>
  <Paragraphs>187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BIU Office 365 Pro Plus</Company>
  <LinksUpToDate>false</LinksUpToDate>
  <CharactersWithSpaces>61133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2</cp:revision>
  <cp:lastPrinted>2023-01-10T11:57:00Z</cp:lastPrinted>
  <dcterms:created xsi:type="dcterms:W3CDTF">2024-04-16T21:12:00Z</dcterms:created>
  <dcterms:modified xsi:type="dcterms:W3CDTF">2024-04-16T21:12:00Z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9417e795-aac1-35ae-80a0-7d626afe4cbd</vt:lpwstr>
  </property>
</Properties>
</file>