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1DD0" w14:textId="77777777" w:rsidR="009D066F" w:rsidRDefault="00BA16FE" w:rsidP="009D066F">
      <w:pPr>
        <w:bidi w:val="0"/>
        <w:spacing w:before="100" w:beforeAutospacing="1" w:after="100" w:afterAutospacing="1" w:line="276" w:lineRule="auto"/>
        <w:jc w:val="both"/>
        <w:rPr>
          <w:rFonts w:asciiTheme="majorBidi" w:eastAsia="Times New Roman" w:hAnsiTheme="majorBidi" w:cstheme="majorBidi"/>
          <w:kern w:val="0"/>
          <w:sz w:val="32"/>
          <w:szCs w:val="32"/>
          <w14:ligatures w14:val="none"/>
        </w:rPr>
      </w:pPr>
      <w:r w:rsidRPr="00BA16FE">
        <w:rPr>
          <w:rFonts w:asciiTheme="majorBidi" w:eastAsia="Times New Roman" w:hAnsiTheme="majorBidi" w:cstheme="majorBidi"/>
          <w:b/>
          <w:bCs/>
          <w:kern w:val="0"/>
          <w:sz w:val="32"/>
          <w:szCs w:val="32"/>
          <w14:ligatures w14:val="none"/>
        </w:rPr>
        <w:t>Islam and Judaism Between Peace and Conflict: The Declaration of Principles as a Test Case</w:t>
      </w:r>
    </w:p>
    <w:p w14:paraId="1CB59B80" w14:textId="20000FCE" w:rsidR="009D066F" w:rsidRPr="009D066F" w:rsidRDefault="00BA16FE" w:rsidP="009D066F">
      <w:pPr>
        <w:bidi w:val="0"/>
        <w:spacing w:before="100" w:beforeAutospacing="1" w:after="0" w:line="276" w:lineRule="auto"/>
        <w:jc w:val="both"/>
        <w:rPr>
          <w:rFonts w:asciiTheme="majorBidi" w:eastAsia="Times New Roman" w:hAnsiTheme="majorBidi" w:cstheme="majorBidi"/>
          <w:kern w:val="0"/>
          <w:sz w:val="32"/>
          <w:szCs w:val="32"/>
          <w14:ligatures w14:val="none"/>
        </w:rPr>
      </w:pPr>
      <w:r w:rsidRPr="00BA16FE">
        <w:rPr>
          <w:rFonts w:asciiTheme="majorBidi" w:eastAsia="Times New Roman" w:hAnsiTheme="majorBidi" w:cstheme="majorBidi"/>
          <w:b/>
          <w:bCs/>
          <w:kern w:val="0"/>
          <w:sz w:val="28"/>
          <w:szCs w:val="28"/>
          <w14:ligatures w14:val="none"/>
        </w:rPr>
        <w:t>Introduction</w:t>
      </w:r>
    </w:p>
    <w:p w14:paraId="284B8006" w14:textId="3EC1E7F1" w:rsidR="009D066F" w:rsidRDefault="00BA16FE" w:rsidP="009D066F">
      <w:pPr>
        <w:bidi w:val="0"/>
        <w:spacing w:before="100" w:beforeAutospacing="1" w:after="100" w:afterAutospacing="1" w:line="480" w:lineRule="auto"/>
        <w:jc w:val="both"/>
        <w:rPr>
          <w:rFonts w:asciiTheme="majorBidi" w:eastAsia="Times New Roman" w:hAnsiTheme="majorBidi" w:cstheme="majorBidi"/>
          <w:kern w:val="0"/>
          <w:sz w:val="28"/>
          <w:szCs w:val="28"/>
          <w14:ligatures w14:val="none"/>
        </w:rPr>
      </w:pPr>
      <w:r w:rsidRPr="00BA16FE">
        <w:rPr>
          <w:rFonts w:asciiTheme="majorBidi" w:eastAsia="Times New Roman" w:hAnsiTheme="majorBidi" w:cstheme="majorBidi"/>
          <w:kern w:val="0"/>
          <w:sz w:val="24"/>
          <w14:ligatures w14:val="none"/>
        </w:rPr>
        <w:t>On September 13, 1993, a historic agreement was signed between Israel and the Palestine Liberation Organization (PLO), known as the 'Declaration of Principles'</w:t>
      </w:r>
      <w:r w:rsidR="006C19F1">
        <w:rPr>
          <w:rFonts w:asciiTheme="majorBidi" w:eastAsia="Times New Roman" w:hAnsiTheme="majorBidi" w:cstheme="majorBidi"/>
          <w:kern w:val="0"/>
          <w:sz w:val="24"/>
          <w14:ligatures w14:val="none"/>
        </w:rPr>
        <w:t xml:space="preserve"> (DOP)</w:t>
      </w:r>
      <w:r w:rsidRPr="00BA16FE">
        <w:rPr>
          <w:rFonts w:asciiTheme="majorBidi" w:eastAsia="Times New Roman" w:hAnsiTheme="majorBidi" w:cstheme="majorBidi"/>
          <w:kern w:val="0"/>
          <w:sz w:val="24"/>
          <w14:ligatures w14:val="none"/>
        </w:rPr>
        <w:t xml:space="preserve"> or the 'Oslo Accord</w:t>
      </w:r>
      <w:r w:rsidR="003608D3">
        <w:rPr>
          <w:rFonts w:asciiTheme="majorBidi" w:eastAsia="Times New Roman" w:hAnsiTheme="majorBidi" w:cstheme="majorBidi"/>
          <w:kern w:val="0"/>
          <w:sz w:val="24"/>
          <w14:ligatures w14:val="none"/>
        </w:rPr>
        <w:t xml:space="preserve"> I</w:t>
      </w:r>
      <w:r w:rsidRPr="00BA16FE">
        <w:rPr>
          <w:rFonts w:asciiTheme="majorBidi" w:eastAsia="Times New Roman" w:hAnsiTheme="majorBidi" w:cstheme="majorBidi"/>
          <w:kern w:val="0"/>
          <w:sz w:val="24"/>
          <w14:ligatures w14:val="none"/>
        </w:rPr>
        <w:t xml:space="preserve">'. This framework agreement stipulated an interim period of five years, after which the parties would reach a permanent settlement based on the principle of "land for peace." During this period, Israel would withdraw from Jericho and the Gaza Strip, and the Palestinians would establish an autonomous authority there. The </w:t>
      </w:r>
      <w:r w:rsidR="006C19F1">
        <w:rPr>
          <w:rFonts w:asciiTheme="majorBidi" w:eastAsia="Times New Roman" w:hAnsiTheme="majorBidi" w:cstheme="majorBidi"/>
          <w:kern w:val="0"/>
          <w:sz w:val="24"/>
          <w14:ligatures w14:val="none"/>
        </w:rPr>
        <w:t>DOP</w:t>
      </w:r>
      <w:r w:rsidRPr="00BA16FE">
        <w:rPr>
          <w:rFonts w:asciiTheme="majorBidi" w:eastAsia="Times New Roman" w:hAnsiTheme="majorBidi" w:cstheme="majorBidi"/>
          <w:kern w:val="0"/>
          <w:sz w:val="24"/>
          <w14:ligatures w14:val="none"/>
        </w:rPr>
        <w:t xml:space="preserve"> was general and focused on practical issues, intentionally leaving the religious and identity roots of the conflict and its substantive issues, including Jerusalem, refugees, and borders, for future discussion. This constructive ambiguity enabled bridging the significant gaps and achieving the groundbreaking agreement, but it was simultaneously the seed of destruction concealed within the agreement from its inception.</w:t>
      </w:r>
      <w:r w:rsidRPr="003608D3">
        <w:rPr>
          <w:rStyle w:val="FootnoteReference"/>
          <w:rFonts w:asciiTheme="majorBidi" w:eastAsia="Times New Roman" w:hAnsiTheme="majorBidi" w:cstheme="majorBidi"/>
          <w:kern w:val="0"/>
          <w:sz w:val="24"/>
          <w14:ligatures w14:val="none"/>
        </w:rPr>
        <w:footnoteReference w:id="1"/>
      </w:r>
    </w:p>
    <w:p w14:paraId="42B36BC9" w14:textId="473A729B" w:rsidR="00321426" w:rsidRPr="009D066F" w:rsidRDefault="00321426" w:rsidP="009D066F">
      <w:pPr>
        <w:bidi w:val="0"/>
        <w:spacing w:before="100" w:beforeAutospacing="1" w:after="100" w:afterAutospacing="1" w:line="480" w:lineRule="auto"/>
        <w:jc w:val="both"/>
        <w:rPr>
          <w:rFonts w:asciiTheme="majorBidi" w:eastAsia="Times New Roman" w:hAnsiTheme="majorBidi" w:cstheme="majorBidi"/>
          <w:kern w:val="0"/>
          <w:sz w:val="28"/>
          <w:szCs w:val="28"/>
          <w:rtl/>
          <w14:ligatures w14:val="none"/>
        </w:rPr>
      </w:pPr>
      <w:r w:rsidRPr="003608D3">
        <w:rPr>
          <w:rFonts w:asciiTheme="majorBidi" w:eastAsia="Times New Roman" w:hAnsiTheme="majorBidi" w:cstheme="majorBidi"/>
          <w:kern w:val="0"/>
          <w:sz w:val="24"/>
          <w14:ligatures w14:val="none"/>
        </w:rPr>
        <w:t xml:space="preserve">The Israeli-Palestinian conflict is an example of </w:t>
      </w:r>
      <w:r w:rsidR="003608D3">
        <w:rPr>
          <w:rFonts w:asciiTheme="majorBidi" w:eastAsia="Times New Roman" w:hAnsiTheme="majorBidi" w:cstheme="majorBidi"/>
          <w:kern w:val="0"/>
          <w:sz w:val="24"/>
          <w14:ligatures w14:val="none"/>
        </w:rPr>
        <w:t xml:space="preserve">the </w:t>
      </w:r>
      <w:r w:rsidR="003608D3" w:rsidRPr="003608D3">
        <w:rPr>
          <w:rFonts w:asciiTheme="majorBidi" w:eastAsia="Times New Roman" w:hAnsiTheme="majorBidi" w:cstheme="majorBidi"/>
          <w:kern w:val="0"/>
          <w:sz w:val="24"/>
          <w14:ligatures w14:val="none"/>
        </w:rPr>
        <w:t>research</w:t>
      </w:r>
      <w:r w:rsidR="003608D3">
        <w:rPr>
          <w:rFonts w:asciiTheme="majorBidi" w:eastAsia="Times New Roman" w:hAnsiTheme="majorBidi" w:cstheme="majorBidi"/>
          <w:kern w:val="0"/>
          <w:sz w:val="24"/>
          <w14:ligatures w14:val="none"/>
        </w:rPr>
        <w:t xml:space="preserve"> term</w:t>
      </w:r>
      <w:r w:rsidRPr="003608D3">
        <w:rPr>
          <w:rFonts w:asciiTheme="majorBidi" w:eastAsia="Times New Roman" w:hAnsiTheme="majorBidi" w:cstheme="majorBidi"/>
          <w:kern w:val="0"/>
          <w:sz w:val="24"/>
          <w14:ligatures w14:val="none"/>
        </w:rPr>
        <w:t xml:space="preserve"> 'identity conflict' - a conflict that combines an objective issue like territory</w:t>
      </w:r>
      <w:r w:rsidR="00FB369A">
        <w:rPr>
          <w:rFonts w:asciiTheme="majorBidi" w:eastAsia="Times New Roman" w:hAnsiTheme="majorBidi" w:cstheme="majorBidi"/>
          <w:kern w:val="0"/>
          <w:sz w:val="24"/>
          <w14:ligatures w14:val="none"/>
        </w:rPr>
        <w:t>,</w:t>
      </w:r>
      <w:r w:rsidRPr="003608D3">
        <w:rPr>
          <w:rFonts w:asciiTheme="majorBidi" w:eastAsia="Times New Roman" w:hAnsiTheme="majorBidi" w:cstheme="majorBidi"/>
          <w:kern w:val="0"/>
          <w:sz w:val="24"/>
          <w14:ligatures w14:val="none"/>
        </w:rPr>
        <w:t xml:space="preserve"> with subjective factors, primarily the identity components of the rival groups such as history, culture, and religion. An identity conflict tends to be </w:t>
      </w:r>
      <w:r w:rsidR="00FB369A" w:rsidRPr="003608D3">
        <w:rPr>
          <w:rFonts w:asciiTheme="majorBidi" w:eastAsia="Times New Roman" w:hAnsiTheme="majorBidi" w:cstheme="majorBidi"/>
          <w:kern w:val="0"/>
          <w:sz w:val="24"/>
          <w14:ligatures w14:val="none"/>
        </w:rPr>
        <w:t xml:space="preserve">bloodier </w:t>
      </w:r>
      <w:r w:rsidR="00FB369A">
        <w:rPr>
          <w:rFonts w:asciiTheme="majorBidi" w:eastAsia="Times New Roman" w:hAnsiTheme="majorBidi" w:cstheme="majorBidi"/>
          <w:kern w:val="0"/>
          <w:sz w:val="24"/>
          <w14:ligatures w14:val="none"/>
        </w:rPr>
        <w:t xml:space="preserve">and </w:t>
      </w:r>
      <w:r w:rsidR="00FB369A" w:rsidRPr="003608D3">
        <w:rPr>
          <w:rFonts w:asciiTheme="majorBidi" w:eastAsia="Times New Roman" w:hAnsiTheme="majorBidi" w:cstheme="majorBidi"/>
          <w:kern w:val="0"/>
          <w:sz w:val="24"/>
          <w14:ligatures w14:val="none"/>
        </w:rPr>
        <w:t>more protracted</w:t>
      </w:r>
      <w:r w:rsidR="00FB369A">
        <w:rPr>
          <w:rFonts w:asciiTheme="majorBidi" w:eastAsia="Times New Roman" w:hAnsiTheme="majorBidi" w:cstheme="majorBidi"/>
          <w:kern w:val="0"/>
          <w:sz w:val="24"/>
          <w14:ligatures w14:val="none"/>
        </w:rPr>
        <w:t xml:space="preserve">, as well as it </w:t>
      </w:r>
      <w:r w:rsidRPr="003608D3">
        <w:rPr>
          <w:rFonts w:asciiTheme="majorBidi" w:eastAsia="Times New Roman" w:hAnsiTheme="majorBidi" w:cstheme="majorBidi"/>
          <w:kern w:val="0"/>
          <w:sz w:val="24"/>
          <w14:ligatures w14:val="none"/>
        </w:rPr>
        <w:t xml:space="preserve">is perceived as a zero-sum conflict. In order to resolve such a complex conflict, both sides need to undergo a profound process of changing their self-identity perception to one that </w:t>
      </w:r>
      <w:r w:rsidRPr="003608D3">
        <w:rPr>
          <w:rFonts w:asciiTheme="majorBidi" w:eastAsia="Times New Roman" w:hAnsiTheme="majorBidi" w:cstheme="majorBidi"/>
          <w:kern w:val="0"/>
          <w:sz w:val="24"/>
          <w14:ligatures w14:val="none"/>
        </w:rPr>
        <w:lastRenderedPageBreak/>
        <w:t>enables the existence of the other alongside them.</w:t>
      </w:r>
      <w:r w:rsidR="00446ED2">
        <w:rPr>
          <w:rStyle w:val="FootnoteReference"/>
          <w:rFonts w:asciiTheme="majorBidi" w:eastAsia="Times New Roman" w:hAnsiTheme="majorBidi" w:cstheme="majorBidi"/>
          <w:kern w:val="0"/>
          <w:sz w:val="24"/>
          <w14:ligatures w14:val="none"/>
        </w:rPr>
        <w:footnoteReference w:id="2"/>
      </w:r>
      <w:r w:rsidRPr="003608D3">
        <w:rPr>
          <w:rFonts w:asciiTheme="majorBidi" w:eastAsia="Times New Roman" w:hAnsiTheme="majorBidi" w:cstheme="majorBidi"/>
          <w:kern w:val="0"/>
          <w:sz w:val="24"/>
          <w14:ligatures w14:val="none"/>
        </w:rPr>
        <w:t xml:space="preserve"> Religion is one of the factors influencing identity conflicts, for better or worse, through its four social functions - (1) creating a worldview that guides believers' understanding of reality, (2) setting laws and norms of behavior that direct believers' actions, (3) lending legitimacy to institutions or actions, even non-religious ones, (4) uniting people into a broad social collective.</w:t>
      </w:r>
      <w:r w:rsidR="004E6B3D">
        <w:rPr>
          <w:rStyle w:val="FootnoteReference"/>
          <w:rFonts w:asciiTheme="majorBidi" w:eastAsia="Times New Roman" w:hAnsiTheme="majorBidi" w:cstheme="majorBidi"/>
          <w:kern w:val="0"/>
          <w:sz w:val="24"/>
          <w14:ligatures w14:val="none"/>
        </w:rPr>
        <w:footnoteReference w:id="3"/>
      </w:r>
      <w:r w:rsidRPr="003608D3">
        <w:rPr>
          <w:rFonts w:asciiTheme="majorBidi" w:eastAsia="Times New Roman" w:hAnsiTheme="majorBidi" w:cstheme="majorBidi"/>
          <w:kern w:val="0"/>
          <w:sz w:val="24"/>
          <w14:ligatures w14:val="none"/>
        </w:rPr>
        <w:t xml:space="preserve"> Religion can change the direction of a conflict through the use of religious ambiguity - an inherent ambivalence in monotheistic religions surrounding issues that combine law and values, arising from different and even contradictory sources and commandments, and the existence of a flexible space for interpretation – thus allowing religious grounding for almost any view. Using religious ambiguity to construct worldviews supporting reconciliation and lend legitimacy to actions and figures engaged in peacemaking will help raise the conflicting societies onto the road to peace.</w:t>
      </w:r>
      <w:r w:rsidR="00ED17D6">
        <w:rPr>
          <w:rStyle w:val="FootnoteReference"/>
          <w:rFonts w:asciiTheme="majorBidi" w:eastAsia="Times New Roman" w:hAnsiTheme="majorBidi" w:cstheme="majorBidi"/>
          <w:kern w:val="0"/>
          <w:sz w:val="24"/>
          <w14:ligatures w14:val="none"/>
        </w:rPr>
        <w:footnoteReference w:id="4"/>
      </w:r>
    </w:p>
    <w:p w14:paraId="426D3D42" w14:textId="1E6C69FF" w:rsidR="000D15E8" w:rsidRPr="00446ED2" w:rsidRDefault="00321426" w:rsidP="00446ED2">
      <w:pPr>
        <w:bidi w:val="0"/>
        <w:spacing w:before="100" w:beforeAutospacing="1" w:after="100" w:afterAutospacing="1" w:line="480" w:lineRule="auto"/>
        <w:jc w:val="both"/>
        <w:rPr>
          <w:rFonts w:asciiTheme="majorBidi" w:eastAsia="Times New Roman" w:hAnsiTheme="majorBidi" w:cstheme="majorBidi"/>
          <w:kern w:val="0"/>
          <w:sz w:val="24"/>
          <w:rtl/>
          <w14:ligatures w14:val="none"/>
        </w:rPr>
      </w:pPr>
      <w:r w:rsidRPr="003608D3">
        <w:rPr>
          <w:rFonts w:asciiTheme="majorBidi" w:eastAsia="Times New Roman" w:hAnsiTheme="majorBidi" w:cstheme="majorBidi"/>
          <w:kern w:val="0"/>
          <w:sz w:val="24"/>
          <w14:ligatures w14:val="none"/>
        </w:rPr>
        <w:t xml:space="preserve">The religious context is particularly significant in the Israeli-Palestinian conflict for several reasons. First, it is a conflict over territory considered sacred to both religions. As a result, the political discourse in both societies is directly and indirectly filled with religious values and symbols related to the land, its sanctity, the struggle for it, and the historical national ethos. Second, in Judaism and Islam, identity, nationality, and the connection to territory are largely based on religion and its derivatives - tradition and </w:t>
      </w:r>
      <w:r w:rsidRPr="003608D3">
        <w:rPr>
          <w:rFonts w:asciiTheme="majorBidi" w:eastAsia="Times New Roman" w:hAnsiTheme="majorBidi" w:cstheme="majorBidi"/>
          <w:kern w:val="0"/>
          <w:sz w:val="24"/>
          <w14:ligatures w14:val="none"/>
        </w:rPr>
        <w:lastRenderedPageBreak/>
        <w:t>cultural heritage, which also influence the identity of those who do not define themselves as believers. Third, the two rival groups are backed by external forces of the same religion, which can be mobilized to intervene in the conflict on religious grounds. Fourth and finally, on both sides there are radical groups willing to use violence to thwart any possibility of infringing on the group's religious principles related to the conflict. (However, it cannot be ignored that their weight on the Palestinian side is incomparably greater than on the Israeli side). Hence, it can be inferred that religious values and beliefs, whether genuine or artificially employed as propaganda tools, constitute a formidable barrier that severely hinders any negotiation, a condition termed in literature as the "religious barrier to peace."</w:t>
      </w:r>
      <w:r w:rsidR="00E320AF">
        <w:rPr>
          <w:rStyle w:val="FootnoteReference"/>
          <w:rFonts w:asciiTheme="majorBidi" w:eastAsia="Times New Roman" w:hAnsiTheme="majorBidi" w:cstheme="majorBidi"/>
          <w:kern w:val="0"/>
          <w:sz w:val="24"/>
          <w14:ligatures w14:val="none"/>
        </w:rPr>
        <w:footnoteReference w:id="5"/>
      </w:r>
    </w:p>
    <w:p w14:paraId="73D3E95C" w14:textId="6576E8FB" w:rsidR="000D15E8" w:rsidRPr="003608D3" w:rsidRDefault="000D15E8" w:rsidP="003608D3">
      <w:pPr>
        <w:bidi w:val="0"/>
        <w:spacing w:line="480" w:lineRule="auto"/>
        <w:jc w:val="both"/>
        <w:rPr>
          <w:rFonts w:asciiTheme="majorBidi" w:hAnsiTheme="majorBidi" w:cstheme="majorBidi"/>
          <w:sz w:val="24"/>
        </w:rPr>
      </w:pPr>
      <w:r w:rsidRPr="003608D3">
        <w:rPr>
          <w:rFonts w:asciiTheme="majorBidi" w:hAnsiTheme="majorBidi" w:cstheme="majorBidi"/>
          <w:sz w:val="24"/>
        </w:rPr>
        <w:t xml:space="preserve">At the forefront of the religious barriers to peace that emerged in the discourse around the </w:t>
      </w:r>
      <w:r w:rsidR="009128BB">
        <w:rPr>
          <w:rFonts w:asciiTheme="majorBidi" w:hAnsiTheme="majorBidi" w:cstheme="majorBidi"/>
          <w:sz w:val="24"/>
        </w:rPr>
        <w:t>DOP</w:t>
      </w:r>
      <w:r w:rsidRPr="003608D3">
        <w:rPr>
          <w:rFonts w:asciiTheme="majorBidi" w:hAnsiTheme="majorBidi" w:cstheme="majorBidi"/>
          <w:sz w:val="24"/>
        </w:rPr>
        <w:t xml:space="preserve"> is the sanctity of the land from a halakhic perspective - in Judaism there are special commandments related to settling the land and prohibiting abandoning it to the nations.</w:t>
      </w:r>
      <w:r w:rsidR="00E320AF">
        <w:rPr>
          <w:rStyle w:val="FootnoteReference"/>
          <w:rFonts w:asciiTheme="majorBidi" w:hAnsiTheme="majorBidi" w:cstheme="majorBidi"/>
          <w:sz w:val="24"/>
        </w:rPr>
        <w:footnoteReference w:id="6"/>
      </w:r>
      <w:r w:rsidRPr="003608D3">
        <w:rPr>
          <w:rFonts w:asciiTheme="majorBidi" w:hAnsiTheme="majorBidi" w:cstheme="majorBidi"/>
          <w:sz w:val="24"/>
        </w:rPr>
        <w:t xml:space="preserve"> In Islam too, Palestine has a special legal status as waqf land that cannot be transferred in ownership.</w:t>
      </w:r>
      <w:r w:rsidR="00E320AF">
        <w:rPr>
          <w:rStyle w:val="FootnoteReference"/>
          <w:rFonts w:asciiTheme="majorBidi" w:hAnsiTheme="majorBidi" w:cstheme="majorBidi"/>
          <w:sz w:val="24"/>
        </w:rPr>
        <w:footnoteReference w:id="7"/>
      </w:r>
      <w:r w:rsidRPr="003608D3">
        <w:rPr>
          <w:rFonts w:asciiTheme="majorBidi" w:hAnsiTheme="majorBidi" w:cstheme="majorBidi"/>
          <w:sz w:val="24"/>
        </w:rPr>
        <w:t xml:space="preserve"> Secondly, the theological sanctity of the land - in both </w:t>
      </w:r>
      <w:r w:rsidRPr="003608D3">
        <w:rPr>
          <w:rFonts w:asciiTheme="majorBidi" w:hAnsiTheme="majorBidi" w:cstheme="majorBidi"/>
          <w:sz w:val="24"/>
        </w:rPr>
        <w:lastRenderedPageBreak/>
        <w:t>Judaism</w:t>
      </w:r>
      <w:r w:rsidR="00E320AF">
        <w:rPr>
          <w:rStyle w:val="FootnoteReference"/>
          <w:rFonts w:asciiTheme="majorBidi" w:hAnsiTheme="majorBidi" w:cstheme="majorBidi"/>
          <w:sz w:val="24"/>
        </w:rPr>
        <w:footnoteReference w:id="8"/>
      </w:r>
      <w:r w:rsidRPr="003608D3">
        <w:rPr>
          <w:rFonts w:asciiTheme="majorBidi" w:hAnsiTheme="majorBidi" w:cstheme="majorBidi"/>
          <w:sz w:val="24"/>
        </w:rPr>
        <w:t xml:space="preserve"> and Islam</w:t>
      </w:r>
      <w:r w:rsidR="00E320AF">
        <w:rPr>
          <w:rStyle w:val="FootnoteReference"/>
          <w:rFonts w:asciiTheme="majorBidi" w:hAnsiTheme="majorBidi" w:cstheme="majorBidi"/>
          <w:sz w:val="24"/>
        </w:rPr>
        <w:footnoteReference w:id="9"/>
      </w:r>
      <w:r w:rsidRPr="003608D3">
        <w:rPr>
          <w:rFonts w:asciiTheme="majorBidi" w:hAnsiTheme="majorBidi" w:cstheme="majorBidi"/>
          <w:sz w:val="24"/>
        </w:rPr>
        <w:t xml:space="preserve"> this land is considered holy and blessed, given by God to the chosen people. Third is the importance of human life. In Judaism this is expressed through the principle of </w:t>
      </w:r>
      <w:r w:rsidR="00E320AF">
        <w:rPr>
          <w:rFonts w:asciiTheme="majorBidi" w:hAnsiTheme="majorBidi" w:cstheme="majorBidi"/>
          <w:sz w:val="24"/>
        </w:rPr>
        <w:t>P</w:t>
      </w:r>
      <w:r w:rsidRPr="003608D3">
        <w:rPr>
          <w:rFonts w:asciiTheme="majorBidi" w:hAnsiTheme="majorBidi" w:cstheme="majorBidi"/>
          <w:sz w:val="24"/>
        </w:rPr>
        <w:t xml:space="preserve">ikuach </w:t>
      </w:r>
      <w:r w:rsidR="00E320AF">
        <w:rPr>
          <w:rFonts w:asciiTheme="majorBidi" w:hAnsiTheme="majorBidi" w:cstheme="majorBidi"/>
          <w:sz w:val="24"/>
        </w:rPr>
        <w:t>N</w:t>
      </w:r>
      <w:r w:rsidRPr="003608D3">
        <w:rPr>
          <w:rFonts w:asciiTheme="majorBidi" w:hAnsiTheme="majorBidi" w:cstheme="majorBidi"/>
          <w:sz w:val="24"/>
        </w:rPr>
        <w:t>efesh (saving a life), which overrides almost all other commandments. The unique aspect of pikuach nefesh is its dependence on assessing reality, allowing it to be used to justify completely opposite views.</w:t>
      </w:r>
      <w:r w:rsidR="00E320AF">
        <w:rPr>
          <w:rStyle w:val="FootnoteReference"/>
          <w:rFonts w:asciiTheme="majorBidi" w:hAnsiTheme="majorBidi" w:cstheme="majorBidi"/>
          <w:sz w:val="24"/>
        </w:rPr>
        <w:footnoteReference w:id="10"/>
      </w:r>
      <w:r w:rsidR="00E320AF">
        <w:rPr>
          <w:rFonts w:asciiTheme="majorBidi" w:hAnsiTheme="majorBidi" w:cstheme="majorBidi"/>
          <w:sz w:val="24"/>
        </w:rPr>
        <w:t xml:space="preserve"> </w:t>
      </w:r>
      <w:r w:rsidRPr="003608D3">
        <w:rPr>
          <w:rFonts w:asciiTheme="majorBidi" w:hAnsiTheme="majorBidi" w:cstheme="majorBidi"/>
          <w:sz w:val="24"/>
        </w:rPr>
        <w:t xml:space="preserve">In Islam, the importance of human life is reflected in it being one of the conditions allowing the signing of a peace treaty or hudna when Muslims are militarily inferior, relying on the precedent when the Prophet Muhammad signed the </w:t>
      </w:r>
      <w:r w:rsidR="00E81652">
        <w:rPr>
          <w:rFonts w:asciiTheme="majorBidi" w:hAnsiTheme="majorBidi" w:cstheme="majorBidi"/>
          <w:sz w:val="24"/>
        </w:rPr>
        <w:t>T</w:t>
      </w:r>
      <w:r w:rsidR="00E81652" w:rsidRPr="00E81652">
        <w:rPr>
          <w:rFonts w:asciiTheme="majorBidi" w:hAnsiTheme="majorBidi" w:cstheme="majorBidi"/>
          <w:sz w:val="24"/>
        </w:rPr>
        <w:t xml:space="preserve">reaty of Al-Hudaybiya </w:t>
      </w:r>
      <w:r w:rsidRPr="003608D3">
        <w:rPr>
          <w:rFonts w:asciiTheme="majorBidi" w:hAnsiTheme="majorBidi" w:cstheme="majorBidi"/>
          <w:sz w:val="24"/>
        </w:rPr>
        <w:t>with the Quraysh in 628 when he was militarily and numerically weaker.</w:t>
      </w:r>
      <w:r w:rsidR="00E320AF">
        <w:rPr>
          <w:rStyle w:val="FootnoteReference"/>
          <w:rFonts w:asciiTheme="majorBidi" w:hAnsiTheme="majorBidi" w:cstheme="majorBidi"/>
          <w:sz w:val="24"/>
        </w:rPr>
        <w:footnoteReference w:id="11"/>
      </w:r>
      <w:r w:rsidRPr="003608D3">
        <w:rPr>
          <w:rFonts w:asciiTheme="majorBidi" w:hAnsiTheme="majorBidi" w:cstheme="majorBidi"/>
          <w:sz w:val="24"/>
        </w:rPr>
        <w:t xml:space="preserve"> The final barrier from the Muslim side is the principle of jihad, the holy war to impose Islam on the world. Today, in light of modern reality and international law, there is a consensus that jihad is an ideological-cultural struggle, except in one place where holy war in its literal sense must continue - Palestine, which was once under Muslim rule until its inhabitants were dispossessed of their land.</w:t>
      </w:r>
      <w:r w:rsidR="00E320AF">
        <w:rPr>
          <w:rStyle w:val="FootnoteReference"/>
          <w:rFonts w:asciiTheme="majorBidi" w:hAnsiTheme="majorBidi" w:cstheme="majorBidi"/>
          <w:sz w:val="24"/>
        </w:rPr>
        <w:footnoteReference w:id="12"/>
      </w:r>
      <w:r w:rsidRPr="003608D3">
        <w:rPr>
          <w:rFonts w:asciiTheme="majorBidi" w:hAnsiTheme="majorBidi" w:cstheme="majorBidi"/>
          <w:sz w:val="24"/>
        </w:rPr>
        <w:t xml:space="preserve"> These religious issues at the heart of the dispute over the </w:t>
      </w:r>
      <w:r w:rsidRPr="003608D3">
        <w:rPr>
          <w:rFonts w:asciiTheme="majorBidi" w:hAnsiTheme="majorBidi" w:cstheme="majorBidi"/>
          <w:sz w:val="24"/>
        </w:rPr>
        <w:lastRenderedPageBreak/>
        <w:t>D</w:t>
      </w:r>
      <w:r w:rsidR="00441B85">
        <w:rPr>
          <w:rFonts w:asciiTheme="majorBidi" w:hAnsiTheme="majorBidi" w:cstheme="majorBidi"/>
          <w:sz w:val="24"/>
        </w:rPr>
        <w:t>O</w:t>
      </w:r>
      <w:r w:rsidRPr="003608D3">
        <w:rPr>
          <w:rFonts w:asciiTheme="majorBidi" w:hAnsiTheme="majorBidi" w:cstheme="majorBidi"/>
          <w:sz w:val="24"/>
        </w:rPr>
        <w:t>P, coupled with political and security issues, created a situation where each side felt it was a victim of the process. Thus, one of the most basic conditions for a successful peace process was not met - the understanding of both sides that peace pays off more than violence.</w:t>
      </w:r>
      <w:r w:rsidR="00E320AF">
        <w:rPr>
          <w:rStyle w:val="FootnoteReference"/>
          <w:rFonts w:asciiTheme="majorBidi" w:hAnsiTheme="majorBidi" w:cstheme="majorBidi"/>
          <w:sz w:val="24"/>
        </w:rPr>
        <w:footnoteReference w:id="13"/>
      </w:r>
    </w:p>
    <w:p w14:paraId="01BB01B5" w14:textId="1382EF41" w:rsidR="00077215" w:rsidRDefault="000D15E8" w:rsidP="003608D3">
      <w:pPr>
        <w:bidi w:val="0"/>
        <w:spacing w:line="480" w:lineRule="auto"/>
        <w:jc w:val="both"/>
        <w:rPr>
          <w:rFonts w:asciiTheme="majorBidi" w:hAnsiTheme="majorBidi" w:cstheme="majorBidi"/>
          <w:sz w:val="24"/>
        </w:rPr>
      </w:pPr>
      <w:r w:rsidRPr="003608D3">
        <w:rPr>
          <w:rFonts w:asciiTheme="majorBidi" w:hAnsiTheme="majorBidi" w:cstheme="majorBidi"/>
          <w:sz w:val="24"/>
        </w:rPr>
        <w:t xml:space="preserve">This paper seeks to examine the role of religion on the peace-conflict axis around the </w:t>
      </w:r>
      <w:r w:rsidR="00233543">
        <w:rPr>
          <w:rFonts w:asciiTheme="majorBidi" w:hAnsiTheme="majorBidi" w:cstheme="majorBidi"/>
          <w:sz w:val="24"/>
        </w:rPr>
        <w:t>DOP</w:t>
      </w:r>
      <w:r w:rsidRPr="003608D3">
        <w:rPr>
          <w:rFonts w:asciiTheme="majorBidi" w:hAnsiTheme="majorBidi" w:cstheme="majorBidi"/>
          <w:sz w:val="24"/>
        </w:rPr>
        <w:t xml:space="preserve"> by examining the positions and arguments of six prominent religious leaders - supporters and opponents, Jewish and Muslim, on the Israeli and Palestinian sides, dealing with the theological and religious-moral aspects of the agreement. The analysis will be based on religious rulings and articles published by these figures, as well as newspaper excerpts from the relevant period, with reference to the political arena in which they operated.</w:t>
      </w:r>
    </w:p>
    <w:p w14:paraId="64331EB5" w14:textId="7CC4558C" w:rsidR="00C74B27" w:rsidRPr="00C74B27" w:rsidRDefault="00C74B27" w:rsidP="00C74B27">
      <w:pPr>
        <w:bidi w:val="0"/>
        <w:spacing w:line="480" w:lineRule="auto"/>
        <w:jc w:val="both"/>
        <w:rPr>
          <w:rFonts w:asciiTheme="majorBidi" w:hAnsiTheme="majorBidi" w:cstheme="majorBidi"/>
          <w:b/>
          <w:bCs/>
          <w:sz w:val="28"/>
          <w:szCs w:val="28"/>
        </w:rPr>
      </w:pPr>
      <w:r w:rsidRPr="00C74B27">
        <w:rPr>
          <w:rFonts w:asciiTheme="majorBidi" w:hAnsiTheme="majorBidi" w:cstheme="majorBidi"/>
          <w:b/>
          <w:bCs/>
          <w:sz w:val="28"/>
          <w:szCs w:val="28"/>
        </w:rPr>
        <w:t>The National-Religious Sector: Between the Sanctity of the Land and the Sanctity of the People</w:t>
      </w:r>
    </w:p>
    <w:p w14:paraId="0DF4CD65" w14:textId="12751C66" w:rsidR="00C74B27" w:rsidRPr="00C74B27" w:rsidRDefault="00C74B27" w:rsidP="00C74B27">
      <w:pPr>
        <w:bidi w:val="0"/>
        <w:spacing w:after="0" w:line="480" w:lineRule="auto"/>
        <w:jc w:val="both"/>
        <w:rPr>
          <w:rFonts w:asciiTheme="majorBidi" w:hAnsiTheme="majorBidi" w:cstheme="majorBidi"/>
          <w:b/>
          <w:bCs/>
          <w:sz w:val="24"/>
          <w:rtl/>
        </w:rPr>
      </w:pPr>
      <w:r w:rsidRPr="00C74B27">
        <w:rPr>
          <w:rFonts w:asciiTheme="majorBidi" w:hAnsiTheme="majorBidi" w:cstheme="majorBidi"/>
          <w:b/>
          <w:bCs/>
          <w:sz w:val="24"/>
        </w:rPr>
        <w:t>Rabbi Yehuda Amital</w:t>
      </w:r>
    </w:p>
    <w:p w14:paraId="7968542C" w14:textId="43CEEC98" w:rsidR="003C7907" w:rsidRPr="003C7907" w:rsidRDefault="00C74B27" w:rsidP="009737BF">
      <w:pPr>
        <w:bidi w:val="0"/>
        <w:spacing w:line="480" w:lineRule="auto"/>
        <w:jc w:val="both"/>
        <w:rPr>
          <w:rFonts w:asciiTheme="majorBidi" w:hAnsiTheme="majorBidi" w:cstheme="majorBidi"/>
          <w:sz w:val="24"/>
          <w:rtl/>
        </w:rPr>
      </w:pPr>
      <w:r w:rsidRPr="00C74B27">
        <w:rPr>
          <w:rFonts w:asciiTheme="majorBidi" w:hAnsiTheme="majorBidi" w:cstheme="majorBidi"/>
          <w:sz w:val="24"/>
        </w:rPr>
        <w:t xml:space="preserve">Rabbi Yehuda Amital (1924-2010, Romania-Israel) was the head of the Har Etzion Yeshiva, an influential thinker, founder of the </w:t>
      </w:r>
      <w:r>
        <w:rPr>
          <w:rFonts w:asciiTheme="majorBidi" w:hAnsiTheme="majorBidi" w:cstheme="majorBidi"/>
          <w:sz w:val="24"/>
        </w:rPr>
        <w:t xml:space="preserve">political </w:t>
      </w:r>
      <w:r w:rsidRPr="00C74B27">
        <w:rPr>
          <w:rFonts w:asciiTheme="majorBidi" w:hAnsiTheme="majorBidi" w:cstheme="majorBidi"/>
          <w:sz w:val="24"/>
        </w:rPr>
        <w:t xml:space="preserve">moderate religious-Zionist </w:t>
      </w:r>
      <w:r>
        <w:rPr>
          <w:rFonts w:asciiTheme="majorBidi" w:hAnsiTheme="majorBidi" w:cstheme="majorBidi"/>
          <w:sz w:val="24"/>
        </w:rPr>
        <w:t xml:space="preserve">party </w:t>
      </w:r>
      <w:r w:rsidRPr="00C74B27">
        <w:rPr>
          <w:rFonts w:asciiTheme="majorBidi" w:hAnsiTheme="majorBidi" w:cstheme="majorBidi"/>
          <w:sz w:val="24"/>
        </w:rPr>
        <w:t>Meimad, and a minister in the 26th government of Israel.</w:t>
      </w:r>
      <w:r w:rsidR="00EA0325">
        <w:rPr>
          <w:rStyle w:val="FootnoteReference"/>
          <w:rFonts w:asciiTheme="majorBidi" w:hAnsiTheme="majorBidi" w:cstheme="majorBidi"/>
          <w:sz w:val="24"/>
        </w:rPr>
        <w:footnoteReference w:id="14"/>
      </w:r>
      <w:r w:rsidRPr="00C74B27">
        <w:rPr>
          <w:rFonts w:asciiTheme="majorBidi" w:hAnsiTheme="majorBidi" w:cstheme="majorBidi"/>
          <w:sz w:val="24"/>
        </w:rPr>
        <w:t xml:space="preserve"> In his public, educational and political path, he acted according to two fundamental principles: The first, "to heed the cry of a child." An expression based on a Hasidic tale, meaning that a believing Jew has an obligation to engage in public activity when needed </w:t>
      </w:r>
      <w:r w:rsidR="00EF1CE3" w:rsidRPr="00C74B27">
        <w:rPr>
          <w:rFonts w:asciiTheme="majorBidi" w:hAnsiTheme="majorBidi" w:cstheme="majorBidi"/>
          <w:sz w:val="24"/>
        </w:rPr>
        <w:t>to</w:t>
      </w:r>
      <w:r w:rsidRPr="00C74B27">
        <w:rPr>
          <w:rFonts w:asciiTheme="majorBidi" w:hAnsiTheme="majorBidi" w:cstheme="majorBidi"/>
          <w:sz w:val="24"/>
        </w:rPr>
        <w:t xml:space="preserve"> assist the </w:t>
      </w:r>
      <w:proofErr w:type="gramStart"/>
      <w:r w:rsidRPr="00C74B27">
        <w:rPr>
          <w:rFonts w:asciiTheme="majorBidi" w:hAnsiTheme="majorBidi" w:cstheme="majorBidi"/>
          <w:sz w:val="24"/>
        </w:rPr>
        <w:t>general public</w:t>
      </w:r>
      <w:proofErr w:type="gramEnd"/>
      <w:r w:rsidRPr="00C74B27">
        <w:rPr>
          <w:rFonts w:asciiTheme="majorBidi" w:hAnsiTheme="majorBidi" w:cstheme="majorBidi"/>
          <w:sz w:val="24"/>
        </w:rPr>
        <w:t xml:space="preserve">. </w:t>
      </w:r>
      <w:r w:rsidRPr="00C74B27">
        <w:rPr>
          <w:rFonts w:asciiTheme="majorBidi" w:hAnsiTheme="majorBidi" w:cstheme="majorBidi"/>
          <w:sz w:val="24"/>
        </w:rPr>
        <w:lastRenderedPageBreak/>
        <w:t xml:space="preserve">The second is Kiddush Hashem (sanctification of God's name) - any action that contributes to the recognition of the greatness and importance of Judaism. A sincere expounder and practitioner, Rabbi Amital heeded the cry of the child and therefore acted in the public and educational spheres against things he perceived as a </w:t>
      </w:r>
      <w:r w:rsidR="00940924">
        <w:rPr>
          <w:rFonts w:asciiTheme="majorBidi" w:hAnsiTheme="majorBidi" w:cstheme="majorBidi"/>
          <w:sz w:val="24"/>
        </w:rPr>
        <w:t>'</w:t>
      </w:r>
      <w:r w:rsidRPr="00C74B27">
        <w:rPr>
          <w:rFonts w:asciiTheme="majorBidi" w:hAnsiTheme="majorBidi" w:cstheme="majorBidi"/>
          <w:sz w:val="24"/>
        </w:rPr>
        <w:t>desecration of God's name</w:t>
      </w:r>
      <w:r w:rsidR="00940924">
        <w:rPr>
          <w:rFonts w:asciiTheme="majorBidi" w:hAnsiTheme="majorBidi" w:cstheme="majorBidi"/>
          <w:sz w:val="24"/>
        </w:rPr>
        <w:t>'</w:t>
      </w:r>
      <w:r w:rsidRPr="00C74B27">
        <w:rPr>
          <w:rFonts w:asciiTheme="majorBidi" w:hAnsiTheme="majorBidi" w:cstheme="majorBidi"/>
          <w:sz w:val="24"/>
        </w:rPr>
        <w:t xml:space="preserve">, </w:t>
      </w:r>
      <w:r w:rsidR="00940924">
        <w:rPr>
          <w:rFonts w:asciiTheme="majorBidi" w:hAnsiTheme="majorBidi" w:cstheme="majorBidi"/>
          <w:sz w:val="24"/>
        </w:rPr>
        <w:t xml:space="preserve">things that </w:t>
      </w:r>
      <w:r w:rsidRPr="00C74B27">
        <w:rPr>
          <w:rFonts w:asciiTheme="majorBidi" w:hAnsiTheme="majorBidi" w:cstheme="majorBidi"/>
          <w:sz w:val="24"/>
        </w:rPr>
        <w:t>undermining the importance of Judaism, even if it meant struggling against accepted rabbinical opinions.</w:t>
      </w:r>
      <w:r w:rsidR="000B61FF">
        <w:rPr>
          <w:rStyle w:val="FootnoteReference"/>
          <w:rFonts w:asciiTheme="majorBidi" w:hAnsiTheme="majorBidi" w:cstheme="majorBidi"/>
          <w:sz w:val="24"/>
        </w:rPr>
        <w:footnoteReference w:id="15"/>
      </w:r>
      <w:r w:rsidRPr="00C74B27">
        <w:rPr>
          <w:rFonts w:asciiTheme="majorBidi" w:hAnsiTheme="majorBidi" w:cstheme="majorBidi"/>
          <w:sz w:val="24"/>
        </w:rPr>
        <w:t xml:space="preserve"> This thinking shaped his attitude towards the </w:t>
      </w:r>
      <w:r w:rsidR="009737BF">
        <w:rPr>
          <w:rFonts w:asciiTheme="majorBidi" w:hAnsiTheme="majorBidi" w:cstheme="majorBidi"/>
          <w:sz w:val="24"/>
        </w:rPr>
        <w:t>DOP.</w:t>
      </w:r>
    </w:p>
    <w:p w14:paraId="327210CC" w14:textId="613E529E" w:rsidR="003C7907" w:rsidRPr="003C7907" w:rsidRDefault="003C7907" w:rsidP="003C7907">
      <w:pPr>
        <w:bidi w:val="0"/>
        <w:spacing w:line="480" w:lineRule="auto"/>
        <w:jc w:val="both"/>
        <w:rPr>
          <w:rFonts w:asciiTheme="majorBidi" w:hAnsiTheme="majorBidi" w:cstheme="majorBidi"/>
          <w:sz w:val="24"/>
        </w:rPr>
      </w:pPr>
      <w:r w:rsidRPr="003C7907">
        <w:rPr>
          <w:rFonts w:asciiTheme="majorBidi" w:hAnsiTheme="majorBidi" w:cstheme="majorBidi"/>
          <w:sz w:val="24"/>
        </w:rPr>
        <w:t>In the 1992 elections, Meimad led by Rabbi Amital supported the Labor Party. With the exposure of the Oslo Accords, Rabbi Amital led Meimad's support for the move. After meeting with Rabin, the movement published an appreciation statement to the government for their "brave and heavy responsibility decision" to sign an agreement "opening a real opportunity for peace and preventing bloodshed." This statement of support was the first from the national-religious public, but it emphasized that it was promised there would be no harm to the settlements, no Palestinian state would be established, and certainly no negotiations over Jerusalem.</w:t>
      </w:r>
      <w:r w:rsidR="00B4049B">
        <w:rPr>
          <w:rStyle w:val="FootnoteReference"/>
          <w:rFonts w:asciiTheme="majorBidi" w:hAnsiTheme="majorBidi" w:cstheme="majorBidi"/>
          <w:sz w:val="24"/>
        </w:rPr>
        <w:footnoteReference w:id="16"/>
      </w:r>
      <w:r w:rsidRPr="003C7907">
        <w:rPr>
          <w:rFonts w:asciiTheme="majorBidi" w:hAnsiTheme="majorBidi" w:cstheme="majorBidi"/>
          <w:sz w:val="24"/>
        </w:rPr>
        <w:t xml:space="preserve"> His support was based on halakhic arguments similar to those presented by Rabbi Ovadia Yosef in his famous speech permitting territorial concessions for peace, which have been extensively researched and need not be elaborated on here. The innovation in Rabbi Amital's position was the moral and ethical arguments, which constituted the main reason for it.</w:t>
      </w:r>
      <w:r w:rsidR="00B4049B">
        <w:rPr>
          <w:rStyle w:val="FootnoteReference"/>
          <w:rFonts w:asciiTheme="majorBidi" w:hAnsiTheme="majorBidi" w:cstheme="majorBidi"/>
          <w:sz w:val="24"/>
        </w:rPr>
        <w:footnoteReference w:id="17"/>
      </w:r>
    </w:p>
    <w:p w14:paraId="0B22FED5" w14:textId="77777777" w:rsidR="00402510" w:rsidRDefault="0080311B" w:rsidP="00402510">
      <w:pPr>
        <w:bidi w:val="0"/>
        <w:spacing w:line="480" w:lineRule="auto"/>
        <w:jc w:val="both"/>
        <w:rPr>
          <w:rFonts w:asciiTheme="majorBidi" w:hAnsiTheme="majorBidi" w:cstheme="majorBidi"/>
          <w:sz w:val="24"/>
        </w:rPr>
      </w:pPr>
      <w:r w:rsidRPr="0080311B">
        <w:rPr>
          <w:rFonts w:asciiTheme="majorBidi" w:hAnsiTheme="majorBidi" w:cstheme="majorBidi"/>
          <w:sz w:val="24"/>
        </w:rPr>
        <w:lastRenderedPageBreak/>
        <w:t>In October 1993, Rabbi Amital published an article in which he clearly and systematically expressed his moral and ethical views regarding the</w:t>
      </w:r>
      <w:r w:rsidR="00290336">
        <w:rPr>
          <w:rFonts w:asciiTheme="majorBidi" w:hAnsiTheme="majorBidi" w:cstheme="majorBidi"/>
          <w:sz w:val="24"/>
        </w:rPr>
        <w:t xml:space="preserve"> DOP</w:t>
      </w:r>
      <w:r w:rsidRPr="0080311B">
        <w:rPr>
          <w:rFonts w:asciiTheme="majorBidi" w:hAnsiTheme="majorBidi" w:cstheme="majorBidi"/>
          <w:sz w:val="24"/>
        </w:rPr>
        <w:t>.</w:t>
      </w:r>
      <w:r w:rsidR="00826135">
        <w:rPr>
          <w:rStyle w:val="FootnoteReference"/>
          <w:rFonts w:asciiTheme="majorBidi" w:hAnsiTheme="majorBidi" w:cstheme="majorBidi"/>
          <w:sz w:val="24"/>
        </w:rPr>
        <w:footnoteReference w:id="18"/>
      </w:r>
      <w:r w:rsidRPr="0080311B">
        <w:rPr>
          <w:rFonts w:asciiTheme="majorBidi" w:hAnsiTheme="majorBidi" w:cstheme="majorBidi"/>
          <w:sz w:val="24"/>
        </w:rPr>
        <w:t xml:space="preserve"> The article opens with an inspiring Talmudic quote - "Great is peace, for the Torah was given to make peace in the world", but immediately afterwards comes the assertion: "This issue did not lead me to support the agreement... I am far from being carried away by the visionaries." Accordingly, Rabbi Amital's first rationale is realpolitik: The agreement is a fait accompli, and therefore "it is our duty to ensure that the problems arising from the </w:t>
      </w:r>
      <w:r w:rsidR="00290BE2">
        <w:rPr>
          <w:rFonts w:asciiTheme="majorBidi" w:hAnsiTheme="majorBidi" w:cstheme="majorBidi"/>
          <w:sz w:val="24"/>
        </w:rPr>
        <w:t>DOP</w:t>
      </w:r>
      <w:r w:rsidRPr="0080311B">
        <w:rPr>
          <w:rFonts w:asciiTheme="majorBidi" w:hAnsiTheme="majorBidi" w:cstheme="majorBidi"/>
          <w:sz w:val="24"/>
        </w:rPr>
        <w:t xml:space="preserve"> are addressed, and to care for the Jewish settlements, but we must convey to the government that the leadership in Judea and Samaria is interested in reaching an understanding within the existing situation."</w:t>
      </w:r>
      <w:r w:rsidR="004C521A">
        <w:rPr>
          <w:rStyle w:val="FootnoteReference"/>
          <w:rFonts w:asciiTheme="majorBidi" w:hAnsiTheme="majorBidi" w:cstheme="majorBidi"/>
          <w:sz w:val="24"/>
        </w:rPr>
        <w:footnoteReference w:id="19"/>
      </w:r>
      <w:r w:rsidRPr="0080311B">
        <w:rPr>
          <w:rFonts w:asciiTheme="majorBidi" w:hAnsiTheme="majorBidi" w:cstheme="majorBidi"/>
          <w:sz w:val="24"/>
        </w:rPr>
        <w:t xml:space="preserve"> That is, the interest of the right-wing and the settlements is to join the government in order to take advantage of the interim period and Israel's position of power to create a permanent agreement that will ensure important principles such as "our consolidation in the area and the setting of security boundaries."</w:t>
      </w:r>
      <w:r w:rsidR="004C521A">
        <w:rPr>
          <w:rStyle w:val="FootnoteReference"/>
          <w:rFonts w:asciiTheme="majorBidi" w:hAnsiTheme="majorBidi" w:cstheme="majorBidi"/>
          <w:sz w:val="24"/>
        </w:rPr>
        <w:footnoteReference w:id="20"/>
      </w:r>
      <w:r w:rsidRPr="0080311B">
        <w:rPr>
          <w:rFonts w:asciiTheme="majorBidi" w:hAnsiTheme="majorBidi" w:cstheme="majorBidi"/>
          <w:sz w:val="24"/>
        </w:rPr>
        <w:t xml:space="preserve"> Additionally, Rabbi Amital explained that "time is not working solely in our favor... and any political agreement between Israel and the Arabs must involve painful compromise."</w:t>
      </w:r>
      <w:r w:rsidR="004C521A">
        <w:rPr>
          <w:rStyle w:val="FootnoteReference"/>
          <w:rFonts w:asciiTheme="majorBidi" w:hAnsiTheme="majorBidi" w:cstheme="majorBidi"/>
          <w:sz w:val="24"/>
        </w:rPr>
        <w:footnoteReference w:id="21"/>
      </w:r>
      <w:r w:rsidRPr="0080311B">
        <w:rPr>
          <w:rFonts w:asciiTheme="majorBidi" w:hAnsiTheme="majorBidi" w:cstheme="majorBidi"/>
          <w:sz w:val="24"/>
        </w:rPr>
        <w:t xml:space="preserve"> Therefore, an agreement now when Israel is in a position of strength is preferable to a future agreement against a more extreme enemy, after the loss of many lives, which will include even harder concessions of the holy Land.</w:t>
      </w:r>
      <w:r w:rsidR="004C521A">
        <w:rPr>
          <w:rStyle w:val="FootnoteReference"/>
          <w:rFonts w:asciiTheme="majorBidi" w:hAnsiTheme="majorBidi" w:cstheme="majorBidi"/>
          <w:sz w:val="24"/>
        </w:rPr>
        <w:footnoteReference w:id="22"/>
      </w:r>
    </w:p>
    <w:p w14:paraId="6A19CE56" w14:textId="2992CB61" w:rsidR="003F47E3" w:rsidRPr="003F47E3" w:rsidRDefault="00BA7661" w:rsidP="009A793E">
      <w:pPr>
        <w:bidi w:val="0"/>
        <w:spacing w:before="240" w:line="480" w:lineRule="auto"/>
        <w:jc w:val="both"/>
        <w:rPr>
          <w:rFonts w:asciiTheme="majorBidi" w:hAnsiTheme="majorBidi" w:cstheme="majorBidi"/>
          <w:sz w:val="24"/>
          <w:rtl/>
        </w:rPr>
      </w:pPr>
      <w:r w:rsidRPr="00B06157">
        <w:rPr>
          <w:rFonts w:asciiTheme="majorBidi" w:hAnsiTheme="majorBidi" w:cstheme="majorBidi"/>
          <w:sz w:val="24"/>
        </w:rPr>
        <w:t xml:space="preserve">But on a deeper level, the agreement is worthy because it constitutes a "test of values." The classic national-religious perception consists of three central interrelated values - the Torah of Israel, the People of Israel, and the Land of Israel. Gush Emunim, the dominant force in religious Zionism since the early 1970s, emphasized the "Land of </w:t>
      </w:r>
      <w:r w:rsidRPr="00B06157">
        <w:rPr>
          <w:rFonts w:asciiTheme="majorBidi" w:hAnsiTheme="majorBidi" w:cstheme="majorBidi"/>
          <w:sz w:val="24"/>
        </w:rPr>
        <w:lastRenderedPageBreak/>
        <w:t xml:space="preserve">Israel" out of a belief that the messianic destiny of the Jewish people would come through settlement throughout the Holy Land, even if against the will of </w:t>
      </w:r>
      <w:r w:rsidR="00925F0E">
        <w:rPr>
          <w:rFonts w:asciiTheme="majorBidi" w:hAnsiTheme="majorBidi" w:cstheme="majorBidi"/>
          <w:sz w:val="24"/>
        </w:rPr>
        <w:t>part of Israel</w:t>
      </w:r>
      <w:r w:rsidRPr="00B06157">
        <w:rPr>
          <w:rFonts w:asciiTheme="majorBidi" w:hAnsiTheme="majorBidi" w:cstheme="majorBidi"/>
          <w:sz w:val="24"/>
        </w:rPr>
        <w:t xml:space="preserve"> public. In contrast, and against the view of most rabbis in the public, Rabbi Amital developed a different perception that places the value of the "People of Israel" at the center, based on the belief that "a more just society...moral values in individual and communal life"</w:t>
      </w:r>
      <w:r w:rsidR="000C7D50">
        <w:rPr>
          <w:rStyle w:val="FootnoteReference"/>
          <w:rFonts w:asciiTheme="majorBidi" w:hAnsiTheme="majorBidi" w:cstheme="majorBidi"/>
          <w:sz w:val="24"/>
        </w:rPr>
        <w:footnoteReference w:id="23"/>
      </w:r>
      <w:r w:rsidRPr="00B06157">
        <w:rPr>
          <w:rFonts w:asciiTheme="majorBidi" w:hAnsiTheme="majorBidi" w:cstheme="majorBidi"/>
          <w:sz w:val="24"/>
        </w:rPr>
        <w:t xml:space="preserve"> that fulfill the destiny of the Jewish people to be a light unto the nations, are what will bring redemption.</w:t>
      </w:r>
      <w:r w:rsidR="000C7D50">
        <w:rPr>
          <w:rStyle w:val="FootnoteReference"/>
          <w:rFonts w:asciiTheme="majorBidi" w:hAnsiTheme="majorBidi" w:cstheme="majorBidi"/>
          <w:sz w:val="24"/>
        </w:rPr>
        <w:footnoteReference w:id="24"/>
      </w:r>
      <w:r w:rsidRPr="00B06157">
        <w:rPr>
          <w:rFonts w:asciiTheme="majorBidi" w:hAnsiTheme="majorBidi" w:cstheme="majorBidi"/>
          <w:sz w:val="24"/>
        </w:rPr>
        <w:t xml:space="preserve"> Even when the </w:t>
      </w:r>
      <w:r w:rsidR="00791B66">
        <w:rPr>
          <w:rFonts w:asciiTheme="majorBidi" w:hAnsiTheme="majorBidi" w:cstheme="majorBidi"/>
          <w:sz w:val="24"/>
        </w:rPr>
        <w:t>DOP</w:t>
      </w:r>
      <w:r w:rsidRPr="00B06157">
        <w:rPr>
          <w:rFonts w:asciiTheme="majorBidi" w:hAnsiTheme="majorBidi" w:cstheme="majorBidi"/>
          <w:sz w:val="24"/>
        </w:rPr>
        <w:t xml:space="preserve"> brought the conceptual debate down to the practical level, Rabbi Amital continued to uphold the value of the "People of Israel." For Rabbi Amital, the concept of the "People of Israel" includes three dimensions, all three of which are in jeopardy in the current reality where Israel is engaged in constant struggle. The first is preserving human life, as Rabbi Amital expressed regarding the ongoing risk of loss of life as long as there is no security within Israel's borders, as early as 1978: "Can peace be a gamble?...The danger that Israel could face is a gamble!"</w:t>
      </w:r>
      <w:r w:rsidR="009F4A56">
        <w:rPr>
          <w:rStyle w:val="FootnoteReference"/>
          <w:rFonts w:asciiTheme="majorBidi" w:hAnsiTheme="majorBidi" w:cstheme="majorBidi"/>
          <w:sz w:val="24"/>
        </w:rPr>
        <w:footnoteReference w:id="25"/>
      </w:r>
      <w:r w:rsidRPr="00B06157">
        <w:rPr>
          <w:rFonts w:asciiTheme="majorBidi" w:hAnsiTheme="majorBidi" w:cstheme="majorBidi"/>
          <w:sz w:val="24"/>
        </w:rPr>
        <w:t xml:space="preserve"> The second is belief in the basic Zionist tenets, which the struggles Israel is engaged in erode: "Every casualty...weakens the Zionist devotion of masses of Jews in the Land of Israel, who believe in the accepted Zionist ideology that Zionism came to solve the problem of Jewish existence. Every war </w:t>
      </w:r>
      <w:r w:rsidR="003F47E3" w:rsidRPr="00B06157">
        <w:rPr>
          <w:rFonts w:asciiTheme="majorBidi" w:hAnsiTheme="majorBidi" w:cstheme="majorBidi"/>
          <w:sz w:val="24"/>
        </w:rPr>
        <w:t>plant</w:t>
      </w:r>
      <w:r w:rsidRPr="00B06157">
        <w:rPr>
          <w:rFonts w:asciiTheme="majorBidi" w:hAnsiTheme="majorBidi" w:cstheme="majorBidi"/>
          <w:sz w:val="24"/>
        </w:rPr>
        <w:t xml:space="preserve"> </w:t>
      </w:r>
      <w:proofErr w:type="gramStart"/>
      <w:r w:rsidRPr="00B06157">
        <w:rPr>
          <w:rFonts w:asciiTheme="majorBidi" w:hAnsiTheme="majorBidi" w:cstheme="majorBidi"/>
          <w:sz w:val="24"/>
        </w:rPr>
        <w:t>doubts</w:t>
      </w:r>
      <w:proofErr w:type="gramEnd"/>
      <w:r w:rsidRPr="00B06157">
        <w:rPr>
          <w:rFonts w:asciiTheme="majorBidi" w:hAnsiTheme="majorBidi" w:cstheme="majorBidi"/>
          <w:sz w:val="24"/>
        </w:rPr>
        <w:t xml:space="preserve"> in them about the righteousness of the path."</w:t>
      </w:r>
      <w:r w:rsidR="00410FBC">
        <w:rPr>
          <w:rStyle w:val="FootnoteReference"/>
          <w:rFonts w:asciiTheme="majorBidi" w:hAnsiTheme="majorBidi" w:cstheme="majorBidi"/>
          <w:sz w:val="24"/>
        </w:rPr>
        <w:footnoteReference w:id="26"/>
      </w:r>
      <w:r w:rsidRPr="00B06157">
        <w:rPr>
          <w:rFonts w:asciiTheme="majorBidi" w:hAnsiTheme="majorBidi" w:cstheme="majorBidi"/>
          <w:sz w:val="24"/>
        </w:rPr>
        <w:t xml:space="preserve"> And finally, the place of Judaism in Israeli society, which is harmed by the link between religion and tradition with militant perceptions and opposition to peace. Rabbi Amital argued that the unwillingness of the national-religious public to compromise on the ideal of settlement despite the risks involved harms "the very ability to identify with this perception" in Israeli society, and </w:t>
      </w:r>
      <w:r w:rsidRPr="00B06157">
        <w:rPr>
          <w:rFonts w:asciiTheme="majorBidi" w:hAnsiTheme="majorBidi" w:cstheme="majorBidi"/>
          <w:sz w:val="24"/>
        </w:rPr>
        <w:lastRenderedPageBreak/>
        <w:t>more seriously, "the very ability to identify with the way of the Torah", which is considered the leader of this ideal. In another article, Rabbi Amital described how "for years I have made every effort to prevent an identification between 'the opinion of the Torah' and political extremism...to clarify that there are different opinions in religious Judaism."</w:t>
      </w:r>
      <w:r w:rsidR="00410FBC">
        <w:rPr>
          <w:rStyle w:val="FootnoteReference"/>
          <w:rFonts w:asciiTheme="majorBidi" w:hAnsiTheme="majorBidi" w:cstheme="majorBidi"/>
          <w:sz w:val="24"/>
        </w:rPr>
        <w:footnoteReference w:id="27"/>
      </w:r>
      <w:r w:rsidRPr="00B06157">
        <w:rPr>
          <w:rFonts w:asciiTheme="majorBidi" w:hAnsiTheme="majorBidi" w:cstheme="majorBidi"/>
          <w:sz w:val="24"/>
        </w:rPr>
        <w:t xml:space="preserve"> The issue was close to his heart, because such alienation harms the influence of the Jewish tradition on the Israeli public, and accordingly harms the ability of Israel to be a light unto the nations, an essential step on the way to redemption.</w:t>
      </w:r>
      <w:r w:rsidR="00410FBC">
        <w:rPr>
          <w:rStyle w:val="FootnoteReference"/>
          <w:rFonts w:asciiTheme="majorBidi" w:hAnsiTheme="majorBidi" w:cstheme="majorBidi"/>
          <w:sz w:val="24"/>
        </w:rPr>
        <w:footnoteReference w:id="28"/>
      </w:r>
      <w:r w:rsidRPr="00B06157">
        <w:rPr>
          <w:rFonts w:asciiTheme="majorBidi" w:hAnsiTheme="majorBidi" w:cstheme="majorBidi"/>
          <w:sz w:val="24"/>
        </w:rPr>
        <w:t xml:space="preserve"> The </w:t>
      </w:r>
      <w:r w:rsidR="00410FBC">
        <w:rPr>
          <w:rFonts w:asciiTheme="majorBidi" w:hAnsiTheme="majorBidi" w:cstheme="majorBidi"/>
          <w:sz w:val="24"/>
        </w:rPr>
        <w:t>DOP</w:t>
      </w:r>
      <w:r w:rsidRPr="00B06157">
        <w:rPr>
          <w:rFonts w:asciiTheme="majorBidi" w:hAnsiTheme="majorBidi" w:cstheme="majorBidi"/>
          <w:sz w:val="24"/>
        </w:rPr>
        <w:t xml:space="preserve"> may remove the threat to these three dimensions, and is therefore worthy of support.</w:t>
      </w:r>
    </w:p>
    <w:p w14:paraId="1EA58DAD" w14:textId="1D59A1A6" w:rsidR="00B8428A" w:rsidRPr="00B8428A" w:rsidRDefault="003F47E3" w:rsidP="00B8428A">
      <w:pPr>
        <w:bidi w:val="0"/>
        <w:spacing w:before="240" w:line="480" w:lineRule="auto"/>
        <w:jc w:val="both"/>
        <w:rPr>
          <w:rFonts w:asciiTheme="majorBidi" w:hAnsiTheme="majorBidi" w:cstheme="majorBidi"/>
          <w:sz w:val="24"/>
          <w:rtl/>
        </w:rPr>
      </w:pPr>
      <w:r w:rsidRPr="003F47E3">
        <w:rPr>
          <w:rFonts w:asciiTheme="majorBidi" w:hAnsiTheme="majorBidi" w:cstheme="majorBidi"/>
          <w:sz w:val="24"/>
        </w:rPr>
        <w:t xml:space="preserve">From all the above, it emerges that Rabbi Amital supported the </w:t>
      </w:r>
      <w:r w:rsidR="00621F60">
        <w:rPr>
          <w:rFonts w:asciiTheme="majorBidi" w:hAnsiTheme="majorBidi" w:cstheme="majorBidi"/>
          <w:sz w:val="24"/>
        </w:rPr>
        <w:t>DOP</w:t>
      </w:r>
      <w:r w:rsidRPr="003F47E3">
        <w:rPr>
          <w:rFonts w:asciiTheme="majorBidi" w:hAnsiTheme="majorBidi" w:cstheme="majorBidi"/>
          <w:sz w:val="24"/>
        </w:rPr>
        <w:t xml:space="preserve"> in a practical and sober manner, out of a desire to preserve Jewish lives and the unity of Jews around Judaism, based on renowned halakhic sources that in certain situations resolve the apparent prohibitions against ceding land to gentiles. His support relies on exploiting religious ambiguity </w:t>
      </w:r>
      <w:r w:rsidR="00B8428A" w:rsidRPr="003F47E3">
        <w:rPr>
          <w:rFonts w:asciiTheme="majorBidi" w:hAnsiTheme="majorBidi" w:cstheme="majorBidi"/>
          <w:sz w:val="24"/>
        </w:rPr>
        <w:t>to</w:t>
      </w:r>
      <w:r w:rsidRPr="003F47E3">
        <w:rPr>
          <w:rFonts w:asciiTheme="majorBidi" w:hAnsiTheme="majorBidi" w:cstheme="majorBidi"/>
          <w:sz w:val="24"/>
        </w:rPr>
        <w:t xml:space="preserve"> emphasize alternative sacred values - first and foremost the People of Israel - instead of the accepted value of the sanctity of the Land, which constitutes a barrier to peace. However, he is focused on his own group and its needs while preserving the inequality between the two </w:t>
      </w:r>
      <w:proofErr w:type="gramStart"/>
      <w:r w:rsidRPr="003F47E3">
        <w:rPr>
          <w:rFonts w:asciiTheme="majorBidi" w:hAnsiTheme="majorBidi" w:cstheme="majorBidi"/>
          <w:sz w:val="24"/>
        </w:rPr>
        <w:t>sides, and</w:t>
      </w:r>
      <w:proofErr w:type="gramEnd"/>
      <w:r w:rsidRPr="003F47E3">
        <w:rPr>
          <w:rFonts w:asciiTheme="majorBidi" w:hAnsiTheme="majorBidi" w:cstheme="majorBidi"/>
          <w:sz w:val="24"/>
        </w:rPr>
        <w:t xml:space="preserve"> emphasizes support for the agreement as a means to secure Israeli and settlement interests - something the Palestinian fear of which topped the list of arguments against the agreement. Additionally, although he grants an important place to peace as a religious value, he explicitly states that there is no connection between this belief and his support for the agreement, which remains practical and has a religious-moral dimension that is </w:t>
      </w:r>
      <w:r w:rsidRPr="003F47E3">
        <w:rPr>
          <w:rFonts w:asciiTheme="majorBidi" w:hAnsiTheme="majorBidi" w:cstheme="majorBidi"/>
          <w:sz w:val="24"/>
        </w:rPr>
        <w:lastRenderedPageBreak/>
        <w:t xml:space="preserve">arguably not deep enough to allow the construction of a religious reconciliation process </w:t>
      </w:r>
      <w:r w:rsidR="00621F60" w:rsidRPr="003F47E3">
        <w:rPr>
          <w:rFonts w:asciiTheme="majorBidi" w:hAnsiTheme="majorBidi" w:cstheme="majorBidi"/>
          <w:sz w:val="24"/>
        </w:rPr>
        <w:t>based on</w:t>
      </w:r>
      <w:r w:rsidRPr="003F47E3">
        <w:rPr>
          <w:rFonts w:asciiTheme="majorBidi" w:hAnsiTheme="majorBidi" w:cstheme="majorBidi"/>
          <w:sz w:val="24"/>
        </w:rPr>
        <w:t xml:space="preserve"> the political agreement.</w:t>
      </w:r>
    </w:p>
    <w:p w14:paraId="552116D3" w14:textId="77777777" w:rsidR="003F3641" w:rsidRDefault="00B8428A" w:rsidP="003F3641">
      <w:pPr>
        <w:bidi w:val="0"/>
        <w:spacing w:before="240" w:after="0" w:line="480" w:lineRule="auto"/>
        <w:jc w:val="both"/>
        <w:rPr>
          <w:rFonts w:asciiTheme="majorBidi" w:hAnsiTheme="majorBidi" w:cstheme="majorBidi"/>
          <w:b/>
          <w:bCs/>
          <w:sz w:val="24"/>
        </w:rPr>
      </w:pPr>
      <w:r w:rsidRPr="00B8428A">
        <w:rPr>
          <w:rFonts w:asciiTheme="majorBidi" w:hAnsiTheme="majorBidi" w:cstheme="majorBidi"/>
          <w:b/>
          <w:bCs/>
          <w:sz w:val="24"/>
        </w:rPr>
        <w:t>Rabbi Shlomo Goren</w:t>
      </w:r>
    </w:p>
    <w:p w14:paraId="62AFB39B" w14:textId="31D5F4B6" w:rsidR="00B8428A" w:rsidRPr="003F3641" w:rsidRDefault="00B8428A" w:rsidP="003F3641">
      <w:pPr>
        <w:bidi w:val="0"/>
        <w:spacing w:after="0" w:line="480" w:lineRule="auto"/>
        <w:jc w:val="both"/>
        <w:rPr>
          <w:rFonts w:asciiTheme="majorBidi" w:hAnsiTheme="majorBidi" w:cstheme="majorBidi"/>
          <w:b/>
          <w:bCs/>
          <w:sz w:val="24"/>
        </w:rPr>
      </w:pPr>
      <w:r>
        <w:rPr>
          <w:rFonts w:asciiTheme="majorBidi" w:hAnsiTheme="majorBidi" w:cstheme="majorBidi"/>
          <w:sz w:val="24"/>
        </w:rPr>
        <w:t>O</w:t>
      </w:r>
      <w:r w:rsidRPr="00B8428A">
        <w:rPr>
          <w:rFonts w:asciiTheme="majorBidi" w:hAnsiTheme="majorBidi" w:cstheme="majorBidi"/>
          <w:sz w:val="24"/>
        </w:rPr>
        <w:t>ne of the prominent voices for the value of the sanctity of the Land of Israel at that time was Aluf (Res</w:t>
      </w:r>
      <w:r w:rsidR="003F3641">
        <w:rPr>
          <w:rFonts w:asciiTheme="majorBidi" w:hAnsiTheme="majorBidi" w:cstheme="majorBidi"/>
          <w:sz w:val="24"/>
        </w:rPr>
        <w:t>.</w:t>
      </w:r>
      <w:r w:rsidRPr="00B8428A">
        <w:rPr>
          <w:rFonts w:asciiTheme="majorBidi" w:hAnsiTheme="majorBidi" w:cstheme="majorBidi"/>
          <w:sz w:val="24"/>
        </w:rPr>
        <w:t>) Rabbi Shlomo Goren (1918-1995, Poland-Israel), the first IDF Chief Rabbi and the Ashkenazi Chief Rabbi of Israel, a fighter in Israel's wars and one of the important and pioneering halakhic authorities on issues of religion and state.</w:t>
      </w:r>
      <w:r w:rsidR="00A87C78">
        <w:rPr>
          <w:rStyle w:val="FootnoteReference"/>
          <w:rFonts w:asciiTheme="majorBidi" w:hAnsiTheme="majorBidi" w:cstheme="majorBidi"/>
          <w:sz w:val="24"/>
        </w:rPr>
        <w:footnoteReference w:id="29"/>
      </w:r>
      <w:r w:rsidRPr="00B8428A">
        <w:rPr>
          <w:rFonts w:asciiTheme="majorBidi" w:hAnsiTheme="majorBidi" w:cstheme="majorBidi"/>
          <w:sz w:val="24"/>
        </w:rPr>
        <w:t xml:space="preserve"> The victories in Israel's wars, in which he took part, led him to believe that </w:t>
      </w:r>
      <w:r w:rsidR="00B35906">
        <w:rPr>
          <w:rFonts w:asciiTheme="majorBidi" w:hAnsiTheme="majorBidi" w:cstheme="majorBidi"/>
          <w:sz w:val="24"/>
        </w:rPr>
        <w:t>Israel</w:t>
      </w:r>
      <w:r w:rsidRPr="00B8428A">
        <w:rPr>
          <w:rFonts w:asciiTheme="majorBidi" w:hAnsiTheme="majorBidi" w:cstheme="majorBidi"/>
          <w:sz w:val="24"/>
        </w:rPr>
        <w:t xml:space="preserve"> was the 'beginning of redemption' and aroused in him expectations of a "religious and national spiritual upheaval."</w:t>
      </w:r>
      <w:r w:rsidR="00A87C78">
        <w:rPr>
          <w:rStyle w:val="FootnoteReference"/>
          <w:rFonts w:asciiTheme="majorBidi" w:hAnsiTheme="majorBidi" w:cstheme="majorBidi"/>
          <w:sz w:val="24"/>
        </w:rPr>
        <w:footnoteReference w:id="30"/>
      </w:r>
      <w:r w:rsidRPr="00B8428A">
        <w:rPr>
          <w:rFonts w:asciiTheme="majorBidi" w:hAnsiTheme="majorBidi" w:cstheme="majorBidi"/>
          <w:sz w:val="24"/>
        </w:rPr>
        <w:t xml:space="preserve"> But the following years that brought with them Western materialism, religion-state conflicts, and the trauma of the Yom Kippur War, led him to declare: "There was a time when even the state was sacred in my eyes," no longer. His breaking point was the Oslo process - "Since the agreement, I no longer see it that way... because they are dividing it in two and handing it over to the gentiles."</w:t>
      </w:r>
      <w:r w:rsidR="00A87C78">
        <w:rPr>
          <w:rStyle w:val="FootnoteReference"/>
          <w:rFonts w:asciiTheme="majorBidi" w:hAnsiTheme="majorBidi" w:cstheme="majorBidi"/>
          <w:sz w:val="24"/>
        </w:rPr>
        <w:footnoteReference w:id="31"/>
      </w:r>
    </w:p>
    <w:p w14:paraId="3D6D21ED" w14:textId="43DF8FA4" w:rsidR="00831987" w:rsidRPr="00831987" w:rsidRDefault="00B8428A" w:rsidP="003C1C89">
      <w:pPr>
        <w:bidi w:val="0"/>
        <w:spacing w:before="240" w:line="480" w:lineRule="auto"/>
        <w:jc w:val="both"/>
        <w:rPr>
          <w:rFonts w:asciiTheme="majorBidi" w:hAnsiTheme="majorBidi" w:cstheme="majorBidi"/>
          <w:sz w:val="24"/>
          <w:rtl/>
        </w:rPr>
      </w:pPr>
      <w:r w:rsidRPr="00B8428A">
        <w:rPr>
          <w:rFonts w:asciiTheme="majorBidi" w:hAnsiTheme="majorBidi" w:cstheme="majorBidi"/>
          <w:sz w:val="24"/>
        </w:rPr>
        <w:t xml:space="preserve">There were three main reasons for Rabbi Goren's staunch opposition to the </w:t>
      </w:r>
      <w:r w:rsidR="0000357E">
        <w:rPr>
          <w:rFonts w:asciiTheme="majorBidi" w:hAnsiTheme="majorBidi" w:cstheme="majorBidi"/>
          <w:sz w:val="24"/>
        </w:rPr>
        <w:t>DOP</w:t>
      </w:r>
      <w:r w:rsidRPr="00B8428A">
        <w:rPr>
          <w:rFonts w:asciiTheme="majorBidi" w:hAnsiTheme="majorBidi" w:cstheme="majorBidi"/>
          <w:sz w:val="24"/>
        </w:rPr>
        <w:t>. First, the sanctity of the Land of Israel. Apart from the halakhic prohibitions involved in transferring territories to Palestinian control, such as the prohibition of '</w:t>
      </w:r>
      <w:r w:rsidR="003C5EEA">
        <w:rPr>
          <w:rFonts w:asciiTheme="majorBidi" w:hAnsiTheme="majorBidi" w:cstheme="majorBidi"/>
          <w:sz w:val="24"/>
        </w:rPr>
        <w:t>L</w:t>
      </w:r>
      <w:r w:rsidRPr="00B8428A">
        <w:rPr>
          <w:rFonts w:asciiTheme="majorBidi" w:hAnsiTheme="majorBidi" w:cstheme="majorBidi"/>
          <w:sz w:val="24"/>
        </w:rPr>
        <w:t xml:space="preserve">o </w:t>
      </w:r>
      <w:r w:rsidR="003C5EEA">
        <w:rPr>
          <w:rFonts w:asciiTheme="majorBidi" w:hAnsiTheme="majorBidi" w:cstheme="majorBidi"/>
          <w:sz w:val="24"/>
        </w:rPr>
        <w:t>Te</w:t>
      </w:r>
      <w:r w:rsidRPr="00B8428A">
        <w:rPr>
          <w:rFonts w:asciiTheme="majorBidi" w:hAnsiTheme="majorBidi" w:cstheme="majorBidi"/>
          <w:sz w:val="24"/>
        </w:rPr>
        <w:t>chon</w:t>
      </w:r>
      <w:r w:rsidR="003C5EEA">
        <w:rPr>
          <w:rFonts w:asciiTheme="majorBidi" w:hAnsiTheme="majorBidi" w:cstheme="majorBidi"/>
          <w:sz w:val="24"/>
        </w:rPr>
        <w:t>em</w:t>
      </w:r>
      <w:r w:rsidRPr="00B8428A">
        <w:rPr>
          <w:rFonts w:asciiTheme="majorBidi" w:hAnsiTheme="majorBidi" w:cstheme="majorBidi"/>
          <w:sz w:val="24"/>
        </w:rPr>
        <w:t>' (do not allow them to thrive) and the nullification of the commandment to settle the Land,</w:t>
      </w:r>
      <w:r w:rsidR="00A87C78">
        <w:rPr>
          <w:rStyle w:val="FootnoteReference"/>
          <w:rFonts w:asciiTheme="majorBidi" w:hAnsiTheme="majorBidi" w:cstheme="majorBidi"/>
          <w:sz w:val="24"/>
        </w:rPr>
        <w:footnoteReference w:id="32"/>
      </w:r>
      <w:r w:rsidRPr="00B8428A">
        <w:rPr>
          <w:rFonts w:asciiTheme="majorBidi" w:hAnsiTheme="majorBidi" w:cstheme="majorBidi"/>
          <w:sz w:val="24"/>
        </w:rPr>
        <w:t xml:space="preserve"> Rabbi Goren argued that throughout the existence of the Jewish people, the connection between them and God is inseparable from the connection to the Land of </w:t>
      </w:r>
      <w:r w:rsidRPr="00B8428A">
        <w:rPr>
          <w:rFonts w:asciiTheme="majorBidi" w:hAnsiTheme="majorBidi" w:cstheme="majorBidi"/>
          <w:sz w:val="24"/>
        </w:rPr>
        <w:lastRenderedPageBreak/>
        <w:t>Israel, and therefore: "The Land of Israel [is] the soul of faith... Compromise on the wholeness of our Holy Land... constitutes an injury to the wholeness of the Torah and the Jewish faith."</w:t>
      </w:r>
      <w:r w:rsidR="00A87C78">
        <w:rPr>
          <w:rStyle w:val="FootnoteReference"/>
          <w:rFonts w:asciiTheme="majorBidi" w:hAnsiTheme="majorBidi" w:cstheme="majorBidi"/>
          <w:sz w:val="24"/>
        </w:rPr>
        <w:footnoteReference w:id="33"/>
      </w:r>
      <w:r w:rsidRPr="00B8428A">
        <w:rPr>
          <w:rFonts w:asciiTheme="majorBidi" w:hAnsiTheme="majorBidi" w:cstheme="majorBidi"/>
          <w:sz w:val="24"/>
        </w:rPr>
        <w:t xml:space="preserve"> That is, ceding parts of the Land of Israel is forbidden halakhically and forbidden on religious and faith grounds.</w:t>
      </w:r>
    </w:p>
    <w:p w14:paraId="1EBB4E80" w14:textId="0D06FC22" w:rsidR="00831987" w:rsidRPr="00831987" w:rsidRDefault="00831987" w:rsidP="00831987">
      <w:pPr>
        <w:bidi w:val="0"/>
        <w:spacing w:before="240" w:line="480" w:lineRule="auto"/>
        <w:jc w:val="both"/>
        <w:rPr>
          <w:rFonts w:asciiTheme="majorBidi" w:hAnsiTheme="majorBidi" w:cstheme="majorBidi"/>
          <w:sz w:val="24"/>
        </w:rPr>
      </w:pPr>
      <w:r w:rsidRPr="00831987">
        <w:rPr>
          <w:rFonts w:asciiTheme="majorBidi" w:hAnsiTheme="majorBidi" w:cstheme="majorBidi"/>
          <w:sz w:val="24"/>
        </w:rPr>
        <w:t xml:space="preserve">Secondly, the principle of </w:t>
      </w:r>
      <w:r w:rsidR="003C1C89">
        <w:rPr>
          <w:rFonts w:asciiTheme="majorBidi" w:hAnsiTheme="majorBidi" w:cstheme="majorBidi"/>
          <w:sz w:val="24"/>
        </w:rPr>
        <w:t>Pikuach Nefessh (</w:t>
      </w:r>
      <w:r w:rsidRPr="00831987">
        <w:rPr>
          <w:rFonts w:asciiTheme="majorBidi" w:hAnsiTheme="majorBidi" w:cstheme="majorBidi"/>
          <w:sz w:val="24"/>
        </w:rPr>
        <w:t xml:space="preserve">saving </w:t>
      </w:r>
      <w:r w:rsidR="003C1C89">
        <w:rPr>
          <w:rFonts w:asciiTheme="majorBidi" w:hAnsiTheme="majorBidi" w:cstheme="majorBidi"/>
          <w:sz w:val="24"/>
        </w:rPr>
        <w:t xml:space="preserve">Jewish </w:t>
      </w:r>
      <w:r w:rsidRPr="00831987">
        <w:rPr>
          <w:rFonts w:asciiTheme="majorBidi" w:hAnsiTheme="majorBidi" w:cstheme="majorBidi"/>
          <w:sz w:val="24"/>
        </w:rPr>
        <w:t>lives</w:t>
      </w:r>
      <w:r w:rsidR="003C1C89">
        <w:rPr>
          <w:rFonts w:asciiTheme="majorBidi" w:hAnsiTheme="majorBidi" w:cstheme="majorBidi"/>
          <w:sz w:val="24"/>
        </w:rPr>
        <w:t>)</w:t>
      </w:r>
      <w:r w:rsidRPr="00831987">
        <w:rPr>
          <w:rFonts w:asciiTheme="majorBidi" w:hAnsiTheme="majorBidi" w:cstheme="majorBidi"/>
          <w:sz w:val="24"/>
        </w:rPr>
        <w:t>. Israel is battling an enemy whose goal is to remove the Jewish presence from the land. This struggle is considered a '</w:t>
      </w:r>
      <w:r w:rsidR="003C1C89">
        <w:rPr>
          <w:rFonts w:asciiTheme="majorBidi" w:hAnsiTheme="majorBidi" w:cstheme="majorBidi"/>
          <w:sz w:val="24"/>
        </w:rPr>
        <w:t>M</w:t>
      </w:r>
      <w:r w:rsidRPr="00831987">
        <w:rPr>
          <w:rFonts w:asciiTheme="majorBidi" w:hAnsiTheme="majorBidi" w:cstheme="majorBidi"/>
          <w:sz w:val="24"/>
        </w:rPr>
        <w:t xml:space="preserve">ilchemet </w:t>
      </w:r>
      <w:r w:rsidR="003C1C89">
        <w:rPr>
          <w:rFonts w:asciiTheme="majorBidi" w:hAnsiTheme="majorBidi" w:cstheme="majorBidi"/>
          <w:sz w:val="24"/>
        </w:rPr>
        <w:t>M</w:t>
      </w:r>
      <w:r w:rsidRPr="00831987">
        <w:rPr>
          <w:rFonts w:asciiTheme="majorBidi" w:hAnsiTheme="majorBidi" w:cstheme="majorBidi"/>
          <w:sz w:val="24"/>
        </w:rPr>
        <w:t>itzvah' (obligatory war), a halachic category that supersedes the principle of saving lives. In other words, not only is it permissible to retain control over the territories despite the potential risk to human life, according to some experts, but the risk posed by relinquishing territories in exchange for empty promises is far greater. Rabbi Goren determined that "experience proves that terror against us will never cease as long as Israel exists."</w:t>
      </w:r>
      <w:r w:rsidR="003C1C89">
        <w:rPr>
          <w:rStyle w:val="FootnoteReference"/>
          <w:rFonts w:asciiTheme="majorBidi" w:hAnsiTheme="majorBidi" w:cstheme="majorBidi"/>
          <w:sz w:val="24"/>
        </w:rPr>
        <w:footnoteReference w:id="34"/>
      </w:r>
      <w:r w:rsidRPr="00831987">
        <w:rPr>
          <w:rFonts w:asciiTheme="majorBidi" w:hAnsiTheme="majorBidi" w:cstheme="majorBidi"/>
          <w:sz w:val="24"/>
        </w:rPr>
        <w:t xml:space="preserve"> In fact, withdrawal from territories would lead to an erosion of Israel's security, terrorism, and even war: "All our achievements in the Six-Day War are slipping from our grasp... Under the guise of peace with the arch-murderers, terror against us will intensify... until eventually a war breaks out between us and the Palestinian state that will be established."</w:t>
      </w:r>
      <w:r w:rsidR="00AA18DD">
        <w:rPr>
          <w:rStyle w:val="FootnoteReference"/>
          <w:rFonts w:asciiTheme="majorBidi" w:hAnsiTheme="majorBidi" w:cstheme="majorBidi"/>
          <w:sz w:val="24"/>
        </w:rPr>
        <w:footnoteReference w:id="35"/>
      </w:r>
      <w:r w:rsidR="00AA18DD">
        <w:rPr>
          <w:rFonts w:asciiTheme="majorBidi" w:hAnsiTheme="majorBidi" w:cstheme="majorBidi"/>
          <w:sz w:val="24"/>
        </w:rPr>
        <w:t xml:space="preserve"> </w:t>
      </w:r>
      <w:r w:rsidRPr="00831987">
        <w:rPr>
          <w:rFonts w:asciiTheme="majorBidi" w:hAnsiTheme="majorBidi" w:cstheme="majorBidi"/>
          <w:sz w:val="24"/>
        </w:rPr>
        <w:t>Therefore, the principle of saving lives leads to the conclusion that the agreement is invalid and unnecessary, "as long as we remain strong in spirit and power."</w:t>
      </w:r>
      <w:r w:rsidR="008F7072">
        <w:rPr>
          <w:rStyle w:val="FootnoteReference"/>
          <w:rFonts w:asciiTheme="majorBidi" w:hAnsiTheme="majorBidi" w:cstheme="majorBidi"/>
          <w:sz w:val="24"/>
        </w:rPr>
        <w:footnoteReference w:id="36"/>
      </w:r>
    </w:p>
    <w:p w14:paraId="50797976" w14:textId="79254A84" w:rsidR="00831987" w:rsidRPr="00831987" w:rsidRDefault="00831987" w:rsidP="00831987">
      <w:pPr>
        <w:bidi w:val="0"/>
        <w:spacing w:before="240" w:line="480" w:lineRule="auto"/>
        <w:jc w:val="both"/>
        <w:rPr>
          <w:rFonts w:asciiTheme="majorBidi" w:hAnsiTheme="majorBidi" w:cstheme="majorBidi"/>
          <w:sz w:val="24"/>
        </w:rPr>
      </w:pPr>
      <w:r w:rsidRPr="00831987">
        <w:rPr>
          <w:rFonts w:asciiTheme="majorBidi" w:hAnsiTheme="majorBidi" w:cstheme="majorBidi"/>
          <w:sz w:val="24"/>
        </w:rPr>
        <w:lastRenderedPageBreak/>
        <w:t xml:space="preserve">The third argument relates to that same strong spirit. Like Rabbi Amital, Rabbi Goren also identified a disintegration of the Zionist and Jewish spirit within Israeli society, but the manifestations he observed were fundamentally different. For Rabbi Goren, the </w:t>
      </w:r>
      <w:r w:rsidR="00166CA2">
        <w:rPr>
          <w:rFonts w:asciiTheme="majorBidi" w:hAnsiTheme="majorBidi" w:cstheme="majorBidi"/>
          <w:sz w:val="24"/>
        </w:rPr>
        <w:t>DOP</w:t>
      </w:r>
      <w:r w:rsidRPr="00831987">
        <w:rPr>
          <w:rFonts w:asciiTheme="majorBidi" w:hAnsiTheme="majorBidi" w:cstheme="majorBidi"/>
          <w:sz w:val="24"/>
        </w:rPr>
        <w:t xml:space="preserve"> encapsulated every possible expression of this rot: first and foremost, the loss of the Zionist spirit is reflected in the dangerous recognition of Palestinian national claims, particularly by leaders within Israel, which is "a Jewish state in the Land of Israel... and not a state of Israelis and Palestinians who never had any national rights in the land."</w:t>
      </w:r>
      <w:r w:rsidR="00F072BC">
        <w:rPr>
          <w:rStyle w:val="FootnoteReference"/>
          <w:rFonts w:asciiTheme="majorBidi" w:hAnsiTheme="majorBidi" w:cstheme="majorBidi"/>
          <w:sz w:val="24"/>
        </w:rPr>
        <w:footnoteReference w:id="37"/>
      </w:r>
      <w:r w:rsidRPr="00831987">
        <w:rPr>
          <w:rFonts w:asciiTheme="majorBidi" w:hAnsiTheme="majorBidi" w:cstheme="majorBidi"/>
          <w:sz w:val="24"/>
        </w:rPr>
        <w:t xml:space="preserve"> Another expression of this is the willingness to grant Israeli Arabs power in the Jewish state, as the government is supported by Arab members of Knesset "willing to lend a hand to the destruction of the state."</w:t>
      </w:r>
      <w:r w:rsidR="007D45F2">
        <w:rPr>
          <w:rStyle w:val="FootnoteReference"/>
          <w:rFonts w:asciiTheme="majorBidi" w:hAnsiTheme="majorBidi" w:cstheme="majorBidi"/>
          <w:sz w:val="24"/>
        </w:rPr>
        <w:footnoteReference w:id="38"/>
      </w:r>
      <w:r w:rsidRPr="00831987">
        <w:rPr>
          <w:rFonts w:asciiTheme="majorBidi" w:hAnsiTheme="majorBidi" w:cstheme="majorBidi"/>
          <w:sz w:val="24"/>
        </w:rPr>
        <w:t xml:space="preserve"> Moreover, he ruled that this is halachically inadmissible, and therefore "the current government operates only by virtue of a minority of the people and loses its authority."</w:t>
      </w:r>
      <w:r w:rsidR="007D45F2">
        <w:rPr>
          <w:rStyle w:val="FootnoteReference"/>
          <w:rFonts w:asciiTheme="majorBidi" w:hAnsiTheme="majorBidi" w:cstheme="majorBidi"/>
          <w:sz w:val="24"/>
        </w:rPr>
        <w:footnoteReference w:id="39"/>
      </w:r>
      <w:r w:rsidRPr="00831987">
        <w:rPr>
          <w:rFonts w:asciiTheme="majorBidi" w:hAnsiTheme="majorBidi" w:cstheme="majorBidi"/>
          <w:sz w:val="24"/>
        </w:rPr>
        <w:t xml:space="preserve"> Finally, the fact that Israel and its leaders are granting power and international legitimacy to their worst enemies: "Everything we have acquired over nearly a hundred years of Zionism in the Land of Israel is being undone before our eyes. And this is not the achievement of our enemies, but rather the Jews are undermining our rights and security in our homeland with their own hands... We have imposed terrorist organizations upon ourselves and have rebuilt the image of the arch-murderer who had already been eliminated in the world... who on one hand ostensibly signs a peace agreement with us, and on the other... declares morning and night that without a Palestinian state with Jerusalem as its capital, there will never be peace with Israel."</w:t>
      </w:r>
      <w:r w:rsidR="00C823DC">
        <w:rPr>
          <w:rStyle w:val="FootnoteReference"/>
          <w:rFonts w:asciiTheme="majorBidi" w:hAnsiTheme="majorBidi" w:cstheme="majorBidi"/>
          <w:sz w:val="24"/>
        </w:rPr>
        <w:footnoteReference w:id="40"/>
      </w:r>
    </w:p>
    <w:p w14:paraId="22947562" w14:textId="0A648E32" w:rsidR="00831987" w:rsidRPr="00831987" w:rsidRDefault="00831987" w:rsidP="00831987">
      <w:pPr>
        <w:bidi w:val="0"/>
        <w:spacing w:before="240" w:line="480" w:lineRule="auto"/>
        <w:jc w:val="both"/>
        <w:rPr>
          <w:rFonts w:asciiTheme="majorBidi" w:hAnsiTheme="majorBidi" w:cstheme="majorBidi"/>
          <w:sz w:val="24"/>
        </w:rPr>
      </w:pPr>
      <w:r w:rsidRPr="00831987">
        <w:rPr>
          <w:rFonts w:asciiTheme="majorBidi" w:hAnsiTheme="majorBidi" w:cstheme="majorBidi"/>
          <w:sz w:val="24"/>
        </w:rPr>
        <w:lastRenderedPageBreak/>
        <w:t xml:space="preserve">The halachic problems with the </w:t>
      </w:r>
      <w:r w:rsidR="00F022F0">
        <w:rPr>
          <w:rFonts w:asciiTheme="majorBidi" w:hAnsiTheme="majorBidi" w:cstheme="majorBidi"/>
          <w:sz w:val="24"/>
        </w:rPr>
        <w:t>DOP</w:t>
      </w:r>
      <w:r w:rsidRPr="00831987">
        <w:rPr>
          <w:rFonts w:asciiTheme="majorBidi" w:hAnsiTheme="majorBidi" w:cstheme="majorBidi"/>
          <w:sz w:val="24"/>
        </w:rPr>
        <w:t>, along with the moral flaws underlying it, led Rabbi Goren to his unequivocal conclusion: "The covenant the government has made with the head of the PLO terrorist organization blatantly contradicts the Torah of Moses our teacher... Every Torah-observant Jew is obligated to protest and demonstrate against these serious violations of the Torah of Israel by the Government of Israel."</w:t>
      </w:r>
      <w:r w:rsidR="00C823DC">
        <w:rPr>
          <w:rStyle w:val="FootnoteReference"/>
          <w:rFonts w:asciiTheme="majorBidi" w:hAnsiTheme="majorBidi" w:cstheme="majorBidi"/>
          <w:sz w:val="24"/>
        </w:rPr>
        <w:footnoteReference w:id="41"/>
      </w:r>
    </w:p>
    <w:p w14:paraId="4A7B6D74" w14:textId="764A14C2" w:rsidR="00831987" w:rsidRDefault="00831987" w:rsidP="00831987">
      <w:pPr>
        <w:bidi w:val="0"/>
        <w:spacing w:before="240" w:line="480" w:lineRule="auto"/>
        <w:jc w:val="both"/>
        <w:rPr>
          <w:rFonts w:asciiTheme="majorBidi" w:hAnsiTheme="majorBidi" w:cstheme="majorBidi"/>
          <w:sz w:val="24"/>
        </w:rPr>
      </w:pPr>
      <w:r w:rsidRPr="00831987">
        <w:rPr>
          <w:rFonts w:asciiTheme="majorBidi" w:hAnsiTheme="majorBidi" w:cstheme="majorBidi"/>
          <w:sz w:val="24"/>
        </w:rPr>
        <w:t xml:space="preserve">In summary, Rabbi Goren vehemently opposed the agreement, employing religious practices of conflict inflammation – insisting on accepted religious principles that constitute a pretext for peace, foremost among them the sanctity of the land, while making the sanctity of the people and human life a means to the end of the land's sanctity; demonizing the other – both Palestinians and Israeli Arabs – in order to maintain boundaries and distance between societies; and denying legitimacy to the government and its actions in the peace process. Despite his willingness to relax the principle of the land's sanctity in certain cases, the </w:t>
      </w:r>
      <w:r w:rsidR="00EB7180">
        <w:rPr>
          <w:rFonts w:asciiTheme="majorBidi" w:hAnsiTheme="majorBidi" w:cstheme="majorBidi"/>
          <w:sz w:val="24"/>
        </w:rPr>
        <w:t>DOP</w:t>
      </w:r>
      <w:r w:rsidRPr="00831987">
        <w:rPr>
          <w:rFonts w:asciiTheme="majorBidi" w:hAnsiTheme="majorBidi" w:cstheme="majorBidi"/>
          <w:sz w:val="24"/>
        </w:rPr>
        <w:t xml:space="preserve"> was perceived by him as a surrender of holy and strategically important territories in exchange for mere words, undermining Jewish law and the Jewish and Zionist resilience of Israeli society. Therefore, his attitude toward the </w:t>
      </w:r>
      <w:r w:rsidR="004C3453">
        <w:rPr>
          <w:rFonts w:asciiTheme="majorBidi" w:hAnsiTheme="majorBidi" w:cstheme="majorBidi"/>
          <w:sz w:val="24"/>
        </w:rPr>
        <w:t>DOP</w:t>
      </w:r>
      <w:r w:rsidRPr="00831987">
        <w:rPr>
          <w:rFonts w:asciiTheme="majorBidi" w:hAnsiTheme="majorBidi" w:cstheme="majorBidi"/>
          <w:sz w:val="24"/>
        </w:rPr>
        <w:t xml:space="preserve"> was that of a dangerous thing to be fought as much as possible, and certainly not to be allowed to progress, neither politically nor socially and religiously.</w:t>
      </w:r>
    </w:p>
    <w:p w14:paraId="34A738CD" w14:textId="77777777" w:rsidR="00D714F8" w:rsidRDefault="00D714F8" w:rsidP="00854CDA">
      <w:pPr>
        <w:bidi w:val="0"/>
        <w:spacing w:before="240"/>
        <w:jc w:val="both"/>
        <w:rPr>
          <w:rFonts w:asciiTheme="majorBidi" w:hAnsiTheme="majorBidi" w:cstheme="majorBidi"/>
          <w:sz w:val="24"/>
        </w:rPr>
      </w:pPr>
    </w:p>
    <w:p w14:paraId="1F6ECFE2" w14:textId="17C67C9C" w:rsidR="00FA6BCA" w:rsidRPr="00FA6BCA" w:rsidRDefault="00FA6BCA" w:rsidP="00D714F8">
      <w:pPr>
        <w:bidi w:val="0"/>
        <w:spacing w:before="240"/>
        <w:jc w:val="both"/>
        <w:rPr>
          <w:rFonts w:asciiTheme="majorBidi" w:hAnsiTheme="majorBidi" w:cstheme="majorBidi"/>
          <w:sz w:val="24"/>
        </w:rPr>
      </w:pPr>
      <w:r w:rsidRPr="00FA6BCA">
        <w:rPr>
          <w:rFonts w:asciiTheme="majorBidi" w:hAnsiTheme="majorBidi" w:cstheme="majorBidi"/>
          <w:b/>
          <w:bCs/>
          <w:sz w:val="28"/>
          <w:szCs w:val="28"/>
        </w:rPr>
        <w:t>The Islamic Movement in Israel - Between Recognition and</w:t>
      </w:r>
      <w:r w:rsidR="00854CDA">
        <w:rPr>
          <w:rFonts w:asciiTheme="majorBidi" w:hAnsiTheme="majorBidi" w:cstheme="majorBidi"/>
          <w:b/>
          <w:bCs/>
          <w:sz w:val="28"/>
          <w:szCs w:val="28"/>
        </w:rPr>
        <w:t xml:space="preserve"> </w:t>
      </w:r>
      <w:r w:rsidRPr="00FA6BCA">
        <w:rPr>
          <w:rFonts w:asciiTheme="majorBidi" w:hAnsiTheme="majorBidi" w:cstheme="majorBidi"/>
          <w:b/>
          <w:bCs/>
          <w:sz w:val="28"/>
          <w:szCs w:val="28"/>
        </w:rPr>
        <w:t>Segregation</w:t>
      </w:r>
    </w:p>
    <w:p w14:paraId="3CCC443B" w14:textId="0EF7DB52" w:rsidR="00FA0323" w:rsidRPr="0028582E" w:rsidRDefault="00FA6BCA" w:rsidP="0028582E">
      <w:pPr>
        <w:bidi w:val="0"/>
        <w:spacing w:before="240" w:line="480" w:lineRule="auto"/>
        <w:jc w:val="both"/>
        <w:rPr>
          <w:rFonts w:asciiTheme="majorBidi" w:hAnsiTheme="majorBidi" w:cstheme="majorBidi"/>
          <w:sz w:val="24"/>
          <w:rtl/>
        </w:rPr>
      </w:pPr>
      <w:r w:rsidRPr="00FA6BCA">
        <w:rPr>
          <w:rFonts w:asciiTheme="majorBidi" w:hAnsiTheme="majorBidi" w:cstheme="majorBidi"/>
          <w:sz w:val="24"/>
        </w:rPr>
        <w:t xml:space="preserve">The encounter of Arab Israelis with Arabs of the Territories after 1967 led to a renewed growth of ideas in the spirit of the Muslim Brotherhood, led by young Arab Israelis who </w:t>
      </w:r>
      <w:r w:rsidRPr="00FA6BCA">
        <w:rPr>
          <w:rFonts w:asciiTheme="majorBidi" w:hAnsiTheme="majorBidi" w:cstheme="majorBidi"/>
          <w:sz w:val="24"/>
        </w:rPr>
        <w:lastRenderedPageBreak/>
        <w:t xml:space="preserve">were graduates of religious study centers in the Territories. This gave rise to the Islamic Movement </w:t>
      </w:r>
      <w:r w:rsidR="00650073">
        <w:rPr>
          <w:rFonts w:asciiTheme="majorBidi" w:hAnsiTheme="majorBidi" w:cstheme="majorBidi"/>
          <w:sz w:val="24"/>
        </w:rPr>
        <w:t xml:space="preserve">(IM) </w:t>
      </w:r>
      <w:r w:rsidRPr="00FA6BCA">
        <w:rPr>
          <w:rFonts w:asciiTheme="majorBidi" w:hAnsiTheme="majorBidi" w:cstheme="majorBidi"/>
          <w:sz w:val="24"/>
        </w:rPr>
        <w:t>in Israel in 1971. After a short period of involvement in terrorism and arrests, the movement shifted its focus to extensive religious and social activity, as well as political activity at the municipal level. Its goal is to establish "a society of Muslim believers that Islam is the source of strength and the future... a modern society but one that has values based on ideology"</w:t>
      </w:r>
      <w:r w:rsidR="00AF78A3">
        <w:rPr>
          <w:rStyle w:val="FootnoteReference"/>
          <w:rFonts w:asciiTheme="majorBidi" w:hAnsiTheme="majorBidi" w:cstheme="majorBidi"/>
          <w:sz w:val="24"/>
        </w:rPr>
        <w:footnoteReference w:id="42"/>
      </w:r>
      <w:r w:rsidRPr="00FA6BCA">
        <w:rPr>
          <w:rFonts w:asciiTheme="majorBidi" w:hAnsiTheme="majorBidi" w:cstheme="majorBidi"/>
          <w:sz w:val="24"/>
        </w:rPr>
        <w:t xml:space="preserve"> and to assist the Arab society in caring for its own needs that </w:t>
      </w:r>
      <w:r w:rsidR="00F61DDF">
        <w:rPr>
          <w:rFonts w:asciiTheme="majorBidi" w:hAnsiTheme="majorBidi" w:cstheme="majorBidi"/>
          <w:sz w:val="24"/>
        </w:rPr>
        <w:t>Israel</w:t>
      </w:r>
      <w:r w:rsidRPr="00FA6BCA">
        <w:rPr>
          <w:rFonts w:asciiTheme="majorBidi" w:hAnsiTheme="majorBidi" w:cstheme="majorBidi"/>
          <w:sz w:val="24"/>
        </w:rPr>
        <w:t xml:space="preserve"> does not provide at a sufficient level. One of the main dilemmas facing the IM in Israel since its establishment is its existence as an Islamic movement, in an area that was once part of the Muslim </w:t>
      </w:r>
      <w:proofErr w:type="gramStart"/>
      <w:r w:rsidRPr="00FA6BCA">
        <w:rPr>
          <w:rFonts w:asciiTheme="majorBidi" w:hAnsiTheme="majorBidi" w:cstheme="majorBidi"/>
          <w:sz w:val="24"/>
        </w:rPr>
        <w:t>world, but</w:t>
      </w:r>
      <w:proofErr w:type="gramEnd"/>
      <w:r w:rsidRPr="00FA6BCA">
        <w:rPr>
          <w:rFonts w:asciiTheme="majorBidi" w:hAnsiTheme="majorBidi" w:cstheme="majorBidi"/>
          <w:sz w:val="24"/>
        </w:rPr>
        <w:t xml:space="preserve"> is now under Jewish rule and majority. The different views on how to bridge the gap between ideology and reality created a rift within the movement, which led to its split into two factions in 1996 around the debate over whether to participate in elections for the Knesset. From the perspective of both factions</w:t>
      </w:r>
      <w:r w:rsidR="0097051C">
        <w:rPr>
          <w:rStyle w:val="FootnoteReference"/>
          <w:rFonts w:asciiTheme="majorBidi" w:hAnsiTheme="majorBidi" w:cstheme="majorBidi"/>
          <w:sz w:val="24"/>
        </w:rPr>
        <w:footnoteReference w:id="43"/>
      </w:r>
      <w:r w:rsidRPr="00FA6BCA">
        <w:rPr>
          <w:rFonts w:asciiTheme="majorBidi" w:hAnsiTheme="majorBidi" w:cstheme="majorBidi"/>
          <w:sz w:val="24"/>
        </w:rPr>
        <w:t>, Israel lacks principled legitimacy for its existence - not as a Jewish nation-state, since Jews are not a nation but a religion; and not over the land of Palestine, because the holy connection between the Children of Israel and the Land of Israel has expired after the acceptance of Islam</w:t>
      </w:r>
      <w:r w:rsidR="00F61DDF">
        <w:rPr>
          <w:rFonts w:asciiTheme="majorBidi" w:hAnsiTheme="majorBidi" w:cstheme="majorBidi"/>
          <w:sz w:val="24"/>
        </w:rPr>
        <w:t xml:space="preserve">; </w:t>
      </w:r>
      <w:r w:rsidRPr="00FA6BCA">
        <w:rPr>
          <w:rFonts w:asciiTheme="majorBidi" w:hAnsiTheme="majorBidi" w:cstheme="majorBidi"/>
          <w:sz w:val="24"/>
        </w:rPr>
        <w:t>because this land is part of Dar al-Islam</w:t>
      </w:r>
      <w:r w:rsidR="00F61DDF">
        <w:rPr>
          <w:rFonts w:asciiTheme="majorBidi" w:hAnsiTheme="majorBidi" w:cstheme="majorBidi"/>
          <w:sz w:val="24"/>
        </w:rPr>
        <w:t>;</w:t>
      </w:r>
      <w:r w:rsidRPr="00FA6BCA">
        <w:rPr>
          <w:rFonts w:asciiTheme="majorBidi" w:hAnsiTheme="majorBidi" w:cstheme="majorBidi"/>
          <w:sz w:val="24"/>
        </w:rPr>
        <w:t xml:space="preserve"> and because it is Waqf land. However, they differ, as mentioned, on the implementation of this </w:t>
      </w:r>
      <w:r w:rsidR="00F61DDF" w:rsidRPr="00FA6BCA">
        <w:rPr>
          <w:rFonts w:asciiTheme="majorBidi" w:hAnsiTheme="majorBidi" w:cstheme="majorBidi"/>
          <w:sz w:val="24"/>
        </w:rPr>
        <w:t>principle, and</w:t>
      </w:r>
      <w:r w:rsidRPr="00FA6BCA">
        <w:rPr>
          <w:rFonts w:asciiTheme="majorBidi" w:hAnsiTheme="majorBidi" w:cstheme="majorBidi"/>
          <w:sz w:val="24"/>
        </w:rPr>
        <w:t xml:space="preserve"> hence their different attitudes towards the </w:t>
      </w:r>
      <w:r w:rsidR="00F61DDF">
        <w:rPr>
          <w:rFonts w:asciiTheme="majorBidi" w:hAnsiTheme="majorBidi" w:cstheme="majorBidi"/>
          <w:sz w:val="24"/>
        </w:rPr>
        <w:t>DOP</w:t>
      </w:r>
      <w:r w:rsidRPr="00FA6BCA">
        <w:rPr>
          <w:rFonts w:asciiTheme="majorBidi" w:hAnsiTheme="majorBidi" w:cstheme="majorBidi"/>
          <w:sz w:val="24"/>
        </w:rPr>
        <w:t>.</w:t>
      </w:r>
      <w:r w:rsidR="0028582E">
        <w:rPr>
          <w:rStyle w:val="FootnoteReference"/>
          <w:rFonts w:asciiTheme="majorBidi" w:hAnsiTheme="majorBidi" w:cstheme="majorBidi"/>
          <w:sz w:val="24"/>
        </w:rPr>
        <w:footnoteReference w:id="44"/>
      </w:r>
    </w:p>
    <w:p w14:paraId="7C2D8852" w14:textId="010E785E" w:rsidR="00220419" w:rsidRPr="006C14DA" w:rsidRDefault="00220419" w:rsidP="00B509B3">
      <w:pPr>
        <w:bidi w:val="0"/>
        <w:spacing w:before="240" w:line="480" w:lineRule="auto"/>
        <w:jc w:val="both"/>
        <w:rPr>
          <w:rFonts w:asciiTheme="majorBidi" w:hAnsiTheme="majorBidi" w:cstheme="majorBidi"/>
          <w:b/>
          <w:bCs/>
          <w:sz w:val="24"/>
          <w:rtl/>
        </w:rPr>
      </w:pPr>
      <w:r w:rsidRPr="006C14DA">
        <w:rPr>
          <w:rFonts w:asciiTheme="majorBidi" w:hAnsiTheme="majorBidi" w:cstheme="majorBidi"/>
          <w:b/>
          <w:bCs/>
          <w:sz w:val="24"/>
        </w:rPr>
        <w:lastRenderedPageBreak/>
        <w:t>Sheikh Abdullah Nimer Darwish</w:t>
      </w:r>
    </w:p>
    <w:p w14:paraId="79D3A660" w14:textId="1A0AA0C7" w:rsidR="00220419" w:rsidRPr="00220419" w:rsidRDefault="00220419" w:rsidP="00220419">
      <w:pPr>
        <w:bidi w:val="0"/>
        <w:spacing w:before="240" w:line="480" w:lineRule="auto"/>
        <w:jc w:val="both"/>
        <w:rPr>
          <w:rFonts w:asciiTheme="majorBidi" w:hAnsiTheme="majorBidi" w:cstheme="majorBidi"/>
          <w:sz w:val="24"/>
        </w:rPr>
      </w:pPr>
      <w:r w:rsidRPr="00220419">
        <w:rPr>
          <w:rFonts w:asciiTheme="majorBidi" w:hAnsiTheme="majorBidi" w:cstheme="majorBidi"/>
          <w:sz w:val="24"/>
        </w:rPr>
        <w:t>Sheikh Abdullah Nimer Darwish (</w:t>
      </w:r>
      <w:r w:rsidRPr="00220419">
        <w:rPr>
          <w:rFonts w:asciiTheme="majorBidi" w:hAnsiTheme="majorBidi" w:cs="Times New Roman" w:hint="cs"/>
          <w:sz w:val="24"/>
          <w:rtl/>
          <w:lang w:bidi="ar-SA"/>
        </w:rPr>
        <w:t>عبد</w:t>
      </w:r>
      <w:r w:rsidRPr="00220419">
        <w:rPr>
          <w:rFonts w:asciiTheme="majorBidi" w:hAnsiTheme="majorBidi" w:cs="Times New Roman"/>
          <w:sz w:val="24"/>
          <w:rtl/>
          <w:lang w:bidi="ar-SA"/>
        </w:rPr>
        <w:t xml:space="preserve"> </w:t>
      </w:r>
      <w:r w:rsidRPr="00220419">
        <w:rPr>
          <w:rFonts w:asciiTheme="majorBidi" w:hAnsiTheme="majorBidi" w:cs="Times New Roman" w:hint="cs"/>
          <w:sz w:val="24"/>
          <w:rtl/>
          <w:lang w:bidi="ar-SA"/>
        </w:rPr>
        <w:t>الله</w:t>
      </w:r>
      <w:r w:rsidRPr="00220419">
        <w:rPr>
          <w:rFonts w:asciiTheme="majorBidi" w:hAnsiTheme="majorBidi" w:cs="Times New Roman"/>
          <w:sz w:val="24"/>
          <w:rtl/>
          <w:lang w:bidi="ar-SA"/>
        </w:rPr>
        <w:t xml:space="preserve"> </w:t>
      </w:r>
      <w:r w:rsidRPr="00220419">
        <w:rPr>
          <w:rFonts w:asciiTheme="majorBidi" w:hAnsiTheme="majorBidi" w:cs="Times New Roman" w:hint="cs"/>
          <w:sz w:val="24"/>
          <w:rtl/>
          <w:lang w:bidi="ar-SA"/>
        </w:rPr>
        <w:t>نمر</w:t>
      </w:r>
      <w:r w:rsidRPr="00220419">
        <w:rPr>
          <w:rFonts w:asciiTheme="majorBidi" w:hAnsiTheme="majorBidi" w:cs="Times New Roman"/>
          <w:sz w:val="24"/>
          <w:rtl/>
          <w:lang w:bidi="ar-SA"/>
        </w:rPr>
        <w:t xml:space="preserve"> </w:t>
      </w:r>
      <w:r w:rsidRPr="00220419">
        <w:rPr>
          <w:rFonts w:asciiTheme="majorBidi" w:hAnsiTheme="majorBidi" w:cs="Times New Roman" w:hint="cs"/>
          <w:sz w:val="24"/>
          <w:rtl/>
          <w:lang w:bidi="ar-SA"/>
        </w:rPr>
        <w:t>درويش</w:t>
      </w:r>
      <w:r w:rsidRPr="00220419">
        <w:rPr>
          <w:rFonts w:asciiTheme="majorBidi" w:hAnsiTheme="majorBidi" w:cs="Times New Roman"/>
          <w:sz w:val="24"/>
          <w:rtl/>
          <w:lang w:bidi="ar-SA"/>
        </w:rPr>
        <w:t>, 1948-2017</w:t>
      </w:r>
      <w:r w:rsidRPr="00220419">
        <w:rPr>
          <w:rFonts w:asciiTheme="majorBidi" w:hAnsiTheme="majorBidi" w:cstheme="majorBidi"/>
          <w:sz w:val="24"/>
          <w:lang w:bidi="ar-SA"/>
        </w:rPr>
        <w:t xml:space="preserve">, </w:t>
      </w:r>
      <w:r w:rsidRPr="00220419">
        <w:rPr>
          <w:rFonts w:asciiTheme="majorBidi" w:hAnsiTheme="majorBidi" w:cstheme="majorBidi"/>
          <w:sz w:val="24"/>
        </w:rPr>
        <w:t>Kafr Qasim</w:t>
      </w:r>
      <w:r w:rsidRPr="00220419">
        <w:rPr>
          <w:rFonts w:asciiTheme="majorBidi" w:hAnsiTheme="majorBidi" w:cstheme="majorBidi"/>
          <w:sz w:val="24"/>
          <w:lang w:bidi="ar-SA"/>
        </w:rPr>
        <w:t xml:space="preserve">) </w:t>
      </w:r>
      <w:r w:rsidRPr="00220419">
        <w:rPr>
          <w:rFonts w:asciiTheme="majorBidi" w:hAnsiTheme="majorBidi" w:cstheme="majorBidi"/>
          <w:sz w:val="24"/>
        </w:rPr>
        <w:t xml:space="preserve">led the establishment of the </w:t>
      </w:r>
      <w:r w:rsidR="00D9601A">
        <w:rPr>
          <w:rFonts w:asciiTheme="majorBidi" w:hAnsiTheme="majorBidi" w:cstheme="majorBidi"/>
          <w:sz w:val="24"/>
        </w:rPr>
        <w:t>IM</w:t>
      </w:r>
      <w:r w:rsidRPr="00220419">
        <w:rPr>
          <w:rFonts w:asciiTheme="majorBidi" w:hAnsiTheme="majorBidi" w:cstheme="majorBidi"/>
          <w:sz w:val="24"/>
        </w:rPr>
        <w:t xml:space="preserve"> in Israel and headed it until the split in 1996, when he became the leader of the Southern Faction. This is the more moderate of the two factions, also active in the national political arena through the Ra'am party. Sheikh Darwish and his students view Sharia as a pragmatic law that adapts itself to the complex reality: "Islamic jurisprudence has flexibility... Islam is built on principles suitable for situations of peace and war, strength and weakness... We will not behave as if we live in the awaited era of the Mahdi, but rather live in our time, in accordance with the forces and powers that influence the management of the world."</w:t>
      </w:r>
      <w:r w:rsidR="00106636">
        <w:rPr>
          <w:rStyle w:val="FootnoteReference"/>
          <w:rFonts w:asciiTheme="majorBidi" w:hAnsiTheme="majorBidi" w:cstheme="majorBidi"/>
          <w:sz w:val="24"/>
        </w:rPr>
        <w:footnoteReference w:id="45"/>
      </w:r>
      <w:r w:rsidRPr="00220419">
        <w:rPr>
          <w:rFonts w:asciiTheme="majorBidi" w:hAnsiTheme="majorBidi" w:cstheme="majorBidi"/>
          <w:sz w:val="24"/>
        </w:rPr>
        <w:t xml:space="preserve"> The Southern Faction recognizes that Muslim citizens of Israel are currently in a state of weakness and </w:t>
      </w:r>
      <w:proofErr w:type="gramStart"/>
      <w:r w:rsidRPr="00220419">
        <w:rPr>
          <w:rFonts w:asciiTheme="majorBidi" w:hAnsiTheme="majorBidi" w:cstheme="majorBidi"/>
          <w:sz w:val="24"/>
        </w:rPr>
        <w:t>minority, and</w:t>
      </w:r>
      <w:proofErr w:type="gramEnd"/>
      <w:r w:rsidRPr="00220419">
        <w:rPr>
          <w:rFonts w:asciiTheme="majorBidi" w:hAnsiTheme="majorBidi" w:cstheme="majorBidi"/>
          <w:sz w:val="24"/>
        </w:rPr>
        <w:t xml:space="preserve"> acts accordingly. Th</w:t>
      </w:r>
      <w:r w:rsidR="0068527D">
        <w:rPr>
          <w:rFonts w:asciiTheme="majorBidi" w:hAnsiTheme="majorBidi" w:cstheme="majorBidi"/>
          <w:sz w:val="24"/>
        </w:rPr>
        <w:t>ey</w:t>
      </w:r>
      <w:r w:rsidRPr="00220419">
        <w:rPr>
          <w:rFonts w:asciiTheme="majorBidi" w:hAnsiTheme="majorBidi" w:cstheme="majorBidi"/>
          <w:sz w:val="24"/>
        </w:rPr>
        <w:t xml:space="preserve"> created a distinction between the religious-historical right of the Jewish people over the Land of Israel, which in their view does not exist, and the de facto right resulting from reality. Since </w:t>
      </w:r>
      <w:r w:rsidR="0068527D">
        <w:rPr>
          <w:rFonts w:asciiTheme="majorBidi" w:hAnsiTheme="majorBidi" w:cstheme="majorBidi"/>
          <w:sz w:val="24"/>
        </w:rPr>
        <w:t>Israel</w:t>
      </w:r>
      <w:r w:rsidRPr="00220419">
        <w:rPr>
          <w:rFonts w:asciiTheme="majorBidi" w:hAnsiTheme="majorBidi" w:cstheme="majorBidi"/>
          <w:sz w:val="24"/>
        </w:rPr>
        <w:t xml:space="preserve"> exists, and Muslims live within it, </w:t>
      </w:r>
      <w:r w:rsidR="00D05972">
        <w:rPr>
          <w:rFonts w:asciiTheme="majorBidi" w:hAnsiTheme="majorBidi" w:cstheme="majorBidi"/>
          <w:sz w:val="24"/>
        </w:rPr>
        <w:t xml:space="preserve">Israel </w:t>
      </w:r>
      <w:r w:rsidRPr="00220419">
        <w:rPr>
          <w:rFonts w:asciiTheme="majorBidi" w:hAnsiTheme="majorBidi" w:cstheme="majorBidi"/>
          <w:sz w:val="24"/>
        </w:rPr>
        <w:t xml:space="preserve">and its Jewish character must be recognized de facto, and operate within it </w:t>
      </w:r>
      <w:proofErr w:type="gramStart"/>
      <w:r w:rsidRPr="00220419">
        <w:rPr>
          <w:rFonts w:asciiTheme="majorBidi" w:hAnsiTheme="majorBidi" w:cstheme="majorBidi"/>
          <w:sz w:val="24"/>
        </w:rPr>
        <w:t>by all means to</w:t>
      </w:r>
      <w:proofErr w:type="gramEnd"/>
      <w:r w:rsidRPr="00220419">
        <w:rPr>
          <w:rFonts w:asciiTheme="majorBidi" w:hAnsiTheme="majorBidi" w:cstheme="majorBidi"/>
          <w:sz w:val="24"/>
        </w:rPr>
        <w:t xml:space="preserve"> achieve the supreme Islamic goal - preserving the identity and faith of Muslims and improving their lives. "I have no conflict... neither religious nor national, to uphold the law... Precisely as a minority we have an interest [in this]"</w:t>
      </w:r>
      <w:r w:rsidR="00FF3C12">
        <w:rPr>
          <w:rStyle w:val="FootnoteReference"/>
          <w:rFonts w:asciiTheme="majorBidi" w:hAnsiTheme="majorBidi" w:cstheme="majorBidi"/>
          <w:sz w:val="24"/>
        </w:rPr>
        <w:footnoteReference w:id="46"/>
      </w:r>
      <w:r w:rsidRPr="00220419">
        <w:rPr>
          <w:rFonts w:asciiTheme="majorBidi" w:hAnsiTheme="majorBidi" w:cstheme="majorBidi"/>
          <w:sz w:val="24"/>
        </w:rPr>
        <w:t xml:space="preserve"> said Sheikh Darwish. It is important to emphasize that this recognition is limited solely to within the Green Line, since beyond it, in the words of Sheikh Darwish, "it is an occupation that must be eliminated... Therefore, I understand the Palestinians... who </w:t>
      </w:r>
      <w:r w:rsidRPr="00220419">
        <w:rPr>
          <w:rFonts w:asciiTheme="majorBidi" w:hAnsiTheme="majorBidi" w:cstheme="majorBidi"/>
          <w:sz w:val="24"/>
        </w:rPr>
        <w:lastRenderedPageBreak/>
        <w:t>rebel in every way."</w:t>
      </w:r>
      <w:r w:rsidR="00FF3C12">
        <w:rPr>
          <w:rStyle w:val="FootnoteReference"/>
          <w:rFonts w:asciiTheme="majorBidi" w:hAnsiTheme="majorBidi" w:cstheme="majorBidi"/>
          <w:sz w:val="24"/>
        </w:rPr>
        <w:footnoteReference w:id="47"/>
      </w:r>
      <w:r w:rsidRPr="00220419">
        <w:rPr>
          <w:rFonts w:asciiTheme="majorBidi" w:hAnsiTheme="majorBidi" w:cstheme="majorBidi"/>
          <w:sz w:val="24"/>
        </w:rPr>
        <w:t xml:space="preserve"> Thus, a certain recognition of the state allows for discussing agreements it makes.</w:t>
      </w:r>
    </w:p>
    <w:p w14:paraId="5E1B583B" w14:textId="6E24CCDF" w:rsidR="00FB4D65" w:rsidRPr="007837AD" w:rsidRDefault="001125A1" w:rsidP="007837AD">
      <w:pPr>
        <w:bidi w:val="0"/>
        <w:spacing w:before="240" w:after="0" w:line="480" w:lineRule="auto"/>
        <w:jc w:val="both"/>
        <w:rPr>
          <w:rFonts w:asciiTheme="majorBidi" w:hAnsiTheme="majorBidi" w:cstheme="majorBidi"/>
          <w:sz w:val="24"/>
        </w:rPr>
      </w:pPr>
      <w:r w:rsidRPr="001125A1">
        <w:rPr>
          <w:rFonts w:asciiTheme="majorBidi" w:hAnsiTheme="majorBidi" w:cstheme="majorBidi"/>
          <w:sz w:val="24"/>
        </w:rPr>
        <w:t xml:space="preserve">Sheikh Darwish publicly supported the </w:t>
      </w:r>
      <w:r w:rsidR="00FB4D65">
        <w:rPr>
          <w:rFonts w:asciiTheme="majorBidi" w:hAnsiTheme="majorBidi" w:cstheme="majorBidi"/>
          <w:sz w:val="24"/>
        </w:rPr>
        <w:t>DOP</w:t>
      </w:r>
      <w:r w:rsidRPr="001125A1">
        <w:rPr>
          <w:rFonts w:asciiTheme="majorBidi" w:hAnsiTheme="majorBidi" w:cstheme="majorBidi"/>
          <w:sz w:val="24"/>
        </w:rPr>
        <w:t xml:space="preserve"> on various occasions, emphasizing that it should lead to the establishment of a Palestinian state with East Jerusalem as its capital, because under the current conditions it is the best implementation of the interests of the Palestinian people: "The rules of Islamic jurisprudence are divided into the fixed principles of faith (</w:t>
      </w:r>
      <w:r w:rsidR="00372484" w:rsidRPr="00372484">
        <w:rPr>
          <w:rFonts w:asciiTheme="majorBidi" w:hAnsiTheme="majorBidi" w:cstheme="majorBidi"/>
          <w:i/>
          <w:iCs/>
          <w:sz w:val="24"/>
        </w:rPr>
        <w:t>A</w:t>
      </w:r>
      <w:r w:rsidR="00FB4D65" w:rsidRPr="00372484">
        <w:rPr>
          <w:rFonts w:asciiTheme="majorBidi" w:hAnsiTheme="majorBidi" w:cstheme="majorBidi"/>
          <w:i/>
          <w:iCs/>
          <w:sz w:val="24"/>
        </w:rPr>
        <w:t>c</w:t>
      </w:r>
      <w:r w:rsidRPr="00372484">
        <w:rPr>
          <w:rFonts w:asciiTheme="majorBidi" w:hAnsiTheme="majorBidi" w:cstheme="majorBidi"/>
          <w:i/>
          <w:iCs/>
          <w:sz w:val="24"/>
        </w:rPr>
        <w:t xml:space="preserve">hkam </w:t>
      </w:r>
      <w:r w:rsidR="00372484" w:rsidRPr="00372484">
        <w:rPr>
          <w:rFonts w:asciiTheme="majorBidi" w:hAnsiTheme="majorBidi" w:cstheme="majorBidi"/>
          <w:i/>
          <w:iCs/>
          <w:sz w:val="24"/>
        </w:rPr>
        <w:t>T</w:t>
      </w:r>
      <w:r w:rsidRPr="00372484">
        <w:rPr>
          <w:rFonts w:asciiTheme="majorBidi" w:hAnsiTheme="majorBidi" w:cstheme="majorBidi"/>
          <w:i/>
          <w:iCs/>
          <w:sz w:val="24"/>
        </w:rPr>
        <w:t>habitah</w:t>
      </w:r>
      <w:r w:rsidRPr="001125A1">
        <w:rPr>
          <w:rFonts w:asciiTheme="majorBidi" w:hAnsiTheme="majorBidi" w:cstheme="majorBidi"/>
          <w:sz w:val="24"/>
        </w:rPr>
        <w:t>), and legal rulings subject to interpretation (</w:t>
      </w:r>
      <w:r w:rsidR="00372484">
        <w:rPr>
          <w:rFonts w:asciiTheme="majorBidi" w:hAnsiTheme="majorBidi" w:cstheme="majorBidi"/>
          <w:i/>
          <w:iCs/>
          <w:sz w:val="24"/>
        </w:rPr>
        <w:t>A</w:t>
      </w:r>
      <w:r w:rsidR="00FB4D65" w:rsidRPr="00372484">
        <w:rPr>
          <w:rFonts w:asciiTheme="majorBidi" w:hAnsiTheme="majorBidi" w:cstheme="majorBidi"/>
          <w:i/>
          <w:iCs/>
          <w:sz w:val="24"/>
        </w:rPr>
        <w:t>c</w:t>
      </w:r>
      <w:r w:rsidRPr="00372484">
        <w:rPr>
          <w:rFonts w:asciiTheme="majorBidi" w:hAnsiTheme="majorBidi" w:cstheme="majorBidi"/>
          <w:i/>
          <w:iCs/>
          <w:sz w:val="24"/>
        </w:rPr>
        <w:t xml:space="preserve">hkam </w:t>
      </w:r>
      <w:proofErr w:type="gramStart"/>
      <w:r w:rsidR="00372484">
        <w:rPr>
          <w:rFonts w:asciiTheme="majorBidi" w:hAnsiTheme="majorBidi" w:cstheme="majorBidi"/>
          <w:i/>
          <w:iCs/>
          <w:sz w:val="24"/>
        </w:rPr>
        <w:t>I</w:t>
      </w:r>
      <w:r w:rsidRPr="00372484">
        <w:rPr>
          <w:rFonts w:asciiTheme="majorBidi" w:hAnsiTheme="majorBidi" w:cstheme="majorBidi"/>
          <w:i/>
          <w:iCs/>
          <w:sz w:val="24"/>
        </w:rPr>
        <w:t>jtihādīyah</w:t>
      </w:r>
      <w:r w:rsidRPr="001125A1">
        <w:rPr>
          <w:rFonts w:asciiTheme="majorBidi" w:hAnsiTheme="majorBidi" w:cstheme="majorBidi"/>
          <w:sz w:val="24"/>
        </w:rPr>
        <w:t>)...</w:t>
      </w:r>
      <w:proofErr w:type="gramEnd"/>
      <w:r w:rsidRPr="001125A1">
        <w:rPr>
          <w:rFonts w:asciiTheme="majorBidi" w:hAnsiTheme="majorBidi" w:cstheme="majorBidi"/>
          <w:sz w:val="24"/>
        </w:rPr>
        <w:t xml:space="preserve"> Is the Palestinian issue part of the principles of faith?... Faith, human, and homeland are presented before us. For the sake of faith there is a willingness to sacrifice human life, and for the sake of human wholeness, security and stability, the homeland may accommodate more than one people."</w:t>
      </w:r>
      <w:r w:rsidR="007837AD">
        <w:rPr>
          <w:rStyle w:val="FootnoteReference"/>
          <w:rFonts w:asciiTheme="majorBidi" w:hAnsiTheme="majorBidi" w:cstheme="majorBidi"/>
          <w:sz w:val="24"/>
        </w:rPr>
        <w:footnoteReference w:id="48"/>
      </w:r>
      <w:r w:rsidRPr="001125A1">
        <w:rPr>
          <w:rFonts w:asciiTheme="majorBidi" w:hAnsiTheme="majorBidi" w:cstheme="majorBidi"/>
          <w:sz w:val="24"/>
        </w:rPr>
        <w:t xml:space="preserve"> Hence, his main reasoning was the understanding that compromise is necessary in order to preserve human life: "The entire Land of Israel, like Palestine</w:t>
      </w:r>
      <w:r w:rsidR="00FB4D65">
        <w:rPr>
          <w:rFonts w:asciiTheme="majorBidi" w:hAnsiTheme="majorBidi" w:cstheme="majorBidi"/>
          <w:sz w:val="24"/>
        </w:rPr>
        <w:t xml:space="preserve"> from the River to the Sea</w:t>
      </w:r>
      <w:r w:rsidRPr="001125A1">
        <w:rPr>
          <w:rFonts w:asciiTheme="majorBidi" w:hAnsiTheme="majorBidi" w:cstheme="majorBidi"/>
          <w:sz w:val="24"/>
        </w:rPr>
        <w:t>, will bring both peoples to the battlefield. Whoever wants peace must cast dreams aside and compromise."</w:t>
      </w:r>
      <w:r w:rsidR="00FB4D65">
        <w:rPr>
          <w:rStyle w:val="FootnoteReference"/>
          <w:rFonts w:asciiTheme="majorBidi" w:hAnsiTheme="majorBidi" w:cstheme="majorBidi"/>
          <w:sz w:val="24"/>
        </w:rPr>
        <w:footnoteReference w:id="49"/>
      </w:r>
      <w:r w:rsidRPr="001125A1">
        <w:rPr>
          <w:rFonts w:asciiTheme="majorBidi" w:hAnsiTheme="majorBidi" w:cstheme="majorBidi"/>
          <w:sz w:val="24"/>
        </w:rPr>
        <w:t xml:space="preserve"> Although all of Palestine is considered Waqf, it is preferable for part of it to be under Islamic rule rather than all of it under Jewish rule. In such a situation, neither side will get all their wishes, but they will get enough to appreciate the peace: "God has decreed that the two peoples live together. The Jews have an independent state, the Palestinians too are entitled to a state... Between the two neighboring states there will be a peace agreement, and after all the suffering I believe that both sides will respect the agreement."</w:t>
      </w:r>
      <w:r w:rsidR="007837AD">
        <w:rPr>
          <w:rStyle w:val="FootnoteReference"/>
          <w:rFonts w:asciiTheme="majorBidi" w:hAnsiTheme="majorBidi" w:cstheme="majorBidi"/>
          <w:sz w:val="24"/>
        </w:rPr>
        <w:footnoteReference w:id="50"/>
      </w:r>
    </w:p>
    <w:p w14:paraId="111FB949" w14:textId="0D40E1CD" w:rsidR="001125A1" w:rsidRPr="001125A1" w:rsidRDefault="001125A1" w:rsidP="008310DC">
      <w:pPr>
        <w:bidi w:val="0"/>
        <w:spacing w:before="240" w:after="0" w:line="480" w:lineRule="auto"/>
        <w:jc w:val="both"/>
        <w:rPr>
          <w:rFonts w:asciiTheme="majorBidi" w:hAnsiTheme="majorBidi" w:cstheme="majorBidi"/>
          <w:sz w:val="24"/>
        </w:rPr>
      </w:pPr>
      <w:r w:rsidRPr="001125A1">
        <w:rPr>
          <w:rFonts w:asciiTheme="majorBidi" w:hAnsiTheme="majorBidi" w:cstheme="majorBidi"/>
          <w:sz w:val="24"/>
        </w:rPr>
        <w:lastRenderedPageBreak/>
        <w:t>Sheikh Darwish is aware that important muftis in the Muslim world will oppose his view, which indeed contradicts the accepted Shariah perception. According to Sharia, based on the Quran (8:61) "And if they incline to peace, then incline to it</w:t>
      </w:r>
      <w:r w:rsidR="00B92354">
        <w:rPr>
          <w:rFonts w:asciiTheme="majorBidi" w:hAnsiTheme="majorBidi" w:cstheme="majorBidi"/>
          <w:sz w:val="24"/>
        </w:rPr>
        <w:t xml:space="preserve"> </w:t>
      </w:r>
      <w:r w:rsidR="007C0C4D">
        <w:rPr>
          <w:rFonts w:asciiTheme="majorBidi" w:hAnsiTheme="majorBidi" w:cstheme="majorBidi"/>
          <w:sz w:val="24"/>
        </w:rPr>
        <w:t>as well</w:t>
      </w:r>
      <w:r w:rsidRPr="001125A1">
        <w:rPr>
          <w:rFonts w:asciiTheme="majorBidi" w:hAnsiTheme="majorBidi" w:cstheme="majorBidi"/>
          <w:sz w:val="24"/>
        </w:rPr>
        <w:t xml:space="preserve">" and on the peace treaties Muhammad made with Quraysh in </w:t>
      </w:r>
      <w:r w:rsidR="007C0C4D" w:rsidRPr="007C0C4D">
        <w:rPr>
          <w:rFonts w:asciiTheme="majorBidi" w:hAnsiTheme="majorBidi" w:cstheme="majorBidi"/>
          <w:sz w:val="24"/>
        </w:rPr>
        <w:t>Hudaybiya</w:t>
      </w:r>
      <w:r w:rsidRPr="001125A1">
        <w:rPr>
          <w:rFonts w:asciiTheme="majorBidi" w:hAnsiTheme="majorBidi" w:cstheme="majorBidi"/>
          <w:sz w:val="24"/>
        </w:rPr>
        <w:t xml:space="preserve"> and with other tribes, a peace agreement with the enemy is permissible </w:t>
      </w:r>
      <w:proofErr w:type="gramStart"/>
      <w:r w:rsidRPr="001125A1">
        <w:rPr>
          <w:rFonts w:asciiTheme="majorBidi" w:hAnsiTheme="majorBidi" w:cstheme="majorBidi"/>
          <w:sz w:val="24"/>
        </w:rPr>
        <w:t>as long as</w:t>
      </w:r>
      <w:proofErr w:type="gramEnd"/>
      <w:r w:rsidRPr="001125A1">
        <w:rPr>
          <w:rFonts w:asciiTheme="majorBidi" w:hAnsiTheme="majorBidi" w:cstheme="majorBidi"/>
          <w:sz w:val="24"/>
        </w:rPr>
        <w:t xml:space="preserve"> the Muslim ruler finds it beneficial. In Sheikh Darwish's view, the final ruling regarding matters concerning the Palestinians and the Arab citizens of Israel rests solely with them, as they see the reality clearly and will feel the consequences on their flesh. In his opinion, the benefit to the Palestinians in the agreement is clear since they are in an inferior position, and it grants them the advantages of autonomy and international recognition.</w:t>
      </w:r>
      <w:r w:rsidR="00AD5AE1">
        <w:rPr>
          <w:rStyle w:val="FootnoteReference"/>
          <w:rFonts w:asciiTheme="majorBidi" w:hAnsiTheme="majorBidi" w:cstheme="majorBidi"/>
          <w:sz w:val="24"/>
        </w:rPr>
        <w:footnoteReference w:id="51"/>
      </w:r>
      <w:r w:rsidRPr="001125A1">
        <w:rPr>
          <w:rFonts w:asciiTheme="majorBidi" w:hAnsiTheme="majorBidi" w:cstheme="majorBidi"/>
          <w:sz w:val="24"/>
        </w:rPr>
        <w:t xml:space="preserve"> This approach resonates with the relatively new legal genre from the school of Sheikh Qaradawi, called </w:t>
      </w:r>
      <w:r w:rsidR="00372484" w:rsidRPr="00372484">
        <w:rPr>
          <w:rFonts w:asciiTheme="majorBidi" w:hAnsiTheme="majorBidi" w:cstheme="majorBidi"/>
          <w:i/>
          <w:iCs/>
          <w:sz w:val="24"/>
        </w:rPr>
        <w:t>F</w:t>
      </w:r>
      <w:r w:rsidRPr="00372484">
        <w:rPr>
          <w:rFonts w:asciiTheme="majorBidi" w:hAnsiTheme="majorBidi" w:cstheme="majorBidi"/>
          <w:i/>
          <w:iCs/>
          <w:sz w:val="24"/>
        </w:rPr>
        <w:t>iqh al-</w:t>
      </w:r>
      <w:r w:rsidR="00372484" w:rsidRPr="00372484">
        <w:rPr>
          <w:rFonts w:asciiTheme="majorBidi" w:hAnsiTheme="majorBidi" w:cstheme="majorBidi"/>
          <w:i/>
          <w:iCs/>
          <w:sz w:val="24"/>
        </w:rPr>
        <w:t>A</w:t>
      </w:r>
      <w:r w:rsidRPr="00372484">
        <w:rPr>
          <w:rFonts w:asciiTheme="majorBidi" w:hAnsiTheme="majorBidi" w:cstheme="majorBidi"/>
          <w:i/>
          <w:iCs/>
          <w:sz w:val="24"/>
        </w:rPr>
        <w:t>qalliyyat</w:t>
      </w:r>
      <w:r w:rsidRPr="001125A1">
        <w:rPr>
          <w:rFonts w:asciiTheme="majorBidi" w:hAnsiTheme="majorBidi" w:cstheme="majorBidi"/>
          <w:sz w:val="24"/>
        </w:rPr>
        <w:t xml:space="preserve"> (Jurisprudence of Minorities), which deals with special laws tailored for Muslims living as minorities in Western democratic countries. Sheikh Darwish and his successors in the Southern Faction believe that even regarding Arab citizens of Israel and Palestinians, there is room for great flexibility and different rulings from the accepted ones</w:t>
      </w:r>
      <w:r w:rsidR="006E2FBA">
        <w:rPr>
          <w:rFonts w:asciiTheme="majorBidi" w:hAnsiTheme="majorBidi" w:cstheme="majorBidi"/>
          <w:sz w:val="24"/>
        </w:rPr>
        <w:t>,</w:t>
      </w:r>
      <w:r w:rsidRPr="001125A1">
        <w:rPr>
          <w:rFonts w:asciiTheme="majorBidi" w:hAnsiTheme="majorBidi" w:cstheme="majorBidi"/>
          <w:sz w:val="24"/>
        </w:rPr>
        <w:t xml:space="preserve"> </w:t>
      </w:r>
      <w:proofErr w:type="gramStart"/>
      <w:r w:rsidRPr="001125A1">
        <w:rPr>
          <w:rFonts w:asciiTheme="majorBidi" w:hAnsiTheme="majorBidi" w:cstheme="majorBidi"/>
          <w:sz w:val="24"/>
        </w:rPr>
        <w:t>in order to</w:t>
      </w:r>
      <w:proofErr w:type="gramEnd"/>
      <w:r w:rsidRPr="001125A1">
        <w:rPr>
          <w:rFonts w:asciiTheme="majorBidi" w:hAnsiTheme="majorBidi" w:cstheme="majorBidi"/>
          <w:sz w:val="24"/>
        </w:rPr>
        <w:t xml:space="preserve"> achieve the </w:t>
      </w:r>
      <w:r w:rsidR="006E2FBA" w:rsidRPr="006E2FBA">
        <w:rPr>
          <w:rFonts w:asciiTheme="majorBidi" w:hAnsiTheme="majorBidi" w:cstheme="majorBidi"/>
          <w:i/>
          <w:iCs/>
          <w:sz w:val="24"/>
        </w:rPr>
        <w:t>M</w:t>
      </w:r>
      <w:r w:rsidRPr="006E2FBA">
        <w:rPr>
          <w:rFonts w:asciiTheme="majorBidi" w:hAnsiTheme="majorBidi" w:cstheme="majorBidi"/>
          <w:i/>
          <w:iCs/>
          <w:sz w:val="24"/>
        </w:rPr>
        <w:t>aqasid a-</w:t>
      </w:r>
      <w:r w:rsidR="006E2FBA" w:rsidRPr="006E2FBA">
        <w:rPr>
          <w:rFonts w:asciiTheme="majorBidi" w:hAnsiTheme="majorBidi" w:cstheme="majorBidi"/>
          <w:i/>
          <w:iCs/>
          <w:sz w:val="24"/>
        </w:rPr>
        <w:t>S</w:t>
      </w:r>
      <w:r w:rsidRPr="006E2FBA">
        <w:rPr>
          <w:rFonts w:asciiTheme="majorBidi" w:hAnsiTheme="majorBidi" w:cstheme="majorBidi"/>
          <w:i/>
          <w:iCs/>
          <w:sz w:val="24"/>
        </w:rPr>
        <w:t>hari'ah</w:t>
      </w:r>
      <w:r w:rsidRPr="001125A1">
        <w:rPr>
          <w:rFonts w:asciiTheme="majorBidi" w:hAnsiTheme="majorBidi" w:cstheme="majorBidi"/>
          <w:sz w:val="24"/>
        </w:rPr>
        <w:t xml:space="preserve"> (the objectives of Sharia), which is to benefit Muslims</w:t>
      </w:r>
      <w:r w:rsidR="00685945">
        <w:rPr>
          <w:rFonts w:asciiTheme="majorBidi" w:hAnsiTheme="majorBidi" w:cstheme="majorBidi"/>
          <w:sz w:val="24"/>
        </w:rPr>
        <w:t>.</w:t>
      </w:r>
      <w:r w:rsidR="00685945">
        <w:rPr>
          <w:rStyle w:val="FootnoteReference"/>
          <w:rFonts w:asciiTheme="majorBidi" w:hAnsiTheme="majorBidi" w:cstheme="majorBidi"/>
          <w:sz w:val="24"/>
        </w:rPr>
        <w:footnoteReference w:id="52"/>
      </w:r>
    </w:p>
    <w:p w14:paraId="51CA5623" w14:textId="3D3F6B84" w:rsidR="00B37395" w:rsidRPr="00B37395" w:rsidRDefault="00B37395" w:rsidP="00B37395">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lastRenderedPageBreak/>
        <w:t>The third rationale is groundbreaking, in which Sheikh Darwish presents a principled moral position that "cultural dialogue is the approach of the strong"</w:t>
      </w:r>
      <w:r w:rsidR="003130C0">
        <w:rPr>
          <w:rStyle w:val="FootnoteReference"/>
          <w:rFonts w:asciiTheme="majorBidi" w:hAnsiTheme="majorBidi" w:cstheme="majorBidi"/>
          <w:sz w:val="24"/>
        </w:rPr>
        <w:footnoteReference w:id="53"/>
      </w:r>
      <w:r w:rsidRPr="00B37395">
        <w:rPr>
          <w:rFonts w:asciiTheme="majorBidi" w:hAnsiTheme="majorBidi" w:cstheme="majorBidi"/>
          <w:sz w:val="24"/>
        </w:rPr>
        <w:t xml:space="preserve"> and this is the proper and effective way for the Palestinian struggle. Moreover, he wishes to act </w:t>
      </w:r>
      <w:proofErr w:type="gramStart"/>
      <w:r w:rsidRPr="00B37395">
        <w:rPr>
          <w:rFonts w:asciiTheme="majorBidi" w:hAnsiTheme="majorBidi" w:cstheme="majorBidi"/>
          <w:sz w:val="24"/>
        </w:rPr>
        <w:t>in order to</w:t>
      </w:r>
      <w:proofErr w:type="gramEnd"/>
      <w:r w:rsidRPr="00B37395">
        <w:rPr>
          <w:rFonts w:asciiTheme="majorBidi" w:hAnsiTheme="majorBidi" w:cstheme="majorBidi"/>
          <w:sz w:val="24"/>
        </w:rPr>
        <w:t xml:space="preserve"> create "a religious dialogue that contributes to true peace between Palestinians and Israelis"</w:t>
      </w:r>
      <w:r w:rsidR="00103715">
        <w:rPr>
          <w:rStyle w:val="FootnoteReference"/>
          <w:rFonts w:asciiTheme="majorBidi" w:hAnsiTheme="majorBidi" w:cstheme="majorBidi"/>
          <w:sz w:val="24"/>
        </w:rPr>
        <w:footnoteReference w:id="54"/>
      </w:r>
      <w:r w:rsidRPr="00B37395">
        <w:rPr>
          <w:rFonts w:asciiTheme="majorBidi" w:hAnsiTheme="majorBidi" w:cstheme="majorBidi"/>
          <w:sz w:val="24"/>
        </w:rPr>
        <w:t>, to prevent Islam from being perceived as an obstacle to peace, when it is a religion of peace and tolerance towards the other.</w:t>
      </w:r>
      <w:r w:rsidR="003F0F2E">
        <w:rPr>
          <w:rStyle w:val="FootnoteReference"/>
          <w:rFonts w:asciiTheme="majorBidi" w:hAnsiTheme="majorBidi" w:cstheme="majorBidi"/>
          <w:sz w:val="24"/>
        </w:rPr>
        <w:footnoteReference w:id="55"/>
      </w:r>
      <w:r w:rsidRPr="00B37395">
        <w:rPr>
          <w:rFonts w:asciiTheme="majorBidi" w:hAnsiTheme="majorBidi" w:cstheme="majorBidi"/>
          <w:sz w:val="24"/>
        </w:rPr>
        <w:t xml:space="preserve"> The Sheikh summarized his various efforts for peace and inter-religious dialogue with the words - "The name of God is peace. </w:t>
      </w:r>
      <w:proofErr w:type="gramStart"/>
      <w:r w:rsidRPr="00B37395">
        <w:rPr>
          <w:rFonts w:asciiTheme="majorBidi" w:hAnsiTheme="majorBidi" w:cstheme="majorBidi"/>
          <w:sz w:val="24"/>
        </w:rPr>
        <w:t>So</w:t>
      </w:r>
      <w:proofErr w:type="gramEnd"/>
      <w:r w:rsidRPr="00B37395">
        <w:rPr>
          <w:rFonts w:asciiTheme="majorBidi" w:hAnsiTheme="majorBidi" w:cstheme="majorBidi"/>
          <w:sz w:val="24"/>
        </w:rPr>
        <w:t xml:space="preserve"> what, I won't support the name of God?!"</w:t>
      </w:r>
      <w:r w:rsidR="00836005">
        <w:rPr>
          <w:rStyle w:val="FootnoteReference"/>
          <w:rFonts w:asciiTheme="majorBidi" w:hAnsiTheme="majorBidi" w:cstheme="majorBidi"/>
          <w:sz w:val="24"/>
        </w:rPr>
        <w:footnoteReference w:id="56"/>
      </w:r>
    </w:p>
    <w:p w14:paraId="636C9995" w14:textId="357F6F8B" w:rsidR="00B37395" w:rsidRPr="00B37395" w:rsidRDefault="00B37395" w:rsidP="00B37395">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t>However, despite his pragmatic positions and his statement about the importance of peace as a religious value, Sheikh Darwish and his successors in the Southern Faction do not waive basic demands for a 'just and fair' peace, which most Israelis view as a red line, such as the demand for the division of Jerusalem and the right of return; as well as the right to self-determination, meaning that a Palestinian state will arise alongside</w:t>
      </w:r>
      <w:r w:rsidR="00E821BA">
        <w:rPr>
          <w:rFonts w:asciiTheme="majorBidi" w:hAnsiTheme="majorBidi" w:cstheme="majorBidi"/>
          <w:sz w:val="24"/>
        </w:rPr>
        <w:t xml:space="preserve"> Israel</w:t>
      </w:r>
      <w:r w:rsidRPr="00B37395">
        <w:rPr>
          <w:rFonts w:asciiTheme="majorBidi" w:hAnsiTheme="majorBidi" w:cstheme="majorBidi"/>
          <w:sz w:val="24"/>
        </w:rPr>
        <w:t>, which will become a state of all its citizens.</w:t>
      </w:r>
      <w:r w:rsidR="00836005">
        <w:rPr>
          <w:rStyle w:val="FootnoteReference"/>
          <w:rFonts w:asciiTheme="majorBidi" w:hAnsiTheme="majorBidi" w:cstheme="majorBidi"/>
          <w:sz w:val="24"/>
        </w:rPr>
        <w:footnoteReference w:id="57"/>
      </w:r>
      <w:r w:rsidRPr="00B37395">
        <w:rPr>
          <w:rFonts w:asciiTheme="majorBidi" w:hAnsiTheme="majorBidi" w:cstheme="majorBidi"/>
          <w:sz w:val="24"/>
        </w:rPr>
        <w:t xml:space="preserve"> Additionally, the leader of the </w:t>
      </w:r>
      <w:r w:rsidR="003857D0">
        <w:rPr>
          <w:rFonts w:asciiTheme="majorBidi" w:hAnsiTheme="majorBidi" w:cstheme="majorBidi"/>
          <w:sz w:val="24"/>
        </w:rPr>
        <w:t>I</w:t>
      </w:r>
      <w:r w:rsidRPr="00B37395">
        <w:rPr>
          <w:rFonts w:asciiTheme="majorBidi" w:hAnsiTheme="majorBidi" w:cstheme="majorBidi"/>
          <w:sz w:val="24"/>
        </w:rPr>
        <w:t>M</w:t>
      </w:r>
      <w:r w:rsidR="003857D0">
        <w:rPr>
          <w:rFonts w:asciiTheme="majorBidi" w:hAnsiTheme="majorBidi" w:cstheme="majorBidi"/>
          <w:sz w:val="24"/>
        </w:rPr>
        <w:t xml:space="preserve"> </w:t>
      </w:r>
      <w:r w:rsidRPr="00B37395">
        <w:rPr>
          <w:rFonts w:asciiTheme="majorBidi" w:hAnsiTheme="majorBidi" w:cstheme="majorBidi"/>
          <w:sz w:val="24"/>
        </w:rPr>
        <w:t xml:space="preserve">does not abandon his future dream of an Islamic Caliphate that will rule over the entire Fertile Crescent, and emphasizes to his Jewish interviewer: "You think you're the strong one in the Middle East? I am the strong one. I have a billion Muslims, all believing like me... in the </w:t>
      </w:r>
      <w:r w:rsidR="003857D0" w:rsidRPr="00B37395">
        <w:rPr>
          <w:rFonts w:asciiTheme="majorBidi" w:hAnsiTheme="majorBidi" w:cstheme="majorBidi"/>
          <w:sz w:val="24"/>
        </w:rPr>
        <w:t xml:space="preserve">Muslim </w:t>
      </w:r>
      <w:r w:rsidR="003857D0">
        <w:rPr>
          <w:rFonts w:asciiTheme="majorBidi" w:hAnsiTheme="majorBidi" w:cstheme="majorBidi"/>
          <w:sz w:val="24"/>
        </w:rPr>
        <w:t>o</w:t>
      </w:r>
      <w:r w:rsidR="003857D0" w:rsidRPr="00B37395">
        <w:rPr>
          <w:rFonts w:asciiTheme="majorBidi" w:hAnsiTheme="majorBidi" w:cstheme="majorBidi"/>
          <w:sz w:val="24"/>
        </w:rPr>
        <w:t>cean</w:t>
      </w:r>
      <w:r w:rsidRPr="00B37395">
        <w:rPr>
          <w:rFonts w:asciiTheme="majorBidi" w:hAnsiTheme="majorBidi" w:cstheme="majorBidi"/>
          <w:sz w:val="24"/>
        </w:rPr>
        <w:t xml:space="preserve"> you are a minority."</w:t>
      </w:r>
      <w:r w:rsidR="00836005">
        <w:rPr>
          <w:rStyle w:val="FootnoteReference"/>
          <w:rFonts w:asciiTheme="majorBidi" w:hAnsiTheme="majorBidi" w:cstheme="majorBidi"/>
          <w:sz w:val="24"/>
        </w:rPr>
        <w:footnoteReference w:id="58"/>
      </w:r>
    </w:p>
    <w:p w14:paraId="6F1AAA26" w14:textId="221B298A" w:rsidR="00B37395" w:rsidRPr="003130C0" w:rsidRDefault="00B37395" w:rsidP="003130C0">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lastRenderedPageBreak/>
        <w:t xml:space="preserve">Like Rabbi Amital, Sheikh Darwish exploits religious ambiguity </w:t>
      </w:r>
      <w:proofErr w:type="gramStart"/>
      <w:r w:rsidRPr="00B37395">
        <w:rPr>
          <w:rFonts w:asciiTheme="majorBidi" w:hAnsiTheme="majorBidi" w:cstheme="majorBidi"/>
          <w:sz w:val="24"/>
        </w:rPr>
        <w:t>in order to</w:t>
      </w:r>
      <w:proofErr w:type="gramEnd"/>
      <w:r w:rsidRPr="00B37395">
        <w:rPr>
          <w:rFonts w:asciiTheme="majorBidi" w:hAnsiTheme="majorBidi" w:cstheme="majorBidi"/>
          <w:sz w:val="24"/>
        </w:rPr>
        <w:t xml:space="preserve"> promote values that establish the peace process on a religious basis, emphasizing human life over the sanctity of the land. On the other hand, he does so while looking at the interests of his own group in the given reality; expresses understanding for radical and extreme factors; and does not waive demands that for many in the Jewish public are considered threatening to their very existence, or to the future vision of complete victory. From his various statements, it seems he harbors suspicion and distrust towards Israel's good intentions, and similar suspicion from Israel towards his own intentions is also logical. In this way, it is impossible to lead a reconciliation process among a public filled with suspicions about the opponent's intentions and goals, and raised on religious worldviews that negate peace. And yet, despite the significant shortcomings in his position, Sheikh Darwish's main innovation remains intact - making peace - according to his complex perception of this concept - into a sacred religious value in an essential and independent manner.</w:t>
      </w:r>
    </w:p>
    <w:p w14:paraId="2C2BEC71" w14:textId="60AF4015" w:rsidR="004665BB" w:rsidRDefault="004665BB">
      <w:pPr>
        <w:rPr>
          <w:rFonts w:asciiTheme="majorBidi" w:hAnsiTheme="majorBidi" w:cstheme="majorBidi"/>
          <w:b/>
          <w:bCs/>
          <w:sz w:val="24"/>
          <w:rtl/>
        </w:rPr>
      </w:pPr>
    </w:p>
    <w:p w14:paraId="6953F2F7" w14:textId="01657451" w:rsidR="007B58D2" w:rsidRPr="006C14DA" w:rsidRDefault="007B58D2" w:rsidP="00836005">
      <w:pPr>
        <w:bidi w:val="0"/>
        <w:spacing w:before="240" w:after="0" w:line="480" w:lineRule="auto"/>
        <w:jc w:val="both"/>
        <w:rPr>
          <w:rFonts w:asciiTheme="majorBidi" w:hAnsiTheme="majorBidi" w:cstheme="majorBidi"/>
          <w:b/>
          <w:bCs/>
          <w:sz w:val="24"/>
        </w:rPr>
      </w:pPr>
      <w:r w:rsidRPr="006C14DA">
        <w:rPr>
          <w:rFonts w:asciiTheme="majorBidi" w:hAnsiTheme="majorBidi" w:cstheme="majorBidi"/>
          <w:b/>
          <w:bCs/>
          <w:sz w:val="24"/>
        </w:rPr>
        <w:t>Sheikh Raed Salah</w:t>
      </w:r>
    </w:p>
    <w:p w14:paraId="1E6754CA" w14:textId="26A89B52" w:rsidR="007B58D2" w:rsidRPr="007B58D2" w:rsidRDefault="007B58D2" w:rsidP="007B58D2">
      <w:pPr>
        <w:bidi w:val="0"/>
        <w:spacing w:before="240" w:after="0" w:line="480" w:lineRule="auto"/>
        <w:jc w:val="both"/>
        <w:rPr>
          <w:rFonts w:asciiTheme="majorBidi" w:hAnsiTheme="majorBidi" w:cstheme="majorBidi"/>
          <w:sz w:val="24"/>
        </w:rPr>
      </w:pPr>
      <w:r w:rsidRPr="007B58D2">
        <w:rPr>
          <w:rFonts w:asciiTheme="majorBidi" w:hAnsiTheme="majorBidi" w:cstheme="majorBidi"/>
          <w:sz w:val="24"/>
        </w:rPr>
        <w:t>The other side of the coin is the militant Northern Faction that was outlawed in 2015, led by Sheikh Raed Salah (</w:t>
      </w:r>
      <w:r w:rsidRPr="007B58D2">
        <w:rPr>
          <w:rFonts w:asciiTheme="majorBidi" w:hAnsiTheme="majorBidi" w:cs="Times New Roman" w:hint="cs"/>
          <w:sz w:val="24"/>
          <w:rtl/>
          <w:lang w:bidi="ar-SA"/>
        </w:rPr>
        <w:t>رائد</w:t>
      </w:r>
      <w:r w:rsidRPr="007B58D2">
        <w:rPr>
          <w:rFonts w:asciiTheme="majorBidi" w:hAnsiTheme="majorBidi" w:cs="Times New Roman"/>
          <w:sz w:val="24"/>
          <w:rtl/>
          <w:lang w:bidi="ar-SA"/>
        </w:rPr>
        <w:t xml:space="preserve"> </w:t>
      </w:r>
      <w:r w:rsidRPr="007B58D2">
        <w:rPr>
          <w:rFonts w:asciiTheme="majorBidi" w:hAnsiTheme="majorBidi" w:cs="Times New Roman" w:hint="cs"/>
          <w:sz w:val="24"/>
          <w:rtl/>
          <w:lang w:bidi="ar-SA"/>
        </w:rPr>
        <w:t>صلاح</w:t>
      </w:r>
      <w:r w:rsidRPr="007B58D2">
        <w:rPr>
          <w:rFonts w:asciiTheme="majorBidi" w:hAnsiTheme="majorBidi" w:cs="Times New Roman"/>
          <w:sz w:val="24"/>
          <w:rtl/>
          <w:lang w:bidi="ar-SA"/>
        </w:rPr>
        <w:t xml:space="preserve"> </w:t>
      </w:r>
      <w:r w:rsidRPr="007B58D2">
        <w:rPr>
          <w:rFonts w:asciiTheme="majorBidi" w:hAnsiTheme="majorBidi" w:cs="Times New Roman" w:hint="cs"/>
          <w:sz w:val="24"/>
          <w:rtl/>
          <w:lang w:bidi="ar-SA"/>
        </w:rPr>
        <w:t>أبو</w:t>
      </w:r>
      <w:r w:rsidRPr="007B58D2">
        <w:rPr>
          <w:rFonts w:asciiTheme="majorBidi" w:hAnsiTheme="majorBidi" w:cs="Times New Roman"/>
          <w:sz w:val="24"/>
          <w:rtl/>
          <w:lang w:bidi="ar-SA"/>
        </w:rPr>
        <w:t xml:space="preserve"> </w:t>
      </w:r>
      <w:r w:rsidRPr="007B58D2">
        <w:rPr>
          <w:rFonts w:asciiTheme="majorBidi" w:hAnsiTheme="majorBidi" w:cs="Times New Roman" w:hint="cs"/>
          <w:sz w:val="24"/>
          <w:rtl/>
          <w:lang w:bidi="ar-SA"/>
        </w:rPr>
        <w:t>شقرة</w:t>
      </w:r>
      <w:r w:rsidRPr="007B58D2">
        <w:rPr>
          <w:rFonts w:asciiTheme="majorBidi" w:hAnsiTheme="majorBidi" w:cstheme="majorBidi"/>
          <w:sz w:val="24"/>
          <w:lang w:bidi="ar-SA"/>
        </w:rPr>
        <w:t xml:space="preserve">, </w:t>
      </w:r>
      <w:r w:rsidRPr="007B58D2">
        <w:rPr>
          <w:rFonts w:asciiTheme="majorBidi" w:hAnsiTheme="majorBidi" w:cstheme="majorBidi"/>
          <w:sz w:val="24"/>
        </w:rPr>
        <w:t>born 1958, Umm al-Fahm</w:t>
      </w:r>
      <w:r w:rsidRPr="007B58D2">
        <w:rPr>
          <w:rFonts w:asciiTheme="majorBidi" w:hAnsiTheme="majorBidi" w:cstheme="majorBidi"/>
          <w:sz w:val="24"/>
          <w:lang w:bidi="ar-SA"/>
        </w:rPr>
        <w:t xml:space="preserve">). </w:t>
      </w:r>
      <w:r w:rsidRPr="007B58D2">
        <w:rPr>
          <w:rFonts w:asciiTheme="majorBidi" w:hAnsiTheme="majorBidi" w:cstheme="majorBidi"/>
          <w:sz w:val="24"/>
        </w:rPr>
        <w:t>This faction seeks to build an "independent society" (al-</w:t>
      </w:r>
      <w:r w:rsidR="006950C3">
        <w:rPr>
          <w:rFonts w:asciiTheme="majorBidi" w:hAnsiTheme="majorBidi" w:cstheme="majorBidi"/>
          <w:sz w:val="24"/>
        </w:rPr>
        <w:t>M</w:t>
      </w:r>
      <w:r w:rsidRPr="007B58D2">
        <w:rPr>
          <w:rFonts w:asciiTheme="majorBidi" w:hAnsiTheme="majorBidi" w:cstheme="majorBidi"/>
          <w:sz w:val="24"/>
        </w:rPr>
        <w:t>ujtama' al-</w:t>
      </w:r>
      <w:r w:rsidR="006950C3">
        <w:rPr>
          <w:rFonts w:asciiTheme="majorBidi" w:hAnsiTheme="majorBidi" w:cstheme="majorBidi"/>
          <w:sz w:val="24"/>
        </w:rPr>
        <w:t>E</w:t>
      </w:r>
      <w:r w:rsidRPr="007B58D2">
        <w:rPr>
          <w:rFonts w:asciiTheme="majorBidi" w:hAnsiTheme="majorBidi" w:cstheme="majorBidi"/>
          <w:sz w:val="24"/>
        </w:rPr>
        <w:t>sami) that will maintain complete separation from the Zionist entity and protect the Muslim faith</w:t>
      </w:r>
      <w:r w:rsidR="006C63EA">
        <w:rPr>
          <w:rFonts w:asciiTheme="majorBidi" w:hAnsiTheme="majorBidi" w:cstheme="majorBidi"/>
          <w:sz w:val="24"/>
        </w:rPr>
        <w:t>.</w:t>
      </w:r>
      <w:r w:rsidRPr="007B58D2">
        <w:rPr>
          <w:rFonts w:asciiTheme="majorBidi" w:hAnsiTheme="majorBidi" w:cstheme="majorBidi"/>
          <w:sz w:val="24"/>
        </w:rPr>
        <w:t xml:space="preserve"> </w:t>
      </w:r>
      <w:r w:rsidR="006C63EA" w:rsidRPr="006C63EA">
        <w:rPr>
          <w:rFonts w:asciiTheme="majorBidi" w:hAnsiTheme="majorBidi" w:cstheme="majorBidi"/>
          <w:sz w:val="24"/>
        </w:rPr>
        <w:t xml:space="preserve">He also deals with the denial of the Jewish </w:t>
      </w:r>
      <w:r w:rsidRPr="007B58D2">
        <w:rPr>
          <w:rFonts w:asciiTheme="majorBidi" w:hAnsiTheme="majorBidi" w:cstheme="majorBidi"/>
          <w:sz w:val="24"/>
        </w:rPr>
        <w:t xml:space="preserve">and Israeli connection with Jerusalem and the Temple Mount, which has led to Sheikh Salah's arrest several times for incitement. For the Northern Faction, recognition of Israel even de facto is illegitimate, because between the </w:t>
      </w:r>
      <w:r w:rsidR="00D9601A">
        <w:rPr>
          <w:rFonts w:asciiTheme="majorBidi" w:hAnsiTheme="majorBidi" w:cstheme="majorBidi"/>
          <w:sz w:val="24"/>
        </w:rPr>
        <w:t>IM</w:t>
      </w:r>
      <w:r w:rsidRPr="007B58D2">
        <w:rPr>
          <w:rFonts w:asciiTheme="majorBidi" w:hAnsiTheme="majorBidi" w:cstheme="majorBidi"/>
          <w:sz w:val="24"/>
        </w:rPr>
        <w:t xml:space="preserve"> and Israel there is "a conflict over the very existence and not a conflict over </w:t>
      </w:r>
      <w:r w:rsidRPr="007B58D2">
        <w:rPr>
          <w:rFonts w:asciiTheme="majorBidi" w:hAnsiTheme="majorBidi" w:cstheme="majorBidi"/>
          <w:sz w:val="24"/>
        </w:rPr>
        <w:lastRenderedPageBreak/>
        <w:t>borders."</w:t>
      </w:r>
      <w:r w:rsidR="00D75595">
        <w:rPr>
          <w:rStyle w:val="FootnoteReference"/>
          <w:rFonts w:asciiTheme="majorBidi" w:hAnsiTheme="majorBidi" w:cstheme="majorBidi"/>
          <w:sz w:val="24"/>
        </w:rPr>
        <w:footnoteReference w:id="59"/>
      </w:r>
      <w:r w:rsidRPr="007B58D2">
        <w:rPr>
          <w:rFonts w:asciiTheme="majorBidi" w:hAnsiTheme="majorBidi" w:cstheme="majorBidi"/>
          <w:sz w:val="24"/>
        </w:rPr>
        <w:t xml:space="preserve"> From an Islamic historical perspective, Israel's current reality does not threaten them, and they are confident that the Jewish state will disappear and an Islamic Caliphate will rule from the river to the sea: "We say to all the oppressors: Learn from those who preceded you in the past. Many oppressors have tried to expel us from our land. The oppressors dissipated, while we remained steadfast in our place."</w:t>
      </w:r>
      <w:r w:rsidR="00002405">
        <w:rPr>
          <w:rStyle w:val="FootnoteReference"/>
          <w:rFonts w:asciiTheme="majorBidi" w:hAnsiTheme="majorBidi" w:cstheme="majorBidi"/>
          <w:sz w:val="24"/>
        </w:rPr>
        <w:footnoteReference w:id="60"/>
      </w:r>
    </w:p>
    <w:p w14:paraId="110318BB" w14:textId="1CB55C4D" w:rsidR="007B58D2" w:rsidRDefault="006950C3" w:rsidP="009A793E">
      <w:pPr>
        <w:bidi w:val="0"/>
        <w:spacing w:before="240" w:after="0" w:line="480" w:lineRule="auto"/>
        <w:jc w:val="both"/>
        <w:rPr>
          <w:rFonts w:asciiTheme="majorBidi" w:hAnsiTheme="majorBidi" w:cstheme="majorBidi"/>
          <w:sz w:val="24"/>
        </w:rPr>
      </w:pPr>
      <w:r w:rsidRPr="007B58D2">
        <w:rPr>
          <w:rFonts w:asciiTheme="majorBidi" w:hAnsiTheme="majorBidi" w:cstheme="majorBidi"/>
          <w:sz w:val="24"/>
        </w:rPr>
        <w:t>Considering</w:t>
      </w:r>
      <w:r w:rsidR="007B58D2" w:rsidRPr="007B58D2">
        <w:rPr>
          <w:rFonts w:asciiTheme="majorBidi" w:hAnsiTheme="majorBidi" w:cstheme="majorBidi"/>
          <w:sz w:val="24"/>
        </w:rPr>
        <w:t xml:space="preserve"> this dogmatic position, the starting point of the Northern Faction in the discussion on the </w:t>
      </w:r>
      <w:r w:rsidR="00F012C4">
        <w:rPr>
          <w:rFonts w:asciiTheme="majorBidi" w:hAnsiTheme="majorBidi" w:cstheme="majorBidi"/>
          <w:sz w:val="24"/>
        </w:rPr>
        <w:t>DOP</w:t>
      </w:r>
      <w:r w:rsidR="007B58D2" w:rsidRPr="007B58D2">
        <w:rPr>
          <w:rFonts w:asciiTheme="majorBidi" w:hAnsiTheme="majorBidi" w:cstheme="majorBidi"/>
          <w:sz w:val="24"/>
        </w:rPr>
        <w:t xml:space="preserve"> is that there is no discussion. Israel, which is </w:t>
      </w:r>
      <w:r w:rsidR="00310F46">
        <w:rPr>
          <w:rFonts w:asciiTheme="majorBidi" w:hAnsiTheme="majorBidi" w:cstheme="majorBidi"/>
          <w:sz w:val="24"/>
        </w:rPr>
        <w:t>D</w:t>
      </w:r>
      <w:r w:rsidR="007B58D2" w:rsidRPr="007B58D2">
        <w:rPr>
          <w:rFonts w:asciiTheme="majorBidi" w:hAnsiTheme="majorBidi" w:cstheme="majorBidi"/>
          <w:sz w:val="24"/>
        </w:rPr>
        <w:t>ar al-</w:t>
      </w:r>
      <w:r w:rsidR="00310F46">
        <w:rPr>
          <w:rFonts w:asciiTheme="majorBidi" w:hAnsiTheme="majorBidi" w:cstheme="majorBidi"/>
          <w:sz w:val="24"/>
        </w:rPr>
        <w:t>H</w:t>
      </w:r>
      <w:r w:rsidR="007B58D2" w:rsidRPr="007B58D2">
        <w:rPr>
          <w:rFonts w:asciiTheme="majorBidi" w:hAnsiTheme="majorBidi" w:cstheme="majorBidi"/>
          <w:sz w:val="24"/>
        </w:rPr>
        <w:t>arb</w:t>
      </w:r>
      <w:r w:rsidR="00910E29">
        <w:rPr>
          <w:rFonts w:asciiTheme="majorBidi" w:hAnsiTheme="majorBidi" w:cstheme="majorBidi"/>
          <w:sz w:val="24"/>
        </w:rPr>
        <w:t xml:space="preserve"> (</w:t>
      </w:r>
      <w:r w:rsidR="00910E29" w:rsidRPr="00910E29">
        <w:rPr>
          <w:rFonts w:asciiTheme="majorBidi" w:hAnsiTheme="majorBidi" w:cstheme="majorBidi"/>
          <w:sz w:val="24"/>
        </w:rPr>
        <w:t>territory of war</w:t>
      </w:r>
      <w:r w:rsidR="00910E29">
        <w:rPr>
          <w:rFonts w:asciiTheme="majorBidi" w:hAnsiTheme="majorBidi" w:cstheme="majorBidi"/>
          <w:sz w:val="24"/>
        </w:rPr>
        <w:t>)</w:t>
      </w:r>
      <w:r w:rsidR="007B58D2" w:rsidRPr="007B58D2">
        <w:rPr>
          <w:rFonts w:asciiTheme="majorBidi" w:hAnsiTheme="majorBidi" w:cstheme="majorBidi"/>
          <w:sz w:val="24"/>
        </w:rPr>
        <w:t xml:space="preserve">, is illegitimate. Consequently, any claim that Arab Israelis or Palestinians have a different right to conduct themselves in terms of Sharia due to Israel's influence on them is invalid, since it recognizes its existence and even incorporates it as an Islamic legal consideration. Thus, there is no doubt that the agreement with it lacks any right to exist. Activists of the movement identified with Sheikh Salah actively opposed the </w:t>
      </w:r>
      <w:r w:rsidR="00F012C4">
        <w:rPr>
          <w:rFonts w:asciiTheme="majorBidi" w:hAnsiTheme="majorBidi" w:cstheme="majorBidi"/>
          <w:sz w:val="24"/>
        </w:rPr>
        <w:t>DOP</w:t>
      </w:r>
      <w:r w:rsidR="007B58D2" w:rsidRPr="007B58D2">
        <w:rPr>
          <w:rFonts w:asciiTheme="majorBidi" w:hAnsiTheme="majorBidi" w:cstheme="majorBidi"/>
          <w:sz w:val="24"/>
        </w:rPr>
        <w:t>, even calling it a "false peace", "treason", and a "second Nakba".</w:t>
      </w:r>
      <w:r w:rsidR="00332C0A">
        <w:rPr>
          <w:rStyle w:val="FootnoteReference"/>
          <w:rFonts w:asciiTheme="majorBidi" w:hAnsiTheme="majorBidi" w:cstheme="majorBidi"/>
          <w:sz w:val="24"/>
        </w:rPr>
        <w:footnoteReference w:id="61"/>
      </w:r>
      <w:r w:rsidR="007B58D2" w:rsidRPr="007B58D2">
        <w:rPr>
          <w:rFonts w:asciiTheme="majorBidi" w:hAnsiTheme="majorBidi" w:cstheme="majorBidi"/>
          <w:sz w:val="24"/>
        </w:rPr>
        <w:t xml:space="preserve"> Sheikh Salah himself participated in a large protest rally in Gaza </w:t>
      </w:r>
      <w:r w:rsidR="007B58D2" w:rsidRPr="007B58D2">
        <w:rPr>
          <w:rFonts w:asciiTheme="majorBidi" w:hAnsiTheme="majorBidi" w:cstheme="majorBidi"/>
          <w:sz w:val="24"/>
        </w:rPr>
        <w:lastRenderedPageBreak/>
        <w:t>in September 1993, and was also conspicuously absent from a delegation of Arab Israelis that welcomed Arafat upon his entry into Gaza in July 1994.</w:t>
      </w:r>
      <w:r w:rsidR="00B55DE2">
        <w:rPr>
          <w:rStyle w:val="FootnoteReference"/>
          <w:rFonts w:asciiTheme="majorBidi" w:hAnsiTheme="majorBidi" w:cstheme="majorBidi"/>
          <w:sz w:val="24"/>
        </w:rPr>
        <w:footnoteReference w:id="62"/>
      </w:r>
    </w:p>
    <w:p w14:paraId="44B3C99A" w14:textId="644DB79C" w:rsidR="003D7909" w:rsidRPr="003D7909" w:rsidRDefault="003D7909" w:rsidP="006C14DA">
      <w:pPr>
        <w:bidi w:val="0"/>
        <w:spacing w:before="240" w:after="0" w:line="480" w:lineRule="auto"/>
        <w:jc w:val="both"/>
        <w:rPr>
          <w:rFonts w:asciiTheme="majorBidi" w:hAnsiTheme="majorBidi" w:cstheme="majorBidi"/>
          <w:sz w:val="24"/>
          <w:rtl/>
        </w:rPr>
      </w:pPr>
      <w:r w:rsidRPr="003D7909">
        <w:rPr>
          <w:rFonts w:asciiTheme="majorBidi" w:hAnsiTheme="majorBidi" w:cstheme="majorBidi"/>
          <w:sz w:val="24"/>
        </w:rPr>
        <w:t>The main rationale of Sheikh Salah and is drawn from the position of Sheikh Qaradawi, the unofficial spiritual leader of the Muslim Brotherhood. Their claim is that there was no 'inclination towards peace' from Israel, and that the agreement has no achievement, maslaha, for the Palestinians - but rather the total opposite: "If Oslo succeeds, it will be the final nail in the coffin of the Palestinian cause. The changes and concessions are always in favor of the Israeli side, at the expense of the Palestinian side in a position of weakness... Oslo is... surrender and not peace."</w:t>
      </w:r>
      <w:r w:rsidR="006A496D">
        <w:rPr>
          <w:rStyle w:val="FootnoteReference"/>
          <w:rFonts w:asciiTheme="majorBidi" w:hAnsiTheme="majorBidi" w:cstheme="majorBidi"/>
          <w:sz w:val="24"/>
        </w:rPr>
        <w:footnoteReference w:id="63"/>
      </w:r>
      <w:r w:rsidRPr="003D7909">
        <w:rPr>
          <w:rFonts w:asciiTheme="majorBidi" w:hAnsiTheme="majorBidi" w:cstheme="majorBidi"/>
          <w:sz w:val="24"/>
        </w:rPr>
        <w:t xml:space="preserve"> In such a situation, the </w:t>
      </w:r>
      <w:r w:rsidR="00F012C4">
        <w:rPr>
          <w:rFonts w:asciiTheme="majorBidi" w:hAnsiTheme="majorBidi" w:cstheme="majorBidi"/>
          <w:sz w:val="24"/>
        </w:rPr>
        <w:t>DOP</w:t>
      </w:r>
      <w:r w:rsidRPr="003D7909">
        <w:rPr>
          <w:rFonts w:asciiTheme="majorBidi" w:hAnsiTheme="majorBidi" w:cstheme="majorBidi"/>
          <w:sz w:val="24"/>
        </w:rPr>
        <w:t xml:space="preserve"> cannot be equated with the Treaty of </w:t>
      </w:r>
      <w:r w:rsidR="00E81652">
        <w:rPr>
          <w:rFonts w:asciiTheme="majorBidi" w:hAnsiTheme="majorBidi" w:cstheme="majorBidi"/>
          <w:sz w:val="24"/>
        </w:rPr>
        <w:t>Al-</w:t>
      </w:r>
      <w:r w:rsidR="00E81652" w:rsidRPr="00E81652">
        <w:rPr>
          <w:rFonts w:asciiTheme="majorBidi" w:hAnsiTheme="majorBidi" w:cstheme="majorBidi"/>
          <w:sz w:val="24"/>
        </w:rPr>
        <w:t>Hudaybiya</w:t>
      </w:r>
      <w:r w:rsidRPr="003D7909">
        <w:rPr>
          <w:rFonts w:asciiTheme="majorBidi" w:hAnsiTheme="majorBidi" w:cstheme="majorBidi"/>
          <w:sz w:val="24"/>
        </w:rPr>
        <w:t xml:space="preserve"> and there is no basis to permit it, even if the issue of recognizing Israel did not exist.</w:t>
      </w:r>
      <w:r w:rsidR="00AB4FCD">
        <w:rPr>
          <w:rStyle w:val="FootnoteReference"/>
          <w:rFonts w:asciiTheme="majorBidi" w:hAnsiTheme="majorBidi" w:cstheme="majorBidi"/>
          <w:sz w:val="24"/>
        </w:rPr>
        <w:footnoteReference w:id="64"/>
      </w:r>
    </w:p>
    <w:p w14:paraId="4049FA47" w14:textId="04CFC204" w:rsidR="003D7909" w:rsidRPr="003D7909" w:rsidRDefault="003D7909" w:rsidP="003D7909">
      <w:pPr>
        <w:bidi w:val="0"/>
        <w:spacing w:before="240" w:after="0" w:line="480" w:lineRule="auto"/>
        <w:jc w:val="both"/>
        <w:rPr>
          <w:rFonts w:asciiTheme="majorBidi" w:hAnsiTheme="majorBidi" w:cstheme="majorBidi"/>
          <w:sz w:val="24"/>
        </w:rPr>
      </w:pPr>
      <w:r w:rsidRPr="003D7909">
        <w:rPr>
          <w:rFonts w:asciiTheme="majorBidi" w:hAnsiTheme="majorBidi" w:cstheme="majorBidi"/>
          <w:sz w:val="24"/>
        </w:rPr>
        <w:t xml:space="preserve">Another significant rationale presented by Sheikh Salah is the religious, </w:t>
      </w:r>
      <w:proofErr w:type="gramStart"/>
      <w:r w:rsidRPr="003D7909">
        <w:rPr>
          <w:rFonts w:asciiTheme="majorBidi" w:hAnsiTheme="majorBidi" w:cstheme="majorBidi"/>
          <w:sz w:val="24"/>
        </w:rPr>
        <w:t>national</w:t>
      </w:r>
      <w:proofErr w:type="gramEnd"/>
      <w:r w:rsidRPr="003D7909">
        <w:rPr>
          <w:rFonts w:asciiTheme="majorBidi" w:hAnsiTheme="majorBidi" w:cstheme="majorBidi"/>
          <w:sz w:val="24"/>
        </w:rPr>
        <w:t xml:space="preserve"> and Arab danger of blurring boundaries with the Israeli public and state. After receiving Palestinian autonomy, Arab Israelis may feel that the conflict has ended, hostility towards the Zionist establishment will decrease, and they will focus efforts on finding solutions to their plight through integration into Israeli society, since the Oslo Accords did not bother to address them. This would blur the distinct national and religious identity, and Arab Israelis would undergo cultural assimilation into Israeli society.</w:t>
      </w:r>
      <w:r w:rsidR="003B1C78">
        <w:rPr>
          <w:rStyle w:val="FootnoteReference"/>
          <w:rFonts w:asciiTheme="majorBidi" w:hAnsiTheme="majorBidi" w:cstheme="majorBidi"/>
          <w:sz w:val="24"/>
        </w:rPr>
        <w:footnoteReference w:id="65"/>
      </w:r>
    </w:p>
    <w:p w14:paraId="4112DB58" w14:textId="3DE2E67B" w:rsidR="00EF3C28" w:rsidRDefault="003D7909" w:rsidP="0015491A">
      <w:pPr>
        <w:bidi w:val="0"/>
        <w:spacing w:before="240" w:after="0" w:line="480" w:lineRule="auto"/>
        <w:jc w:val="both"/>
        <w:rPr>
          <w:rFonts w:asciiTheme="majorBidi" w:hAnsiTheme="majorBidi" w:cstheme="majorBidi"/>
          <w:sz w:val="24"/>
        </w:rPr>
      </w:pPr>
      <w:r w:rsidRPr="003D7909">
        <w:rPr>
          <w:rFonts w:asciiTheme="majorBidi" w:hAnsiTheme="majorBidi" w:cstheme="majorBidi"/>
          <w:sz w:val="24"/>
        </w:rPr>
        <w:lastRenderedPageBreak/>
        <w:t xml:space="preserve">As expected, Sheikh Salah firmly stands by all the principles that constitute an obstacle to peace from an Islamic perspective, chief among them the sanctity of the land and maintaining the supremacy of Islam and </w:t>
      </w:r>
      <w:proofErr w:type="gramStart"/>
      <w:r w:rsidRPr="003D7909">
        <w:rPr>
          <w:rFonts w:asciiTheme="majorBidi" w:hAnsiTheme="majorBidi" w:cstheme="majorBidi"/>
          <w:sz w:val="24"/>
        </w:rPr>
        <w:t>Muslims, and</w:t>
      </w:r>
      <w:proofErr w:type="gramEnd"/>
      <w:r w:rsidRPr="003D7909">
        <w:rPr>
          <w:rFonts w:asciiTheme="majorBidi" w:hAnsiTheme="majorBidi" w:cstheme="majorBidi"/>
          <w:sz w:val="24"/>
        </w:rPr>
        <w:t xml:space="preserve"> emphasizes the importance of separation between different groups. His basic perception completely denies the existence of Israel, and in his actions for Al-Aqsa he also engages in harsh demonization of the Jewish side. There is no doubt that his figure serves as an example of the use of religion as a tool for fueling the conflict.</w:t>
      </w:r>
    </w:p>
    <w:p w14:paraId="4FA08F84" w14:textId="77777777" w:rsidR="0015491A" w:rsidRDefault="0015491A" w:rsidP="0015491A">
      <w:pPr>
        <w:bidi w:val="0"/>
        <w:spacing w:before="240" w:after="0" w:line="480" w:lineRule="auto"/>
        <w:jc w:val="both"/>
        <w:rPr>
          <w:rFonts w:asciiTheme="majorBidi" w:hAnsiTheme="majorBidi" w:cstheme="majorBidi"/>
          <w:sz w:val="24"/>
          <w:rtl/>
        </w:rPr>
      </w:pPr>
    </w:p>
    <w:p w14:paraId="0C43FA03" w14:textId="76FBEF6F" w:rsidR="00EF3C28" w:rsidRPr="00EF3C28" w:rsidRDefault="00EF3C28" w:rsidP="00EF3C28">
      <w:pPr>
        <w:bidi w:val="0"/>
        <w:spacing w:before="240" w:after="0" w:line="480" w:lineRule="auto"/>
        <w:jc w:val="both"/>
        <w:rPr>
          <w:rFonts w:asciiTheme="majorBidi" w:hAnsiTheme="majorBidi" w:cstheme="majorBidi"/>
          <w:b/>
          <w:bCs/>
          <w:sz w:val="24"/>
        </w:rPr>
      </w:pPr>
      <w:r w:rsidRPr="00EF3C28">
        <w:rPr>
          <w:rFonts w:asciiTheme="majorBidi" w:hAnsiTheme="majorBidi" w:cstheme="majorBidi"/>
          <w:b/>
          <w:bCs/>
          <w:sz w:val="28"/>
          <w:szCs w:val="28"/>
        </w:rPr>
        <w:t>Hamas - Oslo, Deception or Reality</w:t>
      </w:r>
    </w:p>
    <w:p w14:paraId="3B0592C3" w14:textId="3137E68E" w:rsidR="00EF3C28" w:rsidRPr="00EF3C28" w:rsidRDefault="00EF3C28" w:rsidP="00EF3C28">
      <w:pPr>
        <w:bidi w:val="0"/>
        <w:spacing w:before="240" w:after="0" w:line="480" w:lineRule="auto"/>
        <w:jc w:val="both"/>
        <w:rPr>
          <w:rFonts w:asciiTheme="majorBidi" w:hAnsiTheme="majorBidi" w:cstheme="majorBidi"/>
          <w:b/>
          <w:bCs/>
          <w:sz w:val="24"/>
        </w:rPr>
      </w:pPr>
      <w:r w:rsidRPr="00EF3C28">
        <w:rPr>
          <w:rFonts w:asciiTheme="majorBidi" w:hAnsiTheme="majorBidi" w:cstheme="majorBidi"/>
          <w:b/>
          <w:bCs/>
          <w:sz w:val="24"/>
        </w:rPr>
        <w:t>Sheikh Ahmed Yassin</w:t>
      </w:r>
    </w:p>
    <w:p w14:paraId="16B2FA03" w14:textId="187F84C3" w:rsidR="00EF3C28" w:rsidRPr="00EF3C28" w:rsidRDefault="00EF3C28" w:rsidP="00871CA6">
      <w:pPr>
        <w:bidi w:val="0"/>
        <w:spacing w:after="0" w:line="480" w:lineRule="auto"/>
        <w:jc w:val="both"/>
        <w:rPr>
          <w:rFonts w:asciiTheme="majorBidi" w:hAnsiTheme="majorBidi" w:cstheme="majorBidi"/>
          <w:sz w:val="24"/>
        </w:rPr>
      </w:pPr>
      <w:r w:rsidRPr="00EF3C28">
        <w:rPr>
          <w:rFonts w:asciiTheme="majorBidi" w:hAnsiTheme="majorBidi" w:cstheme="majorBidi"/>
          <w:sz w:val="24"/>
        </w:rPr>
        <w:t xml:space="preserve">Under Israeli rule after 1967, the Muslim Brotherhood branch in the Gaza Strip developed into a broad infrastructure of religious-social aid organizations. With the outbreak of the First Intifada in early December 1987, its leaders established an independent military organization affiliated with the Muslim Brotherhood, called Hamas - Harakat al-Muqawama al-Islamiyya (Islamic Resistance Movement). The growing organization became a rival to the secular-nationalist PLO and </w:t>
      </w:r>
      <w:proofErr w:type="gramStart"/>
      <w:r w:rsidRPr="00EF3C28">
        <w:rPr>
          <w:rFonts w:asciiTheme="majorBidi" w:hAnsiTheme="majorBidi" w:cstheme="majorBidi"/>
          <w:sz w:val="24"/>
        </w:rPr>
        <w:t>Fatah, and</w:t>
      </w:r>
      <w:proofErr w:type="gramEnd"/>
      <w:r w:rsidRPr="00EF3C28">
        <w:rPr>
          <w:rFonts w:asciiTheme="majorBidi" w:hAnsiTheme="majorBidi" w:cstheme="majorBidi"/>
          <w:sz w:val="24"/>
        </w:rPr>
        <w:t xml:space="preserve"> inscribed on its banner the jihad struggle for the homeland in the name of religion: "From the viewpoint of the Islamic Resistance Movement, nationalism (al-wataniyya) is part of the religious philosophy" (Hamas Charter, Article 12). For Hamas, the liberation of Palestine is </w:t>
      </w:r>
      <w:r w:rsidR="00496C39">
        <w:rPr>
          <w:rFonts w:asciiTheme="majorBidi" w:hAnsiTheme="majorBidi" w:cstheme="majorBidi"/>
          <w:sz w:val="24"/>
        </w:rPr>
        <w:t xml:space="preserve">the </w:t>
      </w:r>
      <w:r w:rsidRPr="00EF3C28">
        <w:rPr>
          <w:rFonts w:asciiTheme="majorBidi" w:hAnsiTheme="majorBidi" w:cstheme="majorBidi"/>
          <w:sz w:val="24"/>
        </w:rPr>
        <w:t>first</w:t>
      </w:r>
      <w:r w:rsidR="00496C39">
        <w:rPr>
          <w:rFonts w:asciiTheme="majorBidi" w:hAnsiTheme="majorBidi" w:cstheme="majorBidi"/>
          <w:sz w:val="24"/>
        </w:rPr>
        <w:t xml:space="preserve"> </w:t>
      </w:r>
      <w:r w:rsidRPr="00EF3C28">
        <w:rPr>
          <w:rFonts w:asciiTheme="majorBidi" w:hAnsiTheme="majorBidi" w:cstheme="majorBidi"/>
          <w:sz w:val="24"/>
        </w:rPr>
        <w:t>necessary step towards the Islamization of the entire Arab world.</w:t>
      </w:r>
      <w:r w:rsidR="00E670A8">
        <w:rPr>
          <w:rStyle w:val="FootnoteReference"/>
          <w:rFonts w:asciiTheme="majorBidi" w:hAnsiTheme="majorBidi" w:cstheme="majorBidi"/>
          <w:sz w:val="24"/>
        </w:rPr>
        <w:footnoteReference w:id="66"/>
      </w:r>
      <w:r w:rsidRPr="00EF3C28">
        <w:rPr>
          <w:rFonts w:asciiTheme="majorBidi" w:hAnsiTheme="majorBidi" w:cstheme="majorBidi"/>
          <w:sz w:val="24"/>
        </w:rPr>
        <w:t xml:space="preserve"> </w:t>
      </w:r>
      <w:r w:rsidR="00E670A8">
        <w:rPr>
          <w:rFonts w:asciiTheme="majorBidi" w:hAnsiTheme="majorBidi" w:cstheme="majorBidi"/>
          <w:sz w:val="24"/>
        </w:rPr>
        <w:t>T</w:t>
      </w:r>
      <w:r w:rsidRPr="00EF3C28">
        <w:rPr>
          <w:rFonts w:asciiTheme="majorBidi" w:hAnsiTheme="majorBidi" w:cstheme="majorBidi"/>
          <w:sz w:val="24"/>
        </w:rPr>
        <w:t xml:space="preserve">he head of the organization </w:t>
      </w:r>
      <w:r w:rsidR="00E670A8">
        <w:rPr>
          <w:rFonts w:asciiTheme="majorBidi" w:hAnsiTheme="majorBidi" w:cstheme="majorBidi"/>
          <w:sz w:val="24"/>
        </w:rPr>
        <w:t>was</w:t>
      </w:r>
      <w:r w:rsidRPr="00EF3C28">
        <w:rPr>
          <w:rFonts w:asciiTheme="majorBidi" w:hAnsiTheme="majorBidi" w:cstheme="majorBidi"/>
          <w:sz w:val="24"/>
        </w:rPr>
        <w:t xml:space="preserve"> Sheikh Ahmed Ismail Yassin (</w:t>
      </w:r>
      <w:r w:rsidRPr="00EF3C28">
        <w:rPr>
          <w:rFonts w:asciiTheme="majorBidi" w:hAnsiTheme="majorBidi" w:cs="Times New Roman" w:hint="cs"/>
          <w:sz w:val="24"/>
          <w:rtl/>
          <w:lang w:bidi="ar-SA"/>
        </w:rPr>
        <w:t>أحمد</w:t>
      </w:r>
      <w:r w:rsidRPr="00EF3C28">
        <w:rPr>
          <w:rFonts w:asciiTheme="majorBidi" w:hAnsiTheme="majorBidi" w:cs="Times New Roman"/>
          <w:sz w:val="24"/>
          <w:rtl/>
          <w:lang w:bidi="ar-SA"/>
        </w:rPr>
        <w:t xml:space="preserve"> </w:t>
      </w:r>
      <w:r w:rsidRPr="00EF3C28">
        <w:rPr>
          <w:rFonts w:asciiTheme="majorBidi" w:hAnsiTheme="majorBidi" w:cs="Times New Roman" w:hint="cs"/>
          <w:sz w:val="24"/>
          <w:rtl/>
          <w:lang w:bidi="ar-SA"/>
        </w:rPr>
        <w:lastRenderedPageBreak/>
        <w:t>إسماعيل</w:t>
      </w:r>
      <w:r w:rsidRPr="00EF3C28">
        <w:rPr>
          <w:rFonts w:asciiTheme="majorBidi" w:hAnsiTheme="majorBidi" w:cs="Times New Roman"/>
          <w:sz w:val="24"/>
          <w:rtl/>
          <w:lang w:bidi="ar-SA"/>
        </w:rPr>
        <w:t xml:space="preserve"> </w:t>
      </w:r>
      <w:r w:rsidRPr="00EF3C28">
        <w:rPr>
          <w:rFonts w:asciiTheme="majorBidi" w:hAnsiTheme="majorBidi" w:cs="Times New Roman" w:hint="cs"/>
          <w:sz w:val="24"/>
          <w:rtl/>
          <w:lang w:bidi="ar-SA"/>
        </w:rPr>
        <w:t>ياسين</w:t>
      </w:r>
      <w:r w:rsidRPr="00EF3C28">
        <w:rPr>
          <w:rFonts w:asciiTheme="majorBidi" w:hAnsiTheme="majorBidi" w:cs="Times New Roman"/>
          <w:sz w:val="24"/>
          <w:rtl/>
          <w:lang w:bidi="ar-SA"/>
        </w:rPr>
        <w:t>, 1936-2004</w:t>
      </w:r>
      <w:r w:rsidRPr="00EF3C28">
        <w:rPr>
          <w:rFonts w:asciiTheme="majorBidi" w:hAnsiTheme="majorBidi" w:cstheme="majorBidi"/>
          <w:sz w:val="24"/>
          <w:lang w:bidi="ar-SA"/>
        </w:rPr>
        <w:t xml:space="preserve">, </w:t>
      </w:r>
      <w:r w:rsidRPr="00EF3C28">
        <w:rPr>
          <w:rFonts w:asciiTheme="majorBidi" w:hAnsiTheme="majorBidi" w:cstheme="majorBidi"/>
          <w:sz w:val="24"/>
        </w:rPr>
        <w:t>Al-Jura-Gaza, assassinated by Israel after the deadly attacks carried out by his organization during the Second Intifada), a senior Muslim Brotherhood figure in the Strip, a charismatic preacher considered a saint and well-versed in the Quran</w:t>
      </w:r>
      <w:r w:rsidR="00496C39">
        <w:rPr>
          <w:rFonts w:asciiTheme="majorBidi" w:hAnsiTheme="majorBidi" w:cstheme="majorBidi"/>
          <w:sz w:val="24"/>
        </w:rPr>
        <w:t xml:space="preserve"> - </w:t>
      </w:r>
      <w:r w:rsidRPr="00EF3C28">
        <w:rPr>
          <w:rFonts w:asciiTheme="majorBidi" w:hAnsiTheme="majorBidi" w:cstheme="majorBidi"/>
          <w:sz w:val="24"/>
        </w:rPr>
        <w:t xml:space="preserve">despite his disability and lack of formal religious education. During the period in </w:t>
      </w:r>
      <w:r w:rsidR="0083780D">
        <w:rPr>
          <w:rFonts w:asciiTheme="majorBidi" w:hAnsiTheme="majorBidi" w:cstheme="majorBidi"/>
          <w:sz w:val="24"/>
        </w:rPr>
        <w:t>discussion</w:t>
      </w:r>
      <w:r w:rsidRPr="00EF3C28">
        <w:rPr>
          <w:rFonts w:asciiTheme="majorBidi" w:hAnsiTheme="majorBidi" w:cstheme="majorBidi"/>
          <w:sz w:val="24"/>
        </w:rPr>
        <w:t>, Yassin was in an Israeli prison (1991-1997), but even from there he continued to chart the organization's path and publish opinions and religious rulings, and popular support for him grew.</w:t>
      </w:r>
      <w:r w:rsidR="00E400D4">
        <w:rPr>
          <w:rStyle w:val="FootnoteReference"/>
          <w:rFonts w:asciiTheme="majorBidi" w:hAnsiTheme="majorBidi" w:cstheme="majorBidi"/>
          <w:sz w:val="24"/>
        </w:rPr>
        <w:footnoteReference w:id="67"/>
      </w:r>
    </w:p>
    <w:p w14:paraId="348010C7" w14:textId="15E33772" w:rsidR="00EF3C28" w:rsidRDefault="00CD67C8" w:rsidP="00E57135">
      <w:pPr>
        <w:bidi w:val="0"/>
        <w:spacing w:before="240" w:after="0" w:line="480" w:lineRule="auto"/>
        <w:jc w:val="both"/>
        <w:rPr>
          <w:rFonts w:asciiTheme="majorBidi" w:hAnsiTheme="majorBidi" w:cstheme="majorBidi"/>
          <w:sz w:val="24"/>
        </w:rPr>
      </w:pPr>
      <w:r w:rsidRPr="00CD67C8">
        <w:rPr>
          <w:rFonts w:asciiTheme="majorBidi" w:hAnsiTheme="majorBidi" w:cstheme="majorBidi"/>
          <w:sz w:val="24"/>
        </w:rPr>
        <w:t>Hamas consistently opposed any negotiation with Israel because its existence is deemed illegitimate, and any discussion with it would be considered de facto recognition. When the Oslo Accords were announced, Hamas issued an official statement condemning the "treacherous knife"</w:t>
      </w:r>
      <w:r w:rsidR="0024564E">
        <w:rPr>
          <w:rStyle w:val="FootnoteReference"/>
          <w:rFonts w:asciiTheme="majorBidi" w:hAnsiTheme="majorBidi" w:cstheme="majorBidi"/>
          <w:sz w:val="24"/>
        </w:rPr>
        <w:footnoteReference w:id="68"/>
      </w:r>
      <w:r w:rsidRPr="00CD67C8">
        <w:rPr>
          <w:rFonts w:asciiTheme="majorBidi" w:hAnsiTheme="majorBidi" w:cstheme="majorBidi"/>
          <w:sz w:val="24"/>
        </w:rPr>
        <w:t xml:space="preserve"> that the PLO had stabbed in the nation's back. The organization had numerous reasons to reject the Oslo Accords, which threatened its standing among the Palestinian public as a movement based on armed struggle against the Zionist occupation and claiming the right to represent the Palestinians. Among the prominent geopolitical reasons reiterated in the organization's statements and articles published by figures associated with it: the timing in which the agreement was imposed on the Palestinian side in a state of significant weakness; the secretive and unbecoming manner in which it was achieved; its ambiguous phrasing that could be interpreted to the Palestinians' detriment; the willingness to renounce jihad and act against those </w:t>
      </w:r>
      <w:r w:rsidRPr="00CD67C8">
        <w:rPr>
          <w:rFonts w:asciiTheme="majorBidi" w:hAnsiTheme="majorBidi" w:cstheme="majorBidi"/>
          <w:sz w:val="24"/>
        </w:rPr>
        <w:lastRenderedPageBreak/>
        <w:t>engaged in it; fueling internal disputes and turning the PLO into an agent that would fight against its fellow Palestinians on Israel's behalf; deferring discussion of core issues such as Jerusalem and the settlements, effectively recognizing the current situation; the lack of true sovereignty for the envisioned Palestinian autonomous entity; and the almost complete economic dependence of this entity on Israel.</w:t>
      </w:r>
      <w:r w:rsidR="00E848C2">
        <w:rPr>
          <w:rStyle w:val="FootnoteReference"/>
          <w:rFonts w:asciiTheme="majorBidi" w:hAnsiTheme="majorBidi" w:cstheme="majorBidi"/>
          <w:sz w:val="24"/>
        </w:rPr>
        <w:footnoteReference w:id="69"/>
      </w:r>
      <w:r w:rsidRPr="00CD67C8">
        <w:rPr>
          <w:rFonts w:asciiTheme="majorBidi" w:hAnsiTheme="majorBidi" w:cstheme="majorBidi"/>
          <w:sz w:val="24"/>
        </w:rPr>
        <w:t xml:space="preserve"> In short, "the agreement is simply another form of occupation... the Zionist entity offers us only crumbs"</w:t>
      </w:r>
      <w:r w:rsidR="00E848C2">
        <w:rPr>
          <w:rStyle w:val="FootnoteReference"/>
          <w:rFonts w:asciiTheme="majorBidi" w:hAnsiTheme="majorBidi" w:cstheme="majorBidi"/>
          <w:sz w:val="24"/>
        </w:rPr>
        <w:footnoteReference w:id="70"/>
      </w:r>
      <w:r w:rsidRPr="00CD67C8">
        <w:rPr>
          <w:rFonts w:asciiTheme="majorBidi" w:hAnsiTheme="majorBidi" w:cstheme="majorBidi"/>
          <w:sz w:val="24"/>
        </w:rPr>
        <w:t xml:space="preserve"> intended to achieve security for Israel.</w:t>
      </w:r>
    </w:p>
    <w:p w14:paraId="497306F2" w14:textId="795908CB" w:rsidR="00581B78" w:rsidRPr="00CC3232" w:rsidRDefault="00871CA6" w:rsidP="00CC3232">
      <w:pPr>
        <w:bidi w:val="0"/>
        <w:spacing w:before="240" w:after="0" w:line="480" w:lineRule="auto"/>
        <w:jc w:val="both"/>
        <w:rPr>
          <w:rFonts w:asciiTheme="majorBidi" w:hAnsiTheme="majorBidi" w:cstheme="majorBidi"/>
          <w:sz w:val="24"/>
        </w:rPr>
      </w:pPr>
      <w:r w:rsidRPr="00871CA6">
        <w:rPr>
          <w:rFonts w:asciiTheme="majorBidi" w:hAnsiTheme="majorBidi" w:cstheme="majorBidi"/>
          <w:sz w:val="24"/>
        </w:rPr>
        <w:t xml:space="preserve">Even disregarding the geopolitical shortcomings of the agreement, it is invalid for a simple reason: betrayal of Islamic principles. In an official statement by the organization, it was written: "We believe that Palestine is a holy land", and as waqf land, no Palestinian ruler or generation has the right to relinquish a grain of it, and therefore "a curse shall befall whoever neglects it and hands it over as a gift to the </w:t>
      </w:r>
      <w:r w:rsidRPr="00871CA6">
        <w:rPr>
          <w:rFonts w:asciiTheme="majorBidi" w:hAnsiTheme="majorBidi" w:cstheme="majorBidi"/>
          <w:sz w:val="24"/>
        </w:rPr>
        <w:lastRenderedPageBreak/>
        <w:t>[Jews] enemies of humanity."</w:t>
      </w:r>
      <w:r w:rsidR="003B7050">
        <w:rPr>
          <w:rStyle w:val="FootnoteReference"/>
          <w:rFonts w:asciiTheme="majorBidi" w:hAnsiTheme="majorBidi" w:cstheme="majorBidi"/>
          <w:sz w:val="24"/>
        </w:rPr>
        <w:footnoteReference w:id="71"/>
      </w:r>
      <w:r w:rsidRPr="00871CA6">
        <w:rPr>
          <w:rFonts w:asciiTheme="majorBidi" w:hAnsiTheme="majorBidi" w:cstheme="majorBidi"/>
          <w:sz w:val="24"/>
        </w:rPr>
        <w:t xml:space="preserve"> From the Shari'a legal status of Palestine is derived the way to liberate it: "Jihad is the way to victory."</w:t>
      </w:r>
      <w:r w:rsidR="003B7050">
        <w:rPr>
          <w:rStyle w:val="FootnoteReference"/>
          <w:rFonts w:asciiTheme="majorBidi" w:hAnsiTheme="majorBidi" w:cstheme="majorBidi"/>
          <w:sz w:val="24"/>
        </w:rPr>
        <w:footnoteReference w:id="72"/>
      </w:r>
      <w:r w:rsidRPr="00871CA6">
        <w:rPr>
          <w:rFonts w:asciiTheme="majorBidi" w:hAnsiTheme="majorBidi" w:cstheme="majorBidi"/>
          <w:sz w:val="24"/>
        </w:rPr>
        <w:t xml:space="preserve"> The </w:t>
      </w:r>
      <w:r w:rsidR="00F012C4">
        <w:rPr>
          <w:rFonts w:asciiTheme="majorBidi" w:hAnsiTheme="majorBidi" w:cstheme="majorBidi"/>
          <w:sz w:val="24"/>
        </w:rPr>
        <w:t>DOP</w:t>
      </w:r>
      <w:r w:rsidRPr="00871CA6">
        <w:rPr>
          <w:rFonts w:asciiTheme="majorBidi" w:hAnsiTheme="majorBidi" w:cstheme="majorBidi"/>
          <w:sz w:val="24"/>
        </w:rPr>
        <w:t xml:space="preserve"> does not meet the Shari'a conditions for peace agreements because it is part of a permanent peace process, includes recognition of Israel and its right over Palestinian land, and does not grant clear advantages to the Palestinians. Therefore, comparisons to the </w:t>
      </w:r>
      <w:r w:rsidR="00E81652">
        <w:rPr>
          <w:rFonts w:asciiTheme="majorBidi" w:hAnsiTheme="majorBidi" w:cstheme="majorBidi"/>
          <w:sz w:val="24"/>
        </w:rPr>
        <w:t>Treaty of Al-</w:t>
      </w:r>
      <w:r w:rsidR="000F1C7E" w:rsidRPr="000F1C7E">
        <w:rPr>
          <w:rFonts w:asciiTheme="majorBidi" w:hAnsiTheme="majorBidi" w:cstheme="majorBidi"/>
          <w:sz w:val="24"/>
        </w:rPr>
        <w:t>Hudaybiya</w:t>
      </w:r>
      <w:r w:rsidRPr="00871CA6">
        <w:rPr>
          <w:rFonts w:asciiTheme="majorBidi" w:hAnsiTheme="majorBidi" w:cstheme="majorBidi"/>
          <w:sz w:val="24"/>
        </w:rPr>
        <w:t xml:space="preserve"> are inappropriate. Additionally, the </w:t>
      </w:r>
      <w:r w:rsidR="00F012C4">
        <w:rPr>
          <w:rFonts w:asciiTheme="majorBidi" w:hAnsiTheme="majorBidi" w:cstheme="majorBidi"/>
          <w:sz w:val="24"/>
        </w:rPr>
        <w:t>DOP</w:t>
      </w:r>
      <w:r w:rsidRPr="00871CA6">
        <w:rPr>
          <w:rFonts w:asciiTheme="majorBidi" w:hAnsiTheme="majorBidi" w:cstheme="majorBidi"/>
          <w:sz w:val="24"/>
        </w:rPr>
        <w:t xml:space="preserve"> is detached from the Islamist worldview that sees Israel as a foreign implant </w:t>
      </w:r>
      <w:proofErr w:type="gramStart"/>
      <w:r w:rsidRPr="00871CA6">
        <w:rPr>
          <w:rFonts w:asciiTheme="majorBidi" w:hAnsiTheme="majorBidi" w:cstheme="majorBidi"/>
          <w:sz w:val="24"/>
        </w:rPr>
        <w:t>doomed to perish</w:t>
      </w:r>
      <w:proofErr w:type="gramEnd"/>
      <w:r w:rsidRPr="00871CA6">
        <w:rPr>
          <w:rFonts w:asciiTheme="majorBidi" w:hAnsiTheme="majorBidi" w:cstheme="majorBidi"/>
          <w:sz w:val="24"/>
        </w:rPr>
        <w:t xml:space="preserve">, and instead grants it breath for another period that will prolong the suffering of the Palestinians. After about a year of digesting the new reality, Hamas unleashed a wave of deadly attacks inside Israel, aimed at undermining the peace process and shaking the standing of the nascent Palestinian Authority. However, the organization was careful to show that it does not entirely reject peace. In 1993-1996 (and later), Sheikh Yassin and other senior figures declared their readiness for a long-term </w:t>
      </w:r>
      <w:r w:rsidR="00F67214">
        <w:rPr>
          <w:rFonts w:asciiTheme="majorBidi" w:hAnsiTheme="majorBidi" w:cstheme="majorBidi"/>
          <w:i/>
          <w:iCs/>
          <w:sz w:val="24"/>
        </w:rPr>
        <w:t>H</w:t>
      </w:r>
      <w:r w:rsidRPr="00F67214">
        <w:rPr>
          <w:rFonts w:asciiTheme="majorBidi" w:hAnsiTheme="majorBidi" w:cstheme="majorBidi"/>
          <w:i/>
          <w:iCs/>
          <w:sz w:val="24"/>
        </w:rPr>
        <w:t>udna</w:t>
      </w:r>
      <w:r w:rsidR="00F67214">
        <w:rPr>
          <w:rFonts w:asciiTheme="majorBidi" w:hAnsiTheme="majorBidi" w:cstheme="majorBidi"/>
          <w:sz w:val="24"/>
        </w:rPr>
        <w:t xml:space="preserve"> (</w:t>
      </w:r>
      <w:r w:rsidR="00744D3D">
        <w:rPr>
          <w:rFonts w:asciiTheme="majorBidi" w:hAnsiTheme="majorBidi" w:cstheme="majorBidi"/>
          <w:sz w:val="24"/>
        </w:rPr>
        <w:t>c</w:t>
      </w:r>
      <w:r w:rsidR="002C4507" w:rsidRPr="002C4507">
        <w:rPr>
          <w:rFonts w:asciiTheme="majorBidi" w:hAnsiTheme="majorBidi" w:cstheme="majorBidi"/>
          <w:sz w:val="24"/>
        </w:rPr>
        <w:t>easefire</w:t>
      </w:r>
      <w:r w:rsidR="00F67214">
        <w:rPr>
          <w:rFonts w:asciiTheme="majorBidi" w:hAnsiTheme="majorBidi" w:cstheme="majorBidi"/>
          <w:sz w:val="24"/>
        </w:rPr>
        <w:t>)</w:t>
      </w:r>
      <w:r w:rsidRPr="00871CA6">
        <w:rPr>
          <w:rFonts w:asciiTheme="majorBidi" w:hAnsiTheme="majorBidi" w:cstheme="majorBidi"/>
          <w:sz w:val="24"/>
        </w:rPr>
        <w:t xml:space="preserve">, subject to several conditions: Israel evacuates settlements and withdraws to the 1967 lines; recognizes an independent and sovereign Palestinian state with East Jerusalem including Al-Aqsa as its capital; compensates the refugees and their descendants irrespective of the right of return; and immediately releases all prisoners. For Hamas, the </w:t>
      </w:r>
      <w:r w:rsidRPr="00102484">
        <w:rPr>
          <w:rFonts w:asciiTheme="majorBidi" w:hAnsiTheme="majorBidi" w:cstheme="majorBidi"/>
          <w:i/>
          <w:iCs/>
          <w:sz w:val="24"/>
        </w:rPr>
        <w:t>hudna</w:t>
      </w:r>
      <w:r w:rsidRPr="00871CA6">
        <w:rPr>
          <w:rFonts w:asciiTheme="majorBidi" w:hAnsiTheme="majorBidi" w:cstheme="majorBidi"/>
          <w:sz w:val="24"/>
        </w:rPr>
        <w:t xml:space="preserve"> is part of the concept of </w:t>
      </w:r>
      <w:r w:rsidR="00102484" w:rsidRPr="00102484">
        <w:rPr>
          <w:rFonts w:asciiTheme="majorBidi" w:hAnsiTheme="majorBidi" w:cstheme="majorBidi"/>
          <w:i/>
          <w:iCs/>
          <w:sz w:val="24"/>
        </w:rPr>
        <w:t>J</w:t>
      </w:r>
      <w:r w:rsidRPr="00102484">
        <w:rPr>
          <w:rFonts w:asciiTheme="majorBidi" w:hAnsiTheme="majorBidi" w:cstheme="majorBidi"/>
          <w:i/>
          <w:iCs/>
          <w:sz w:val="24"/>
        </w:rPr>
        <w:t>ihad</w:t>
      </w:r>
      <w:r w:rsidRPr="00871CA6">
        <w:rPr>
          <w:rFonts w:asciiTheme="majorBidi" w:hAnsiTheme="majorBidi" w:cstheme="majorBidi"/>
          <w:sz w:val="24"/>
        </w:rPr>
        <w:t xml:space="preserve">, as its purpose is to accumulate strength </w:t>
      </w:r>
      <w:proofErr w:type="gramStart"/>
      <w:r w:rsidRPr="00871CA6">
        <w:rPr>
          <w:rFonts w:asciiTheme="majorBidi" w:hAnsiTheme="majorBidi" w:cstheme="majorBidi"/>
          <w:sz w:val="24"/>
        </w:rPr>
        <w:t>in order to</w:t>
      </w:r>
      <w:proofErr w:type="gramEnd"/>
      <w:r w:rsidRPr="00871CA6">
        <w:rPr>
          <w:rFonts w:asciiTheme="majorBidi" w:hAnsiTheme="majorBidi" w:cstheme="majorBidi"/>
          <w:sz w:val="24"/>
        </w:rPr>
        <w:t xml:space="preserve"> reach the next stage of </w:t>
      </w:r>
      <w:r w:rsidR="00102484" w:rsidRPr="00157A3A">
        <w:rPr>
          <w:rFonts w:asciiTheme="majorBidi" w:hAnsiTheme="majorBidi" w:cstheme="majorBidi"/>
          <w:i/>
          <w:iCs/>
          <w:sz w:val="24"/>
        </w:rPr>
        <w:t>J</w:t>
      </w:r>
      <w:r w:rsidRPr="00157A3A">
        <w:rPr>
          <w:rFonts w:asciiTheme="majorBidi" w:hAnsiTheme="majorBidi" w:cstheme="majorBidi"/>
          <w:i/>
          <w:iCs/>
          <w:sz w:val="24"/>
        </w:rPr>
        <w:t>ihad</w:t>
      </w:r>
      <w:r w:rsidRPr="00871CA6">
        <w:rPr>
          <w:rFonts w:asciiTheme="majorBidi" w:hAnsiTheme="majorBidi" w:cstheme="majorBidi"/>
          <w:sz w:val="24"/>
        </w:rPr>
        <w:t xml:space="preserve"> stronger, even if in the next generation: "The term </w:t>
      </w:r>
      <w:r w:rsidR="00157A3A" w:rsidRPr="00157A3A">
        <w:rPr>
          <w:rFonts w:asciiTheme="majorBidi" w:hAnsiTheme="majorBidi" w:cstheme="majorBidi"/>
          <w:i/>
          <w:iCs/>
          <w:sz w:val="24"/>
        </w:rPr>
        <w:t>H</w:t>
      </w:r>
      <w:r w:rsidRPr="00157A3A">
        <w:rPr>
          <w:rFonts w:asciiTheme="majorBidi" w:hAnsiTheme="majorBidi" w:cstheme="majorBidi"/>
          <w:i/>
          <w:iCs/>
          <w:sz w:val="24"/>
        </w:rPr>
        <w:t>udna</w:t>
      </w:r>
      <w:r w:rsidRPr="00871CA6">
        <w:rPr>
          <w:rFonts w:asciiTheme="majorBidi" w:hAnsiTheme="majorBidi" w:cstheme="majorBidi"/>
          <w:sz w:val="24"/>
        </w:rPr>
        <w:t>...expresses the continuity of the conflict...</w:t>
      </w:r>
      <w:r w:rsidRPr="00157A3A">
        <w:rPr>
          <w:rFonts w:asciiTheme="majorBidi" w:hAnsiTheme="majorBidi" w:cstheme="majorBidi"/>
          <w:i/>
          <w:iCs/>
          <w:sz w:val="24"/>
        </w:rPr>
        <w:t>Hudna</w:t>
      </w:r>
      <w:r w:rsidRPr="00871CA6">
        <w:rPr>
          <w:rFonts w:asciiTheme="majorBidi" w:hAnsiTheme="majorBidi" w:cstheme="majorBidi"/>
          <w:sz w:val="24"/>
        </w:rPr>
        <w:t xml:space="preserve"> is political and military action linked to an assessment of the situation..., and to the supreme interests of the [Muslim] nation." And in contrast to the Oslo accords, a </w:t>
      </w:r>
      <w:r w:rsidR="00157A3A" w:rsidRPr="00157A3A">
        <w:rPr>
          <w:rFonts w:asciiTheme="majorBidi" w:hAnsiTheme="majorBidi" w:cstheme="majorBidi"/>
          <w:i/>
          <w:iCs/>
          <w:sz w:val="24"/>
        </w:rPr>
        <w:t>H</w:t>
      </w:r>
      <w:r w:rsidRPr="00157A3A">
        <w:rPr>
          <w:rFonts w:asciiTheme="majorBidi" w:hAnsiTheme="majorBidi" w:cstheme="majorBidi"/>
          <w:i/>
          <w:iCs/>
          <w:sz w:val="24"/>
        </w:rPr>
        <w:t>udna</w:t>
      </w:r>
      <w:r w:rsidRPr="00871CA6">
        <w:rPr>
          <w:rFonts w:asciiTheme="majorBidi" w:hAnsiTheme="majorBidi" w:cstheme="majorBidi"/>
          <w:sz w:val="24"/>
        </w:rPr>
        <w:t xml:space="preserve"> as proposed by Hamas "does not appear in Shari'a history </w:t>
      </w:r>
      <w:r w:rsidRPr="00871CA6">
        <w:rPr>
          <w:rFonts w:asciiTheme="majorBidi" w:hAnsiTheme="majorBidi" w:cstheme="majorBidi"/>
          <w:sz w:val="24"/>
        </w:rPr>
        <w:lastRenderedPageBreak/>
        <w:t>in the context of surrender."</w:t>
      </w:r>
      <w:r w:rsidR="00581B78">
        <w:rPr>
          <w:rStyle w:val="FootnoteReference"/>
          <w:rFonts w:asciiTheme="majorBidi" w:hAnsiTheme="majorBidi" w:cstheme="majorBidi"/>
          <w:sz w:val="24"/>
        </w:rPr>
        <w:footnoteReference w:id="73"/>
      </w:r>
      <w:r w:rsidRPr="00871CA6">
        <w:rPr>
          <w:rFonts w:asciiTheme="majorBidi" w:hAnsiTheme="majorBidi" w:cstheme="majorBidi"/>
          <w:sz w:val="24"/>
        </w:rPr>
        <w:t xml:space="preserve"> This is not about moderation or a desire to resolve the absolute, existential conflict with Israel, but rather an adoption of the phased theory, as evidenced by the conditions set by the organization, which Israel would find very difficult to agree to due to the threat they pose to its security and character.</w:t>
      </w:r>
      <w:r w:rsidR="00CC3232">
        <w:rPr>
          <w:rStyle w:val="FootnoteReference"/>
          <w:rFonts w:asciiTheme="majorBidi" w:hAnsiTheme="majorBidi" w:cstheme="majorBidi"/>
          <w:sz w:val="24"/>
        </w:rPr>
        <w:footnoteReference w:id="74"/>
      </w:r>
    </w:p>
    <w:p w14:paraId="76AE7A1F" w14:textId="66D14DBC" w:rsidR="00C95C5E" w:rsidRPr="00C95C5E" w:rsidRDefault="00C95C5E" w:rsidP="00FD659F">
      <w:pPr>
        <w:bidi w:val="0"/>
        <w:spacing w:before="240" w:after="0" w:line="480" w:lineRule="auto"/>
        <w:jc w:val="both"/>
        <w:rPr>
          <w:rFonts w:asciiTheme="majorBidi" w:hAnsiTheme="majorBidi" w:cstheme="majorBidi"/>
          <w:sz w:val="24"/>
        </w:rPr>
      </w:pPr>
      <w:r w:rsidRPr="00C95C5E">
        <w:rPr>
          <w:rFonts w:asciiTheme="majorBidi" w:hAnsiTheme="majorBidi" w:cstheme="majorBidi"/>
          <w:sz w:val="24"/>
        </w:rPr>
        <w:t xml:space="preserve">Despite its vehement opposition to the Oslo process and the worldview it was based on, and despite Hamas's </w:t>
      </w:r>
      <w:r w:rsidR="005E7252">
        <w:rPr>
          <w:rFonts w:asciiTheme="majorBidi" w:hAnsiTheme="majorBidi" w:cstheme="majorBidi"/>
          <w:sz w:val="24"/>
        </w:rPr>
        <w:t xml:space="preserve">religious </w:t>
      </w:r>
      <w:r w:rsidRPr="00C95C5E">
        <w:rPr>
          <w:rFonts w:asciiTheme="majorBidi" w:hAnsiTheme="majorBidi" w:cstheme="majorBidi"/>
          <w:sz w:val="24"/>
        </w:rPr>
        <w:t>refusal</w:t>
      </w:r>
      <w:r w:rsidR="005E7252">
        <w:rPr>
          <w:rFonts w:asciiTheme="majorBidi" w:hAnsiTheme="majorBidi" w:cstheme="majorBidi"/>
          <w:sz w:val="24"/>
        </w:rPr>
        <w:t xml:space="preserve"> </w:t>
      </w:r>
      <w:r w:rsidRPr="00C95C5E">
        <w:rPr>
          <w:rFonts w:asciiTheme="majorBidi" w:hAnsiTheme="majorBidi" w:cstheme="majorBidi"/>
          <w:sz w:val="24"/>
        </w:rPr>
        <w:t>to recognize an unjust ruler who derives authority from the enemy, the message of Sheikh Yassin and the political bureau remained one of Palestinian unity. "The Zionist enemy is the root and basis of all the suffering of our people"</w:t>
      </w:r>
      <w:r w:rsidR="00682A8B">
        <w:rPr>
          <w:rStyle w:val="FootnoteReference"/>
          <w:rFonts w:asciiTheme="majorBidi" w:hAnsiTheme="majorBidi" w:cstheme="majorBidi"/>
          <w:sz w:val="24"/>
        </w:rPr>
        <w:footnoteReference w:id="75"/>
      </w:r>
      <w:r w:rsidRPr="00C95C5E">
        <w:rPr>
          <w:rFonts w:asciiTheme="majorBidi" w:hAnsiTheme="majorBidi" w:cstheme="majorBidi"/>
          <w:sz w:val="24"/>
        </w:rPr>
        <w:t xml:space="preserve"> and therefore the organization would not fulfill the enemy's wishes </w:t>
      </w:r>
      <w:r w:rsidR="009B4C5C">
        <w:rPr>
          <w:rFonts w:asciiTheme="majorBidi" w:hAnsiTheme="majorBidi" w:cstheme="majorBidi"/>
          <w:sz w:val="24"/>
        </w:rPr>
        <w:t>to</w:t>
      </w:r>
      <w:r w:rsidRPr="00C95C5E">
        <w:rPr>
          <w:rFonts w:asciiTheme="majorBidi" w:hAnsiTheme="majorBidi" w:cstheme="majorBidi"/>
          <w:sz w:val="24"/>
        </w:rPr>
        <w:t xml:space="preserve"> weaken the Palestinian struggle through fratricidal conflict.</w:t>
      </w:r>
      <w:r w:rsidR="00EC37D4">
        <w:rPr>
          <w:rStyle w:val="FootnoteReference"/>
          <w:rFonts w:asciiTheme="majorBidi" w:hAnsiTheme="majorBidi" w:cstheme="majorBidi"/>
          <w:sz w:val="24"/>
        </w:rPr>
        <w:footnoteReference w:id="76"/>
      </w:r>
      <w:r w:rsidRPr="00C95C5E">
        <w:rPr>
          <w:rFonts w:asciiTheme="majorBidi" w:hAnsiTheme="majorBidi" w:cstheme="majorBidi"/>
          <w:sz w:val="24"/>
        </w:rPr>
        <w:t xml:space="preserve"> The organization's complex stance </w:t>
      </w:r>
      <w:r w:rsidRPr="00C95C5E">
        <w:rPr>
          <w:rFonts w:asciiTheme="majorBidi" w:hAnsiTheme="majorBidi" w:cstheme="majorBidi"/>
          <w:sz w:val="24"/>
        </w:rPr>
        <w:lastRenderedPageBreak/>
        <w:t xml:space="preserve">towards the PLO and the Oslo process was reflected in the issue of the elections for the Palestinian Legislative Council held in January 1996. On one hand, Sheikh Yassin and leaders of the military and political wings repeatedly stated that Hamas would not participate in elections seen as a referendum on </w:t>
      </w:r>
      <w:r w:rsidR="00D51F50">
        <w:rPr>
          <w:rFonts w:asciiTheme="majorBidi" w:hAnsiTheme="majorBidi" w:cstheme="majorBidi"/>
          <w:sz w:val="24"/>
        </w:rPr>
        <w:t xml:space="preserve">the </w:t>
      </w:r>
      <w:r w:rsidRPr="00C95C5E">
        <w:rPr>
          <w:rFonts w:asciiTheme="majorBidi" w:hAnsiTheme="majorBidi" w:cstheme="majorBidi"/>
          <w:sz w:val="24"/>
        </w:rPr>
        <w:t>Oslo</w:t>
      </w:r>
      <w:r w:rsidR="00D51F50">
        <w:rPr>
          <w:rFonts w:asciiTheme="majorBidi" w:hAnsiTheme="majorBidi" w:cstheme="majorBidi"/>
          <w:sz w:val="24"/>
        </w:rPr>
        <w:t xml:space="preserve"> Process</w:t>
      </w:r>
      <w:r w:rsidRPr="00C95C5E">
        <w:rPr>
          <w:rFonts w:asciiTheme="majorBidi" w:hAnsiTheme="majorBidi" w:cstheme="majorBidi"/>
          <w:sz w:val="24"/>
        </w:rPr>
        <w:t>, nor take part in institutions arising from agreements it rejects. On the other hand, Sheikh Yassin described how the elections could grant the movement significant power to protect its values and institutions, force the PLO to address its positions, and allow it to promote its worldview as the main opposition force. Ultimately, Hamas did not officially participate in the elections. Given that a significant electoral achievement was not guaranteed, and that the Council's powers under Arafat's shadow were limited, the organization saw no need to join a "system they hoped to replace for the sake of coexistence with a state they hoped to destroy"</w:t>
      </w:r>
      <w:r w:rsidR="00EC37D4">
        <w:rPr>
          <w:rStyle w:val="FootnoteReference"/>
          <w:rFonts w:asciiTheme="majorBidi" w:hAnsiTheme="majorBidi" w:cstheme="majorBidi"/>
          <w:sz w:val="24"/>
        </w:rPr>
        <w:footnoteReference w:id="77"/>
      </w:r>
      <w:r w:rsidRPr="00C95C5E">
        <w:rPr>
          <w:rFonts w:asciiTheme="majorBidi" w:hAnsiTheme="majorBidi" w:cstheme="majorBidi"/>
          <w:sz w:val="24"/>
        </w:rPr>
        <w:t xml:space="preserve"> and thereby abandon the ideology of complete non-recognition of Israel. However, the organization was active in arenas of 'Palestinian public interest', such as local elections, labor committees and student unions, </w:t>
      </w:r>
      <w:proofErr w:type="gramStart"/>
      <w:r w:rsidRPr="00C95C5E">
        <w:rPr>
          <w:rFonts w:asciiTheme="majorBidi" w:hAnsiTheme="majorBidi" w:cstheme="majorBidi"/>
          <w:sz w:val="24"/>
        </w:rPr>
        <w:t>in order to</w:t>
      </w:r>
      <w:proofErr w:type="gramEnd"/>
      <w:r w:rsidRPr="00C95C5E">
        <w:rPr>
          <w:rFonts w:asciiTheme="majorBidi" w:hAnsiTheme="majorBidi" w:cstheme="majorBidi"/>
          <w:sz w:val="24"/>
        </w:rPr>
        <w:t xml:space="preserve"> consolidate its power separately from the Palestinian Authority.</w:t>
      </w:r>
      <w:r w:rsidR="00EC37D4">
        <w:rPr>
          <w:rStyle w:val="FootnoteReference"/>
          <w:rFonts w:asciiTheme="majorBidi" w:hAnsiTheme="majorBidi" w:cstheme="majorBidi"/>
          <w:sz w:val="24"/>
        </w:rPr>
        <w:footnoteReference w:id="78"/>
      </w:r>
      <w:r w:rsidRPr="00C95C5E">
        <w:rPr>
          <w:rFonts w:asciiTheme="majorBidi" w:hAnsiTheme="majorBidi" w:cstheme="majorBidi"/>
          <w:sz w:val="24"/>
        </w:rPr>
        <w:t xml:space="preserve"> </w:t>
      </w:r>
    </w:p>
    <w:p w14:paraId="31425D50" w14:textId="582A7FBF" w:rsidR="00C95C5E" w:rsidRPr="00C95C5E" w:rsidRDefault="00C95C5E" w:rsidP="00C95C5E">
      <w:pPr>
        <w:bidi w:val="0"/>
        <w:spacing w:before="240" w:after="0" w:line="480" w:lineRule="auto"/>
        <w:jc w:val="both"/>
        <w:rPr>
          <w:rFonts w:asciiTheme="majorBidi" w:hAnsiTheme="majorBidi" w:cstheme="majorBidi"/>
          <w:sz w:val="24"/>
        </w:rPr>
      </w:pPr>
      <w:r w:rsidRPr="00C95C5E">
        <w:rPr>
          <w:rFonts w:asciiTheme="majorBidi" w:hAnsiTheme="majorBidi" w:cstheme="majorBidi"/>
          <w:sz w:val="24"/>
        </w:rPr>
        <w:t>In summary, Hamas's position is expressed in the words of Sheikh Yassin: "Peace is the demand of every human being... We want peace more than anyone else in the world"</w:t>
      </w:r>
      <w:r w:rsidR="00D865EB">
        <w:rPr>
          <w:rStyle w:val="FootnoteReference"/>
          <w:rFonts w:asciiTheme="majorBidi" w:hAnsiTheme="majorBidi" w:cstheme="majorBidi"/>
          <w:sz w:val="24"/>
        </w:rPr>
        <w:footnoteReference w:id="79"/>
      </w:r>
      <w:r w:rsidRPr="00C95C5E">
        <w:rPr>
          <w:rFonts w:asciiTheme="majorBidi" w:hAnsiTheme="majorBidi" w:cstheme="majorBidi"/>
          <w:sz w:val="24"/>
        </w:rPr>
        <w:t xml:space="preserve"> but only a peace that is fair and just – the Palestinian term meaning the long-term obliteration of Israel, and in Hamas's case, the establishment of an Islamic Palestinian </w:t>
      </w:r>
      <w:r w:rsidRPr="00C95C5E">
        <w:rPr>
          <w:rFonts w:asciiTheme="majorBidi" w:hAnsiTheme="majorBidi" w:cstheme="majorBidi"/>
          <w:sz w:val="24"/>
        </w:rPr>
        <w:lastRenderedPageBreak/>
        <w:t xml:space="preserve">state on its ruins. The </w:t>
      </w:r>
      <w:r w:rsidR="00F012C4">
        <w:rPr>
          <w:rFonts w:asciiTheme="majorBidi" w:hAnsiTheme="majorBidi" w:cstheme="majorBidi"/>
          <w:sz w:val="24"/>
        </w:rPr>
        <w:t>DOP</w:t>
      </w:r>
      <w:r w:rsidRPr="00C95C5E">
        <w:rPr>
          <w:rFonts w:asciiTheme="majorBidi" w:hAnsiTheme="majorBidi" w:cstheme="majorBidi"/>
          <w:sz w:val="24"/>
        </w:rPr>
        <w:t>, as stated, is far from aiding this goal, and even jeopardized Hamas's raison d'etre. Despite its insistence on preserving Palestinian unity, Hamas refused to recognize the new reality and take part in it. By employing religious principles that inflame and sanctify the conflict, the organization persisted in the view that the only path to peace is jihad leading to an independent Muslim Palestinian state where Jews would enjoy religious freedom</w:t>
      </w:r>
      <w:r w:rsidR="00A00C5D">
        <w:rPr>
          <w:rFonts w:asciiTheme="majorBidi" w:hAnsiTheme="majorBidi" w:cstheme="majorBidi"/>
          <w:sz w:val="24"/>
        </w:rPr>
        <w:t xml:space="preserve"> as </w:t>
      </w:r>
      <w:r w:rsidR="00A00C5D" w:rsidRPr="00A00C5D">
        <w:rPr>
          <w:rFonts w:asciiTheme="majorBidi" w:hAnsiTheme="majorBidi" w:cstheme="majorBidi"/>
          <w:i/>
          <w:iCs/>
          <w:sz w:val="24"/>
        </w:rPr>
        <w:t xml:space="preserve">Ahal al- </w:t>
      </w:r>
      <w:proofErr w:type="gramStart"/>
      <w:r w:rsidR="00A00C5D" w:rsidRPr="00A00C5D">
        <w:rPr>
          <w:rFonts w:asciiTheme="majorBidi" w:hAnsiTheme="majorBidi" w:cstheme="majorBidi"/>
          <w:i/>
          <w:iCs/>
          <w:sz w:val="24"/>
        </w:rPr>
        <w:t>Dhimma</w:t>
      </w:r>
      <w:r w:rsidRPr="00C95C5E">
        <w:rPr>
          <w:rFonts w:asciiTheme="majorBidi" w:hAnsiTheme="majorBidi" w:cstheme="majorBidi"/>
          <w:sz w:val="24"/>
        </w:rPr>
        <w:t>, and</w:t>
      </w:r>
      <w:proofErr w:type="gramEnd"/>
      <w:r w:rsidRPr="00C95C5E">
        <w:rPr>
          <w:rFonts w:asciiTheme="majorBidi" w:hAnsiTheme="majorBidi" w:cstheme="majorBidi"/>
          <w:sz w:val="24"/>
        </w:rPr>
        <w:t xml:space="preserve"> utilized terror in its </w:t>
      </w:r>
      <w:r w:rsidR="00F15FF8">
        <w:rPr>
          <w:rFonts w:asciiTheme="majorBidi" w:hAnsiTheme="majorBidi" w:cstheme="majorBidi"/>
          <w:sz w:val="24"/>
        </w:rPr>
        <w:t>–</w:t>
      </w:r>
      <w:r w:rsidR="00F15FF8" w:rsidRPr="00C95C5E">
        <w:rPr>
          <w:rFonts w:asciiTheme="majorBidi" w:hAnsiTheme="majorBidi" w:cstheme="majorBidi"/>
          <w:sz w:val="24"/>
        </w:rPr>
        <w:t>successful</w:t>
      </w:r>
      <w:r w:rsidR="00F15FF8">
        <w:rPr>
          <w:rFonts w:asciiTheme="majorBidi" w:hAnsiTheme="majorBidi" w:cstheme="majorBidi"/>
          <w:sz w:val="24"/>
        </w:rPr>
        <w:t xml:space="preserve">- </w:t>
      </w:r>
      <w:r w:rsidRPr="00C95C5E">
        <w:rPr>
          <w:rFonts w:asciiTheme="majorBidi" w:hAnsiTheme="majorBidi" w:cstheme="majorBidi"/>
          <w:sz w:val="24"/>
        </w:rPr>
        <w:t>efforts to undermine the agreement.</w:t>
      </w:r>
    </w:p>
    <w:p w14:paraId="721E92DD" w14:textId="28086F10" w:rsidR="00C95C5E" w:rsidRPr="00C95C5E" w:rsidRDefault="00C95C5E" w:rsidP="00EC37D4">
      <w:pPr>
        <w:bidi w:val="0"/>
        <w:spacing w:before="240" w:after="0" w:line="240" w:lineRule="auto"/>
        <w:jc w:val="both"/>
        <w:rPr>
          <w:rFonts w:asciiTheme="majorBidi" w:hAnsiTheme="majorBidi" w:cstheme="majorBidi"/>
          <w:sz w:val="20"/>
          <w:szCs w:val="20"/>
        </w:rPr>
      </w:pPr>
    </w:p>
    <w:p w14:paraId="32A637F7" w14:textId="03DF4382" w:rsidR="009766B7" w:rsidRPr="00EB74B6" w:rsidRDefault="009766B7" w:rsidP="00EB74B6">
      <w:pPr>
        <w:bidi w:val="0"/>
        <w:spacing w:before="240" w:after="0" w:line="480" w:lineRule="auto"/>
        <w:jc w:val="both"/>
        <w:rPr>
          <w:rFonts w:asciiTheme="majorBidi" w:hAnsiTheme="majorBidi" w:cstheme="majorBidi"/>
          <w:b/>
          <w:bCs/>
          <w:sz w:val="24"/>
        </w:rPr>
      </w:pPr>
      <w:r w:rsidRPr="00EB74B6">
        <w:rPr>
          <w:rFonts w:asciiTheme="majorBidi" w:hAnsiTheme="majorBidi" w:cstheme="majorBidi"/>
          <w:b/>
          <w:bCs/>
          <w:sz w:val="24"/>
        </w:rPr>
        <w:t>Sheikh Imad Fal</w:t>
      </w:r>
      <w:r w:rsidR="00D613B9">
        <w:rPr>
          <w:rFonts w:asciiTheme="majorBidi" w:hAnsiTheme="majorBidi" w:cstheme="majorBidi"/>
          <w:b/>
          <w:bCs/>
          <w:sz w:val="24"/>
        </w:rPr>
        <w:t>o</w:t>
      </w:r>
      <w:r w:rsidRPr="00EB74B6">
        <w:rPr>
          <w:rFonts w:asciiTheme="majorBidi" w:hAnsiTheme="majorBidi" w:cstheme="majorBidi"/>
          <w:b/>
          <w:bCs/>
          <w:sz w:val="24"/>
        </w:rPr>
        <w:t>uji</w:t>
      </w:r>
    </w:p>
    <w:p w14:paraId="670A8C22" w14:textId="0ED2CACB" w:rsidR="009766B7" w:rsidRPr="009766B7" w:rsidRDefault="009766B7" w:rsidP="009766B7">
      <w:pPr>
        <w:bidi w:val="0"/>
        <w:spacing w:before="240" w:after="0" w:line="480" w:lineRule="auto"/>
        <w:jc w:val="both"/>
        <w:rPr>
          <w:rFonts w:asciiTheme="majorBidi" w:hAnsiTheme="majorBidi" w:cstheme="majorBidi"/>
          <w:sz w:val="24"/>
        </w:rPr>
      </w:pPr>
      <w:r w:rsidRPr="009766B7">
        <w:rPr>
          <w:rFonts w:asciiTheme="majorBidi" w:hAnsiTheme="majorBidi" w:cstheme="majorBidi"/>
          <w:sz w:val="24"/>
        </w:rPr>
        <w:t>Sheikh Imad Abd al-Hamid al-Falouji (</w:t>
      </w:r>
      <w:r w:rsidRPr="009766B7">
        <w:rPr>
          <w:rFonts w:asciiTheme="majorBidi" w:hAnsiTheme="majorBidi" w:cs="Times New Roman" w:hint="cs"/>
          <w:sz w:val="24"/>
          <w:rtl/>
          <w:lang w:bidi="ar-SA"/>
        </w:rPr>
        <w:t>عماد</w:t>
      </w:r>
      <w:r w:rsidRPr="009766B7">
        <w:rPr>
          <w:rFonts w:asciiTheme="majorBidi" w:hAnsiTheme="majorBidi" w:cs="Times New Roman"/>
          <w:sz w:val="24"/>
          <w:rtl/>
          <w:lang w:bidi="ar-SA"/>
        </w:rPr>
        <w:t xml:space="preserve"> </w:t>
      </w:r>
      <w:r w:rsidRPr="009766B7">
        <w:rPr>
          <w:rFonts w:asciiTheme="majorBidi" w:hAnsiTheme="majorBidi" w:cs="Times New Roman" w:hint="cs"/>
          <w:sz w:val="24"/>
          <w:rtl/>
          <w:lang w:bidi="ar-SA"/>
        </w:rPr>
        <w:t>عبد</w:t>
      </w:r>
      <w:r w:rsidRPr="009766B7">
        <w:rPr>
          <w:rFonts w:asciiTheme="majorBidi" w:hAnsiTheme="majorBidi" w:cs="Times New Roman"/>
          <w:sz w:val="24"/>
          <w:rtl/>
          <w:lang w:bidi="ar-SA"/>
        </w:rPr>
        <w:t xml:space="preserve"> </w:t>
      </w:r>
      <w:r w:rsidRPr="009766B7">
        <w:rPr>
          <w:rFonts w:asciiTheme="majorBidi" w:hAnsiTheme="majorBidi" w:cs="Times New Roman" w:hint="cs"/>
          <w:sz w:val="24"/>
          <w:rtl/>
          <w:lang w:bidi="ar-SA"/>
        </w:rPr>
        <w:t>الحميد</w:t>
      </w:r>
      <w:r w:rsidRPr="009766B7">
        <w:rPr>
          <w:rFonts w:asciiTheme="majorBidi" w:hAnsiTheme="majorBidi" w:cs="Times New Roman"/>
          <w:sz w:val="24"/>
          <w:rtl/>
          <w:lang w:bidi="ar-SA"/>
        </w:rPr>
        <w:t xml:space="preserve"> </w:t>
      </w:r>
      <w:r w:rsidRPr="009766B7">
        <w:rPr>
          <w:rFonts w:asciiTheme="majorBidi" w:hAnsiTheme="majorBidi" w:cs="Times New Roman" w:hint="cs"/>
          <w:sz w:val="24"/>
          <w:rtl/>
          <w:lang w:bidi="ar-SA"/>
        </w:rPr>
        <w:t>عبد</w:t>
      </w:r>
      <w:r w:rsidRPr="009766B7">
        <w:rPr>
          <w:rFonts w:asciiTheme="majorBidi" w:hAnsiTheme="majorBidi" w:cs="Times New Roman"/>
          <w:sz w:val="24"/>
          <w:rtl/>
          <w:lang w:bidi="ar-SA"/>
        </w:rPr>
        <w:t xml:space="preserve"> </w:t>
      </w:r>
      <w:r w:rsidRPr="009766B7">
        <w:rPr>
          <w:rFonts w:asciiTheme="majorBidi" w:hAnsiTheme="majorBidi" w:cs="Times New Roman" w:hint="cs"/>
          <w:sz w:val="24"/>
          <w:rtl/>
          <w:lang w:bidi="ar-SA"/>
        </w:rPr>
        <w:t>الهادي</w:t>
      </w:r>
      <w:r w:rsidRPr="009766B7">
        <w:rPr>
          <w:rFonts w:asciiTheme="majorBidi" w:hAnsiTheme="majorBidi" w:cs="Times New Roman"/>
          <w:sz w:val="24"/>
          <w:rtl/>
          <w:lang w:bidi="ar-SA"/>
        </w:rPr>
        <w:t xml:space="preserve"> </w:t>
      </w:r>
      <w:r w:rsidRPr="009766B7">
        <w:rPr>
          <w:rFonts w:asciiTheme="majorBidi" w:hAnsiTheme="majorBidi" w:cs="Times New Roman" w:hint="cs"/>
          <w:sz w:val="24"/>
          <w:rtl/>
          <w:lang w:bidi="ar-SA"/>
        </w:rPr>
        <w:t>الفالوجي</w:t>
      </w:r>
      <w:r w:rsidRPr="009766B7">
        <w:rPr>
          <w:rFonts w:asciiTheme="majorBidi" w:hAnsiTheme="majorBidi" w:cstheme="majorBidi"/>
          <w:sz w:val="24"/>
          <w:lang w:bidi="ar-SA"/>
        </w:rPr>
        <w:t xml:space="preserve">, </w:t>
      </w:r>
      <w:r w:rsidRPr="009766B7">
        <w:rPr>
          <w:rFonts w:asciiTheme="majorBidi" w:hAnsiTheme="majorBidi" w:cstheme="majorBidi"/>
          <w:sz w:val="24"/>
        </w:rPr>
        <w:t>born 1963, Jabalya</w:t>
      </w:r>
      <w:r w:rsidRPr="009766B7">
        <w:rPr>
          <w:rFonts w:asciiTheme="majorBidi" w:hAnsiTheme="majorBidi" w:cstheme="majorBidi"/>
          <w:sz w:val="24"/>
          <w:lang w:bidi="ar-SA"/>
        </w:rPr>
        <w:t xml:space="preserve">) </w:t>
      </w:r>
      <w:r w:rsidR="00FA42FD">
        <w:rPr>
          <w:rFonts w:asciiTheme="majorBidi" w:hAnsiTheme="majorBidi" w:cstheme="majorBidi"/>
          <w:sz w:val="24"/>
        </w:rPr>
        <w:t>was</w:t>
      </w:r>
      <w:r w:rsidRPr="009766B7">
        <w:rPr>
          <w:rFonts w:asciiTheme="majorBidi" w:hAnsiTheme="majorBidi" w:cstheme="majorBidi"/>
          <w:sz w:val="24"/>
        </w:rPr>
        <w:t xml:space="preserve"> a senior Hamas member and co-founder of the organization's military wing, a member of the Palestinian parliament, Minister of Communications, and advisor to Arafat. With the arrest of Sheikh Yassin and the Hamas leadership during the First Intifada, F</w:t>
      </w:r>
      <w:r w:rsidR="00B96DCE">
        <w:rPr>
          <w:rFonts w:asciiTheme="majorBidi" w:hAnsiTheme="majorBidi" w:cstheme="majorBidi"/>
          <w:sz w:val="24"/>
        </w:rPr>
        <w:t>a</w:t>
      </w:r>
      <w:r w:rsidRPr="009766B7">
        <w:rPr>
          <w:rFonts w:asciiTheme="majorBidi" w:hAnsiTheme="majorBidi" w:cstheme="majorBidi"/>
          <w:sz w:val="24"/>
        </w:rPr>
        <w:t>louji was among the prominent figures leading the re</w:t>
      </w:r>
      <w:r w:rsidR="00D06B02">
        <w:rPr>
          <w:rFonts w:asciiTheme="majorBidi" w:hAnsiTheme="majorBidi" w:cstheme="majorBidi"/>
          <w:sz w:val="24"/>
        </w:rPr>
        <w:t>constr</w:t>
      </w:r>
      <w:r w:rsidR="00D50FDB">
        <w:rPr>
          <w:rFonts w:asciiTheme="majorBidi" w:hAnsiTheme="majorBidi" w:cstheme="majorBidi"/>
          <w:sz w:val="24"/>
        </w:rPr>
        <w:t>uc</w:t>
      </w:r>
      <w:r w:rsidRPr="009766B7">
        <w:rPr>
          <w:rFonts w:asciiTheme="majorBidi" w:hAnsiTheme="majorBidi" w:cstheme="majorBidi"/>
          <w:sz w:val="24"/>
        </w:rPr>
        <w:t xml:space="preserve">tion of the organization and its institutions, and he too was imprisoned from 1991 to 1994. During his incarceration, Falouji engaged in Islamic publicist writing, expressing the common claims in Hamas circles against the </w:t>
      </w:r>
      <w:r w:rsidR="00F012C4">
        <w:rPr>
          <w:rFonts w:asciiTheme="majorBidi" w:hAnsiTheme="majorBidi" w:cstheme="majorBidi"/>
          <w:sz w:val="24"/>
        </w:rPr>
        <w:t>DOP</w:t>
      </w:r>
      <w:r w:rsidRPr="009766B7">
        <w:rPr>
          <w:rFonts w:asciiTheme="majorBidi" w:hAnsiTheme="majorBidi" w:cstheme="majorBidi"/>
          <w:sz w:val="24"/>
        </w:rPr>
        <w:t>, but already then cracks began to emerge between him and Hamas's political bureau, which would later lead him to leave the movement.</w:t>
      </w:r>
      <w:r w:rsidR="009A3027">
        <w:rPr>
          <w:rStyle w:val="FootnoteReference"/>
          <w:rFonts w:asciiTheme="majorBidi" w:hAnsiTheme="majorBidi" w:cstheme="majorBidi"/>
          <w:sz w:val="24"/>
        </w:rPr>
        <w:footnoteReference w:id="80"/>
      </w:r>
    </w:p>
    <w:p w14:paraId="46EFD407" w14:textId="7FCC0B1F" w:rsidR="00C95C5E" w:rsidRDefault="009766B7" w:rsidP="009766B7">
      <w:pPr>
        <w:bidi w:val="0"/>
        <w:spacing w:before="240" w:after="0" w:line="480" w:lineRule="auto"/>
        <w:jc w:val="both"/>
        <w:rPr>
          <w:rFonts w:asciiTheme="majorBidi" w:hAnsiTheme="majorBidi" w:cstheme="majorBidi"/>
          <w:sz w:val="24"/>
        </w:rPr>
      </w:pPr>
      <w:r w:rsidRPr="009766B7">
        <w:rPr>
          <w:rFonts w:asciiTheme="majorBidi" w:hAnsiTheme="majorBidi" w:cstheme="majorBidi"/>
          <w:sz w:val="24"/>
        </w:rPr>
        <w:t xml:space="preserve">The time in prison cultivated independent thinking in Falouji, whose first principle was the importance of dialogue between the different streams in Palestinian society, and his </w:t>
      </w:r>
      <w:r w:rsidRPr="009766B7">
        <w:rPr>
          <w:rFonts w:asciiTheme="majorBidi" w:hAnsiTheme="majorBidi" w:cstheme="majorBidi"/>
          <w:sz w:val="24"/>
        </w:rPr>
        <w:lastRenderedPageBreak/>
        <w:t xml:space="preserve">involvement in this issue in the political arena will be elaborated on. Falouji saw Palestinian cooperation as an integral part of the struggle against Israel, because in his view one of Israel's long-standing strategies - even in the Oslo process - was sowing division and infighting within Palestinian society </w:t>
      </w:r>
      <w:proofErr w:type="gramStart"/>
      <w:r w:rsidRPr="009766B7">
        <w:rPr>
          <w:rFonts w:asciiTheme="majorBidi" w:hAnsiTheme="majorBidi" w:cstheme="majorBidi"/>
          <w:sz w:val="24"/>
        </w:rPr>
        <w:t>in order to</w:t>
      </w:r>
      <w:proofErr w:type="gramEnd"/>
      <w:r w:rsidRPr="009766B7">
        <w:rPr>
          <w:rFonts w:asciiTheme="majorBidi" w:hAnsiTheme="majorBidi" w:cstheme="majorBidi"/>
          <w:sz w:val="24"/>
        </w:rPr>
        <w:t xml:space="preserve"> lead to its disintegration. As part of his long-standing activity in this area, he wrote a book on the concept of dialogue in Islam and established the Adam Center for Intercultural Dialogue.</w:t>
      </w:r>
      <w:r w:rsidR="00DE3234">
        <w:rPr>
          <w:rStyle w:val="FootnoteReference"/>
          <w:rFonts w:asciiTheme="majorBidi" w:hAnsiTheme="majorBidi" w:cstheme="majorBidi"/>
          <w:sz w:val="24"/>
        </w:rPr>
        <w:footnoteReference w:id="81"/>
      </w:r>
      <w:r w:rsidRPr="009766B7">
        <w:rPr>
          <w:rFonts w:asciiTheme="majorBidi" w:hAnsiTheme="majorBidi" w:cstheme="majorBidi"/>
          <w:sz w:val="24"/>
        </w:rPr>
        <w:t xml:space="preserve"> The second principle in his view was the need and necessity to transform Hamas into a movement that adapts itself to circumstances and operates in the political arena. Falouji foresaw a situation in which the peace process (in Washington, at the time) would progress and Hamas's popularity would suffer. In such a situation, he argued that there w</w:t>
      </w:r>
      <w:r w:rsidR="00DD20AB">
        <w:rPr>
          <w:rFonts w:asciiTheme="majorBidi" w:hAnsiTheme="majorBidi" w:cstheme="majorBidi"/>
          <w:sz w:val="24"/>
        </w:rPr>
        <w:t>ould be</w:t>
      </w:r>
      <w:r w:rsidRPr="009766B7">
        <w:rPr>
          <w:rFonts w:asciiTheme="majorBidi" w:hAnsiTheme="majorBidi" w:cstheme="majorBidi"/>
          <w:sz w:val="24"/>
        </w:rPr>
        <w:t xml:space="preserve"> a critical need for coordination with the PLO, and even for the establishment of a separate political wing that would preserve Hamas's ideology but also operate and influence decision-making centers - "religiosity does not contradict engagement in politics... and a non-extremist political practice in its implementation."</w:t>
      </w:r>
      <w:r w:rsidR="004F2B49">
        <w:rPr>
          <w:rStyle w:val="FootnoteReference"/>
          <w:rFonts w:asciiTheme="majorBidi" w:hAnsiTheme="majorBidi" w:cstheme="majorBidi"/>
          <w:sz w:val="24"/>
        </w:rPr>
        <w:footnoteReference w:id="82"/>
      </w:r>
      <w:r w:rsidRPr="009766B7">
        <w:rPr>
          <w:rFonts w:asciiTheme="majorBidi" w:hAnsiTheme="majorBidi" w:cstheme="majorBidi"/>
          <w:sz w:val="24"/>
        </w:rPr>
        <w:t xml:space="preserve"> This approach guided Falouji in the continuation of his path.</w:t>
      </w:r>
      <w:r w:rsidR="00036E02">
        <w:rPr>
          <w:rStyle w:val="FootnoteReference"/>
          <w:rFonts w:asciiTheme="majorBidi" w:hAnsiTheme="majorBidi" w:cstheme="majorBidi"/>
          <w:sz w:val="24"/>
        </w:rPr>
        <w:footnoteReference w:id="83"/>
      </w:r>
    </w:p>
    <w:p w14:paraId="0FC60C7A" w14:textId="77777777" w:rsidR="009A3027" w:rsidRDefault="009A3027" w:rsidP="009A3027">
      <w:pPr>
        <w:bidi w:val="0"/>
        <w:spacing w:after="0" w:line="240" w:lineRule="auto"/>
        <w:jc w:val="both"/>
        <w:rPr>
          <w:rFonts w:asciiTheme="majorBidi" w:hAnsiTheme="majorBidi" w:cstheme="majorBidi"/>
          <w:sz w:val="20"/>
          <w:szCs w:val="20"/>
        </w:rPr>
      </w:pPr>
    </w:p>
    <w:p w14:paraId="6569F311" w14:textId="3A5118CF" w:rsidR="00754D6A" w:rsidRPr="00727045" w:rsidRDefault="00EB74B6" w:rsidP="00727045">
      <w:pPr>
        <w:bidi w:val="0"/>
        <w:spacing w:line="480" w:lineRule="auto"/>
        <w:jc w:val="both"/>
        <w:rPr>
          <w:rFonts w:asciiTheme="majorBidi" w:hAnsiTheme="majorBidi" w:cstheme="majorBidi"/>
          <w:sz w:val="20"/>
          <w:szCs w:val="20"/>
        </w:rPr>
      </w:pPr>
      <w:r w:rsidRPr="00EB74B6">
        <w:rPr>
          <w:rFonts w:asciiTheme="majorBidi" w:hAnsiTheme="majorBidi" w:cstheme="majorBidi"/>
          <w:sz w:val="24"/>
        </w:rPr>
        <w:t xml:space="preserve">With the publication of the </w:t>
      </w:r>
      <w:r w:rsidR="00F012C4">
        <w:rPr>
          <w:rFonts w:asciiTheme="majorBidi" w:hAnsiTheme="majorBidi" w:cstheme="majorBidi"/>
          <w:sz w:val="24"/>
        </w:rPr>
        <w:t>DOP</w:t>
      </w:r>
      <w:r w:rsidRPr="00EB74B6">
        <w:rPr>
          <w:rFonts w:asciiTheme="majorBidi" w:hAnsiTheme="majorBidi" w:cstheme="majorBidi"/>
          <w:sz w:val="24"/>
        </w:rPr>
        <w:t>, Hamas refused to recognize th</w:t>
      </w:r>
      <w:r w:rsidR="00792C52">
        <w:rPr>
          <w:rFonts w:asciiTheme="majorBidi" w:hAnsiTheme="majorBidi" w:cstheme="majorBidi"/>
          <w:sz w:val="24"/>
        </w:rPr>
        <w:t>is</w:t>
      </w:r>
      <w:r w:rsidRPr="00EB74B6">
        <w:rPr>
          <w:rFonts w:asciiTheme="majorBidi" w:hAnsiTheme="majorBidi" w:cstheme="majorBidi"/>
          <w:sz w:val="24"/>
        </w:rPr>
        <w:t xml:space="preserve"> 'betrayal', or to take part in the continuation of the negotiations and the building of the Palestinian Authority. </w:t>
      </w:r>
      <w:r w:rsidRPr="00EB74B6">
        <w:rPr>
          <w:rFonts w:asciiTheme="majorBidi" w:hAnsiTheme="majorBidi" w:cstheme="majorBidi"/>
          <w:sz w:val="24"/>
        </w:rPr>
        <w:lastRenderedPageBreak/>
        <w:t xml:space="preserve">Nevertheless, shortly after Arafat returned to Gaza, Falouji, as a senior Hamas member, created a line of communication with </w:t>
      </w:r>
      <w:r w:rsidR="00576DCE">
        <w:rPr>
          <w:rFonts w:asciiTheme="majorBidi" w:hAnsiTheme="majorBidi" w:cstheme="majorBidi"/>
          <w:sz w:val="24"/>
        </w:rPr>
        <w:t>him</w:t>
      </w:r>
      <w:r w:rsidRPr="00EB74B6">
        <w:rPr>
          <w:rFonts w:asciiTheme="majorBidi" w:hAnsiTheme="majorBidi" w:cstheme="majorBidi"/>
          <w:sz w:val="24"/>
        </w:rPr>
        <w:t>. At the end of 1995, Falouji was appointed to head the Palestinian Dialogue Office of the Palestinian National Council,</w:t>
      </w:r>
      <w:r w:rsidR="00715FD1">
        <w:rPr>
          <w:rStyle w:val="FootnoteReference"/>
          <w:rFonts w:asciiTheme="majorBidi" w:hAnsiTheme="majorBidi" w:cstheme="majorBidi"/>
          <w:sz w:val="24"/>
        </w:rPr>
        <w:footnoteReference w:id="84"/>
      </w:r>
      <w:r w:rsidRPr="00EB74B6">
        <w:rPr>
          <w:rFonts w:asciiTheme="majorBidi" w:hAnsiTheme="majorBidi" w:cstheme="majorBidi"/>
          <w:sz w:val="24"/>
        </w:rPr>
        <w:t xml:space="preserve"> and worked to mediate between Hamas and the PLO during that year. In November 1995, leaflets were distributed throughout Gaza declaring that Falouji had been expelled from Hamas due to political activity that deviated from the accepted ideology of the movement, a step that led Falouji to decide to run in the elections for the Legislative Council in January 1996. After being elected, he worked to create an Islamic bloc that would promote ideas in the spirit of the movement he came from. In March 1996, he was surprisingly appointed Minister of Communications... According to him, during his visits with Sheikh Yassin, the latter expressed support for his appointment and actions in favor of dialogue. Even during his tenure as minister, Falouji continued to serve as a mediator between Hamas and the Palestinian Authority in many cases. He defined himself as "a prominent representative of the ideology of the Islamic movement, even if not a representative of Hamas."</w:t>
      </w:r>
      <w:r w:rsidR="00607788">
        <w:rPr>
          <w:rStyle w:val="FootnoteReference"/>
          <w:rFonts w:asciiTheme="majorBidi" w:hAnsiTheme="majorBidi" w:cstheme="majorBidi"/>
          <w:sz w:val="24"/>
        </w:rPr>
        <w:footnoteReference w:id="85"/>
      </w:r>
      <w:r w:rsidRPr="00EB74B6">
        <w:rPr>
          <w:rFonts w:asciiTheme="majorBidi" w:hAnsiTheme="majorBidi" w:cstheme="majorBidi"/>
          <w:sz w:val="24"/>
        </w:rPr>
        <w:t xml:space="preserve"> He served as minister until 2002, when he went on to serve as an advisor to Arafat until the latter's death in 2004.</w:t>
      </w:r>
      <w:r w:rsidR="00754D6A">
        <w:rPr>
          <w:rStyle w:val="FootnoteReference"/>
          <w:rFonts w:asciiTheme="majorBidi" w:hAnsiTheme="majorBidi" w:cstheme="majorBidi"/>
          <w:sz w:val="24"/>
        </w:rPr>
        <w:footnoteReference w:id="86"/>
      </w:r>
    </w:p>
    <w:p w14:paraId="0B5F51A9" w14:textId="77777777" w:rsidR="00EB4DD7" w:rsidRDefault="00A14EDC" w:rsidP="00EB4DD7">
      <w:pPr>
        <w:bidi w:val="0"/>
        <w:spacing w:before="240" w:after="0" w:line="480" w:lineRule="auto"/>
        <w:jc w:val="both"/>
        <w:rPr>
          <w:rFonts w:asciiTheme="majorBidi" w:hAnsiTheme="majorBidi" w:cstheme="majorBidi"/>
          <w:sz w:val="24"/>
          <w:lang w:bidi="ar-SA"/>
        </w:rPr>
      </w:pPr>
      <w:r w:rsidRPr="00A14EDC">
        <w:rPr>
          <w:rFonts w:asciiTheme="majorBidi" w:hAnsiTheme="majorBidi" w:cstheme="majorBidi"/>
          <w:sz w:val="24"/>
        </w:rPr>
        <w:t xml:space="preserve">How did these roles align with Sheikh Falouji's Islamist ideology? First, his basic stance toward the </w:t>
      </w:r>
      <w:r w:rsidR="00B7713A">
        <w:rPr>
          <w:rFonts w:asciiTheme="majorBidi" w:hAnsiTheme="majorBidi" w:cstheme="majorBidi"/>
          <w:sz w:val="24"/>
        </w:rPr>
        <w:t>DOP</w:t>
      </w:r>
      <w:r w:rsidRPr="00A14EDC">
        <w:rPr>
          <w:rFonts w:asciiTheme="majorBidi" w:hAnsiTheme="majorBidi" w:cstheme="majorBidi"/>
          <w:sz w:val="24"/>
        </w:rPr>
        <w:t xml:space="preserve">. While Hamas rejected the agreement entirely, Sheikh Falouji's position was more nuanced: He did not view the </w:t>
      </w:r>
      <w:r w:rsidR="00935D20">
        <w:rPr>
          <w:rFonts w:asciiTheme="majorBidi" w:hAnsiTheme="majorBidi" w:cstheme="majorBidi"/>
          <w:sz w:val="24"/>
        </w:rPr>
        <w:t>DOP</w:t>
      </w:r>
      <w:r w:rsidRPr="00A14EDC">
        <w:rPr>
          <w:rFonts w:asciiTheme="majorBidi" w:hAnsiTheme="majorBidi" w:cstheme="majorBidi"/>
          <w:sz w:val="24"/>
        </w:rPr>
        <w:t xml:space="preserve"> as a peace agreement, and therefore, despite opposing it, he did not see recognizing its reality as a retreat from Hamas's basic principles, including non-recognition of Israel. Moreover, it brought about significant </w:t>
      </w:r>
      <w:r w:rsidRPr="00A14EDC">
        <w:rPr>
          <w:rFonts w:asciiTheme="majorBidi" w:hAnsiTheme="majorBidi" w:cstheme="majorBidi"/>
          <w:sz w:val="24"/>
        </w:rPr>
        <w:lastRenderedPageBreak/>
        <w:t xml:space="preserve">achievements: the return of the exiles from Tunisia as a prelude to the return of all refugees, as he quotes Arafat – "If the </w:t>
      </w:r>
      <w:r w:rsidR="00320723">
        <w:rPr>
          <w:rFonts w:asciiTheme="majorBidi" w:hAnsiTheme="majorBidi" w:cstheme="majorBidi"/>
          <w:sz w:val="24"/>
        </w:rPr>
        <w:t>DOP</w:t>
      </w:r>
      <w:r w:rsidRPr="00A14EDC">
        <w:rPr>
          <w:rFonts w:asciiTheme="majorBidi" w:hAnsiTheme="majorBidi" w:cstheme="majorBidi"/>
          <w:sz w:val="24"/>
        </w:rPr>
        <w:t xml:space="preserve"> did not lead to any result other than the return of the leadership and thousands of Palestinians to their homeland, this would be enough for us... This is the beginning of the return of all refugees";</w:t>
      </w:r>
      <w:r w:rsidR="00872105">
        <w:rPr>
          <w:rStyle w:val="FootnoteReference"/>
          <w:rFonts w:asciiTheme="majorBidi" w:hAnsiTheme="majorBidi" w:cstheme="majorBidi"/>
          <w:sz w:val="24"/>
        </w:rPr>
        <w:footnoteReference w:id="87"/>
      </w:r>
      <w:r w:rsidRPr="00A14EDC">
        <w:rPr>
          <w:rFonts w:asciiTheme="majorBidi" w:hAnsiTheme="majorBidi" w:cstheme="majorBidi"/>
          <w:sz w:val="24"/>
        </w:rPr>
        <w:t xml:space="preserve"> the beginning of the liberation of the homeland – "The Authority's aspiration is to liberate all of Palestine, and much [was achieved in Oslo] on the way to liberating the entire territory";</w:t>
      </w:r>
      <w:r w:rsidR="00872105">
        <w:rPr>
          <w:rStyle w:val="FootnoteReference"/>
          <w:rFonts w:asciiTheme="majorBidi" w:hAnsiTheme="majorBidi" w:cstheme="majorBidi"/>
          <w:sz w:val="24"/>
        </w:rPr>
        <w:footnoteReference w:id="88"/>
      </w:r>
      <w:r w:rsidRPr="00A14EDC">
        <w:rPr>
          <w:rFonts w:asciiTheme="majorBidi" w:hAnsiTheme="majorBidi" w:cstheme="majorBidi"/>
          <w:sz w:val="24"/>
        </w:rPr>
        <w:t xml:space="preserve"> the beginning of the building of the Palestinian state – "The Palestinian state began to take root in the land, and the wheel cannot be turned back";</w:t>
      </w:r>
      <w:r w:rsidR="00872105">
        <w:rPr>
          <w:rStyle w:val="FootnoteReference"/>
          <w:rFonts w:asciiTheme="majorBidi" w:hAnsiTheme="majorBidi" w:cstheme="majorBidi"/>
          <w:sz w:val="24"/>
        </w:rPr>
        <w:footnoteReference w:id="89"/>
      </w:r>
      <w:r w:rsidRPr="00A14EDC">
        <w:rPr>
          <w:rFonts w:asciiTheme="majorBidi" w:hAnsiTheme="majorBidi" w:cstheme="majorBidi"/>
          <w:sz w:val="24"/>
        </w:rPr>
        <w:t xml:space="preserve"> and finally</w:t>
      </w:r>
      <w:r w:rsidR="001D6CF3">
        <w:rPr>
          <w:rFonts w:asciiTheme="majorBidi" w:hAnsiTheme="majorBidi" w:cstheme="majorBidi"/>
          <w:sz w:val="24"/>
        </w:rPr>
        <w:t>, "</w:t>
      </w:r>
      <w:r w:rsidRPr="00A14EDC">
        <w:rPr>
          <w:rFonts w:asciiTheme="majorBidi" w:hAnsiTheme="majorBidi" w:cstheme="majorBidi"/>
          <w:sz w:val="24"/>
        </w:rPr>
        <w:t>the leaders of the Zionist enemy recognized [us], and in my opinion, this is the most important thing we achieved."</w:t>
      </w:r>
      <w:r w:rsidR="00872105">
        <w:rPr>
          <w:rStyle w:val="FootnoteReference"/>
          <w:rFonts w:asciiTheme="majorBidi" w:hAnsiTheme="majorBidi" w:cstheme="majorBidi"/>
          <w:sz w:val="24"/>
        </w:rPr>
        <w:footnoteReference w:id="90"/>
      </w:r>
      <w:r w:rsidRPr="00A14EDC">
        <w:rPr>
          <w:rFonts w:asciiTheme="majorBidi" w:hAnsiTheme="majorBidi" w:cstheme="majorBidi"/>
          <w:sz w:val="24"/>
        </w:rPr>
        <w:t xml:space="preserve"> In his view, it would have been better to refer the discussion regarding the Oslo process to prominent religious scholars who understand that in complex situations and certain contexts, </w:t>
      </w:r>
      <w:r w:rsidR="001D6CF3">
        <w:rPr>
          <w:rFonts w:asciiTheme="majorBidi" w:hAnsiTheme="majorBidi" w:cstheme="majorBidi"/>
          <w:sz w:val="24"/>
        </w:rPr>
        <w:t xml:space="preserve">the </w:t>
      </w:r>
      <w:r w:rsidRPr="00A14EDC">
        <w:rPr>
          <w:rFonts w:asciiTheme="majorBidi" w:hAnsiTheme="majorBidi" w:cstheme="majorBidi"/>
          <w:sz w:val="24"/>
        </w:rPr>
        <w:t>Sharia allows different rulings than the norm, for the sake of Muslim interests – in parallel to the continuation of the struggle: "As long as there is occupied Arab land, and this enemy exists... we have not yet reached a peace agreement with Israel... and I personally do not think we will reach a peace agreement."</w:t>
      </w:r>
      <w:r w:rsidR="00872105">
        <w:rPr>
          <w:rStyle w:val="FootnoteReference"/>
          <w:rFonts w:asciiTheme="majorBidi" w:hAnsiTheme="majorBidi" w:cstheme="majorBidi"/>
          <w:sz w:val="24"/>
        </w:rPr>
        <w:footnoteReference w:id="91"/>
      </w:r>
    </w:p>
    <w:p w14:paraId="0A51CE35" w14:textId="41AFABD1" w:rsidR="0028356B" w:rsidRPr="00EB4DD7" w:rsidRDefault="00872105" w:rsidP="00EB4DD7">
      <w:pPr>
        <w:bidi w:val="0"/>
        <w:spacing w:before="240" w:after="0" w:line="480" w:lineRule="auto"/>
        <w:jc w:val="both"/>
        <w:rPr>
          <w:rFonts w:asciiTheme="majorBidi" w:hAnsiTheme="majorBidi" w:cstheme="majorBidi"/>
          <w:sz w:val="24"/>
          <w:rtl/>
          <w:lang w:bidi="ar-SA"/>
        </w:rPr>
      </w:pPr>
      <w:r>
        <w:rPr>
          <w:rFonts w:asciiTheme="majorBidi" w:hAnsiTheme="majorBidi" w:cstheme="majorBidi"/>
          <w:sz w:val="20"/>
          <w:szCs w:val="20"/>
        </w:rPr>
        <w:lastRenderedPageBreak/>
        <w:t>A</w:t>
      </w:r>
      <w:r w:rsidR="0028356B" w:rsidRPr="0028356B">
        <w:rPr>
          <w:rFonts w:asciiTheme="majorBidi" w:hAnsiTheme="majorBidi" w:cstheme="majorBidi"/>
          <w:sz w:val="24"/>
        </w:rPr>
        <w:t xml:space="preserve">cordingly, Sheikh Falouji believed that Islamic activity in the political arena is permissible and even important. First, it operates through means appropriate to the current stage of the struggle </w:t>
      </w:r>
      <w:proofErr w:type="gramStart"/>
      <w:r w:rsidR="0028356B" w:rsidRPr="0028356B">
        <w:rPr>
          <w:rFonts w:asciiTheme="majorBidi" w:hAnsiTheme="majorBidi" w:cstheme="majorBidi"/>
          <w:sz w:val="24"/>
        </w:rPr>
        <w:t>in order to</w:t>
      </w:r>
      <w:proofErr w:type="gramEnd"/>
      <w:r w:rsidR="0028356B" w:rsidRPr="0028356B">
        <w:rPr>
          <w:rFonts w:asciiTheme="majorBidi" w:hAnsiTheme="majorBidi" w:cstheme="majorBidi"/>
          <w:sz w:val="24"/>
        </w:rPr>
        <w:t xml:space="preserve"> reduce the gap between reality and the vision. Second, it benefits Hamas itself, as it allows for mitigating the damage of Oslo, strengthening the Islamic outlook among the public, serving as a meaningful opposition enforcing true democracy, preserving Hamas's power and positions, and gaining international legitimacy. Finally, in line with the principles of cooperation and dialogue that guided Falouji, he explained that such activity on their part would also contribute to Palestinian </w:t>
      </w:r>
      <w:proofErr w:type="gramStart"/>
      <w:r w:rsidR="0028356B" w:rsidRPr="0028356B">
        <w:rPr>
          <w:rFonts w:asciiTheme="majorBidi" w:hAnsiTheme="majorBidi" w:cstheme="majorBidi"/>
          <w:sz w:val="24"/>
        </w:rPr>
        <w:t>society as a whole</w:t>
      </w:r>
      <w:proofErr w:type="gramEnd"/>
      <w:r w:rsidR="0028356B" w:rsidRPr="0028356B">
        <w:rPr>
          <w:rFonts w:asciiTheme="majorBidi" w:hAnsiTheme="majorBidi" w:cstheme="majorBidi"/>
          <w:sz w:val="24"/>
        </w:rPr>
        <w:t>. "The President always opened the way for everyone to participate in building the Authority's institutions... in order to benefit from the diverse capabilities existing among all groups of the Palestinian people."</w:t>
      </w:r>
      <w:r w:rsidR="00E41F9C">
        <w:rPr>
          <w:rStyle w:val="FootnoteReference"/>
          <w:rFonts w:asciiTheme="majorBidi" w:hAnsiTheme="majorBidi" w:cstheme="majorBidi"/>
          <w:sz w:val="24"/>
        </w:rPr>
        <w:footnoteReference w:id="92"/>
      </w:r>
    </w:p>
    <w:p w14:paraId="74A702F3" w14:textId="446DB999" w:rsidR="00AB7C14" w:rsidRDefault="0028356B" w:rsidP="00DF616A">
      <w:pPr>
        <w:bidi w:val="0"/>
        <w:spacing w:before="240" w:after="0" w:line="480" w:lineRule="auto"/>
        <w:jc w:val="both"/>
        <w:rPr>
          <w:rFonts w:asciiTheme="majorBidi" w:hAnsiTheme="majorBidi" w:cstheme="majorBidi"/>
          <w:sz w:val="24"/>
        </w:rPr>
      </w:pPr>
      <w:r w:rsidRPr="0028356B">
        <w:rPr>
          <w:rFonts w:asciiTheme="majorBidi" w:hAnsiTheme="majorBidi" w:cstheme="majorBidi"/>
          <w:sz w:val="24"/>
        </w:rPr>
        <w:t xml:space="preserve">Sheikh Falouji was also engaged in interfaith dialogue and participated in several conferences that brought together </w:t>
      </w:r>
      <w:r w:rsidR="00EB4DD7">
        <w:rPr>
          <w:rFonts w:asciiTheme="majorBidi" w:hAnsiTheme="majorBidi" w:cstheme="majorBidi"/>
          <w:sz w:val="24"/>
        </w:rPr>
        <w:t>R</w:t>
      </w:r>
      <w:r w:rsidRPr="0028356B">
        <w:rPr>
          <w:rFonts w:asciiTheme="majorBidi" w:hAnsiTheme="majorBidi" w:cstheme="majorBidi"/>
          <w:sz w:val="24"/>
        </w:rPr>
        <w:t xml:space="preserve">abbis and </w:t>
      </w:r>
      <w:r w:rsidR="00EB4DD7">
        <w:rPr>
          <w:rFonts w:asciiTheme="majorBidi" w:hAnsiTheme="majorBidi" w:cstheme="majorBidi"/>
          <w:sz w:val="24"/>
        </w:rPr>
        <w:t>I</w:t>
      </w:r>
      <w:r w:rsidRPr="0028356B">
        <w:rPr>
          <w:rFonts w:asciiTheme="majorBidi" w:hAnsiTheme="majorBidi" w:cstheme="majorBidi"/>
          <w:sz w:val="24"/>
        </w:rPr>
        <w:t>mams in the hope that religious leaders would lead to the resolution of religious conflicts. In his words, there is no conflict between religions, but rather a political conflict against the occupation, and it is the duty of religious leaders to work to stop extremism and support politicians striving for peace.</w:t>
      </w:r>
      <w:r w:rsidR="00471A2E">
        <w:rPr>
          <w:rStyle w:val="FootnoteReference"/>
          <w:rFonts w:asciiTheme="majorBidi" w:hAnsiTheme="majorBidi" w:cstheme="majorBidi"/>
          <w:sz w:val="24"/>
        </w:rPr>
        <w:footnoteReference w:id="93"/>
      </w:r>
      <w:r w:rsidRPr="0028356B">
        <w:rPr>
          <w:rFonts w:asciiTheme="majorBidi" w:hAnsiTheme="majorBidi" w:cstheme="majorBidi"/>
          <w:sz w:val="24"/>
        </w:rPr>
        <w:t xml:space="preserve"> Despite these optimistic calls, the figure of Sheikh Falouji is complex, and does </w:t>
      </w:r>
      <w:r w:rsidRPr="0028356B">
        <w:rPr>
          <w:rFonts w:asciiTheme="majorBidi" w:hAnsiTheme="majorBidi" w:cstheme="majorBidi"/>
          <w:sz w:val="24"/>
        </w:rPr>
        <w:lastRenderedPageBreak/>
        <w:t xml:space="preserve">not bring a true gospel. Falouji never categorically disavowed acts of terror, nor did he express support for the Oslo process (no religious figure identified with Hamas did so outright). As someone who combines a religious and political persona, he is not dichotomous. Although the </w:t>
      </w:r>
      <w:r w:rsidR="00935D20">
        <w:rPr>
          <w:rFonts w:asciiTheme="majorBidi" w:hAnsiTheme="majorBidi" w:cstheme="majorBidi"/>
          <w:sz w:val="24"/>
        </w:rPr>
        <w:t>DOP</w:t>
      </w:r>
      <w:r w:rsidRPr="0028356B">
        <w:rPr>
          <w:rFonts w:asciiTheme="majorBidi" w:hAnsiTheme="majorBidi" w:cstheme="majorBidi"/>
          <w:sz w:val="24"/>
        </w:rPr>
        <w:t xml:space="preserve"> was invalid from the outset, once it exists, it must be accepted after the fact. The positive points he saw in the process are those that constitute a disaster for Israel – the process symbolized for him the beginning of a path that would continue further and further, through both negotiation and armed struggle, until the goal of a complete Palestinian state is achieved. In his view, in the given reality, one must act to preserve Palestinian unity as a tool in the struggle against the occupation and to strengthen the power and influence of Hamas. Sheikh F</w:t>
      </w:r>
      <w:r w:rsidR="00B96DCE">
        <w:rPr>
          <w:rFonts w:asciiTheme="majorBidi" w:hAnsiTheme="majorBidi" w:cstheme="majorBidi"/>
          <w:sz w:val="24"/>
        </w:rPr>
        <w:t>a</w:t>
      </w:r>
      <w:r w:rsidRPr="0028356B">
        <w:rPr>
          <w:rFonts w:asciiTheme="majorBidi" w:hAnsiTheme="majorBidi" w:cstheme="majorBidi"/>
          <w:sz w:val="24"/>
        </w:rPr>
        <w:t>louji presents a surprising moderation for a senior Hamas figure, but it does not contain sufficient inner substance, but rather pragmatism and a sober political vision ultimately aimed at complete victory.</w:t>
      </w:r>
    </w:p>
    <w:p w14:paraId="6343793B" w14:textId="77777777" w:rsidR="00DF616A" w:rsidRDefault="00DF616A" w:rsidP="00DF616A">
      <w:pPr>
        <w:bidi w:val="0"/>
        <w:spacing w:before="240" w:after="0" w:line="480" w:lineRule="auto"/>
        <w:jc w:val="both"/>
        <w:rPr>
          <w:rFonts w:asciiTheme="majorBidi" w:hAnsiTheme="majorBidi" w:cstheme="majorBidi"/>
          <w:sz w:val="24"/>
        </w:rPr>
      </w:pPr>
    </w:p>
    <w:p w14:paraId="76777CF1" w14:textId="02DCEEB0" w:rsidR="00667530" w:rsidRPr="006F4B73" w:rsidRDefault="00667530" w:rsidP="00667530">
      <w:pPr>
        <w:bidi w:val="0"/>
        <w:spacing w:before="240" w:after="0" w:line="480" w:lineRule="auto"/>
        <w:jc w:val="both"/>
        <w:rPr>
          <w:rFonts w:asciiTheme="majorBidi" w:hAnsiTheme="majorBidi" w:cstheme="majorBidi"/>
          <w:b/>
          <w:bCs/>
          <w:sz w:val="28"/>
          <w:szCs w:val="28"/>
          <w:rtl/>
        </w:rPr>
      </w:pPr>
      <w:r w:rsidRPr="006F4B73">
        <w:rPr>
          <w:rFonts w:asciiTheme="majorBidi" w:hAnsiTheme="majorBidi" w:cstheme="majorBidi"/>
          <w:b/>
          <w:bCs/>
          <w:sz w:val="28"/>
          <w:szCs w:val="28"/>
        </w:rPr>
        <w:t>Summary and Conclusions</w:t>
      </w:r>
    </w:p>
    <w:p w14:paraId="332A1747" w14:textId="1E85B4B8" w:rsidR="00AB7C14" w:rsidRDefault="00667530" w:rsidP="00667530">
      <w:pPr>
        <w:bidi w:val="0"/>
        <w:spacing w:before="240" w:after="0" w:line="480" w:lineRule="auto"/>
        <w:jc w:val="both"/>
        <w:rPr>
          <w:rFonts w:asciiTheme="majorBidi" w:hAnsiTheme="majorBidi" w:cstheme="majorBidi"/>
          <w:sz w:val="24"/>
        </w:rPr>
      </w:pPr>
      <w:r w:rsidRPr="00667530">
        <w:rPr>
          <w:rFonts w:asciiTheme="majorBidi" w:hAnsiTheme="majorBidi" w:cstheme="majorBidi"/>
          <w:sz w:val="24"/>
        </w:rPr>
        <w:t xml:space="preserve">The </w:t>
      </w:r>
      <w:r w:rsidR="00935D20">
        <w:rPr>
          <w:rFonts w:asciiTheme="majorBidi" w:hAnsiTheme="majorBidi" w:cstheme="majorBidi"/>
          <w:sz w:val="24"/>
        </w:rPr>
        <w:t>DOP</w:t>
      </w:r>
      <w:r w:rsidRPr="00667530">
        <w:rPr>
          <w:rFonts w:asciiTheme="majorBidi" w:hAnsiTheme="majorBidi" w:cstheme="majorBidi"/>
          <w:sz w:val="24"/>
        </w:rPr>
        <w:t xml:space="preserve"> was the beginning of a process that sought to end the identity conflict through interim agreements based on liberal paradigms and material incentives between political elites, which would lead in the future to popular reconciliation. Despite religion playing a significant role in identity conflicts in general, and in the Israeli-Palestinian one in particular, religious leaders were not given a place at the negotiating table, and its leaders did not </w:t>
      </w:r>
      <w:proofErr w:type="gramStart"/>
      <w:r w:rsidRPr="00667530">
        <w:rPr>
          <w:rFonts w:asciiTheme="majorBidi" w:hAnsiTheme="majorBidi" w:cstheme="majorBidi"/>
          <w:sz w:val="24"/>
        </w:rPr>
        <w:t>take into account</w:t>
      </w:r>
      <w:proofErr w:type="gramEnd"/>
      <w:r w:rsidRPr="00667530">
        <w:rPr>
          <w:rFonts w:asciiTheme="majorBidi" w:hAnsiTheme="majorBidi" w:cstheme="majorBidi"/>
          <w:sz w:val="24"/>
        </w:rPr>
        <w:t xml:space="preserve"> the religious barriers to peace, despite – or perhaps because of – their intensity and prevalence. One of the recurring conclusions in many studies on the Oslo process is that this mismatch between the nature of the conflict and the nature of the path that attempted to resolve it was among the leading factors in its failure. Although religious leaders did not participate in the process, they </w:t>
      </w:r>
      <w:r w:rsidRPr="00667530">
        <w:rPr>
          <w:rFonts w:asciiTheme="majorBidi" w:hAnsiTheme="majorBidi" w:cstheme="majorBidi"/>
          <w:sz w:val="24"/>
        </w:rPr>
        <w:lastRenderedPageBreak/>
        <w:t xml:space="preserve">did express their opinions on it once it was published. This study surveyed the halakhic and value-based opinions of six </w:t>
      </w:r>
      <w:proofErr w:type="gramStart"/>
      <w:r w:rsidRPr="00667530">
        <w:rPr>
          <w:rFonts w:asciiTheme="majorBidi" w:hAnsiTheme="majorBidi" w:cstheme="majorBidi"/>
          <w:sz w:val="24"/>
        </w:rPr>
        <w:t>religious</w:t>
      </w:r>
      <w:proofErr w:type="gramEnd"/>
      <w:r w:rsidRPr="00667530">
        <w:rPr>
          <w:rFonts w:asciiTheme="majorBidi" w:hAnsiTheme="majorBidi" w:cstheme="majorBidi"/>
          <w:sz w:val="24"/>
        </w:rPr>
        <w:t xml:space="preserve"> leaders: Rabbi Amital, Sheikh Darwish, and Sheikh Falouji – an Israeli Jew, an Israeli Arab, and a Palestinian, respectively, who supported the </w:t>
      </w:r>
      <w:r w:rsidR="00935D20">
        <w:rPr>
          <w:rFonts w:asciiTheme="majorBidi" w:hAnsiTheme="majorBidi" w:cstheme="majorBidi"/>
          <w:sz w:val="24"/>
        </w:rPr>
        <w:t>DOP</w:t>
      </w:r>
      <w:r w:rsidRPr="00667530">
        <w:rPr>
          <w:rFonts w:asciiTheme="majorBidi" w:hAnsiTheme="majorBidi" w:cstheme="majorBidi"/>
          <w:sz w:val="24"/>
        </w:rPr>
        <w:t xml:space="preserve">; and facing them, Rabbi Goren, Sheikh Salah, and Sheikh Yassin, an Israeli Jew, an Israeli Arab, and a Palestinian, respectively, who opposed it. The research shows that on both sides of the divide, religious leaders perceived reality as it was. However, while as expected, the opposing religious leaders clung to a dichotomous and uncompromising ideology stemming from a belief in the group's superiority and its messianic future, the religious leaders who expressed support for the </w:t>
      </w:r>
      <w:r w:rsidR="00935D20">
        <w:rPr>
          <w:rFonts w:asciiTheme="majorBidi" w:hAnsiTheme="majorBidi" w:cstheme="majorBidi"/>
          <w:sz w:val="24"/>
        </w:rPr>
        <w:t>DOP</w:t>
      </w:r>
      <w:r w:rsidRPr="00667530">
        <w:rPr>
          <w:rFonts w:asciiTheme="majorBidi" w:hAnsiTheme="majorBidi" w:cstheme="majorBidi"/>
          <w:sz w:val="24"/>
        </w:rPr>
        <w:t xml:space="preserve"> interpreted the same reality in a more pragmatic way, open to compromise and complexities. As expected, the opponents emphasized the accepted religious principles that constitute a 'barrier to peace', and utilized religion's social influence tools to further sanctify the land and nation over the sanctity of individual human life, to emphasize the alienation between societies, to delegitimize those engaged in the peace process, to encourage active efforts to stop the process, and in general to inflame the conflict and prevent the perception of peace as the best alternative. In contrast, the religious leaders who expressed support for the </w:t>
      </w:r>
      <w:r w:rsidR="00935D20">
        <w:rPr>
          <w:rFonts w:asciiTheme="majorBidi" w:hAnsiTheme="majorBidi" w:cstheme="majorBidi"/>
          <w:sz w:val="24"/>
        </w:rPr>
        <w:t>DOP</w:t>
      </w:r>
      <w:r w:rsidRPr="00667530">
        <w:rPr>
          <w:rFonts w:asciiTheme="majorBidi" w:hAnsiTheme="majorBidi" w:cstheme="majorBidi"/>
          <w:sz w:val="24"/>
        </w:rPr>
        <w:t xml:space="preserve"> utilized the characteristic of religious ambiguity to justify their interpretation that led those same familiar theological and halakhic sources to a different interpretation, one that prioritizes their sanctity over alternative values and supports the resolution of the conflict, at least temporarily. One conclusion from this study, then, is the criticalness of religious ambiguity, especially on these issues that straddle the line between theoretical religion and its application to reality, as a characteristic that allows moderate religious leaders to ground their views in the eyes of the masses and make them legitimate among growing circles over time and through educational and explanatory efforts.</w:t>
      </w:r>
    </w:p>
    <w:p w14:paraId="3272318F" w14:textId="6C3CD0DC" w:rsidR="000D043E" w:rsidRDefault="003E4C32" w:rsidP="00491C4B">
      <w:pPr>
        <w:bidi w:val="0"/>
        <w:spacing w:before="240" w:after="0" w:line="480" w:lineRule="auto"/>
        <w:jc w:val="both"/>
        <w:rPr>
          <w:rFonts w:asciiTheme="majorBidi" w:hAnsiTheme="majorBidi" w:cstheme="majorBidi"/>
          <w:sz w:val="24"/>
        </w:rPr>
      </w:pPr>
      <w:r w:rsidRPr="003E4C32">
        <w:rPr>
          <w:rFonts w:asciiTheme="majorBidi" w:hAnsiTheme="majorBidi" w:cstheme="majorBidi"/>
          <w:sz w:val="24"/>
        </w:rPr>
        <w:lastRenderedPageBreak/>
        <w:t xml:space="preserve">The three supporting religious leaders worked extensively for interfaith dialogue and turning religion into a uniting factor, and regarding the </w:t>
      </w:r>
      <w:r w:rsidR="00935D20">
        <w:rPr>
          <w:rFonts w:asciiTheme="majorBidi" w:hAnsiTheme="majorBidi" w:cstheme="majorBidi"/>
          <w:sz w:val="24"/>
        </w:rPr>
        <w:t>DOP</w:t>
      </w:r>
      <w:r w:rsidRPr="003E4C32">
        <w:rPr>
          <w:rFonts w:asciiTheme="majorBidi" w:hAnsiTheme="majorBidi" w:cstheme="majorBidi"/>
          <w:sz w:val="24"/>
        </w:rPr>
        <w:t xml:space="preserve">, they effectively utilized the characteristic of religious ambiguity. Nevertheless, the main conclusion of the research is that even the religious leaders who supported the </w:t>
      </w:r>
      <w:r w:rsidR="00935D20">
        <w:rPr>
          <w:rFonts w:asciiTheme="majorBidi" w:hAnsiTheme="majorBidi" w:cstheme="majorBidi"/>
          <w:sz w:val="24"/>
        </w:rPr>
        <w:t>DOP</w:t>
      </w:r>
      <w:r w:rsidRPr="003E4C32">
        <w:rPr>
          <w:rFonts w:asciiTheme="majorBidi" w:hAnsiTheme="majorBidi" w:cstheme="majorBidi"/>
          <w:sz w:val="24"/>
        </w:rPr>
        <w:t xml:space="preserve"> used religious methods that preserve and even inflame conflict, rather than methods that create religious reconciliation, and thus the agreement's development into a process of reconciliation was also prevented from their side. The atmosphere of suspicion and distrust, alongside the implicit or explicit aspiration for a future complete victory despite the temporary compromise, are substantial flaws especially in the positions of Sheikh Darwish and Sheikh Falouji. Secondly, the discourse of the three religious leaders is fundamentally identical and based primarily on a realistic political approach. It seems they internalized the secular and pragmatic nature of the </w:t>
      </w:r>
      <w:r w:rsidR="00935D20">
        <w:rPr>
          <w:rFonts w:asciiTheme="majorBidi" w:hAnsiTheme="majorBidi" w:cstheme="majorBidi"/>
          <w:sz w:val="24"/>
        </w:rPr>
        <w:t>DOP</w:t>
      </w:r>
      <w:r w:rsidRPr="003E4C32">
        <w:rPr>
          <w:rFonts w:asciiTheme="majorBidi" w:hAnsiTheme="majorBidi" w:cstheme="majorBidi"/>
          <w:sz w:val="24"/>
        </w:rPr>
        <w:t xml:space="preserve">, and despite their religious stance that could have been harnessed for peace - as Sheikh Darwish partially expressed - they judged the agreement according to its own terms, such as in-group interests, achievements, control, borders, security, </w:t>
      </w:r>
      <w:proofErr w:type="gramStart"/>
      <w:r w:rsidRPr="003E4C32">
        <w:rPr>
          <w:rFonts w:asciiTheme="majorBidi" w:hAnsiTheme="majorBidi" w:cstheme="majorBidi"/>
          <w:sz w:val="24"/>
        </w:rPr>
        <w:t>sovereignty</w:t>
      </w:r>
      <w:proofErr w:type="gramEnd"/>
      <w:r w:rsidRPr="003E4C32">
        <w:rPr>
          <w:rFonts w:asciiTheme="majorBidi" w:hAnsiTheme="majorBidi" w:cstheme="majorBidi"/>
          <w:sz w:val="24"/>
        </w:rPr>
        <w:t xml:space="preserve"> and resources. This discourse is flawed and lacks the spiritual essence whose role is to strengthen the political peace process and build it into an inclusive process of reconciliation, including interfaith peace. However, it is important to understand that in the complex reality of societies mired for decades in an ongoing existential identity conflict; the high presence of religious barriers to peace in this conflict; and the danger of delegitimization of their views and personas by radical religious leaders, even moderate religious leaders cannot suddenly present a substantive religious position supporting a peace process and the concessions and compromises included in it. Reliance on practical justifications is the only possible way in such a complex situation to gradually establish their position, which, although partial, is an important milestone on the journey to prove that the </w:t>
      </w:r>
      <w:r w:rsidRPr="003E4C32">
        <w:rPr>
          <w:rFonts w:asciiTheme="majorBidi" w:hAnsiTheme="majorBidi" w:cstheme="majorBidi"/>
          <w:sz w:val="24"/>
        </w:rPr>
        <w:lastRenderedPageBreak/>
        <w:t>values of religion and sanctity do not contradict the values of peace and reconciliation. Perhaps in the future, proper management of a political peace agreement backed from the outset by the broadest possible religious support, and leading to a significant interim period in which extensive and sincere educational and explanatory efforts are made in both societies, will further prove that religion and peace complement each other.</w:t>
      </w:r>
    </w:p>
    <w:p w14:paraId="08DEC4FF" w14:textId="77777777" w:rsidR="006A31DE" w:rsidRDefault="006A31DE" w:rsidP="006A31DE">
      <w:pPr>
        <w:bidi w:val="0"/>
        <w:spacing w:before="240" w:after="0" w:line="480" w:lineRule="auto"/>
        <w:jc w:val="both"/>
        <w:rPr>
          <w:rFonts w:asciiTheme="majorBidi" w:hAnsiTheme="majorBidi" w:cstheme="majorBidi"/>
          <w:sz w:val="24"/>
        </w:rPr>
      </w:pPr>
    </w:p>
    <w:p w14:paraId="35B14728" w14:textId="6D038EFD" w:rsidR="006A31DE" w:rsidRDefault="006A31DE">
      <w:pPr>
        <w:rPr>
          <w:rFonts w:asciiTheme="majorBidi" w:hAnsiTheme="majorBidi" w:cstheme="majorBidi"/>
          <w:sz w:val="24"/>
        </w:rPr>
      </w:pPr>
      <w:r>
        <w:rPr>
          <w:rFonts w:asciiTheme="majorBidi" w:hAnsiTheme="majorBidi" w:cstheme="majorBidi"/>
          <w:sz w:val="24"/>
        </w:rPr>
        <w:br w:type="page"/>
      </w:r>
    </w:p>
    <w:p w14:paraId="315D735B" w14:textId="77777777" w:rsidR="006A31DE" w:rsidRPr="00DD684D" w:rsidRDefault="006A31DE" w:rsidP="006A31DE">
      <w:pPr>
        <w:bidi w:val="0"/>
        <w:spacing w:line="240" w:lineRule="auto"/>
        <w:jc w:val="both"/>
        <w:rPr>
          <w:rFonts w:asciiTheme="majorBidi" w:hAnsiTheme="majorBidi" w:cstheme="majorBidi"/>
          <w:b/>
          <w:bCs/>
          <w:sz w:val="28"/>
          <w:szCs w:val="28"/>
        </w:rPr>
      </w:pPr>
      <w:r w:rsidRPr="00DD684D">
        <w:rPr>
          <w:rFonts w:asciiTheme="majorBidi" w:hAnsiTheme="majorBidi" w:cstheme="majorBidi"/>
          <w:b/>
          <w:bCs/>
          <w:sz w:val="32"/>
          <w:szCs w:val="32"/>
        </w:rPr>
        <w:lastRenderedPageBreak/>
        <w:t>Bibliography</w:t>
      </w:r>
    </w:p>
    <w:p w14:paraId="691F2D0B" w14:textId="77777777" w:rsidR="006A31DE" w:rsidRPr="00497977" w:rsidRDefault="006A31DE" w:rsidP="006A31DE">
      <w:pPr>
        <w:bidi w:val="0"/>
        <w:spacing w:line="240" w:lineRule="auto"/>
        <w:jc w:val="both"/>
        <w:rPr>
          <w:rFonts w:asciiTheme="majorBidi" w:hAnsiTheme="majorBidi" w:cstheme="majorBidi"/>
          <w:i/>
          <w:iCs/>
          <w:sz w:val="24"/>
          <w:rtl/>
        </w:rPr>
      </w:pPr>
      <w:r w:rsidRPr="00CF517F">
        <w:rPr>
          <w:rFonts w:asciiTheme="majorBidi" w:hAnsiTheme="majorBidi" w:cstheme="majorBidi"/>
          <w:sz w:val="24"/>
        </w:rPr>
        <w:t xml:space="preserve">Prime Minister's Office, file G-8/14294, "Minister Rabbi Yehuda Amital - Speeches", </w:t>
      </w:r>
      <w:r w:rsidRPr="00CF517F">
        <w:rPr>
          <w:rFonts w:asciiTheme="majorBidi" w:hAnsiTheme="majorBidi" w:cstheme="majorBidi"/>
          <w:i/>
          <w:iCs/>
          <w:sz w:val="24"/>
        </w:rPr>
        <w:t>Israel State Archives</w:t>
      </w:r>
      <w:r>
        <w:rPr>
          <w:rFonts w:asciiTheme="majorBidi" w:hAnsiTheme="majorBidi" w:cstheme="majorBidi"/>
          <w:i/>
          <w:iCs/>
          <w:sz w:val="24"/>
        </w:rPr>
        <w:t xml:space="preserve">, </w:t>
      </w:r>
      <w:r w:rsidRPr="00CF517F">
        <w:rPr>
          <w:rFonts w:asciiTheme="majorBidi" w:hAnsiTheme="majorBidi" w:cstheme="majorBidi"/>
          <w:sz w:val="24"/>
        </w:rPr>
        <w:t>pp. 14-3, 93</w:t>
      </w:r>
      <w:r>
        <w:rPr>
          <w:rFonts w:asciiTheme="majorBidi" w:hAnsiTheme="majorBidi" w:cstheme="majorBidi"/>
          <w:i/>
          <w:iCs/>
          <w:sz w:val="24"/>
        </w:rPr>
        <w:t xml:space="preserve"> </w:t>
      </w:r>
      <w:r>
        <w:rPr>
          <w:rFonts w:asciiTheme="majorBidi" w:hAnsiTheme="majorBidi" w:cstheme="majorBidi"/>
          <w:sz w:val="24"/>
        </w:rPr>
        <w:t>(Hebrew)</w:t>
      </w:r>
    </w:p>
    <w:p w14:paraId="6C0FE7AB" w14:textId="77777777" w:rsidR="006A31DE" w:rsidRPr="00497977"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"Halakhic Issues Related to the Peace Process with the Palestinians",</w:t>
      </w:r>
      <w:r>
        <w:rPr>
          <w:rFonts w:asciiTheme="majorBidi" w:hAnsiTheme="majorBidi" w:cstheme="majorBidi"/>
          <w:sz w:val="24"/>
        </w:rPr>
        <w:t xml:space="preserve"> </w:t>
      </w:r>
      <w:r w:rsidRPr="00CF517F">
        <w:rPr>
          <w:rFonts w:asciiTheme="majorBidi" w:hAnsiTheme="majorBidi" w:cstheme="majorBidi"/>
          <w:i/>
          <w:iCs/>
          <w:sz w:val="24"/>
        </w:rPr>
        <w:t>Rabbi Goren's Archive</w:t>
      </w:r>
      <w:r>
        <w:rPr>
          <w:rFonts w:asciiTheme="majorBidi" w:hAnsiTheme="majorBidi" w:cstheme="majorBidi"/>
          <w:i/>
          <w:iCs/>
          <w:sz w:val="24"/>
        </w:rPr>
        <w:t>,</w:t>
      </w:r>
      <w:r w:rsidRPr="00CF517F">
        <w:rPr>
          <w:rFonts w:asciiTheme="majorBidi" w:hAnsiTheme="majorBidi" w:cstheme="majorBidi"/>
          <w:sz w:val="24"/>
        </w:rPr>
        <w:t xml:space="preserve"> pp. 26-29</w:t>
      </w:r>
      <w:r>
        <w:rPr>
          <w:rFonts w:asciiTheme="majorBidi" w:hAnsiTheme="majorBidi" w:cstheme="majorBidi"/>
          <w:i/>
          <w:iCs/>
          <w:sz w:val="24"/>
        </w:rPr>
        <w:t xml:space="preserve"> </w:t>
      </w:r>
      <w:r>
        <w:rPr>
          <w:rFonts w:asciiTheme="majorBidi" w:hAnsiTheme="majorBidi" w:cstheme="majorBidi"/>
          <w:sz w:val="24"/>
        </w:rPr>
        <w:t>(Hebrew)</w:t>
      </w:r>
    </w:p>
    <w:p w14:paraId="393781CF" w14:textId="77777777" w:rsidR="006A31DE" w:rsidRPr="00497977"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"Rabbi Shlomo Goren - Lecture at 'Judaism and Spirit'",</w:t>
      </w:r>
      <w:r>
        <w:rPr>
          <w:rFonts w:asciiTheme="majorBidi" w:hAnsiTheme="majorBidi" w:cstheme="majorBidi"/>
          <w:sz w:val="24"/>
        </w:rPr>
        <w:t xml:space="preserve"> </w:t>
      </w:r>
      <w:r w:rsidRPr="00CF517F">
        <w:rPr>
          <w:rFonts w:asciiTheme="majorBidi" w:hAnsiTheme="majorBidi" w:cstheme="majorBidi"/>
          <w:i/>
          <w:iCs/>
          <w:sz w:val="24"/>
        </w:rPr>
        <w:t>Rabbi Goren's Archive</w:t>
      </w:r>
      <w:r>
        <w:rPr>
          <w:rFonts w:asciiTheme="majorBidi" w:hAnsiTheme="majorBidi" w:cstheme="majorBidi"/>
          <w:i/>
          <w:iCs/>
          <w:sz w:val="24"/>
        </w:rPr>
        <w:t>,</w:t>
      </w:r>
      <w:r w:rsidRPr="00CF517F">
        <w:rPr>
          <w:rFonts w:asciiTheme="majorBidi" w:hAnsiTheme="majorBidi" w:cstheme="majorBidi"/>
          <w:sz w:val="24"/>
        </w:rPr>
        <w:t xml:space="preserve"> p. 35</w:t>
      </w:r>
    </w:p>
    <w:p w14:paraId="217BB140" w14:textId="77777777" w:rsidR="006A31DE" w:rsidRPr="00497977"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 xml:space="preserve">"Rabbi Shlomo Goren - Articles: Is There a Palestinian People with National Rights", </w:t>
      </w:r>
      <w:r w:rsidRPr="00CF517F">
        <w:rPr>
          <w:rFonts w:asciiTheme="majorBidi" w:hAnsiTheme="majorBidi" w:cstheme="majorBidi"/>
          <w:i/>
          <w:iCs/>
          <w:sz w:val="24"/>
        </w:rPr>
        <w:t>Rabbi Goren's Archive</w:t>
      </w:r>
      <w:r>
        <w:rPr>
          <w:rFonts w:asciiTheme="majorBidi" w:hAnsiTheme="majorBidi" w:cstheme="majorBidi"/>
          <w:i/>
          <w:iCs/>
          <w:sz w:val="24"/>
        </w:rPr>
        <w:t xml:space="preserve">, </w:t>
      </w:r>
      <w:r w:rsidRPr="00CF517F">
        <w:rPr>
          <w:rFonts w:asciiTheme="majorBidi" w:hAnsiTheme="majorBidi" w:cstheme="majorBidi"/>
          <w:sz w:val="24"/>
        </w:rPr>
        <w:t>pp. 1-10</w:t>
      </w:r>
      <w:r>
        <w:rPr>
          <w:rFonts w:asciiTheme="majorBidi" w:hAnsiTheme="majorBidi" w:cstheme="majorBidi"/>
          <w:i/>
          <w:iCs/>
          <w:sz w:val="24"/>
        </w:rPr>
        <w:t xml:space="preserve"> </w:t>
      </w:r>
      <w:r>
        <w:rPr>
          <w:rFonts w:asciiTheme="majorBidi" w:hAnsiTheme="majorBidi" w:cstheme="majorBidi"/>
          <w:sz w:val="24"/>
        </w:rPr>
        <w:t>(Hebrew)</w:t>
      </w:r>
    </w:p>
    <w:p w14:paraId="214BAFEE" w14:textId="77777777" w:rsidR="006A31DE" w:rsidRPr="00497977"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"Halakhic Responsa of Rabbi Shlomo Goren",</w:t>
      </w:r>
      <w:r>
        <w:rPr>
          <w:rFonts w:asciiTheme="majorBidi" w:hAnsiTheme="majorBidi" w:cstheme="majorBidi"/>
          <w:sz w:val="24"/>
        </w:rPr>
        <w:t xml:space="preserve"> </w:t>
      </w:r>
      <w:r w:rsidRPr="00CF517F">
        <w:rPr>
          <w:rFonts w:asciiTheme="majorBidi" w:hAnsiTheme="majorBidi" w:cstheme="majorBidi"/>
          <w:i/>
          <w:iCs/>
          <w:sz w:val="24"/>
        </w:rPr>
        <w:t xml:space="preserve">Rabbi Goren's </w:t>
      </w:r>
      <w:proofErr w:type="gramStart"/>
      <w:r w:rsidRPr="00CF517F">
        <w:rPr>
          <w:rFonts w:asciiTheme="majorBidi" w:hAnsiTheme="majorBidi" w:cstheme="majorBidi"/>
          <w:i/>
          <w:iCs/>
          <w:sz w:val="24"/>
        </w:rPr>
        <w:t>Archive</w:t>
      </w:r>
      <w:r>
        <w:rPr>
          <w:rFonts w:asciiTheme="majorBidi" w:hAnsiTheme="majorBidi" w:cstheme="majorBidi"/>
          <w:i/>
          <w:iCs/>
          <w:sz w:val="24"/>
        </w:rPr>
        <w:t xml:space="preserve">, </w:t>
      </w:r>
      <w:r w:rsidRPr="00CF517F">
        <w:rPr>
          <w:rFonts w:asciiTheme="majorBidi" w:hAnsiTheme="majorBidi" w:cstheme="majorBidi"/>
          <w:sz w:val="24"/>
        </w:rPr>
        <w:t xml:space="preserve"> pp.</w:t>
      </w:r>
      <w:proofErr w:type="gramEnd"/>
      <w:r w:rsidRPr="00CF517F">
        <w:rPr>
          <w:rFonts w:asciiTheme="majorBidi" w:hAnsiTheme="majorBidi" w:cstheme="majorBidi"/>
          <w:sz w:val="24"/>
        </w:rPr>
        <w:t xml:space="preserve"> 50-73</w:t>
      </w:r>
      <w:r>
        <w:rPr>
          <w:rFonts w:asciiTheme="majorBidi" w:hAnsiTheme="majorBidi" w:cstheme="majorBidi"/>
          <w:i/>
          <w:iCs/>
          <w:sz w:val="24"/>
        </w:rPr>
        <w:t xml:space="preserve"> </w:t>
      </w:r>
      <w:r>
        <w:rPr>
          <w:rFonts w:asciiTheme="majorBidi" w:hAnsiTheme="majorBidi" w:cstheme="majorBidi"/>
          <w:sz w:val="24"/>
        </w:rPr>
        <w:t>(Hebrew)</w:t>
      </w:r>
    </w:p>
    <w:p w14:paraId="6FA90278" w14:textId="77777777" w:rsidR="006A31DE" w:rsidRPr="0056602E"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Declaration of Principles on Interim Self-Government Arrangements with the PLO</w:t>
      </w:r>
      <w:r>
        <w:rPr>
          <w:rFonts w:asciiTheme="majorBidi" w:hAnsiTheme="majorBidi" w:cstheme="majorBidi"/>
          <w:sz w:val="24"/>
        </w:rPr>
        <w:t xml:space="preserve">, </w:t>
      </w:r>
      <w:r w:rsidRPr="00025B5E">
        <w:rPr>
          <w:rFonts w:asciiTheme="majorBidi" w:hAnsiTheme="majorBidi" w:cstheme="majorBidi"/>
          <w:i/>
          <w:iCs/>
          <w:sz w:val="24"/>
        </w:rPr>
        <w:t xml:space="preserve">Knesset </w:t>
      </w:r>
      <w:proofErr w:type="gramStart"/>
      <w:r w:rsidRPr="00025B5E">
        <w:rPr>
          <w:rFonts w:asciiTheme="majorBidi" w:hAnsiTheme="majorBidi" w:cstheme="majorBidi"/>
          <w:i/>
          <w:iCs/>
          <w:sz w:val="24"/>
        </w:rPr>
        <w:t>Research</w:t>
      </w:r>
      <w:proofErr w:type="gramEnd"/>
      <w:r w:rsidRPr="00025B5E">
        <w:rPr>
          <w:rFonts w:asciiTheme="majorBidi" w:hAnsiTheme="majorBidi" w:cstheme="majorBidi"/>
          <w:i/>
          <w:iCs/>
          <w:sz w:val="24"/>
        </w:rPr>
        <w:t xml:space="preserve"> and Information Center</w:t>
      </w:r>
      <w:r>
        <w:rPr>
          <w:rFonts w:asciiTheme="majorBidi" w:hAnsiTheme="majorBidi" w:cstheme="majorBidi"/>
          <w:i/>
          <w:iCs/>
          <w:sz w:val="24"/>
        </w:rPr>
        <w:t xml:space="preserve"> </w:t>
      </w:r>
      <w:hyperlink r:id="rId8" w:history="1">
        <w:r w:rsidRPr="00620FAC">
          <w:rPr>
            <w:rStyle w:val="Hyperlink"/>
            <w:rFonts w:asciiTheme="majorBidi" w:hAnsiTheme="majorBidi" w:cstheme="majorBidi"/>
            <w:sz w:val="24"/>
          </w:rPr>
          <w:t>https://www.knesset.gov.il/process/docs/oslo.htm</w:t>
        </w:r>
      </w:hyperlink>
      <w:r>
        <w:rPr>
          <w:rFonts w:asciiTheme="majorBidi" w:hAnsiTheme="majorBidi" w:cstheme="majorBidi"/>
          <w:sz w:val="24"/>
        </w:rPr>
        <w:t xml:space="preserve"> (Hebrew)</w:t>
      </w:r>
    </w:p>
    <w:p w14:paraId="41D09A99" w14:textId="77777777" w:rsidR="006A31DE" w:rsidRPr="0056602E"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The Vote on the Declaration of Principles, 129th Plenary Session of the Thirteenth Knesset, 21.9.1993</w:t>
      </w:r>
      <w:r>
        <w:rPr>
          <w:rFonts w:asciiTheme="majorBidi" w:hAnsiTheme="majorBidi" w:cstheme="majorBidi"/>
          <w:sz w:val="24"/>
        </w:rPr>
        <w:t xml:space="preserve">, </w:t>
      </w:r>
      <w:r w:rsidRPr="00025B5E">
        <w:rPr>
          <w:rFonts w:asciiTheme="majorBidi" w:hAnsiTheme="majorBidi" w:cstheme="majorBidi"/>
          <w:i/>
          <w:iCs/>
          <w:sz w:val="24"/>
        </w:rPr>
        <w:t>Knesset Research and Information Center</w:t>
      </w:r>
      <w:r>
        <w:rPr>
          <w:rFonts w:asciiTheme="majorBidi" w:hAnsiTheme="majorBidi" w:cstheme="majorBidi"/>
          <w:i/>
          <w:iCs/>
          <w:sz w:val="24"/>
        </w:rPr>
        <w:t>,</w:t>
      </w:r>
      <w:r>
        <w:rPr>
          <w:rFonts w:asciiTheme="majorBidi" w:hAnsiTheme="majorBidi" w:cstheme="majorBidi"/>
          <w:sz w:val="24"/>
        </w:rPr>
        <w:t xml:space="preserve"> </w:t>
      </w:r>
      <w:hyperlink r:id="rId9" w:history="1">
        <w:r w:rsidRPr="00A645C6">
          <w:rPr>
            <w:rStyle w:val="Hyperlink"/>
            <w:rFonts w:asciiTheme="majorBidi" w:hAnsiTheme="majorBidi" w:cstheme="majorBidi"/>
            <w:sz w:val="24"/>
          </w:rPr>
          <w:t>https://main.knesset.gov.il/Activity/plenum/Pages/Sessions.aspx</w:t>
        </w:r>
      </w:hyperlink>
      <w:r>
        <w:rPr>
          <w:rFonts w:asciiTheme="majorBidi" w:hAnsiTheme="majorBidi" w:cstheme="majorBidi"/>
          <w:sz w:val="24"/>
        </w:rPr>
        <w:t xml:space="preserve"> (Hebrew)</w:t>
      </w:r>
    </w:p>
    <w:p w14:paraId="7AC7B3B9" w14:textId="77777777" w:rsidR="006A31DE" w:rsidRPr="0056602E"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130th Plenary Session of the Thirteenth Knesset, 22.9.1990</w:t>
      </w:r>
      <w:r>
        <w:rPr>
          <w:rFonts w:asciiTheme="majorBidi" w:hAnsiTheme="majorBidi" w:cstheme="majorBidi"/>
          <w:sz w:val="24"/>
        </w:rPr>
        <w:t xml:space="preserve">, </w:t>
      </w:r>
      <w:r w:rsidRPr="00025B5E">
        <w:rPr>
          <w:rFonts w:asciiTheme="majorBidi" w:hAnsiTheme="majorBidi" w:cstheme="majorBidi"/>
          <w:i/>
          <w:iCs/>
          <w:sz w:val="24"/>
        </w:rPr>
        <w:t>Knesset Research and Information Center</w:t>
      </w:r>
      <w:r>
        <w:rPr>
          <w:rFonts w:asciiTheme="majorBidi" w:hAnsiTheme="majorBidi" w:cstheme="majorBidi"/>
          <w:i/>
          <w:iCs/>
          <w:sz w:val="24"/>
        </w:rPr>
        <w:t>,</w:t>
      </w:r>
      <w:r>
        <w:rPr>
          <w:rFonts w:asciiTheme="majorBidi" w:hAnsiTheme="majorBidi" w:cstheme="majorBidi"/>
          <w:sz w:val="24"/>
        </w:rPr>
        <w:t xml:space="preserve"> </w:t>
      </w:r>
      <w:hyperlink r:id="rId10" w:history="1">
        <w:r w:rsidRPr="00A645C6">
          <w:rPr>
            <w:rStyle w:val="Hyperlink"/>
            <w:rFonts w:asciiTheme="majorBidi" w:hAnsiTheme="majorBidi" w:cstheme="majorBidi"/>
            <w:sz w:val="24"/>
          </w:rPr>
          <w:t>https://main.knesset.gov.il/Activity/plenum/Pages/Sessions.aspx</w:t>
        </w:r>
      </w:hyperlink>
      <w:r>
        <w:rPr>
          <w:rFonts w:asciiTheme="majorBidi" w:hAnsiTheme="majorBidi" w:cstheme="majorBidi"/>
          <w:sz w:val="24"/>
        </w:rPr>
        <w:t xml:space="preserve"> (Hebrew)</w:t>
      </w:r>
      <w:r w:rsidRPr="00CF517F">
        <w:rPr>
          <w:rFonts w:asciiTheme="majorBidi" w:hAnsiTheme="majorBidi" w:cstheme="majorBidi"/>
          <w:sz w:val="24"/>
        </w:rPr>
        <w:t xml:space="preserve"> </w:t>
      </w:r>
    </w:p>
    <w:p w14:paraId="5A46BFBC" w14:textId="77777777" w:rsidR="006A31DE" w:rsidRPr="0056602E" w:rsidRDefault="006A31DE" w:rsidP="006A31DE">
      <w:pPr>
        <w:bidi w:val="0"/>
        <w:spacing w:line="240" w:lineRule="auto"/>
        <w:jc w:val="both"/>
        <w:rPr>
          <w:rFonts w:asciiTheme="majorBidi" w:hAnsiTheme="majorBidi" w:cstheme="majorBidi"/>
          <w:i/>
          <w:iCs/>
          <w:sz w:val="24"/>
          <w:rtl/>
        </w:rPr>
      </w:pPr>
      <w:r w:rsidRPr="00CF517F">
        <w:rPr>
          <w:rFonts w:asciiTheme="majorBidi" w:hAnsiTheme="majorBidi" w:cstheme="majorBidi"/>
          <w:sz w:val="24"/>
        </w:rPr>
        <w:t>131st Plenary Session of the Thirteenth Knesset, 23.9.1993</w:t>
      </w:r>
      <w:r>
        <w:rPr>
          <w:rFonts w:asciiTheme="majorBidi" w:hAnsiTheme="majorBidi" w:cstheme="majorBidi"/>
          <w:sz w:val="24"/>
        </w:rPr>
        <w:t xml:space="preserve">, </w:t>
      </w:r>
      <w:r w:rsidRPr="00025B5E">
        <w:rPr>
          <w:rFonts w:asciiTheme="majorBidi" w:hAnsiTheme="majorBidi" w:cstheme="majorBidi"/>
          <w:i/>
          <w:iCs/>
          <w:sz w:val="24"/>
        </w:rPr>
        <w:t>Knesset Research and Information Center</w:t>
      </w:r>
      <w:r>
        <w:rPr>
          <w:rFonts w:asciiTheme="majorBidi" w:hAnsiTheme="majorBidi" w:cstheme="majorBidi"/>
          <w:i/>
          <w:iCs/>
          <w:sz w:val="24"/>
        </w:rPr>
        <w:t xml:space="preserve">, </w:t>
      </w:r>
      <w:r>
        <w:rPr>
          <w:rFonts w:asciiTheme="majorBidi" w:hAnsiTheme="majorBidi" w:cstheme="majorBidi"/>
          <w:sz w:val="24"/>
        </w:rPr>
        <w:t xml:space="preserve"> </w:t>
      </w:r>
      <w:hyperlink r:id="rId11" w:history="1">
        <w:r w:rsidRPr="00620FAC">
          <w:rPr>
            <w:rStyle w:val="Hyperlink"/>
            <w:rFonts w:asciiTheme="majorBidi" w:hAnsiTheme="majorBidi" w:cstheme="majorBidi"/>
            <w:sz w:val="24"/>
          </w:rPr>
          <w:t>https://main.knesset.gov.il/Activity/plenum/Pages/Sessions.aspx</w:t>
        </w:r>
      </w:hyperlink>
      <w:r>
        <w:rPr>
          <w:rFonts w:asciiTheme="majorBidi" w:hAnsiTheme="majorBidi" w:cstheme="majorBidi"/>
          <w:sz w:val="24"/>
        </w:rPr>
        <w:t xml:space="preserve"> (Hebrew)</w:t>
      </w:r>
    </w:p>
    <w:p w14:paraId="67366F21" w14:textId="77777777" w:rsidR="006A31DE" w:rsidRPr="004D1746" w:rsidRDefault="006A31DE" w:rsidP="006A31DE">
      <w:pPr>
        <w:bidi w:val="0"/>
        <w:spacing w:line="240" w:lineRule="auto"/>
        <w:jc w:val="both"/>
        <w:rPr>
          <w:rFonts w:asciiTheme="majorBidi" w:hAnsiTheme="majorBidi" w:cstheme="majorBidi"/>
          <w:i/>
          <w:iCs/>
          <w:sz w:val="24"/>
        </w:rPr>
      </w:pPr>
      <w:r w:rsidRPr="00CF517F">
        <w:rPr>
          <w:rFonts w:asciiTheme="majorBidi" w:hAnsiTheme="majorBidi" w:cstheme="majorBidi"/>
          <w:sz w:val="24"/>
        </w:rPr>
        <w:t>240th Plenary Session of the Thirteenth Knesset, 11.7.1994</w:t>
      </w:r>
      <w:r>
        <w:rPr>
          <w:rFonts w:asciiTheme="majorBidi" w:hAnsiTheme="majorBidi" w:cstheme="majorBidi"/>
          <w:sz w:val="24"/>
        </w:rPr>
        <w:t xml:space="preserve">, </w:t>
      </w:r>
      <w:r w:rsidRPr="00025B5E">
        <w:rPr>
          <w:rFonts w:asciiTheme="majorBidi" w:hAnsiTheme="majorBidi" w:cstheme="majorBidi"/>
          <w:i/>
          <w:iCs/>
          <w:sz w:val="24"/>
        </w:rPr>
        <w:t>Knesset Research and Information Center</w:t>
      </w:r>
      <w:r>
        <w:rPr>
          <w:rFonts w:asciiTheme="majorBidi" w:hAnsiTheme="majorBidi" w:cstheme="majorBidi"/>
          <w:i/>
          <w:iCs/>
          <w:sz w:val="24"/>
        </w:rPr>
        <w:t>,</w:t>
      </w:r>
      <w:r>
        <w:rPr>
          <w:rFonts w:asciiTheme="majorBidi" w:hAnsiTheme="majorBidi" w:cstheme="majorBidi"/>
          <w:sz w:val="24"/>
        </w:rPr>
        <w:t xml:space="preserve"> </w:t>
      </w:r>
      <w:hyperlink r:id="rId12" w:history="1">
        <w:r w:rsidRPr="00A645C6">
          <w:rPr>
            <w:rStyle w:val="Hyperlink"/>
            <w:rFonts w:asciiTheme="majorBidi" w:hAnsiTheme="majorBidi" w:cstheme="majorBidi"/>
            <w:sz w:val="24"/>
          </w:rPr>
          <w:t>https://main.knesset.gov.il/Activity/plenum/Pages/Sessions.aspx</w:t>
        </w:r>
      </w:hyperlink>
      <w:r>
        <w:rPr>
          <w:rFonts w:asciiTheme="majorBidi" w:hAnsiTheme="majorBidi" w:cstheme="majorBidi"/>
          <w:sz w:val="24"/>
        </w:rPr>
        <w:t xml:space="preserve"> (Hebrew)</w:t>
      </w:r>
    </w:p>
    <w:p w14:paraId="2E522B0B" w14:textId="77777777" w:rsidR="006A31DE" w:rsidRDefault="006A31DE" w:rsidP="006A31DE">
      <w:pPr>
        <w:bidi w:val="0"/>
        <w:spacing w:line="240" w:lineRule="auto"/>
        <w:rPr>
          <w:rFonts w:asciiTheme="majorBidi" w:hAnsiTheme="majorBidi" w:cstheme="majorBidi"/>
          <w:sz w:val="24"/>
        </w:rPr>
      </w:pPr>
    </w:p>
    <w:p w14:paraId="214A079C"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Ab</w:t>
      </w:r>
      <w:r>
        <w:rPr>
          <w:rFonts w:asciiTheme="majorBidi" w:hAnsiTheme="majorBidi" w:cstheme="majorBidi"/>
          <w:sz w:val="24"/>
        </w:rPr>
        <w:t>e</w:t>
      </w:r>
      <w:r w:rsidRPr="00211FD3">
        <w:rPr>
          <w:rFonts w:asciiTheme="majorBidi" w:hAnsiTheme="majorBidi" w:cstheme="majorBidi"/>
          <w:sz w:val="24"/>
        </w:rPr>
        <w:t>d</w:t>
      </w:r>
      <w:r>
        <w:rPr>
          <w:rFonts w:asciiTheme="majorBidi" w:hAnsiTheme="majorBidi" w:cstheme="majorBidi"/>
          <w:sz w:val="24"/>
        </w:rPr>
        <w:t xml:space="preserve"> A</w:t>
      </w:r>
      <w:r w:rsidRPr="00211FD3">
        <w:rPr>
          <w:rFonts w:asciiTheme="majorBidi" w:hAnsiTheme="majorBidi" w:cstheme="majorBidi"/>
          <w:sz w:val="24"/>
        </w:rPr>
        <w:t>l</w:t>
      </w:r>
      <w:r>
        <w:rPr>
          <w:rFonts w:asciiTheme="majorBidi" w:hAnsiTheme="majorBidi" w:cstheme="majorBidi"/>
          <w:sz w:val="24"/>
        </w:rPr>
        <w:t>-</w:t>
      </w:r>
      <w:r w:rsidRPr="00211FD3">
        <w:rPr>
          <w:rFonts w:asciiTheme="majorBidi" w:hAnsiTheme="majorBidi" w:cstheme="majorBidi"/>
          <w:sz w:val="24"/>
        </w:rPr>
        <w:t xml:space="preserve">Rahman, </w:t>
      </w:r>
      <w:r>
        <w:rPr>
          <w:rFonts w:asciiTheme="majorBidi" w:hAnsiTheme="majorBidi" w:cstheme="majorBidi"/>
          <w:sz w:val="24"/>
        </w:rPr>
        <w:t>I</w:t>
      </w:r>
      <w:r w:rsidRPr="00211FD3">
        <w:rPr>
          <w:rFonts w:asciiTheme="majorBidi" w:hAnsiTheme="majorBidi" w:cstheme="majorBidi"/>
          <w:sz w:val="24"/>
        </w:rPr>
        <w:t>mad, "</w:t>
      </w:r>
      <w:r w:rsidRPr="00211102">
        <w:rPr>
          <w:rFonts w:asciiTheme="majorBidi" w:hAnsiTheme="majorBidi" w:cstheme="majorBidi"/>
          <w:sz w:val="24"/>
        </w:rPr>
        <w:t>al-Intifadatuna al-an Tatahawal 'iilaa al-Intifadata Musalaha (Our Intifada is Now Turning into an Armed Intifada)</w:t>
      </w:r>
      <w:r w:rsidRPr="00211FD3">
        <w:rPr>
          <w:rFonts w:asciiTheme="majorBidi" w:hAnsiTheme="majorBidi" w:cstheme="majorBidi"/>
          <w:sz w:val="24"/>
        </w:rPr>
        <w:t xml:space="preserve">", </w:t>
      </w:r>
      <w:r w:rsidRPr="00211102">
        <w:rPr>
          <w:rFonts w:asciiTheme="majorBidi" w:hAnsiTheme="majorBidi" w:cstheme="majorBidi"/>
          <w:i/>
          <w:iCs/>
          <w:sz w:val="24"/>
        </w:rPr>
        <w:t>Sayed Al-Fawaid</w:t>
      </w:r>
      <w:r w:rsidRPr="00211FD3">
        <w:rPr>
          <w:rFonts w:asciiTheme="majorBidi" w:hAnsiTheme="majorBidi" w:cstheme="majorBidi"/>
          <w:sz w:val="24"/>
        </w:rPr>
        <w:t xml:space="preserve">, </w:t>
      </w:r>
      <w:hyperlink r:id="rId13" w:history="1">
        <w:r w:rsidRPr="00FC177B">
          <w:rPr>
            <w:rStyle w:val="Hyperlink"/>
            <w:rFonts w:asciiTheme="majorBidi" w:hAnsiTheme="majorBidi" w:cstheme="majorBidi"/>
            <w:sz w:val="24"/>
          </w:rPr>
          <w:t>http://saaid.org/mktarat/flasteen/023.htm</w:t>
        </w:r>
      </w:hyperlink>
      <w:r>
        <w:rPr>
          <w:rFonts w:asciiTheme="majorBidi" w:hAnsiTheme="majorBidi" w:cstheme="majorBidi"/>
          <w:sz w:val="24"/>
        </w:rPr>
        <w:t xml:space="preserve"> </w:t>
      </w:r>
      <w:r w:rsidRPr="00211FD3">
        <w:rPr>
          <w:rFonts w:asciiTheme="majorBidi" w:hAnsiTheme="majorBidi" w:cstheme="majorBidi"/>
          <w:sz w:val="24"/>
        </w:rPr>
        <w:t xml:space="preserve">  </w:t>
      </w:r>
    </w:p>
    <w:p w14:paraId="3012B182" w14:textId="77777777" w:rsidR="006A31DE"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Abu-Amr</w:t>
      </w:r>
      <w:r>
        <w:rPr>
          <w:rFonts w:asciiTheme="majorBidi" w:hAnsiTheme="majorBidi" w:cstheme="majorBidi"/>
          <w:sz w:val="24"/>
        </w:rPr>
        <w:t xml:space="preserve">, </w:t>
      </w:r>
      <w:r w:rsidRPr="00B723BF">
        <w:rPr>
          <w:rFonts w:asciiTheme="majorBidi" w:hAnsiTheme="majorBidi" w:cstheme="majorBidi"/>
          <w:sz w:val="24"/>
        </w:rPr>
        <w:t xml:space="preserve">Ziad, "Hamas: A Historical and Political Background", </w:t>
      </w:r>
      <w:r w:rsidRPr="0019520F">
        <w:rPr>
          <w:rFonts w:asciiTheme="majorBidi" w:hAnsiTheme="majorBidi" w:cstheme="majorBidi"/>
          <w:i/>
          <w:iCs/>
          <w:sz w:val="24"/>
        </w:rPr>
        <w:t>Journal of Palestine Studies</w:t>
      </w:r>
      <w:r w:rsidRPr="00B723BF">
        <w:rPr>
          <w:rFonts w:asciiTheme="majorBidi" w:hAnsiTheme="majorBidi" w:cstheme="majorBidi"/>
          <w:sz w:val="24"/>
        </w:rPr>
        <w:t>, Summer, 1993, Vol. 22, No. 4, pp. 5-19.</w:t>
      </w:r>
    </w:p>
    <w:p w14:paraId="583086CA"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Abu-Nimer, Mohammed, </w:t>
      </w:r>
      <w:r w:rsidRPr="0019520F">
        <w:rPr>
          <w:rFonts w:asciiTheme="majorBidi" w:hAnsiTheme="majorBidi" w:cstheme="majorBidi"/>
          <w:i/>
          <w:iCs/>
          <w:sz w:val="24"/>
        </w:rPr>
        <w:t>Dialogue, Conflict, Resolution, and Change</w:t>
      </w:r>
      <w:r w:rsidRPr="003F3C4C">
        <w:rPr>
          <w:rFonts w:asciiTheme="majorBidi" w:hAnsiTheme="majorBidi" w:cstheme="majorBidi"/>
          <w:sz w:val="24"/>
        </w:rPr>
        <w:t>, Albany, N.Y: State University of New York Press, 1999</w:t>
      </w:r>
    </w:p>
    <w:p w14:paraId="58AFE6EC"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Abu-Nimer, Mohammed, "Religion, Dialogue, and Non-Violent Actions in Palestinian-Israeli Conflict", </w:t>
      </w:r>
      <w:r w:rsidRPr="0019520F">
        <w:rPr>
          <w:rFonts w:asciiTheme="majorBidi" w:hAnsiTheme="majorBidi" w:cstheme="majorBidi"/>
          <w:i/>
          <w:iCs/>
          <w:sz w:val="24"/>
        </w:rPr>
        <w:t>International Journal of Politics, Culture, and Society</w:t>
      </w:r>
      <w:r w:rsidRPr="003F3C4C">
        <w:rPr>
          <w:rFonts w:asciiTheme="majorBidi" w:hAnsiTheme="majorBidi" w:cstheme="majorBidi"/>
          <w:sz w:val="24"/>
        </w:rPr>
        <w:t>, Vol. 17, No. 3, Spring, 2004, pp. 491-511</w:t>
      </w:r>
    </w:p>
    <w:p w14:paraId="6F3AC904"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Abu</w:t>
      </w:r>
      <w:r>
        <w:rPr>
          <w:rFonts w:asciiTheme="majorBidi" w:hAnsiTheme="majorBidi" w:cstheme="majorBidi"/>
          <w:sz w:val="24"/>
        </w:rPr>
        <w:t>r</w:t>
      </w:r>
      <w:r w:rsidRPr="00CF517F">
        <w:rPr>
          <w:rFonts w:asciiTheme="majorBidi" w:hAnsiTheme="majorBidi" w:cstheme="majorBidi"/>
          <w:sz w:val="24"/>
        </w:rPr>
        <w:t xml:space="preserve">iya, Issam, "Concrete Religiosity versus Abstract Religiosity: The Case of the Split of the Islamic Movement in Israel", </w:t>
      </w:r>
      <w:r w:rsidRPr="005165A5">
        <w:rPr>
          <w:rFonts w:asciiTheme="majorBidi" w:hAnsiTheme="majorBidi" w:cstheme="majorBidi"/>
          <w:i/>
          <w:iCs/>
          <w:sz w:val="24"/>
        </w:rPr>
        <w:t>Megamot</w:t>
      </w:r>
      <w:r w:rsidRPr="00CF517F">
        <w:rPr>
          <w:rFonts w:asciiTheme="majorBidi" w:hAnsiTheme="majorBidi" w:cstheme="majorBidi"/>
          <w:sz w:val="24"/>
        </w:rPr>
        <w:t xml:space="preserve"> 4, 2005, pp. 682–698</w:t>
      </w:r>
      <w:r>
        <w:rPr>
          <w:rFonts w:asciiTheme="majorBidi" w:hAnsiTheme="majorBidi" w:cstheme="majorBidi"/>
          <w:sz w:val="24"/>
        </w:rPr>
        <w:t xml:space="preserve"> (Hebrew)</w:t>
      </w:r>
    </w:p>
    <w:p w14:paraId="3D3EA420" w14:textId="77777777" w:rsidR="006A31DE" w:rsidRDefault="006A31DE" w:rsidP="006A31DE">
      <w:pPr>
        <w:bidi w:val="0"/>
        <w:spacing w:line="240" w:lineRule="auto"/>
        <w:jc w:val="both"/>
        <w:rPr>
          <w:rFonts w:asciiTheme="majorBidi" w:hAnsiTheme="majorBidi" w:cstheme="majorBidi"/>
          <w:sz w:val="24"/>
        </w:rPr>
      </w:pPr>
      <w:r w:rsidRPr="003F3C4C">
        <w:rPr>
          <w:rFonts w:asciiTheme="majorBidi" w:hAnsiTheme="majorBidi" w:cstheme="majorBidi"/>
          <w:sz w:val="24"/>
        </w:rPr>
        <w:lastRenderedPageBreak/>
        <w:t xml:space="preserve">Aburaiya, Issam, "The 1996 Split of the Islamic Movement in Israel: Between the Holy Text and Israeli-Palestinian Context", </w:t>
      </w:r>
      <w:r w:rsidRPr="0019520F">
        <w:rPr>
          <w:rFonts w:asciiTheme="majorBidi" w:hAnsiTheme="majorBidi" w:cstheme="majorBidi"/>
          <w:i/>
          <w:iCs/>
          <w:sz w:val="24"/>
        </w:rPr>
        <w:t>International Journal of Politics, Culture, and Society</w:t>
      </w:r>
      <w:r w:rsidRPr="003F3C4C">
        <w:rPr>
          <w:rFonts w:asciiTheme="majorBidi" w:hAnsiTheme="majorBidi" w:cstheme="majorBidi"/>
          <w:sz w:val="24"/>
        </w:rPr>
        <w:t>, 2004, Vol. 17 No. 3, pp. 439-455</w:t>
      </w:r>
    </w:p>
    <w:p w14:paraId="272B3B44" w14:textId="77777777" w:rsidR="006A31DE" w:rsidRDefault="006A31DE" w:rsidP="006A31DE">
      <w:pPr>
        <w:bidi w:val="0"/>
        <w:spacing w:line="240" w:lineRule="auto"/>
        <w:jc w:val="both"/>
        <w:rPr>
          <w:rFonts w:asciiTheme="majorBidi" w:hAnsiTheme="majorBidi" w:cstheme="majorBidi"/>
          <w:sz w:val="24"/>
        </w:rPr>
      </w:pPr>
      <w:r w:rsidRPr="00211FD3">
        <w:rPr>
          <w:rFonts w:asciiTheme="majorBidi" w:hAnsiTheme="majorBidi" w:cstheme="majorBidi"/>
          <w:sz w:val="24"/>
        </w:rPr>
        <w:t>Adlan, Atiya, "</w:t>
      </w:r>
      <w:r>
        <w:rPr>
          <w:rFonts w:asciiTheme="majorBidi" w:hAnsiTheme="majorBidi" w:cstheme="majorBidi"/>
          <w:sz w:val="24"/>
        </w:rPr>
        <w:t xml:space="preserve"> </w:t>
      </w:r>
      <w:r w:rsidRPr="007B5D14">
        <w:rPr>
          <w:rFonts w:asciiTheme="majorBidi" w:hAnsiTheme="majorBidi" w:cstheme="majorBidi"/>
          <w:sz w:val="20"/>
          <w:szCs w:val="20"/>
        </w:rPr>
        <w:t>"</w:t>
      </w:r>
      <w:r w:rsidRPr="000832FA">
        <w:rPr>
          <w:rFonts w:asciiTheme="majorBidi" w:hAnsiTheme="majorBidi" w:cstheme="majorBidi"/>
          <w:sz w:val="24"/>
        </w:rPr>
        <w:t>Fataw-I al-Sheikh Ibn Baz an al-Tatbi" ("Ibn Baz's Fatwa on Normalization)</w:t>
      </w:r>
      <w:r>
        <w:rPr>
          <w:rFonts w:asciiTheme="majorBidi" w:hAnsiTheme="majorBidi" w:cstheme="majorBidi"/>
          <w:sz w:val="24"/>
        </w:rPr>
        <w:t>",</w:t>
      </w:r>
      <w:r w:rsidRPr="000832FA">
        <w:rPr>
          <w:rFonts w:asciiTheme="majorBidi" w:hAnsiTheme="majorBidi" w:cstheme="majorBidi"/>
          <w:sz w:val="24"/>
        </w:rPr>
        <w:t xml:space="preserve"> </w:t>
      </w:r>
      <w:r w:rsidRPr="002175B9">
        <w:rPr>
          <w:rFonts w:asciiTheme="majorBidi" w:hAnsiTheme="majorBidi" w:cstheme="majorBidi"/>
          <w:i/>
          <w:iCs/>
          <w:sz w:val="24"/>
        </w:rPr>
        <w:t>Egyptian Institute for Studies</w:t>
      </w:r>
      <w:r w:rsidRPr="00211FD3">
        <w:rPr>
          <w:rFonts w:asciiTheme="majorBidi" w:hAnsiTheme="majorBidi" w:cstheme="majorBidi"/>
          <w:sz w:val="24"/>
        </w:rPr>
        <w:t>, 29</w:t>
      </w:r>
      <w:r>
        <w:rPr>
          <w:rFonts w:asciiTheme="majorBidi" w:hAnsiTheme="majorBidi" w:cstheme="majorBidi"/>
          <w:sz w:val="24"/>
        </w:rPr>
        <w:t>.1.</w:t>
      </w:r>
      <w:r w:rsidRPr="00211FD3">
        <w:rPr>
          <w:rFonts w:asciiTheme="majorBidi" w:hAnsiTheme="majorBidi" w:cstheme="majorBidi"/>
          <w:sz w:val="24"/>
        </w:rPr>
        <w:t xml:space="preserve">2021, </w:t>
      </w:r>
      <w:hyperlink r:id="rId14" w:history="1">
        <w:r w:rsidRPr="00FC177B">
          <w:rPr>
            <w:rStyle w:val="Hyperlink"/>
            <w:rFonts w:asciiTheme="majorBidi" w:hAnsiTheme="majorBidi" w:cstheme="majorBidi"/>
            <w:sz w:val="24"/>
          </w:rPr>
          <w:t>https://bit.ly/3Ak2qz0</w:t>
        </w:r>
      </w:hyperlink>
      <w:r>
        <w:rPr>
          <w:rFonts w:asciiTheme="majorBidi" w:hAnsiTheme="majorBidi" w:cstheme="majorBidi"/>
          <w:sz w:val="24"/>
        </w:rPr>
        <w:t xml:space="preserve"> </w:t>
      </w:r>
      <w:r w:rsidRPr="00211FD3">
        <w:rPr>
          <w:rFonts w:asciiTheme="majorBidi" w:hAnsiTheme="majorBidi" w:cstheme="majorBidi"/>
          <w:sz w:val="24"/>
        </w:rPr>
        <w:t xml:space="preserve"> </w:t>
      </w:r>
    </w:p>
    <w:p w14:paraId="408D58CC" w14:textId="77777777" w:rsidR="006A31DE" w:rsidRDefault="006A31DE" w:rsidP="006A31DE">
      <w:pPr>
        <w:bidi w:val="0"/>
        <w:spacing w:line="240" w:lineRule="auto"/>
        <w:jc w:val="both"/>
        <w:rPr>
          <w:rFonts w:asciiTheme="majorBidi" w:hAnsiTheme="majorBidi" w:cstheme="majorBidi"/>
          <w:sz w:val="24"/>
        </w:rPr>
      </w:pPr>
      <w:r w:rsidRPr="003F3C4C">
        <w:rPr>
          <w:rFonts w:asciiTheme="majorBidi" w:hAnsiTheme="majorBidi" w:cstheme="majorBidi"/>
          <w:sz w:val="24"/>
        </w:rPr>
        <w:t xml:space="preserve">Al-Atawneh, Muhammad, and Hatina, Meir, "The Study of Islam and Muslims in Israel", </w:t>
      </w:r>
      <w:r w:rsidRPr="0019520F">
        <w:rPr>
          <w:rFonts w:asciiTheme="majorBidi" w:hAnsiTheme="majorBidi" w:cstheme="majorBidi"/>
          <w:i/>
          <w:iCs/>
          <w:sz w:val="24"/>
        </w:rPr>
        <w:t>Israel Studies</w:t>
      </w:r>
      <w:r w:rsidRPr="003F3C4C">
        <w:rPr>
          <w:rFonts w:asciiTheme="majorBidi" w:hAnsiTheme="majorBidi" w:cstheme="majorBidi"/>
          <w:sz w:val="24"/>
        </w:rPr>
        <w:t xml:space="preserve">, Vol. 24, N. 3, Fall 2019, pp. 101 </w:t>
      </w:r>
      <w:r>
        <w:rPr>
          <w:rFonts w:asciiTheme="majorBidi" w:hAnsiTheme="majorBidi" w:cstheme="majorBidi"/>
          <w:sz w:val="24"/>
        </w:rPr>
        <w:t>–</w:t>
      </w:r>
      <w:r w:rsidRPr="003F3C4C">
        <w:rPr>
          <w:rFonts w:asciiTheme="majorBidi" w:hAnsiTheme="majorBidi" w:cstheme="majorBidi"/>
          <w:sz w:val="24"/>
        </w:rPr>
        <w:t xml:space="preserve"> </w:t>
      </w:r>
      <w:proofErr w:type="gramStart"/>
      <w:r w:rsidRPr="003F3C4C">
        <w:rPr>
          <w:rFonts w:asciiTheme="majorBidi" w:hAnsiTheme="majorBidi" w:cstheme="majorBidi"/>
          <w:sz w:val="24"/>
        </w:rPr>
        <w:t>104</w:t>
      </w:r>
      <w:proofErr w:type="gramEnd"/>
    </w:p>
    <w:p w14:paraId="099473B0" w14:textId="77777777" w:rsidR="006A31DE" w:rsidRPr="00211FD3" w:rsidRDefault="006A31DE" w:rsidP="006A31DE">
      <w:pPr>
        <w:bidi w:val="0"/>
        <w:spacing w:line="240" w:lineRule="auto"/>
        <w:jc w:val="both"/>
        <w:rPr>
          <w:rFonts w:asciiTheme="majorBidi" w:hAnsiTheme="majorBidi" w:cstheme="majorBidi"/>
          <w:sz w:val="24"/>
        </w:rPr>
      </w:pPr>
      <w:r>
        <w:rPr>
          <w:rFonts w:asciiTheme="majorBidi" w:hAnsiTheme="majorBidi" w:cstheme="majorBidi"/>
          <w:sz w:val="24"/>
        </w:rPr>
        <w:t>Al-</w:t>
      </w:r>
      <w:r w:rsidRPr="0028356B">
        <w:rPr>
          <w:rFonts w:asciiTheme="majorBidi" w:hAnsiTheme="majorBidi" w:cstheme="majorBidi"/>
          <w:sz w:val="24"/>
        </w:rPr>
        <w:t>Falouji</w:t>
      </w:r>
      <w:r w:rsidRPr="00211FD3">
        <w:rPr>
          <w:rFonts w:asciiTheme="majorBidi" w:hAnsiTheme="majorBidi" w:cstheme="majorBidi"/>
          <w:sz w:val="24"/>
        </w:rPr>
        <w:t xml:space="preserve">, </w:t>
      </w:r>
      <w:r>
        <w:rPr>
          <w:rFonts w:asciiTheme="majorBidi" w:hAnsiTheme="majorBidi" w:cstheme="majorBidi"/>
          <w:sz w:val="24"/>
        </w:rPr>
        <w:t>I</w:t>
      </w:r>
      <w:r w:rsidRPr="00211FD3">
        <w:rPr>
          <w:rFonts w:asciiTheme="majorBidi" w:hAnsiTheme="majorBidi" w:cstheme="majorBidi"/>
          <w:sz w:val="24"/>
        </w:rPr>
        <w:t>mad</w:t>
      </w:r>
      <w:r w:rsidRPr="00B27278">
        <w:rPr>
          <w:rFonts w:asciiTheme="majorBidi" w:hAnsiTheme="majorBidi" w:cstheme="majorBidi"/>
          <w:sz w:val="24"/>
        </w:rPr>
        <w:t xml:space="preserve">, </w:t>
      </w:r>
      <w:r w:rsidRPr="00B27278">
        <w:rPr>
          <w:rFonts w:asciiTheme="majorBidi" w:hAnsiTheme="majorBidi" w:cstheme="majorBidi"/>
          <w:i/>
          <w:iCs/>
          <w:sz w:val="24"/>
        </w:rPr>
        <w:t>Al-hiwar al-Filastiniyi (The Palestinian Dialogue),</w:t>
      </w:r>
      <w:r w:rsidRPr="00211FD3">
        <w:rPr>
          <w:rFonts w:asciiTheme="majorBidi" w:hAnsiTheme="majorBidi" w:cstheme="majorBidi"/>
          <w:sz w:val="24"/>
        </w:rPr>
        <w:t xml:space="preserve"> Gaza: Al-Yazji Library for Printing, Publishing and Distribution, 2010</w:t>
      </w:r>
    </w:p>
    <w:p w14:paraId="1F26D7CB" w14:textId="77777777" w:rsidR="006A31DE" w:rsidRPr="00211FD3" w:rsidRDefault="006A31DE" w:rsidP="006A31DE">
      <w:pPr>
        <w:bidi w:val="0"/>
        <w:spacing w:line="240" w:lineRule="auto"/>
        <w:jc w:val="both"/>
        <w:rPr>
          <w:rFonts w:asciiTheme="majorBidi" w:hAnsiTheme="majorBidi" w:cstheme="majorBidi"/>
          <w:sz w:val="24"/>
          <w:rtl/>
        </w:rPr>
      </w:pPr>
      <w:r>
        <w:rPr>
          <w:rFonts w:asciiTheme="majorBidi" w:hAnsiTheme="majorBidi" w:cstheme="majorBidi"/>
          <w:sz w:val="24"/>
        </w:rPr>
        <w:t>Al-</w:t>
      </w:r>
      <w:r w:rsidRPr="0028356B">
        <w:rPr>
          <w:rFonts w:asciiTheme="majorBidi" w:hAnsiTheme="majorBidi" w:cstheme="majorBidi"/>
          <w:sz w:val="24"/>
        </w:rPr>
        <w:t>Falouji</w:t>
      </w:r>
      <w:r w:rsidRPr="00211FD3">
        <w:rPr>
          <w:rFonts w:asciiTheme="majorBidi" w:hAnsiTheme="majorBidi" w:cstheme="majorBidi"/>
          <w:sz w:val="24"/>
        </w:rPr>
        <w:t xml:space="preserve">, </w:t>
      </w:r>
      <w:r>
        <w:rPr>
          <w:rFonts w:asciiTheme="majorBidi" w:hAnsiTheme="majorBidi" w:cstheme="majorBidi"/>
          <w:sz w:val="24"/>
        </w:rPr>
        <w:t>I</w:t>
      </w:r>
      <w:r w:rsidRPr="00211FD3">
        <w:rPr>
          <w:rFonts w:asciiTheme="majorBidi" w:hAnsiTheme="majorBidi" w:cstheme="majorBidi"/>
          <w:sz w:val="24"/>
        </w:rPr>
        <w:t xml:space="preserve">mad, </w:t>
      </w:r>
      <w:r w:rsidRPr="00B27278">
        <w:rPr>
          <w:rFonts w:asciiTheme="majorBidi" w:hAnsiTheme="majorBidi" w:cstheme="majorBidi"/>
          <w:i/>
          <w:iCs/>
          <w:sz w:val="24"/>
        </w:rPr>
        <w:t>Darb al-Ashwak (Path of Thorns)</w:t>
      </w:r>
      <w:r w:rsidRPr="00B27278">
        <w:rPr>
          <w:rFonts w:asciiTheme="majorBidi" w:hAnsiTheme="majorBidi" w:cstheme="majorBidi"/>
          <w:sz w:val="24"/>
        </w:rPr>
        <w:t xml:space="preserve">, </w:t>
      </w:r>
      <w:r w:rsidRPr="00211FD3">
        <w:rPr>
          <w:rFonts w:asciiTheme="majorBidi" w:hAnsiTheme="majorBidi" w:cstheme="majorBidi"/>
          <w:sz w:val="24"/>
        </w:rPr>
        <w:t xml:space="preserve">Dar Al-Shorouk, 2002  </w:t>
      </w:r>
    </w:p>
    <w:p w14:paraId="30314AB5" w14:textId="77777777" w:rsidR="006A31DE" w:rsidRPr="00211FD3" w:rsidRDefault="006A31DE" w:rsidP="006A31DE">
      <w:pPr>
        <w:bidi w:val="0"/>
        <w:spacing w:line="240" w:lineRule="auto"/>
        <w:jc w:val="both"/>
        <w:rPr>
          <w:rFonts w:asciiTheme="majorBidi" w:hAnsiTheme="majorBidi" w:cstheme="majorBidi"/>
          <w:sz w:val="24"/>
          <w:rtl/>
        </w:rPr>
      </w:pPr>
      <w:r>
        <w:rPr>
          <w:rFonts w:asciiTheme="majorBidi" w:hAnsiTheme="majorBidi" w:cstheme="majorBidi"/>
          <w:sz w:val="24"/>
        </w:rPr>
        <w:t>Al-</w:t>
      </w:r>
      <w:r w:rsidRPr="0028356B">
        <w:rPr>
          <w:rFonts w:asciiTheme="majorBidi" w:hAnsiTheme="majorBidi" w:cstheme="majorBidi"/>
          <w:sz w:val="24"/>
        </w:rPr>
        <w:t>Falouji</w:t>
      </w:r>
      <w:r w:rsidRPr="00211FD3">
        <w:rPr>
          <w:rFonts w:asciiTheme="majorBidi" w:hAnsiTheme="majorBidi" w:cstheme="majorBidi"/>
          <w:sz w:val="24"/>
        </w:rPr>
        <w:t xml:space="preserve">, </w:t>
      </w:r>
      <w:r>
        <w:rPr>
          <w:rFonts w:asciiTheme="majorBidi" w:hAnsiTheme="majorBidi" w:cstheme="majorBidi"/>
          <w:sz w:val="24"/>
        </w:rPr>
        <w:t>I</w:t>
      </w:r>
      <w:r w:rsidRPr="00211FD3">
        <w:rPr>
          <w:rFonts w:asciiTheme="majorBidi" w:hAnsiTheme="majorBidi" w:cstheme="majorBidi"/>
          <w:sz w:val="24"/>
        </w:rPr>
        <w:t xml:space="preserve">mad, </w:t>
      </w:r>
      <w:r w:rsidRPr="00B27278">
        <w:rPr>
          <w:rFonts w:asciiTheme="majorBidi" w:hAnsiTheme="majorBidi" w:cstheme="majorBidi"/>
          <w:i/>
          <w:iCs/>
          <w:sz w:val="24"/>
        </w:rPr>
        <w:t>Ma'a l-Rais (With the President)</w:t>
      </w:r>
      <w:r w:rsidRPr="00B27278">
        <w:rPr>
          <w:rFonts w:asciiTheme="majorBidi" w:hAnsiTheme="majorBidi" w:cstheme="majorBidi"/>
          <w:sz w:val="24"/>
        </w:rPr>
        <w:t>,</w:t>
      </w:r>
      <w:r w:rsidRPr="00211FD3">
        <w:rPr>
          <w:rFonts w:asciiTheme="majorBidi" w:hAnsiTheme="majorBidi" w:cstheme="majorBidi"/>
          <w:sz w:val="24"/>
        </w:rPr>
        <w:t xml:space="preserve"> Amman: Al-Shorouk, 2009</w:t>
      </w:r>
    </w:p>
    <w:p w14:paraId="6E0BD1ED" w14:textId="77777777" w:rsidR="006A31DE" w:rsidRPr="00211FD3" w:rsidRDefault="006A31DE" w:rsidP="006A31DE">
      <w:pPr>
        <w:bidi w:val="0"/>
        <w:spacing w:line="240" w:lineRule="auto"/>
        <w:jc w:val="both"/>
        <w:rPr>
          <w:rFonts w:asciiTheme="majorBidi" w:hAnsiTheme="majorBidi" w:cstheme="majorBidi"/>
          <w:sz w:val="24"/>
          <w:rtl/>
        </w:rPr>
      </w:pPr>
      <w:r>
        <w:rPr>
          <w:rFonts w:asciiTheme="majorBidi" w:hAnsiTheme="majorBidi" w:cstheme="majorBidi"/>
          <w:sz w:val="24"/>
        </w:rPr>
        <w:t>Al-</w:t>
      </w:r>
      <w:r w:rsidRPr="0028356B">
        <w:rPr>
          <w:rFonts w:asciiTheme="majorBidi" w:hAnsiTheme="majorBidi" w:cstheme="majorBidi"/>
          <w:sz w:val="24"/>
        </w:rPr>
        <w:t>Falouji</w:t>
      </w:r>
      <w:r w:rsidRPr="00211FD3">
        <w:rPr>
          <w:rFonts w:asciiTheme="majorBidi" w:hAnsiTheme="majorBidi" w:cstheme="majorBidi"/>
          <w:sz w:val="24"/>
        </w:rPr>
        <w:t xml:space="preserve">, </w:t>
      </w:r>
      <w:r>
        <w:rPr>
          <w:rFonts w:asciiTheme="majorBidi" w:hAnsiTheme="majorBidi" w:cstheme="majorBidi"/>
          <w:sz w:val="24"/>
        </w:rPr>
        <w:t>I</w:t>
      </w:r>
      <w:r w:rsidRPr="00211FD3">
        <w:rPr>
          <w:rFonts w:asciiTheme="majorBidi" w:hAnsiTheme="majorBidi" w:cstheme="majorBidi"/>
          <w:sz w:val="24"/>
        </w:rPr>
        <w:t xml:space="preserve">mad, </w:t>
      </w:r>
      <w:r w:rsidRPr="00B27278">
        <w:rPr>
          <w:rFonts w:asciiTheme="majorBidi" w:hAnsiTheme="majorBidi" w:cstheme="majorBidi"/>
          <w:i/>
          <w:iCs/>
          <w:sz w:val="24"/>
        </w:rPr>
        <w:t>Min Kalb al-Sulta (From the Heart of Authority)</w:t>
      </w:r>
      <w:r w:rsidRPr="00B27278">
        <w:rPr>
          <w:rFonts w:asciiTheme="majorBidi" w:hAnsiTheme="majorBidi" w:cstheme="majorBidi"/>
          <w:sz w:val="24"/>
        </w:rPr>
        <w:t>,</w:t>
      </w:r>
      <w:r w:rsidRPr="00211FD3">
        <w:rPr>
          <w:rFonts w:asciiTheme="majorBidi" w:hAnsiTheme="majorBidi" w:cstheme="majorBidi"/>
          <w:sz w:val="24"/>
        </w:rPr>
        <w:t xml:space="preserve"> Gaza: Al-Yazji Library for Printing, Publishing and Distribution, 2008  </w:t>
      </w:r>
    </w:p>
    <w:p w14:paraId="56815893" w14:textId="77777777" w:rsidR="006A31DE" w:rsidRDefault="006A31DE" w:rsidP="006A31DE">
      <w:pPr>
        <w:bidi w:val="0"/>
        <w:spacing w:line="240" w:lineRule="auto"/>
        <w:jc w:val="both"/>
        <w:rPr>
          <w:rFonts w:asciiTheme="majorBidi" w:hAnsiTheme="majorBidi" w:cstheme="majorBidi"/>
          <w:sz w:val="24"/>
        </w:rPr>
      </w:pPr>
      <w:r w:rsidRPr="00B723BF">
        <w:rPr>
          <w:rFonts w:asciiTheme="majorBidi" w:hAnsiTheme="majorBidi" w:cstheme="majorBidi"/>
          <w:sz w:val="24"/>
        </w:rPr>
        <w:t>Al-Jarbawi, Ali</w:t>
      </w:r>
      <w:r>
        <w:rPr>
          <w:rFonts w:asciiTheme="majorBidi" w:hAnsiTheme="majorBidi" w:cstheme="majorBidi"/>
          <w:sz w:val="24"/>
        </w:rPr>
        <w:t xml:space="preserve">, </w:t>
      </w:r>
      <w:r w:rsidRPr="00B723BF">
        <w:rPr>
          <w:rFonts w:asciiTheme="majorBidi" w:hAnsiTheme="majorBidi" w:cstheme="majorBidi"/>
          <w:sz w:val="24"/>
        </w:rPr>
        <w:t xml:space="preserve">"The Position of Palestinian Islamists on the Palestine-Israel Accords", </w:t>
      </w:r>
      <w:r w:rsidRPr="0019520F">
        <w:rPr>
          <w:rFonts w:asciiTheme="majorBidi" w:hAnsiTheme="majorBidi" w:cstheme="majorBidi"/>
          <w:i/>
          <w:iCs/>
          <w:sz w:val="24"/>
        </w:rPr>
        <w:t>The Muslim World</w:t>
      </w:r>
      <w:r w:rsidRPr="00B723BF">
        <w:rPr>
          <w:rFonts w:asciiTheme="majorBidi" w:hAnsiTheme="majorBidi" w:cstheme="majorBidi"/>
          <w:sz w:val="24"/>
        </w:rPr>
        <w:t>, vol. 84 n. 1-2, January-April 1994, pp. 127-154</w:t>
      </w:r>
    </w:p>
    <w:p w14:paraId="3B2FD366"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Al-Khalidi, Walid, </w:t>
      </w:r>
      <w:r w:rsidRPr="002B194B">
        <w:rPr>
          <w:rFonts w:asciiTheme="majorBidi" w:hAnsiTheme="majorBidi" w:cstheme="majorBidi"/>
          <w:sz w:val="24"/>
        </w:rPr>
        <w:t>"Nahw al-Dawla al-Filastiniat ealaa al-Raghm min Aitifaq Uwslu (Towards a Palestinian State Despite the Oslo Accords)</w:t>
      </w:r>
      <w:r>
        <w:rPr>
          <w:rFonts w:asciiTheme="majorBidi" w:hAnsiTheme="majorBidi" w:cstheme="majorBidi"/>
          <w:sz w:val="24"/>
        </w:rPr>
        <w:t>"</w:t>
      </w:r>
      <w:r w:rsidRPr="00211FD3">
        <w:rPr>
          <w:rFonts w:asciiTheme="majorBidi" w:hAnsiTheme="majorBidi" w:cstheme="majorBidi"/>
          <w:sz w:val="24"/>
        </w:rPr>
        <w:t xml:space="preserve">, </w:t>
      </w:r>
      <w:r w:rsidRPr="002A32B7">
        <w:rPr>
          <w:rFonts w:asciiTheme="majorBidi" w:hAnsiTheme="majorBidi" w:cstheme="majorBidi"/>
          <w:i/>
          <w:iCs/>
          <w:sz w:val="24"/>
        </w:rPr>
        <w:t xml:space="preserve">Journal of Palestine Studies, </w:t>
      </w:r>
      <w:r w:rsidRPr="00211FD3">
        <w:rPr>
          <w:rFonts w:asciiTheme="majorBidi" w:hAnsiTheme="majorBidi" w:cstheme="majorBidi"/>
          <w:sz w:val="24"/>
        </w:rPr>
        <w:t xml:space="preserve">Issue 24 - Fall 1995, </w:t>
      </w:r>
      <w:hyperlink r:id="rId15" w:history="1">
        <w:r w:rsidRPr="00FC177B">
          <w:rPr>
            <w:rStyle w:val="Hyperlink"/>
            <w:rFonts w:asciiTheme="majorBidi" w:hAnsiTheme="majorBidi" w:cstheme="majorBidi"/>
            <w:sz w:val="24"/>
          </w:rPr>
          <w:t>https://www.palestine-studies.org/ar/node/35058</w:t>
        </w:r>
      </w:hyperlink>
      <w:r>
        <w:rPr>
          <w:rFonts w:asciiTheme="majorBidi" w:hAnsiTheme="majorBidi" w:cstheme="majorBidi"/>
          <w:sz w:val="24"/>
        </w:rPr>
        <w:t xml:space="preserve"> </w:t>
      </w:r>
    </w:p>
    <w:p w14:paraId="34CDBB49" w14:textId="77777777" w:rsidR="006A31DE" w:rsidRPr="00227DB8" w:rsidRDefault="006A31DE" w:rsidP="006A31DE">
      <w:pPr>
        <w:bidi w:val="0"/>
        <w:spacing w:line="240" w:lineRule="auto"/>
        <w:jc w:val="both"/>
        <w:rPr>
          <w:rFonts w:asciiTheme="majorBidi" w:hAnsiTheme="majorBidi" w:cstheme="majorBidi"/>
          <w:sz w:val="28"/>
          <w:szCs w:val="28"/>
        </w:rPr>
      </w:pPr>
      <w:r w:rsidRPr="00227DB8">
        <w:rPr>
          <w:rFonts w:asciiTheme="majorBidi" w:hAnsiTheme="majorBidi" w:cstheme="majorBidi"/>
          <w:sz w:val="24"/>
          <w:szCs w:val="28"/>
        </w:rPr>
        <w:t xml:space="preserve">Al-Qaradawi, </w:t>
      </w:r>
      <w:r w:rsidRPr="00227DB8">
        <w:rPr>
          <w:rFonts w:asciiTheme="majorBidi" w:hAnsiTheme="majorBidi" w:cstheme="majorBidi"/>
          <w:i/>
          <w:iCs/>
          <w:sz w:val="24"/>
          <w:szCs w:val="28"/>
        </w:rPr>
        <w:t xml:space="preserve">Al-Quds Qadiyyat Kull </w:t>
      </w:r>
      <w:r w:rsidRPr="006053A2">
        <w:rPr>
          <w:rFonts w:asciiTheme="majorBidi" w:hAnsiTheme="majorBidi" w:cstheme="majorBidi"/>
          <w:i/>
          <w:iCs/>
          <w:sz w:val="24"/>
          <w:szCs w:val="28"/>
        </w:rPr>
        <w:t>Muslim (Al-Quds is the issue of every Muslim),</w:t>
      </w:r>
      <w:r>
        <w:rPr>
          <w:rFonts w:asciiTheme="majorBidi" w:hAnsiTheme="majorBidi" w:cstheme="majorBidi"/>
          <w:sz w:val="24"/>
          <w:szCs w:val="28"/>
        </w:rPr>
        <w:t xml:space="preserve"> </w:t>
      </w:r>
      <w:r w:rsidRPr="00BD431B">
        <w:rPr>
          <w:rFonts w:asciiTheme="majorBidi" w:hAnsiTheme="majorBidi" w:cstheme="majorBidi"/>
          <w:sz w:val="24"/>
          <w:szCs w:val="28"/>
        </w:rPr>
        <w:t xml:space="preserve">Dar Al-Shorouk, 1998, </w:t>
      </w:r>
      <w:hyperlink r:id="rId16" w:history="1">
        <w:r w:rsidRPr="00FC177B">
          <w:rPr>
            <w:rStyle w:val="Hyperlink"/>
            <w:rFonts w:asciiTheme="majorBidi" w:hAnsiTheme="majorBidi" w:cstheme="majorBidi"/>
            <w:sz w:val="24"/>
            <w:szCs w:val="28"/>
          </w:rPr>
          <w:t>https://www.al-qaradawi.net/node/5132</w:t>
        </w:r>
      </w:hyperlink>
      <w:r>
        <w:rPr>
          <w:rFonts w:asciiTheme="majorBidi" w:hAnsiTheme="majorBidi" w:cstheme="majorBidi"/>
          <w:sz w:val="24"/>
          <w:szCs w:val="28"/>
        </w:rPr>
        <w:t xml:space="preserve"> </w:t>
      </w:r>
      <w:r w:rsidRPr="00227DB8">
        <w:rPr>
          <w:rFonts w:asciiTheme="majorBidi" w:hAnsiTheme="majorBidi" w:cstheme="majorBidi"/>
          <w:sz w:val="24"/>
          <w:szCs w:val="28"/>
        </w:rPr>
        <w:t xml:space="preserve"> </w:t>
      </w:r>
    </w:p>
    <w:p w14:paraId="5396A115"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Al-Qaradawi, Yusuf, </w:t>
      </w:r>
      <w:r w:rsidRPr="006053A2">
        <w:rPr>
          <w:rFonts w:asciiTheme="majorBidi" w:hAnsiTheme="majorBidi" w:cstheme="majorBidi"/>
          <w:i/>
          <w:iCs/>
          <w:sz w:val="24"/>
        </w:rPr>
        <w:t>Fi Fiqh al-Aqalliyyat al-Muslima (In the Jurisprudence of Muslim Minorities)</w:t>
      </w:r>
      <w:r w:rsidRPr="00211FD3">
        <w:rPr>
          <w:rFonts w:asciiTheme="majorBidi" w:hAnsiTheme="majorBidi" w:cstheme="majorBidi"/>
          <w:sz w:val="24"/>
        </w:rPr>
        <w:t>, Cairo: Dar Al-Shorouk, 2001, https://www.al-qaradawi.net/node/5061</w:t>
      </w:r>
    </w:p>
    <w:p w14:paraId="54AE79FF" w14:textId="77777777" w:rsidR="006A31DE" w:rsidRPr="002C7EF1" w:rsidRDefault="006A31DE" w:rsidP="006A31DE">
      <w:pPr>
        <w:bidi w:val="0"/>
        <w:spacing w:line="240" w:lineRule="auto"/>
        <w:jc w:val="both"/>
        <w:rPr>
          <w:rFonts w:asciiTheme="majorBidi" w:hAnsiTheme="majorBidi" w:cstheme="majorBidi"/>
          <w:sz w:val="24"/>
        </w:rPr>
      </w:pPr>
      <w:r w:rsidRPr="00211FD3">
        <w:rPr>
          <w:rFonts w:asciiTheme="majorBidi" w:hAnsiTheme="majorBidi" w:cstheme="majorBidi"/>
          <w:sz w:val="24"/>
        </w:rPr>
        <w:t xml:space="preserve">Al-Qaradawi, </w:t>
      </w:r>
      <w:proofErr w:type="gramStart"/>
      <w:r w:rsidRPr="00211FD3">
        <w:rPr>
          <w:rFonts w:asciiTheme="majorBidi" w:hAnsiTheme="majorBidi" w:cstheme="majorBidi"/>
          <w:sz w:val="24"/>
        </w:rPr>
        <w:t>Yusuf</w:t>
      </w:r>
      <w:r w:rsidRPr="002C7EF1">
        <w:rPr>
          <w:rFonts w:asciiTheme="majorBidi" w:hAnsiTheme="majorBidi" w:cstheme="majorBidi"/>
          <w:sz w:val="24"/>
        </w:rPr>
        <w:t xml:space="preserve"> </w:t>
      </w:r>
      <w:r>
        <w:rPr>
          <w:rFonts w:asciiTheme="majorBidi" w:hAnsiTheme="majorBidi" w:cstheme="majorBidi"/>
          <w:sz w:val="24"/>
        </w:rPr>
        <w:t>,</w:t>
      </w:r>
      <w:proofErr w:type="gramEnd"/>
      <w:r>
        <w:rPr>
          <w:rFonts w:asciiTheme="majorBidi" w:hAnsiTheme="majorBidi" w:cstheme="majorBidi"/>
          <w:sz w:val="24"/>
        </w:rPr>
        <w:t xml:space="preserve"> </w:t>
      </w:r>
      <w:r w:rsidRPr="002C7EF1">
        <w:rPr>
          <w:rFonts w:asciiTheme="majorBidi" w:hAnsiTheme="majorBidi" w:cstheme="majorBidi"/>
          <w:i/>
          <w:iCs/>
          <w:sz w:val="24"/>
        </w:rPr>
        <w:t>Fiqh al-Jihad ("Jurisprudence of Jihad")</w:t>
      </w:r>
      <w:r>
        <w:rPr>
          <w:rFonts w:asciiTheme="majorBidi" w:hAnsiTheme="majorBidi" w:cstheme="majorBidi"/>
          <w:i/>
          <w:iCs/>
          <w:sz w:val="24"/>
        </w:rPr>
        <w:t xml:space="preserve">, </w:t>
      </w:r>
      <w:r w:rsidRPr="00022747">
        <w:rPr>
          <w:rFonts w:asciiTheme="majorBidi" w:hAnsiTheme="majorBidi" w:cstheme="majorBidi"/>
          <w:sz w:val="24"/>
        </w:rPr>
        <w:t xml:space="preserve">Cairo: Wahba Library, 2009, </w:t>
      </w:r>
      <w:hyperlink r:id="rId17" w:history="1">
        <w:r w:rsidRPr="00FC177B">
          <w:rPr>
            <w:rStyle w:val="Hyperlink"/>
            <w:rFonts w:asciiTheme="majorBidi" w:hAnsiTheme="majorBidi" w:cstheme="majorBidi"/>
            <w:sz w:val="24"/>
          </w:rPr>
          <w:t>https://bit.ly/38jSjhK</w:t>
        </w:r>
      </w:hyperlink>
      <w:r>
        <w:rPr>
          <w:rFonts w:asciiTheme="majorBidi" w:hAnsiTheme="majorBidi" w:cstheme="majorBidi"/>
          <w:sz w:val="24"/>
        </w:rPr>
        <w:t xml:space="preserve"> </w:t>
      </w:r>
    </w:p>
    <w:p w14:paraId="448AFD89" w14:textId="77777777" w:rsidR="006A31DE" w:rsidRDefault="006A31DE" w:rsidP="006A31DE">
      <w:pPr>
        <w:bidi w:val="0"/>
        <w:spacing w:line="240" w:lineRule="auto"/>
        <w:jc w:val="both"/>
        <w:rPr>
          <w:rFonts w:asciiTheme="majorBidi" w:hAnsiTheme="majorBidi" w:cstheme="majorBidi"/>
          <w:sz w:val="24"/>
        </w:rPr>
      </w:pPr>
      <w:r w:rsidRPr="00211FD3">
        <w:rPr>
          <w:rFonts w:asciiTheme="majorBidi" w:hAnsiTheme="majorBidi" w:cstheme="majorBidi"/>
          <w:sz w:val="24"/>
        </w:rPr>
        <w:t xml:space="preserve">Al-Qaradawi, Yusuf, </w:t>
      </w:r>
      <w:r w:rsidRPr="006053A2">
        <w:rPr>
          <w:rFonts w:asciiTheme="majorBidi" w:hAnsiTheme="majorBidi" w:cstheme="majorBidi"/>
          <w:i/>
          <w:iCs/>
          <w:sz w:val="24"/>
        </w:rPr>
        <w:t>Fatawi Mu'asira (Contemporary Fatwas),</w:t>
      </w:r>
      <w:r w:rsidRPr="00211FD3">
        <w:rPr>
          <w:rFonts w:asciiTheme="majorBidi" w:hAnsiTheme="majorBidi" w:cstheme="majorBidi"/>
          <w:sz w:val="24"/>
        </w:rPr>
        <w:t xml:space="preserve"> Vol. 3, The Islamic Office, 2003</w:t>
      </w:r>
    </w:p>
    <w:p w14:paraId="232D38B4" w14:textId="77777777" w:rsidR="006A31DE" w:rsidRDefault="006A31DE" w:rsidP="006A31DE">
      <w:pPr>
        <w:bidi w:val="0"/>
        <w:spacing w:line="240" w:lineRule="auto"/>
        <w:jc w:val="both"/>
        <w:rPr>
          <w:rFonts w:asciiTheme="majorBidi" w:hAnsiTheme="majorBidi" w:cstheme="majorBidi"/>
          <w:sz w:val="24"/>
        </w:rPr>
      </w:pPr>
      <w:r w:rsidRPr="00211FD3">
        <w:rPr>
          <w:rFonts w:asciiTheme="majorBidi" w:hAnsiTheme="majorBidi" w:cstheme="majorBidi"/>
          <w:sz w:val="24"/>
        </w:rPr>
        <w:t>Al-</w:t>
      </w:r>
      <w:r>
        <w:rPr>
          <w:rFonts w:asciiTheme="majorBidi" w:hAnsiTheme="majorBidi" w:cstheme="majorBidi"/>
          <w:sz w:val="24"/>
        </w:rPr>
        <w:t>U</w:t>
      </w:r>
      <w:r w:rsidRPr="00211FD3">
        <w:rPr>
          <w:rFonts w:asciiTheme="majorBidi" w:hAnsiTheme="majorBidi" w:cstheme="majorBidi"/>
          <w:sz w:val="24"/>
        </w:rPr>
        <w:t>mari, Ghaith, "</w:t>
      </w:r>
      <w:r w:rsidRPr="00371716">
        <w:t xml:space="preserve"> </w:t>
      </w:r>
      <w:r w:rsidRPr="00371716">
        <w:rPr>
          <w:rFonts w:asciiTheme="majorBidi" w:hAnsiTheme="majorBidi" w:cstheme="majorBidi"/>
          <w:sz w:val="24"/>
        </w:rPr>
        <w:t>al-Iirth al-Mushawah li-Aitifaqiaat Uwslu (The Distorted Legacy of the Oslo Accords)</w:t>
      </w:r>
      <w:r w:rsidRPr="00211FD3">
        <w:rPr>
          <w:rFonts w:asciiTheme="majorBidi" w:hAnsiTheme="majorBidi" w:cstheme="majorBidi"/>
          <w:sz w:val="24"/>
        </w:rPr>
        <w:t xml:space="preserve">", </w:t>
      </w:r>
      <w:r w:rsidRPr="00371716">
        <w:rPr>
          <w:rFonts w:asciiTheme="majorBidi" w:hAnsiTheme="majorBidi" w:cstheme="majorBidi"/>
          <w:i/>
          <w:iCs/>
          <w:sz w:val="24"/>
        </w:rPr>
        <w:t>The Washington Institute for Near East Policy</w:t>
      </w:r>
      <w:r w:rsidRPr="00211FD3">
        <w:rPr>
          <w:rFonts w:asciiTheme="majorBidi" w:hAnsiTheme="majorBidi" w:cstheme="majorBidi"/>
          <w:sz w:val="24"/>
        </w:rPr>
        <w:t>, 3</w:t>
      </w:r>
      <w:r>
        <w:rPr>
          <w:rFonts w:asciiTheme="majorBidi" w:hAnsiTheme="majorBidi" w:cstheme="majorBidi"/>
          <w:sz w:val="24"/>
        </w:rPr>
        <w:t>.</w:t>
      </w:r>
      <w:r w:rsidRPr="00211FD3">
        <w:rPr>
          <w:rFonts w:asciiTheme="majorBidi" w:hAnsiTheme="majorBidi" w:cstheme="majorBidi"/>
          <w:sz w:val="24"/>
        </w:rPr>
        <w:t>4</w:t>
      </w:r>
      <w:r>
        <w:rPr>
          <w:rFonts w:asciiTheme="majorBidi" w:hAnsiTheme="majorBidi" w:cstheme="majorBidi"/>
          <w:sz w:val="24"/>
        </w:rPr>
        <w:t>.</w:t>
      </w:r>
      <w:r w:rsidRPr="00211FD3">
        <w:rPr>
          <w:rFonts w:asciiTheme="majorBidi" w:hAnsiTheme="majorBidi" w:cstheme="majorBidi"/>
          <w:sz w:val="24"/>
        </w:rPr>
        <w:t xml:space="preserve">2019, </w:t>
      </w:r>
      <w:hyperlink r:id="rId18" w:history="1">
        <w:r w:rsidRPr="00FC177B">
          <w:rPr>
            <w:rStyle w:val="Hyperlink"/>
            <w:rFonts w:asciiTheme="majorBidi" w:hAnsiTheme="majorBidi" w:cstheme="majorBidi"/>
            <w:sz w:val="24"/>
          </w:rPr>
          <w:t>https://www.washingtoninstitute.org/ar/policy-analysis/view/the-distorted-legacy-of-the-oslo-accords</w:t>
        </w:r>
      </w:hyperlink>
    </w:p>
    <w:p w14:paraId="18E51341" w14:textId="77777777" w:rsidR="006A31DE" w:rsidRPr="00632E52" w:rsidRDefault="006A31DE" w:rsidP="006A31DE">
      <w:pPr>
        <w:bidi w:val="0"/>
        <w:spacing w:line="240" w:lineRule="auto"/>
        <w:jc w:val="both"/>
        <w:rPr>
          <w:rFonts w:asciiTheme="majorBidi" w:hAnsiTheme="majorBidi" w:cstheme="majorBidi"/>
          <w:sz w:val="24"/>
          <w:rtl/>
        </w:rPr>
      </w:pPr>
      <w:r w:rsidRPr="00632E52">
        <w:rPr>
          <w:rFonts w:asciiTheme="majorBidi" w:hAnsiTheme="majorBidi" w:cstheme="majorBidi"/>
          <w:sz w:val="24"/>
        </w:rPr>
        <w:t>Ali,</w:t>
      </w:r>
      <w:r>
        <w:rPr>
          <w:rFonts w:asciiTheme="majorBidi" w:hAnsiTheme="majorBidi" w:cstheme="majorBidi"/>
          <w:sz w:val="24"/>
        </w:rPr>
        <w:t xml:space="preserve"> </w:t>
      </w:r>
      <w:r w:rsidRPr="00632E52">
        <w:rPr>
          <w:rFonts w:asciiTheme="majorBidi" w:hAnsiTheme="majorBidi" w:cstheme="majorBidi"/>
          <w:sz w:val="24"/>
        </w:rPr>
        <w:t xml:space="preserve">Nuhad, </w:t>
      </w:r>
      <w:r w:rsidRPr="00EC46EC">
        <w:rPr>
          <w:rFonts w:asciiTheme="majorBidi" w:hAnsiTheme="majorBidi" w:cstheme="majorBidi"/>
          <w:i/>
          <w:iCs/>
          <w:sz w:val="24"/>
        </w:rPr>
        <w:t>Religious Fundamentalism as Ideology and Practice: The Islamic Movement in Israel in Comparative Perspective</w:t>
      </w:r>
      <w:r w:rsidRPr="00632E52">
        <w:rPr>
          <w:rFonts w:asciiTheme="majorBidi" w:hAnsiTheme="majorBidi" w:cstheme="majorBidi"/>
          <w:sz w:val="24"/>
        </w:rPr>
        <w:t>, dissertation for the degree of Doctor of Philosophy, University of Haifa: Haifa, 200</w:t>
      </w:r>
      <w:r>
        <w:rPr>
          <w:rFonts w:asciiTheme="majorBidi" w:hAnsiTheme="majorBidi" w:cstheme="majorBidi"/>
          <w:sz w:val="24"/>
        </w:rPr>
        <w:t>6 (Hebrew)</w:t>
      </w:r>
      <w:r w:rsidRPr="00632E52">
        <w:rPr>
          <w:rFonts w:asciiTheme="majorBidi" w:hAnsiTheme="majorBidi" w:cstheme="majorBidi"/>
          <w:sz w:val="24"/>
        </w:rPr>
        <w:t xml:space="preserve">  </w:t>
      </w:r>
    </w:p>
    <w:p w14:paraId="2720717E" w14:textId="77777777" w:rsidR="006A31DE" w:rsidRPr="00632E52" w:rsidRDefault="006A31DE" w:rsidP="006A31DE">
      <w:pPr>
        <w:bidi w:val="0"/>
        <w:spacing w:line="240" w:lineRule="auto"/>
        <w:jc w:val="both"/>
        <w:rPr>
          <w:rFonts w:asciiTheme="majorBidi" w:hAnsiTheme="majorBidi" w:cstheme="majorBidi"/>
          <w:sz w:val="24"/>
          <w:rtl/>
        </w:rPr>
      </w:pPr>
      <w:r w:rsidRPr="00632E52">
        <w:rPr>
          <w:rFonts w:asciiTheme="majorBidi" w:hAnsiTheme="majorBidi" w:cstheme="majorBidi"/>
          <w:sz w:val="24"/>
        </w:rPr>
        <w:t xml:space="preserve">Ali, Nuhad, "The Islamic Movement's Engagement with Minority Status: 'The Independent Community' as a Test Case", in </w:t>
      </w:r>
      <w:r w:rsidRPr="00CF517F">
        <w:rPr>
          <w:rFonts w:asciiTheme="majorBidi" w:hAnsiTheme="majorBidi" w:cstheme="majorBidi"/>
          <w:sz w:val="24"/>
        </w:rPr>
        <w:t>Hatina, Meir, and Al-Atawna, Muhammad, (eds.)</w:t>
      </w:r>
      <w:r>
        <w:rPr>
          <w:rFonts w:asciiTheme="majorBidi" w:hAnsiTheme="majorBidi" w:cstheme="majorBidi"/>
          <w:sz w:val="24"/>
        </w:rPr>
        <w:t xml:space="preserve"> </w:t>
      </w:r>
      <w:r w:rsidRPr="00185E92">
        <w:rPr>
          <w:rFonts w:asciiTheme="majorBidi" w:hAnsiTheme="majorBidi" w:cstheme="majorBidi"/>
          <w:i/>
          <w:iCs/>
          <w:sz w:val="24"/>
        </w:rPr>
        <w:t>Muslims in the Jewish State</w:t>
      </w:r>
      <w:r w:rsidRPr="00CF517F">
        <w:rPr>
          <w:rFonts w:asciiTheme="majorBidi" w:hAnsiTheme="majorBidi" w:cstheme="majorBidi"/>
          <w:sz w:val="24"/>
        </w:rPr>
        <w:t>,</w:t>
      </w:r>
      <w:r>
        <w:rPr>
          <w:rFonts w:asciiTheme="majorBidi" w:hAnsiTheme="majorBidi" w:cstheme="majorBidi"/>
          <w:sz w:val="24"/>
        </w:rPr>
        <w:t xml:space="preserve"> </w:t>
      </w:r>
      <w:r w:rsidRPr="00CF517F">
        <w:rPr>
          <w:rFonts w:asciiTheme="majorBidi" w:hAnsiTheme="majorBidi" w:cstheme="majorBidi"/>
          <w:sz w:val="24"/>
        </w:rPr>
        <w:t>Raanana: HaKibbutz HaMeuchad, 2018</w:t>
      </w:r>
      <w:r>
        <w:rPr>
          <w:rFonts w:asciiTheme="majorBidi" w:hAnsiTheme="majorBidi" w:cstheme="majorBidi"/>
          <w:sz w:val="24"/>
        </w:rPr>
        <w:t xml:space="preserve">, </w:t>
      </w:r>
      <w:r w:rsidRPr="00632E52">
        <w:rPr>
          <w:rFonts w:asciiTheme="majorBidi" w:hAnsiTheme="majorBidi" w:cstheme="majorBidi"/>
          <w:sz w:val="24"/>
        </w:rPr>
        <w:t>pp. 62-78</w:t>
      </w:r>
      <w:r>
        <w:rPr>
          <w:rFonts w:asciiTheme="majorBidi" w:hAnsiTheme="majorBidi" w:cstheme="majorBidi"/>
          <w:sz w:val="24"/>
        </w:rPr>
        <w:t xml:space="preserve"> (Hebrew)</w:t>
      </w:r>
    </w:p>
    <w:p w14:paraId="22AEB030" w14:textId="77777777" w:rsidR="006A31DE" w:rsidRPr="00632E52"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Ali, Nuhad, "The Islamic Movement in Israel: Between Religion, Nationalism and Modernity", in Yona and Goodman (ed</w:t>
      </w:r>
      <w:r>
        <w:rPr>
          <w:rFonts w:asciiTheme="majorBidi" w:hAnsiTheme="majorBidi" w:cstheme="majorBidi"/>
          <w:sz w:val="24"/>
        </w:rPr>
        <w:t>s.</w:t>
      </w:r>
      <w:r w:rsidRPr="00632E52">
        <w:rPr>
          <w:rFonts w:asciiTheme="majorBidi" w:hAnsiTheme="majorBidi" w:cstheme="majorBidi"/>
          <w:sz w:val="24"/>
        </w:rPr>
        <w:t xml:space="preserve">), </w:t>
      </w:r>
      <w:r w:rsidRPr="0002062A">
        <w:rPr>
          <w:rFonts w:asciiTheme="majorBidi" w:hAnsiTheme="majorBidi" w:cstheme="majorBidi"/>
          <w:i/>
          <w:iCs/>
          <w:sz w:val="24"/>
        </w:rPr>
        <w:t>The Maelstrom of Identities</w:t>
      </w:r>
      <w:r w:rsidRPr="00632E52">
        <w:rPr>
          <w:rFonts w:asciiTheme="majorBidi" w:hAnsiTheme="majorBidi" w:cstheme="majorBidi"/>
          <w:sz w:val="24"/>
        </w:rPr>
        <w:t>, pp. 132-164</w:t>
      </w:r>
      <w:r>
        <w:rPr>
          <w:rFonts w:asciiTheme="majorBidi" w:hAnsiTheme="majorBidi" w:cstheme="majorBidi"/>
          <w:sz w:val="24"/>
        </w:rPr>
        <w:t>. (Hebrew)</w:t>
      </w:r>
    </w:p>
    <w:p w14:paraId="22A9EADF" w14:textId="77777777" w:rsidR="006A31DE" w:rsidRPr="00CF517F"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lastRenderedPageBreak/>
        <w:t>Ali, Nuhad, "The Islamic Movement's Concept of 'al-Mujtama' al-'Usami'", in Rekhess (ed</w:t>
      </w:r>
      <w:r>
        <w:rPr>
          <w:rFonts w:asciiTheme="majorBidi" w:hAnsiTheme="majorBidi" w:cstheme="majorBidi"/>
          <w:sz w:val="24"/>
        </w:rPr>
        <w:t>.</w:t>
      </w:r>
      <w:r w:rsidRPr="00632E52">
        <w:rPr>
          <w:rFonts w:asciiTheme="majorBidi" w:hAnsiTheme="majorBidi" w:cstheme="majorBidi"/>
          <w:sz w:val="24"/>
        </w:rPr>
        <w:t xml:space="preserve">), </w:t>
      </w:r>
      <w:r w:rsidRPr="00AE2FFF">
        <w:rPr>
          <w:rFonts w:asciiTheme="majorBidi" w:hAnsiTheme="majorBidi" w:cstheme="majorBidi"/>
          <w:i/>
          <w:iCs/>
          <w:sz w:val="24"/>
        </w:rPr>
        <w:t>The Arab Minority in Israel and the Elections for the 17th Knesset</w:t>
      </w:r>
      <w:r w:rsidRPr="00632E52">
        <w:rPr>
          <w:rFonts w:asciiTheme="majorBidi" w:hAnsiTheme="majorBidi" w:cstheme="majorBidi"/>
          <w:sz w:val="24"/>
        </w:rPr>
        <w:t>, Tel Aviv: Tel Aviv University: Moshe Dayan Center for Middle Eastern and African Studies and Konrad Adenauer Foundation, 2007, pp. 100-110</w:t>
      </w:r>
      <w:r>
        <w:rPr>
          <w:rFonts w:asciiTheme="majorBidi" w:hAnsiTheme="majorBidi" w:cstheme="majorBidi"/>
          <w:sz w:val="24"/>
        </w:rPr>
        <w:t xml:space="preserve"> (Hebrew)</w:t>
      </w:r>
    </w:p>
    <w:p w14:paraId="6BA420C9"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Amital, Yehuda, "A Political Message or an Educational Message", </w:t>
      </w:r>
      <w:r w:rsidRPr="00025B5E">
        <w:rPr>
          <w:rFonts w:asciiTheme="majorBidi" w:hAnsiTheme="majorBidi" w:cstheme="majorBidi"/>
          <w:i/>
          <w:iCs/>
          <w:sz w:val="24"/>
        </w:rPr>
        <w:t>Virtual Beit Midrash of Har Etzion Yeshiva</w:t>
      </w:r>
      <w:r w:rsidRPr="00CF517F">
        <w:rPr>
          <w:rFonts w:asciiTheme="majorBidi" w:hAnsiTheme="majorBidi" w:cstheme="majorBidi"/>
          <w:sz w:val="24"/>
        </w:rPr>
        <w:t xml:space="preserve">, December 1982, </w:t>
      </w:r>
      <w:hyperlink r:id="rId19" w:history="1">
        <w:r w:rsidRPr="00A645C6">
          <w:rPr>
            <w:rStyle w:val="Hyperlink"/>
            <w:rFonts w:asciiTheme="majorBidi" w:hAnsiTheme="majorBidi" w:cstheme="majorBidi"/>
            <w:sz w:val="24"/>
          </w:rPr>
          <w:t>http://etzion.gush.net/shvut/100/100meser.html</w:t>
        </w:r>
      </w:hyperlink>
      <w:r>
        <w:rPr>
          <w:rFonts w:asciiTheme="majorBidi" w:hAnsiTheme="majorBidi" w:cstheme="majorBidi"/>
          <w:sz w:val="24"/>
        </w:rPr>
        <w:t xml:space="preserve">  (Hebrew)</w:t>
      </w:r>
    </w:p>
    <w:p w14:paraId="128AAC91"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Amital, Yehuda, "To Hear the Cry of an Infant", </w:t>
      </w:r>
      <w:r w:rsidRPr="00025B5E">
        <w:rPr>
          <w:rFonts w:asciiTheme="majorBidi" w:hAnsiTheme="majorBidi" w:cstheme="majorBidi"/>
          <w:i/>
          <w:iCs/>
          <w:sz w:val="24"/>
        </w:rPr>
        <w:t>Virtual Beit Midrash of Har Etzion Yeshiva</w:t>
      </w:r>
      <w:r>
        <w:rPr>
          <w:rFonts w:asciiTheme="majorBidi" w:hAnsiTheme="majorBidi" w:cstheme="majorBidi"/>
          <w:i/>
          <w:iCs/>
          <w:sz w:val="24"/>
        </w:rPr>
        <w:t xml:space="preserve">, </w:t>
      </w:r>
      <w:r w:rsidRPr="00CF517F">
        <w:rPr>
          <w:rFonts w:asciiTheme="majorBidi" w:hAnsiTheme="majorBidi" w:cstheme="majorBidi"/>
          <w:sz w:val="24"/>
        </w:rPr>
        <w:t xml:space="preserve">9.12.1993, </w:t>
      </w:r>
      <w:hyperlink r:id="rId20" w:history="1">
        <w:r w:rsidRPr="00A645C6">
          <w:rPr>
            <w:rStyle w:val="Hyperlink"/>
            <w:rFonts w:asciiTheme="majorBidi" w:hAnsiTheme="majorBidi" w:cstheme="majorBidi"/>
            <w:sz w:val="24"/>
          </w:rPr>
          <w:t>https://bit.ly/3uoxmwn</w:t>
        </w:r>
      </w:hyperlink>
      <w:r>
        <w:rPr>
          <w:rFonts w:asciiTheme="majorBidi" w:hAnsiTheme="majorBidi" w:cstheme="majorBidi"/>
          <w:sz w:val="24"/>
        </w:rPr>
        <w:t xml:space="preserve"> (Hebrew)</w:t>
      </w:r>
    </w:p>
    <w:p w14:paraId="6D0AFFBA"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Amital, Yehuda, "The Religious Significance of the State of Israel", </w:t>
      </w:r>
      <w:r w:rsidRPr="00025B5E">
        <w:rPr>
          <w:rFonts w:asciiTheme="majorBidi" w:hAnsiTheme="majorBidi" w:cstheme="majorBidi"/>
          <w:i/>
          <w:iCs/>
          <w:sz w:val="24"/>
        </w:rPr>
        <w:t>Virtual Beit Midrash of Har Etzion Yeshiva</w:t>
      </w:r>
      <w:r>
        <w:rPr>
          <w:rFonts w:asciiTheme="majorBidi" w:hAnsiTheme="majorBidi" w:cstheme="majorBidi"/>
          <w:i/>
          <w:iCs/>
          <w:sz w:val="24"/>
        </w:rPr>
        <w:t xml:space="preserve">, </w:t>
      </w:r>
      <w:r w:rsidRPr="00CF517F">
        <w:rPr>
          <w:rFonts w:asciiTheme="majorBidi" w:hAnsiTheme="majorBidi" w:cstheme="majorBidi"/>
          <w:sz w:val="24"/>
        </w:rPr>
        <w:t xml:space="preserve">1996, </w:t>
      </w:r>
      <w:hyperlink r:id="rId21" w:history="1">
        <w:r w:rsidRPr="00A645C6">
          <w:rPr>
            <w:rStyle w:val="Hyperlink"/>
            <w:rFonts w:asciiTheme="majorBidi" w:hAnsiTheme="majorBidi" w:cstheme="majorBidi"/>
            <w:sz w:val="24"/>
          </w:rPr>
          <w:t>https://bit.ly/3ummzTi</w:t>
        </w:r>
      </w:hyperlink>
      <w:r>
        <w:rPr>
          <w:rFonts w:asciiTheme="majorBidi" w:hAnsiTheme="majorBidi" w:cstheme="majorBidi"/>
          <w:sz w:val="24"/>
        </w:rPr>
        <w:t xml:space="preserve"> (Hebrew)</w:t>
      </w:r>
    </w:p>
    <w:p w14:paraId="5A018698" w14:textId="77777777" w:rsidR="006A31DE" w:rsidRPr="00632E52"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 xml:space="preserve">Amital, Yehuda, "There is Hope for the Zionist Settlement in Judea and Samaria", </w:t>
      </w:r>
      <w:r w:rsidRPr="004D04E8">
        <w:rPr>
          <w:rFonts w:asciiTheme="majorBidi" w:hAnsiTheme="majorBidi" w:cstheme="majorBidi"/>
          <w:i/>
          <w:iCs/>
          <w:sz w:val="24"/>
        </w:rPr>
        <w:t>Nekuda</w:t>
      </w:r>
      <w:r w:rsidRPr="00632E52">
        <w:rPr>
          <w:rFonts w:asciiTheme="majorBidi" w:hAnsiTheme="majorBidi" w:cstheme="majorBidi"/>
          <w:sz w:val="24"/>
        </w:rPr>
        <w:t>, Issue 172, October 1993, pp. 42-45</w:t>
      </w:r>
      <w:r>
        <w:rPr>
          <w:rFonts w:asciiTheme="majorBidi" w:hAnsiTheme="majorBidi" w:cstheme="majorBidi"/>
          <w:sz w:val="24"/>
        </w:rPr>
        <w:t xml:space="preserve"> (Hebrew)</w:t>
      </w:r>
    </w:p>
    <w:p w14:paraId="07955129" w14:textId="77777777" w:rsidR="006A31DE" w:rsidRPr="004D1746" w:rsidRDefault="006A31DE" w:rsidP="006A31DE">
      <w:pPr>
        <w:bidi w:val="0"/>
        <w:spacing w:line="240" w:lineRule="auto"/>
        <w:jc w:val="both"/>
        <w:rPr>
          <w:rFonts w:asciiTheme="majorBidi" w:hAnsiTheme="majorBidi" w:cstheme="majorBidi"/>
          <w:sz w:val="24"/>
          <w:rtl/>
        </w:rPr>
      </w:pPr>
      <w:r w:rsidRPr="00632E52">
        <w:rPr>
          <w:rFonts w:asciiTheme="majorBidi" w:hAnsiTheme="majorBidi" w:cstheme="majorBidi"/>
          <w:sz w:val="24"/>
        </w:rPr>
        <w:t xml:space="preserve">Amital, Yehuda, </w:t>
      </w:r>
      <w:r w:rsidRPr="004D04E8">
        <w:rPr>
          <w:rFonts w:asciiTheme="majorBidi" w:hAnsiTheme="majorBidi" w:cstheme="majorBidi"/>
          <w:i/>
          <w:iCs/>
          <w:sz w:val="24"/>
        </w:rPr>
        <w:t>And the Land He Gave to the Man - Chapters of Thought and Education,</w:t>
      </w:r>
      <w:r w:rsidRPr="00632E52">
        <w:rPr>
          <w:rFonts w:asciiTheme="majorBidi" w:hAnsiTheme="majorBidi" w:cstheme="majorBidi"/>
          <w:sz w:val="24"/>
        </w:rPr>
        <w:t xml:space="preserve"> edited by Amnon Bazak, Alon Shvut: Herzog College/Har Etzion Yeshiva, 2018 </w:t>
      </w:r>
      <w:r>
        <w:rPr>
          <w:rFonts w:asciiTheme="majorBidi" w:hAnsiTheme="majorBidi" w:cstheme="majorBidi"/>
          <w:sz w:val="24"/>
        </w:rPr>
        <w:t>(Hebrew)</w:t>
      </w:r>
    </w:p>
    <w:p w14:paraId="06574081" w14:textId="77777777" w:rsidR="006A31DE" w:rsidRDefault="006A31DE" w:rsidP="006A31DE">
      <w:pPr>
        <w:bidi w:val="0"/>
        <w:spacing w:line="240" w:lineRule="auto"/>
        <w:jc w:val="both"/>
        <w:rPr>
          <w:rFonts w:asciiTheme="majorBidi" w:hAnsiTheme="majorBidi" w:cstheme="majorBidi"/>
          <w:sz w:val="24"/>
        </w:rPr>
      </w:pPr>
      <w:r w:rsidRPr="003F3C4C">
        <w:rPr>
          <w:rFonts w:asciiTheme="majorBidi" w:eastAsia="Times New Roman" w:hAnsiTheme="majorBidi" w:cstheme="majorBidi"/>
          <w:sz w:val="24"/>
        </w:rPr>
        <w:t xml:space="preserve">Appleby, R. Scott, </w:t>
      </w:r>
      <w:r w:rsidRPr="0019520F">
        <w:rPr>
          <w:rFonts w:asciiTheme="majorBidi" w:eastAsia="Times New Roman" w:hAnsiTheme="majorBidi" w:cstheme="majorBidi"/>
          <w:i/>
          <w:iCs/>
          <w:sz w:val="24"/>
        </w:rPr>
        <w:t>The Ambivalence of the Sacred - Religion, Vaiolence and Reconciliation</w:t>
      </w:r>
      <w:r w:rsidRPr="003F3C4C">
        <w:rPr>
          <w:rFonts w:asciiTheme="majorBidi" w:eastAsia="Times New Roman" w:hAnsiTheme="majorBidi" w:cstheme="majorBidi"/>
          <w:sz w:val="24"/>
        </w:rPr>
        <w:t>, Rowman &amp; Littlefield Publishers, 2000</w:t>
      </w:r>
    </w:p>
    <w:p w14:paraId="5C524797" w14:textId="77777777" w:rsidR="006A31DE" w:rsidRPr="00CF517F"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 xml:space="preserve">Arafat, Mohammed Yasser Abdurrahman, "Johannesburg Speech", May 1994 </w:t>
      </w:r>
      <w:hyperlink r:id="rId22" w:history="1">
        <w:r w:rsidRPr="00A645C6">
          <w:rPr>
            <w:rStyle w:val="Hyperlink"/>
            <w:rFonts w:asciiTheme="majorBidi" w:hAnsiTheme="majorBidi" w:cstheme="majorBidi"/>
            <w:sz w:val="24"/>
          </w:rPr>
          <w:t>https://bit.ly/3ijr5xf</w:t>
        </w:r>
      </w:hyperlink>
      <w:r>
        <w:rPr>
          <w:rFonts w:asciiTheme="majorBidi" w:hAnsiTheme="majorBidi" w:cstheme="majorBidi"/>
          <w:sz w:val="24"/>
        </w:rPr>
        <w:t xml:space="preserve"> (Hebrew)</w:t>
      </w:r>
    </w:p>
    <w:p w14:paraId="5B914492" w14:textId="77777777" w:rsidR="006A31DE" w:rsidRDefault="006A31DE" w:rsidP="006A31DE">
      <w:pPr>
        <w:bidi w:val="0"/>
        <w:spacing w:line="240" w:lineRule="auto"/>
        <w:jc w:val="both"/>
        <w:rPr>
          <w:rFonts w:asciiTheme="majorBidi" w:hAnsiTheme="majorBidi" w:cstheme="majorBidi"/>
          <w:sz w:val="24"/>
        </w:rPr>
      </w:pPr>
      <w:r w:rsidRPr="003F3C4C">
        <w:rPr>
          <w:rFonts w:asciiTheme="majorBidi" w:hAnsiTheme="majorBidi" w:cstheme="majorBidi"/>
          <w:sz w:val="24"/>
        </w:rPr>
        <w:t>Ashmore, Richard D., Jussim, Lee, and Wilder, David, (Eds.),</w:t>
      </w:r>
      <w:r w:rsidRPr="003F3C4C">
        <w:rPr>
          <w:rFonts w:asciiTheme="majorBidi" w:hAnsiTheme="majorBidi" w:cstheme="majorBidi"/>
          <w:b/>
          <w:bCs/>
          <w:sz w:val="24"/>
        </w:rPr>
        <w:t xml:space="preserve"> </w:t>
      </w:r>
      <w:r w:rsidRPr="0019520F">
        <w:rPr>
          <w:rFonts w:asciiTheme="majorBidi" w:hAnsiTheme="majorBidi" w:cstheme="majorBidi"/>
          <w:i/>
          <w:iCs/>
          <w:sz w:val="24"/>
        </w:rPr>
        <w:t>Social identity, intergroup conflict, and conflict reduction</w:t>
      </w:r>
      <w:r w:rsidRPr="003F3C4C">
        <w:rPr>
          <w:rFonts w:asciiTheme="majorBidi" w:hAnsiTheme="majorBidi" w:cstheme="majorBidi"/>
          <w:b/>
          <w:bCs/>
          <w:sz w:val="24"/>
        </w:rPr>
        <w:t xml:space="preserve">, </w:t>
      </w:r>
      <w:r w:rsidRPr="003F3C4C">
        <w:rPr>
          <w:rFonts w:asciiTheme="majorBidi" w:hAnsiTheme="majorBidi" w:cstheme="majorBidi"/>
          <w:sz w:val="24"/>
        </w:rPr>
        <w:t>Oxford University Press, 2001</w:t>
      </w:r>
    </w:p>
    <w:p w14:paraId="6F007146"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Bazak, Amnon, (ed.), </w:t>
      </w:r>
      <w:r w:rsidRPr="00B230E6">
        <w:rPr>
          <w:rFonts w:asciiTheme="majorBidi" w:hAnsiTheme="majorBidi" w:cstheme="majorBidi"/>
          <w:i/>
          <w:iCs/>
          <w:sz w:val="24"/>
        </w:rPr>
        <w:t>And You Shall Live by Them - A Test of Values: An Examination of the Sanctity of Life and the Integrity of the Land</w:t>
      </w:r>
      <w:r w:rsidRPr="00CF517F">
        <w:rPr>
          <w:rFonts w:asciiTheme="majorBidi" w:hAnsiTheme="majorBidi" w:cstheme="majorBidi"/>
          <w:sz w:val="24"/>
        </w:rPr>
        <w:t>, Mimad Publishing, Nissan 5753 (3rd edition)</w:t>
      </w:r>
      <w:r>
        <w:rPr>
          <w:rFonts w:asciiTheme="majorBidi" w:hAnsiTheme="majorBidi" w:cstheme="majorBidi"/>
          <w:sz w:val="24"/>
        </w:rPr>
        <w:t xml:space="preserve"> (Hebrew)</w:t>
      </w:r>
    </w:p>
    <w:p w14:paraId="7F067B45" w14:textId="77777777" w:rsidR="006A31DE" w:rsidRDefault="006A31DE" w:rsidP="006A31DE">
      <w:pPr>
        <w:bidi w:val="0"/>
        <w:spacing w:line="240" w:lineRule="auto"/>
        <w:jc w:val="both"/>
        <w:rPr>
          <w:rFonts w:asciiTheme="majorBidi" w:hAnsiTheme="majorBidi" w:cstheme="majorBidi"/>
          <w:sz w:val="24"/>
        </w:rPr>
      </w:pPr>
      <w:r w:rsidRPr="00B723BF">
        <w:rPr>
          <w:rFonts w:asciiTheme="majorBidi" w:hAnsiTheme="majorBidi" w:cstheme="majorBidi"/>
          <w:sz w:val="24"/>
        </w:rPr>
        <w:t>Baconi,</w:t>
      </w:r>
      <w:r>
        <w:rPr>
          <w:rFonts w:asciiTheme="majorBidi" w:hAnsiTheme="majorBidi" w:cstheme="majorBidi"/>
          <w:sz w:val="24"/>
        </w:rPr>
        <w:t xml:space="preserve"> </w:t>
      </w:r>
      <w:r w:rsidRPr="00B723BF">
        <w:rPr>
          <w:rFonts w:asciiTheme="majorBidi" w:hAnsiTheme="majorBidi" w:cstheme="majorBidi"/>
          <w:sz w:val="24"/>
        </w:rPr>
        <w:t>Tareq</w:t>
      </w:r>
      <w:r>
        <w:rPr>
          <w:rFonts w:asciiTheme="majorBidi" w:hAnsiTheme="majorBidi" w:cstheme="majorBidi"/>
          <w:sz w:val="24"/>
        </w:rPr>
        <w:t>,</w:t>
      </w:r>
      <w:r w:rsidRPr="00B723BF">
        <w:rPr>
          <w:rFonts w:asciiTheme="majorBidi" w:hAnsiTheme="majorBidi" w:cstheme="majorBidi"/>
          <w:sz w:val="24"/>
        </w:rPr>
        <w:t xml:space="preserve"> "The demise of Oslo and Hamas’s political engagement", </w:t>
      </w:r>
      <w:r w:rsidRPr="0068342C">
        <w:rPr>
          <w:rFonts w:asciiTheme="majorBidi" w:hAnsiTheme="majorBidi" w:cstheme="majorBidi"/>
          <w:i/>
          <w:iCs/>
          <w:sz w:val="24"/>
        </w:rPr>
        <w:t>Conflict, Security &amp; Development</w:t>
      </w:r>
      <w:r w:rsidRPr="00B723BF">
        <w:rPr>
          <w:rFonts w:asciiTheme="majorBidi" w:hAnsiTheme="majorBidi" w:cstheme="majorBidi"/>
          <w:sz w:val="24"/>
        </w:rPr>
        <w:t>, 2015, 15:5, pp. 503-520</w:t>
      </w:r>
    </w:p>
    <w:p w14:paraId="36B3F530"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Badir, </w:t>
      </w:r>
      <w:r w:rsidRPr="00034B66">
        <w:rPr>
          <w:rFonts w:asciiTheme="majorBidi" w:hAnsiTheme="majorBidi" w:cstheme="majorBidi"/>
          <w:sz w:val="24"/>
        </w:rPr>
        <w:t>Raed</w:t>
      </w:r>
      <w:r w:rsidRPr="00211FD3">
        <w:rPr>
          <w:rFonts w:asciiTheme="majorBidi" w:hAnsiTheme="majorBidi" w:cstheme="majorBidi"/>
          <w:sz w:val="24"/>
        </w:rPr>
        <w:t>, "</w:t>
      </w:r>
      <w:r w:rsidRPr="00D54946">
        <w:rPr>
          <w:rFonts w:asciiTheme="majorBidi" w:hAnsiTheme="majorBidi" w:cstheme="majorBidi"/>
          <w:sz w:val="24"/>
        </w:rPr>
        <w:t>Taealamna min al-Sheikh Yusuf al-Qaradawi</w:t>
      </w:r>
      <w:r>
        <w:rPr>
          <w:rFonts w:asciiTheme="majorBidi" w:hAnsiTheme="majorBidi" w:cstheme="majorBidi"/>
          <w:sz w:val="24"/>
        </w:rPr>
        <w:t xml:space="preserve"> (</w:t>
      </w:r>
      <w:r w:rsidRPr="00211FD3">
        <w:rPr>
          <w:rFonts w:asciiTheme="majorBidi" w:hAnsiTheme="majorBidi" w:cstheme="majorBidi"/>
          <w:sz w:val="24"/>
        </w:rPr>
        <w:t>We learned from Sheikh Yusuf Al-Qaradawi</w:t>
      </w:r>
      <w:r>
        <w:rPr>
          <w:rFonts w:asciiTheme="majorBidi" w:hAnsiTheme="majorBidi" w:cstheme="majorBidi"/>
          <w:sz w:val="24"/>
        </w:rPr>
        <w:t>)"</w:t>
      </w:r>
      <w:r w:rsidRPr="00211FD3">
        <w:rPr>
          <w:rFonts w:asciiTheme="majorBidi" w:hAnsiTheme="majorBidi" w:cstheme="majorBidi"/>
          <w:sz w:val="24"/>
        </w:rPr>
        <w:t xml:space="preserve"> </w:t>
      </w:r>
      <w:r w:rsidRPr="00D54946">
        <w:rPr>
          <w:rFonts w:asciiTheme="majorBidi" w:hAnsiTheme="majorBidi" w:cstheme="majorBidi"/>
          <w:i/>
          <w:iCs/>
          <w:sz w:val="24"/>
        </w:rPr>
        <w:t>Nawazel</w:t>
      </w:r>
      <w:r w:rsidRPr="00211FD3">
        <w:rPr>
          <w:rFonts w:asciiTheme="majorBidi" w:hAnsiTheme="majorBidi" w:cstheme="majorBidi"/>
          <w:sz w:val="24"/>
        </w:rPr>
        <w:t>, 3</w:t>
      </w:r>
      <w:r>
        <w:rPr>
          <w:rFonts w:asciiTheme="majorBidi" w:hAnsiTheme="majorBidi" w:cstheme="majorBidi"/>
          <w:sz w:val="24"/>
        </w:rPr>
        <w:t>.</w:t>
      </w:r>
      <w:r w:rsidRPr="00211FD3">
        <w:rPr>
          <w:rFonts w:asciiTheme="majorBidi" w:hAnsiTheme="majorBidi" w:cstheme="majorBidi"/>
          <w:sz w:val="24"/>
        </w:rPr>
        <w:t>2</w:t>
      </w:r>
      <w:r>
        <w:rPr>
          <w:rFonts w:asciiTheme="majorBidi" w:hAnsiTheme="majorBidi" w:cstheme="majorBidi"/>
          <w:sz w:val="24"/>
        </w:rPr>
        <w:t>.</w:t>
      </w:r>
      <w:r w:rsidRPr="00211FD3">
        <w:rPr>
          <w:rFonts w:asciiTheme="majorBidi" w:hAnsiTheme="majorBidi" w:cstheme="majorBidi"/>
          <w:sz w:val="24"/>
        </w:rPr>
        <w:t xml:space="preserve">2021, </w:t>
      </w:r>
      <w:hyperlink r:id="rId23" w:history="1">
        <w:r w:rsidRPr="00FC177B">
          <w:rPr>
            <w:rStyle w:val="Hyperlink"/>
            <w:rFonts w:asciiTheme="majorBidi" w:hAnsiTheme="majorBidi" w:cstheme="majorBidi"/>
            <w:sz w:val="24"/>
          </w:rPr>
          <w:t>https://bit.ly/2Xud5sO</w:t>
        </w:r>
      </w:hyperlink>
      <w:r>
        <w:rPr>
          <w:rFonts w:asciiTheme="majorBidi" w:hAnsiTheme="majorBidi" w:cstheme="majorBidi"/>
          <w:sz w:val="24"/>
        </w:rPr>
        <w:t xml:space="preserve"> </w:t>
      </w:r>
    </w:p>
    <w:p w14:paraId="30D1F44D"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Badir, </w:t>
      </w:r>
      <w:r w:rsidRPr="00034B66">
        <w:rPr>
          <w:rFonts w:asciiTheme="majorBidi" w:hAnsiTheme="majorBidi" w:cstheme="majorBidi"/>
          <w:sz w:val="24"/>
        </w:rPr>
        <w:t>Raed</w:t>
      </w:r>
      <w:r w:rsidRPr="00211FD3">
        <w:rPr>
          <w:rFonts w:asciiTheme="majorBidi" w:hAnsiTheme="majorBidi" w:cstheme="majorBidi"/>
          <w:sz w:val="24"/>
        </w:rPr>
        <w:t>, "</w:t>
      </w:r>
      <w:r w:rsidRPr="006C649F">
        <w:t xml:space="preserve"> </w:t>
      </w:r>
      <w:r w:rsidRPr="006C649F">
        <w:rPr>
          <w:rFonts w:asciiTheme="majorBidi" w:hAnsiTheme="majorBidi" w:cstheme="majorBidi"/>
          <w:sz w:val="24"/>
        </w:rPr>
        <w:t>al-Juz' al-Thani: al-Mubadarat al-Diyniati li-l'</w:t>
      </w:r>
      <w:r>
        <w:rPr>
          <w:rFonts w:asciiTheme="majorBidi" w:hAnsiTheme="majorBidi" w:cstheme="majorBidi"/>
          <w:sz w:val="24"/>
        </w:rPr>
        <w:t>Sa</w:t>
      </w:r>
      <w:r w:rsidRPr="006C649F">
        <w:rPr>
          <w:rFonts w:asciiTheme="majorBidi" w:hAnsiTheme="majorBidi" w:cstheme="majorBidi"/>
          <w:sz w:val="24"/>
        </w:rPr>
        <w:t xml:space="preserve">lam </w:t>
      </w:r>
      <w:r>
        <w:rPr>
          <w:rFonts w:asciiTheme="majorBidi" w:hAnsiTheme="majorBidi" w:cstheme="majorBidi"/>
          <w:sz w:val="24"/>
        </w:rPr>
        <w:t>(</w:t>
      </w:r>
      <w:r w:rsidRPr="00211FD3">
        <w:rPr>
          <w:rFonts w:asciiTheme="majorBidi" w:hAnsiTheme="majorBidi" w:cstheme="majorBidi"/>
          <w:sz w:val="24"/>
        </w:rPr>
        <w:t>Part Two: The Religious Initiative for Peace</w:t>
      </w:r>
      <w:r>
        <w:rPr>
          <w:rFonts w:asciiTheme="majorBidi" w:hAnsiTheme="majorBidi" w:cstheme="majorBidi"/>
          <w:sz w:val="24"/>
        </w:rPr>
        <w:t>)</w:t>
      </w:r>
      <w:r w:rsidRPr="00211FD3">
        <w:rPr>
          <w:rFonts w:asciiTheme="majorBidi" w:hAnsiTheme="majorBidi" w:cstheme="majorBidi"/>
          <w:sz w:val="24"/>
        </w:rPr>
        <w:t xml:space="preserve">", </w:t>
      </w:r>
      <w:r w:rsidRPr="006C649F">
        <w:rPr>
          <w:rFonts w:asciiTheme="majorBidi" w:hAnsiTheme="majorBidi" w:cstheme="majorBidi"/>
          <w:i/>
          <w:iCs/>
          <w:sz w:val="24"/>
        </w:rPr>
        <w:t>Nawazel</w:t>
      </w:r>
      <w:r w:rsidRPr="00211FD3">
        <w:rPr>
          <w:rFonts w:asciiTheme="majorBidi" w:hAnsiTheme="majorBidi" w:cstheme="majorBidi"/>
          <w:sz w:val="24"/>
        </w:rPr>
        <w:t>, 9</w:t>
      </w:r>
      <w:r>
        <w:rPr>
          <w:rFonts w:asciiTheme="majorBidi" w:hAnsiTheme="majorBidi" w:cstheme="majorBidi"/>
          <w:sz w:val="24"/>
        </w:rPr>
        <w:t>.</w:t>
      </w:r>
      <w:r w:rsidRPr="00211FD3">
        <w:rPr>
          <w:rFonts w:asciiTheme="majorBidi" w:hAnsiTheme="majorBidi" w:cstheme="majorBidi"/>
          <w:sz w:val="24"/>
        </w:rPr>
        <w:t>22</w:t>
      </w:r>
      <w:r>
        <w:rPr>
          <w:rFonts w:asciiTheme="majorBidi" w:hAnsiTheme="majorBidi" w:cstheme="majorBidi"/>
          <w:sz w:val="24"/>
        </w:rPr>
        <w:t>.</w:t>
      </w:r>
      <w:r w:rsidRPr="00211FD3">
        <w:rPr>
          <w:rFonts w:asciiTheme="majorBidi" w:hAnsiTheme="majorBidi" w:cstheme="majorBidi"/>
          <w:sz w:val="24"/>
        </w:rPr>
        <w:t xml:space="preserve">2020, </w:t>
      </w:r>
      <w:hyperlink r:id="rId24" w:history="1">
        <w:r w:rsidRPr="00FC177B">
          <w:rPr>
            <w:rStyle w:val="Hyperlink"/>
            <w:rFonts w:asciiTheme="majorBidi" w:hAnsiTheme="majorBidi" w:cstheme="majorBidi"/>
            <w:sz w:val="24"/>
          </w:rPr>
          <w:t>https://bit.ly/39nVhlG</w:t>
        </w:r>
      </w:hyperlink>
      <w:r>
        <w:rPr>
          <w:rFonts w:asciiTheme="majorBidi" w:hAnsiTheme="majorBidi" w:cstheme="majorBidi"/>
          <w:sz w:val="24"/>
        </w:rPr>
        <w:t xml:space="preserve"> </w:t>
      </w:r>
    </w:p>
    <w:p w14:paraId="0195FADA"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Badir, </w:t>
      </w:r>
      <w:r w:rsidRPr="00034B66">
        <w:rPr>
          <w:rFonts w:asciiTheme="majorBidi" w:hAnsiTheme="majorBidi" w:cstheme="majorBidi"/>
          <w:sz w:val="24"/>
        </w:rPr>
        <w:t>Raed</w:t>
      </w:r>
      <w:r w:rsidRPr="00211FD3">
        <w:rPr>
          <w:rFonts w:asciiTheme="majorBidi" w:hAnsiTheme="majorBidi" w:cstheme="majorBidi"/>
          <w:sz w:val="24"/>
        </w:rPr>
        <w:t xml:space="preserve">, </w:t>
      </w:r>
      <w:r w:rsidRPr="00085F14">
        <w:rPr>
          <w:rFonts w:asciiTheme="majorBidi" w:hAnsiTheme="majorBidi" w:cstheme="majorBidi"/>
          <w:sz w:val="24"/>
        </w:rPr>
        <w:t>"Ichlal al-Salam fi al-Ard al-Mukadasa</w:t>
      </w:r>
      <w:r>
        <w:rPr>
          <w:rFonts w:asciiTheme="majorBidi" w:hAnsiTheme="majorBidi" w:cstheme="majorBidi"/>
          <w:sz w:val="24"/>
        </w:rPr>
        <w:t xml:space="preserve"> D'</w:t>
      </w:r>
      <w:r w:rsidRPr="00A54976">
        <w:rPr>
          <w:rFonts w:asciiTheme="majorBidi" w:hAnsiTheme="majorBidi" w:cstheme="majorBidi"/>
          <w:sz w:val="24"/>
        </w:rPr>
        <w:t xml:space="preserve">arurat </w:t>
      </w:r>
      <w:r>
        <w:rPr>
          <w:rFonts w:asciiTheme="majorBidi" w:hAnsiTheme="majorBidi" w:cstheme="majorBidi"/>
          <w:sz w:val="24"/>
        </w:rPr>
        <w:t>S</w:t>
      </w:r>
      <w:r w:rsidRPr="00A54976">
        <w:rPr>
          <w:rFonts w:asciiTheme="majorBidi" w:hAnsiTheme="majorBidi" w:cstheme="majorBidi"/>
          <w:sz w:val="24"/>
        </w:rPr>
        <w:t>hareia wa</w:t>
      </w:r>
      <w:r>
        <w:rPr>
          <w:rFonts w:asciiTheme="majorBidi" w:hAnsiTheme="majorBidi" w:cstheme="majorBidi"/>
          <w:sz w:val="24"/>
        </w:rPr>
        <w:t>-K</w:t>
      </w:r>
      <w:r w:rsidRPr="00A54976">
        <w:rPr>
          <w:rFonts w:asciiTheme="majorBidi" w:hAnsiTheme="majorBidi" w:cstheme="majorBidi"/>
          <w:sz w:val="24"/>
        </w:rPr>
        <w:t xml:space="preserve">arama </w:t>
      </w:r>
      <w:r>
        <w:rPr>
          <w:rFonts w:asciiTheme="majorBidi" w:hAnsiTheme="majorBidi" w:cstheme="majorBidi"/>
          <w:sz w:val="24"/>
        </w:rPr>
        <w:t>A</w:t>
      </w:r>
      <w:r w:rsidRPr="00A54976">
        <w:rPr>
          <w:rFonts w:asciiTheme="majorBidi" w:hAnsiTheme="majorBidi" w:cstheme="majorBidi"/>
          <w:sz w:val="24"/>
        </w:rPr>
        <w:t>nsania</w:t>
      </w:r>
      <w:r>
        <w:rPr>
          <w:rFonts w:asciiTheme="majorBidi" w:hAnsiTheme="majorBidi" w:cstheme="majorBidi"/>
          <w:sz w:val="24"/>
        </w:rPr>
        <w:t xml:space="preserve"> (</w:t>
      </w:r>
      <w:r w:rsidRPr="00211FD3">
        <w:rPr>
          <w:rFonts w:asciiTheme="majorBidi" w:hAnsiTheme="majorBidi" w:cstheme="majorBidi"/>
          <w:sz w:val="24"/>
        </w:rPr>
        <w:t>Achieving Peace in the Holy Land is a Legitimate Necessity and Human Dignity</w:t>
      </w:r>
      <w:r>
        <w:rPr>
          <w:rFonts w:asciiTheme="majorBidi" w:hAnsiTheme="majorBidi" w:cstheme="majorBidi"/>
          <w:sz w:val="24"/>
        </w:rPr>
        <w:t>)</w:t>
      </w:r>
      <w:r w:rsidRPr="00211FD3">
        <w:rPr>
          <w:rFonts w:asciiTheme="majorBidi" w:hAnsiTheme="majorBidi" w:cstheme="majorBidi"/>
          <w:sz w:val="24"/>
        </w:rPr>
        <w:t xml:space="preserve">", </w:t>
      </w:r>
      <w:r w:rsidRPr="00F122BC">
        <w:rPr>
          <w:rFonts w:asciiTheme="majorBidi" w:hAnsiTheme="majorBidi" w:cstheme="majorBidi"/>
          <w:i/>
          <w:iCs/>
          <w:sz w:val="24"/>
        </w:rPr>
        <w:t>Nawazel</w:t>
      </w:r>
      <w:r w:rsidRPr="00211FD3">
        <w:rPr>
          <w:rFonts w:asciiTheme="majorBidi" w:hAnsiTheme="majorBidi" w:cstheme="majorBidi"/>
          <w:sz w:val="24"/>
        </w:rPr>
        <w:t>, 9</w:t>
      </w:r>
      <w:r>
        <w:rPr>
          <w:rFonts w:asciiTheme="majorBidi" w:hAnsiTheme="majorBidi" w:cstheme="majorBidi"/>
          <w:sz w:val="24"/>
        </w:rPr>
        <w:t>.</w:t>
      </w:r>
      <w:r w:rsidRPr="00211FD3">
        <w:rPr>
          <w:rFonts w:asciiTheme="majorBidi" w:hAnsiTheme="majorBidi" w:cstheme="majorBidi"/>
          <w:sz w:val="24"/>
        </w:rPr>
        <w:t>22</w:t>
      </w:r>
      <w:r>
        <w:rPr>
          <w:rFonts w:asciiTheme="majorBidi" w:hAnsiTheme="majorBidi" w:cstheme="majorBidi"/>
          <w:sz w:val="24"/>
        </w:rPr>
        <w:t>.</w:t>
      </w:r>
      <w:r w:rsidRPr="00211FD3">
        <w:rPr>
          <w:rFonts w:asciiTheme="majorBidi" w:hAnsiTheme="majorBidi" w:cstheme="majorBidi"/>
          <w:sz w:val="24"/>
        </w:rPr>
        <w:t xml:space="preserve">2020, </w:t>
      </w:r>
      <w:hyperlink r:id="rId25" w:history="1">
        <w:r w:rsidRPr="00FC177B">
          <w:rPr>
            <w:rStyle w:val="Hyperlink"/>
            <w:rFonts w:asciiTheme="majorBidi" w:hAnsiTheme="majorBidi" w:cstheme="majorBidi"/>
            <w:sz w:val="24"/>
          </w:rPr>
          <w:t>https://bit.ly/3xMbknq</w:t>
        </w:r>
      </w:hyperlink>
      <w:r>
        <w:rPr>
          <w:rFonts w:asciiTheme="majorBidi" w:hAnsiTheme="majorBidi" w:cstheme="majorBidi"/>
          <w:sz w:val="24"/>
        </w:rPr>
        <w:t xml:space="preserve"> </w:t>
      </w:r>
    </w:p>
    <w:p w14:paraId="71C53E9B"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Badir, </w:t>
      </w:r>
      <w:r w:rsidRPr="00034B66">
        <w:rPr>
          <w:rFonts w:asciiTheme="majorBidi" w:hAnsiTheme="majorBidi" w:cstheme="majorBidi"/>
          <w:sz w:val="24"/>
        </w:rPr>
        <w:t>Raed</w:t>
      </w:r>
      <w:r w:rsidRPr="00211FD3">
        <w:rPr>
          <w:rFonts w:asciiTheme="majorBidi" w:hAnsiTheme="majorBidi" w:cstheme="majorBidi"/>
          <w:sz w:val="24"/>
        </w:rPr>
        <w:t>, "</w:t>
      </w:r>
      <w:r w:rsidRPr="00EB03FE">
        <w:rPr>
          <w:rFonts w:asciiTheme="majorBidi" w:hAnsiTheme="majorBidi" w:cstheme="majorBidi"/>
          <w:sz w:val="24"/>
        </w:rPr>
        <w:t>Daa aintibaq wasf Dar al-Harb ealaa Filastin al-Taarikhia (The description of Dar Harb applies to historical Palestine)",</w:t>
      </w:r>
      <w:r w:rsidRPr="00211FD3">
        <w:rPr>
          <w:rFonts w:asciiTheme="majorBidi" w:hAnsiTheme="majorBidi" w:cstheme="majorBidi"/>
          <w:sz w:val="24"/>
        </w:rPr>
        <w:t xml:space="preserve"> </w:t>
      </w:r>
      <w:r w:rsidRPr="00F122BC">
        <w:rPr>
          <w:rFonts w:asciiTheme="majorBidi" w:hAnsiTheme="majorBidi" w:cstheme="majorBidi"/>
          <w:i/>
          <w:iCs/>
          <w:sz w:val="24"/>
        </w:rPr>
        <w:t>Nawazel</w:t>
      </w:r>
      <w:r w:rsidRPr="00211FD3">
        <w:rPr>
          <w:rFonts w:asciiTheme="majorBidi" w:hAnsiTheme="majorBidi" w:cstheme="majorBidi"/>
          <w:sz w:val="24"/>
        </w:rPr>
        <w:t>, 4</w:t>
      </w:r>
      <w:r>
        <w:rPr>
          <w:rFonts w:asciiTheme="majorBidi" w:hAnsiTheme="majorBidi" w:cstheme="majorBidi"/>
          <w:sz w:val="24"/>
        </w:rPr>
        <w:t>.</w:t>
      </w:r>
      <w:r w:rsidRPr="00211FD3">
        <w:rPr>
          <w:rFonts w:asciiTheme="majorBidi" w:hAnsiTheme="majorBidi" w:cstheme="majorBidi"/>
          <w:sz w:val="24"/>
        </w:rPr>
        <w:t>30</w:t>
      </w:r>
      <w:r>
        <w:rPr>
          <w:rFonts w:asciiTheme="majorBidi" w:hAnsiTheme="majorBidi" w:cstheme="majorBidi"/>
          <w:sz w:val="24"/>
        </w:rPr>
        <w:t>.</w:t>
      </w:r>
      <w:r w:rsidRPr="00211FD3">
        <w:rPr>
          <w:rFonts w:asciiTheme="majorBidi" w:hAnsiTheme="majorBidi" w:cstheme="majorBidi"/>
          <w:sz w:val="24"/>
        </w:rPr>
        <w:t xml:space="preserve">2020, </w:t>
      </w:r>
      <w:hyperlink r:id="rId26" w:history="1">
        <w:r w:rsidRPr="00FC177B">
          <w:rPr>
            <w:rStyle w:val="Hyperlink"/>
            <w:rFonts w:asciiTheme="majorBidi" w:hAnsiTheme="majorBidi" w:cstheme="majorBidi"/>
            <w:sz w:val="24"/>
          </w:rPr>
          <w:t>https://bit.ly/3lACJEN</w:t>
        </w:r>
      </w:hyperlink>
      <w:r>
        <w:rPr>
          <w:rFonts w:asciiTheme="majorBidi" w:hAnsiTheme="majorBidi" w:cstheme="majorBidi"/>
          <w:sz w:val="24"/>
        </w:rPr>
        <w:t xml:space="preserve"> </w:t>
      </w:r>
    </w:p>
    <w:p w14:paraId="36FFB01B" w14:textId="77777777" w:rsidR="006A31DE" w:rsidRPr="00211FD3" w:rsidRDefault="006A31DE" w:rsidP="006A31DE">
      <w:pPr>
        <w:bidi w:val="0"/>
        <w:spacing w:line="240" w:lineRule="auto"/>
        <w:jc w:val="both"/>
        <w:rPr>
          <w:rFonts w:asciiTheme="majorBidi" w:hAnsiTheme="majorBidi" w:cstheme="majorBidi"/>
          <w:sz w:val="24"/>
          <w:rtl/>
        </w:rPr>
      </w:pPr>
      <w:r w:rsidRPr="00211FD3">
        <w:rPr>
          <w:rFonts w:asciiTheme="majorBidi" w:hAnsiTheme="majorBidi" w:cstheme="majorBidi"/>
          <w:sz w:val="24"/>
        </w:rPr>
        <w:t xml:space="preserve">Badir, </w:t>
      </w:r>
      <w:r w:rsidRPr="00034B66">
        <w:rPr>
          <w:rFonts w:asciiTheme="majorBidi" w:hAnsiTheme="majorBidi" w:cstheme="majorBidi"/>
          <w:sz w:val="24"/>
        </w:rPr>
        <w:t>Raed</w:t>
      </w:r>
      <w:r w:rsidRPr="00211FD3">
        <w:rPr>
          <w:rFonts w:asciiTheme="majorBidi" w:hAnsiTheme="majorBidi" w:cstheme="majorBidi"/>
          <w:sz w:val="24"/>
        </w:rPr>
        <w:t xml:space="preserve">, </w:t>
      </w:r>
      <w:r w:rsidRPr="0058468A">
        <w:rPr>
          <w:rFonts w:asciiTheme="majorBidi" w:hAnsiTheme="majorBidi" w:cstheme="majorBidi"/>
          <w:sz w:val="24"/>
        </w:rPr>
        <w:t xml:space="preserve">"Risala ala'a 'Aeda al-Haraka al-Islamia </w:t>
      </w:r>
      <w:r w:rsidRPr="00272BA3">
        <w:rPr>
          <w:rFonts w:asciiTheme="majorBidi" w:hAnsiTheme="majorBidi" w:cstheme="majorBidi"/>
          <w:sz w:val="24"/>
        </w:rPr>
        <w:t>fi al</w:t>
      </w:r>
      <w:r>
        <w:rPr>
          <w:rFonts w:asciiTheme="majorBidi" w:hAnsiTheme="majorBidi" w:cstheme="majorBidi"/>
          <w:sz w:val="24"/>
        </w:rPr>
        <w:t>-B</w:t>
      </w:r>
      <w:r w:rsidRPr="00272BA3">
        <w:rPr>
          <w:rFonts w:asciiTheme="majorBidi" w:hAnsiTheme="majorBidi" w:cstheme="majorBidi"/>
          <w:sz w:val="24"/>
        </w:rPr>
        <w:t>arlaman al</w:t>
      </w:r>
      <w:r>
        <w:rPr>
          <w:rFonts w:asciiTheme="majorBidi" w:hAnsiTheme="majorBidi" w:cstheme="majorBidi"/>
          <w:sz w:val="24"/>
        </w:rPr>
        <w:t>-S</w:t>
      </w:r>
      <w:r w:rsidRPr="00272BA3">
        <w:rPr>
          <w:rFonts w:asciiTheme="majorBidi" w:hAnsiTheme="majorBidi" w:cstheme="majorBidi"/>
          <w:sz w:val="24"/>
        </w:rPr>
        <w:t xml:space="preserve">uhyuni </w:t>
      </w:r>
      <w:r w:rsidRPr="0058468A">
        <w:rPr>
          <w:rFonts w:asciiTheme="majorBidi" w:hAnsiTheme="majorBidi" w:cstheme="majorBidi"/>
          <w:sz w:val="24"/>
        </w:rPr>
        <w:t>(A Message to Members of the Islamic Movement</w:t>
      </w:r>
      <w:r>
        <w:rPr>
          <w:rFonts w:asciiTheme="majorBidi" w:hAnsiTheme="majorBidi" w:cstheme="majorBidi"/>
          <w:sz w:val="24"/>
        </w:rPr>
        <w:t xml:space="preserve"> </w:t>
      </w:r>
      <w:r w:rsidRPr="00211FD3">
        <w:rPr>
          <w:rFonts w:asciiTheme="majorBidi" w:hAnsiTheme="majorBidi" w:cstheme="majorBidi"/>
          <w:sz w:val="24"/>
        </w:rPr>
        <w:t>in the Zionist Parliament</w:t>
      </w:r>
      <w:r w:rsidRPr="0058468A">
        <w:rPr>
          <w:rFonts w:asciiTheme="majorBidi" w:hAnsiTheme="majorBidi" w:cstheme="majorBidi"/>
          <w:sz w:val="24"/>
        </w:rPr>
        <w:t>)</w:t>
      </w:r>
      <w:r>
        <w:rPr>
          <w:rFonts w:asciiTheme="majorBidi" w:hAnsiTheme="majorBidi" w:cstheme="majorBidi"/>
          <w:sz w:val="24"/>
        </w:rPr>
        <w:t xml:space="preserve">", </w:t>
      </w:r>
      <w:r w:rsidRPr="006C649F">
        <w:rPr>
          <w:rFonts w:asciiTheme="majorBidi" w:hAnsiTheme="majorBidi" w:cstheme="majorBidi"/>
          <w:i/>
          <w:iCs/>
          <w:sz w:val="24"/>
        </w:rPr>
        <w:t>Nawazel</w:t>
      </w:r>
      <w:r w:rsidRPr="00211FD3">
        <w:rPr>
          <w:rFonts w:asciiTheme="majorBidi" w:hAnsiTheme="majorBidi" w:cstheme="majorBidi"/>
          <w:sz w:val="24"/>
        </w:rPr>
        <w:t>, 11</w:t>
      </w:r>
      <w:r>
        <w:rPr>
          <w:rFonts w:asciiTheme="majorBidi" w:hAnsiTheme="majorBidi" w:cstheme="majorBidi"/>
          <w:sz w:val="24"/>
        </w:rPr>
        <w:t>.</w:t>
      </w:r>
      <w:r w:rsidRPr="00211FD3">
        <w:rPr>
          <w:rFonts w:asciiTheme="majorBidi" w:hAnsiTheme="majorBidi" w:cstheme="majorBidi"/>
          <w:sz w:val="24"/>
        </w:rPr>
        <w:t>16</w:t>
      </w:r>
      <w:r>
        <w:rPr>
          <w:rFonts w:asciiTheme="majorBidi" w:hAnsiTheme="majorBidi" w:cstheme="majorBidi"/>
          <w:sz w:val="24"/>
        </w:rPr>
        <w:t>.</w:t>
      </w:r>
      <w:r w:rsidRPr="00211FD3">
        <w:rPr>
          <w:rFonts w:asciiTheme="majorBidi" w:hAnsiTheme="majorBidi" w:cstheme="majorBidi"/>
          <w:sz w:val="24"/>
        </w:rPr>
        <w:t xml:space="preserve">2020, </w:t>
      </w:r>
      <w:hyperlink r:id="rId27" w:history="1">
        <w:r w:rsidRPr="00FC177B">
          <w:rPr>
            <w:rStyle w:val="Hyperlink"/>
            <w:rFonts w:asciiTheme="majorBidi" w:hAnsiTheme="majorBidi" w:cstheme="majorBidi"/>
            <w:sz w:val="24"/>
          </w:rPr>
          <w:t>https://bit.ly/3Cqfow7</w:t>
        </w:r>
      </w:hyperlink>
      <w:r>
        <w:rPr>
          <w:rFonts w:asciiTheme="majorBidi" w:hAnsiTheme="majorBidi" w:cstheme="majorBidi"/>
          <w:sz w:val="24"/>
        </w:rPr>
        <w:t xml:space="preserve"> </w:t>
      </w:r>
      <w:r w:rsidRPr="00211FD3">
        <w:rPr>
          <w:rFonts w:asciiTheme="majorBidi" w:hAnsiTheme="majorBidi" w:cstheme="majorBidi"/>
          <w:sz w:val="24"/>
        </w:rPr>
        <w:t xml:space="preserve">  </w:t>
      </w:r>
    </w:p>
    <w:p w14:paraId="0A13BB20" w14:textId="77777777" w:rsidR="006A31DE" w:rsidRPr="00211FD3" w:rsidRDefault="006A31DE" w:rsidP="006A31DE">
      <w:pPr>
        <w:bidi w:val="0"/>
        <w:spacing w:line="240" w:lineRule="auto"/>
        <w:jc w:val="both"/>
        <w:rPr>
          <w:rFonts w:asciiTheme="majorBidi" w:hAnsiTheme="majorBidi" w:cstheme="majorBidi"/>
          <w:sz w:val="24"/>
        </w:rPr>
      </w:pPr>
      <w:r w:rsidRPr="00211FD3">
        <w:rPr>
          <w:rFonts w:asciiTheme="majorBidi" w:hAnsiTheme="majorBidi" w:cstheme="majorBidi"/>
          <w:sz w:val="24"/>
        </w:rPr>
        <w:lastRenderedPageBreak/>
        <w:t xml:space="preserve">Badir, </w:t>
      </w:r>
      <w:r w:rsidRPr="00034B66">
        <w:rPr>
          <w:rFonts w:asciiTheme="majorBidi" w:hAnsiTheme="majorBidi" w:cstheme="majorBidi"/>
          <w:sz w:val="24"/>
        </w:rPr>
        <w:t>Raed</w:t>
      </w:r>
      <w:r w:rsidRPr="00211FD3">
        <w:rPr>
          <w:rFonts w:asciiTheme="majorBidi" w:hAnsiTheme="majorBidi" w:cstheme="majorBidi"/>
          <w:sz w:val="24"/>
        </w:rPr>
        <w:t>, "</w:t>
      </w:r>
      <w:r w:rsidRPr="00EA722A">
        <w:rPr>
          <w:rFonts w:asciiTheme="majorBidi" w:hAnsiTheme="majorBidi" w:cstheme="majorBidi"/>
          <w:sz w:val="24"/>
        </w:rPr>
        <w:t xml:space="preserve">"Wujudna fi al-Barlaman al-Suhyuni wa-Tahalufuna fi al-Qayima al-Mushtaraka </w:t>
      </w:r>
      <w:r>
        <w:rPr>
          <w:rFonts w:asciiTheme="majorBidi" w:hAnsiTheme="majorBidi" w:cstheme="majorBidi"/>
          <w:sz w:val="24"/>
        </w:rPr>
        <w:t>(</w:t>
      </w:r>
      <w:r w:rsidRPr="00211FD3">
        <w:rPr>
          <w:rFonts w:asciiTheme="majorBidi" w:hAnsiTheme="majorBidi" w:cstheme="majorBidi"/>
          <w:sz w:val="24"/>
        </w:rPr>
        <w:t>Our Presence in the Zionist Parliament and Our Alliance in the Joint List</w:t>
      </w:r>
      <w:r>
        <w:rPr>
          <w:rFonts w:asciiTheme="majorBidi" w:hAnsiTheme="majorBidi" w:cstheme="majorBidi"/>
          <w:sz w:val="24"/>
        </w:rPr>
        <w:t>)</w:t>
      </w:r>
      <w:r w:rsidRPr="00211FD3">
        <w:rPr>
          <w:rFonts w:asciiTheme="majorBidi" w:hAnsiTheme="majorBidi" w:cstheme="majorBidi"/>
          <w:sz w:val="24"/>
        </w:rPr>
        <w:t xml:space="preserve">", </w:t>
      </w:r>
      <w:r w:rsidRPr="00F122BC">
        <w:rPr>
          <w:rFonts w:asciiTheme="majorBidi" w:hAnsiTheme="majorBidi" w:cstheme="majorBidi"/>
          <w:i/>
          <w:iCs/>
          <w:sz w:val="24"/>
        </w:rPr>
        <w:t>Nawazel</w:t>
      </w:r>
      <w:r w:rsidRPr="00211FD3">
        <w:rPr>
          <w:rFonts w:asciiTheme="majorBidi" w:hAnsiTheme="majorBidi" w:cstheme="majorBidi"/>
          <w:sz w:val="24"/>
        </w:rPr>
        <w:t>, 11</w:t>
      </w:r>
      <w:r>
        <w:rPr>
          <w:rFonts w:asciiTheme="majorBidi" w:hAnsiTheme="majorBidi" w:cstheme="majorBidi"/>
          <w:sz w:val="24"/>
        </w:rPr>
        <w:t>.</w:t>
      </w:r>
      <w:r w:rsidRPr="00211FD3">
        <w:rPr>
          <w:rFonts w:asciiTheme="majorBidi" w:hAnsiTheme="majorBidi" w:cstheme="majorBidi"/>
          <w:sz w:val="24"/>
        </w:rPr>
        <w:t>21</w:t>
      </w:r>
      <w:r>
        <w:rPr>
          <w:rFonts w:asciiTheme="majorBidi" w:hAnsiTheme="majorBidi" w:cstheme="majorBidi"/>
          <w:sz w:val="24"/>
        </w:rPr>
        <w:t>.</w:t>
      </w:r>
      <w:r w:rsidRPr="00211FD3">
        <w:rPr>
          <w:rFonts w:asciiTheme="majorBidi" w:hAnsiTheme="majorBidi" w:cstheme="majorBidi"/>
          <w:sz w:val="24"/>
        </w:rPr>
        <w:t xml:space="preserve">2020, </w:t>
      </w:r>
      <w:hyperlink r:id="rId28" w:history="1">
        <w:r w:rsidRPr="00FC177B">
          <w:rPr>
            <w:rStyle w:val="Hyperlink"/>
            <w:rFonts w:asciiTheme="majorBidi" w:hAnsiTheme="majorBidi" w:cstheme="majorBidi"/>
            <w:sz w:val="24"/>
          </w:rPr>
          <w:t>https://bit.ly/3hNqfZf</w:t>
        </w:r>
      </w:hyperlink>
      <w:r>
        <w:rPr>
          <w:rFonts w:asciiTheme="majorBidi" w:hAnsiTheme="majorBidi" w:cstheme="majorBidi"/>
          <w:sz w:val="24"/>
        </w:rPr>
        <w:t xml:space="preserve"> </w:t>
      </w:r>
    </w:p>
    <w:p w14:paraId="31FE80C2"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Bar-Tal, Daniel, "From Intractable Conflict through Conflict Resolution to Reconciliation: Psychological Analysis", </w:t>
      </w:r>
      <w:r w:rsidRPr="0068342C">
        <w:rPr>
          <w:rFonts w:asciiTheme="majorBidi" w:hAnsiTheme="majorBidi" w:cstheme="majorBidi"/>
          <w:i/>
          <w:iCs/>
          <w:sz w:val="24"/>
        </w:rPr>
        <w:t>Political Psychology</w:t>
      </w:r>
      <w:r w:rsidRPr="003F3C4C">
        <w:rPr>
          <w:rFonts w:asciiTheme="majorBidi" w:hAnsiTheme="majorBidi" w:cstheme="majorBidi"/>
          <w:sz w:val="24"/>
        </w:rPr>
        <w:t>, Vol. 21 No. 2, 2000, pp. 351-365</w:t>
      </w:r>
    </w:p>
    <w:p w14:paraId="0B9E6CEB" w14:textId="77777777" w:rsidR="006A31DE" w:rsidRPr="00CF517F" w:rsidRDefault="006A31DE" w:rsidP="006A31DE">
      <w:pPr>
        <w:bidi w:val="0"/>
        <w:spacing w:line="240" w:lineRule="auto"/>
        <w:jc w:val="both"/>
        <w:rPr>
          <w:rFonts w:asciiTheme="majorBidi" w:hAnsiTheme="majorBidi" w:cstheme="majorBidi"/>
          <w:sz w:val="24"/>
          <w:rtl/>
        </w:rPr>
      </w:pPr>
      <w:r w:rsidRPr="00CF517F">
        <w:rPr>
          <w:rFonts w:asciiTheme="majorBidi" w:hAnsiTheme="majorBidi" w:cstheme="majorBidi"/>
          <w:sz w:val="24"/>
        </w:rPr>
        <w:t xml:space="preserve">Bar-Tal, Daniel, and Raviv, Amiram, </w:t>
      </w:r>
      <w:r w:rsidRPr="00B230E6">
        <w:rPr>
          <w:rFonts w:asciiTheme="majorBidi" w:hAnsiTheme="majorBidi" w:cstheme="majorBidi"/>
          <w:i/>
          <w:iCs/>
          <w:sz w:val="24"/>
        </w:rPr>
        <w:t>The Comfort Zone of a Society in Conflict</w:t>
      </w:r>
      <w:r w:rsidRPr="00CF517F">
        <w:rPr>
          <w:rFonts w:asciiTheme="majorBidi" w:hAnsiTheme="majorBidi" w:cstheme="majorBidi"/>
          <w:sz w:val="24"/>
        </w:rPr>
        <w:t>, Tel Aviv: Steimatsky, 2021</w:t>
      </w:r>
      <w:r>
        <w:rPr>
          <w:rFonts w:asciiTheme="majorBidi" w:hAnsiTheme="majorBidi" w:cstheme="majorBidi"/>
          <w:sz w:val="24"/>
        </w:rPr>
        <w:t xml:space="preserve"> (Hebrew)</w:t>
      </w:r>
      <w:r w:rsidRPr="00CF517F">
        <w:rPr>
          <w:rFonts w:asciiTheme="majorBidi" w:hAnsiTheme="majorBidi" w:cstheme="majorBidi"/>
          <w:sz w:val="24"/>
        </w:rPr>
        <w:t xml:space="preserve">  </w:t>
      </w:r>
    </w:p>
    <w:p w14:paraId="57C53010"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Bar-Tal, Daniel, Raviv, Amiram, and Abramowitz, Rinat, </w:t>
      </w:r>
      <w:r w:rsidRPr="00B230E6">
        <w:rPr>
          <w:rFonts w:asciiTheme="majorBidi" w:hAnsiTheme="majorBidi" w:cstheme="majorBidi"/>
          <w:i/>
          <w:iCs/>
          <w:sz w:val="24"/>
        </w:rPr>
        <w:t xml:space="preserve">In the Eye of the Beholder - The View of Israeli-Jews on the </w:t>
      </w:r>
      <w:proofErr w:type="gramStart"/>
      <w:r w:rsidRPr="00B230E6">
        <w:rPr>
          <w:rFonts w:asciiTheme="majorBidi" w:hAnsiTheme="majorBidi" w:cstheme="majorBidi"/>
          <w:i/>
          <w:iCs/>
          <w:sz w:val="24"/>
        </w:rPr>
        <w:t>Israeli-Arab</w:t>
      </w:r>
      <w:proofErr w:type="gramEnd"/>
      <w:r w:rsidRPr="00B230E6">
        <w:rPr>
          <w:rFonts w:asciiTheme="majorBidi" w:hAnsiTheme="majorBidi" w:cstheme="majorBidi"/>
          <w:i/>
          <w:iCs/>
          <w:sz w:val="24"/>
        </w:rPr>
        <w:t>/Palestinian Conflict</w:t>
      </w:r>
      <w:r w:rsidRPr="00CF517F">
        <w:rPr>
          <w:rFonts w:asciiTheme="majorBidi" w:hAnsiTheme="majorBidi" w:cstheme="majorBidi"/>
          <w:sz w:val="24"/>
        </w:rPr>
        <w:t>, Tel Aviv: Tel Aviv University - Tami Steinmetz Center for Peace Research, 2020, pp. 23-120</w:t>
      </w:r>
      <w:r>
        <w:rPr>
          <w:rFonts w:asciiTheme="majorBidi" w:hAnsiTheme="majorBidi" w:cstheme="majorBidi"/>
          <w:sz w:val="24"/>
        </w:rPr>
        <w:t xml:space="preserve"> (Hebrew)</w:t>
      </w:r>
    </w:p>
    <w:p w14:paraId="42D1B499" w14:textId="77777777" w:rsidR="006A31DE" w:rsidRDefault="006A31DE" w:rsidP="006A31DE">
      <w:pPr>
        <w:bidi w:val="0"/>
        <w:spacing w:line="240" w:lineRule="auto"/>
        <w:jc w:val="both"/>
        <w:rPr>
          <w:rFonts w:asciiTheme="majorBidi" w:hAnsiTheme="majorBidi" w:cstheme="majorBidi"/>
          <w:sz w:val="24"/>
        </w:rPr>
      </w:pPr>
      <w:r w:rsidRPr="00736B6B">
        <w:rPr>
          <w:rFonts w:asciiTheme="majorBidi" w:eastAsia="Times New Roman" w:hAnsiTheme="majorBidi" w:cstheme="majorBidi"/>
          <w:sz w:val="24"/>
        </w:rPr>
        <w:t>Bartal,</w:t>
      </w:r>
      <w:r>
        <w:rPr>
          <w:rFonts w:asciiTheme="majorBidi" w:eastAsia="Times New Roman" w:hAnsiTheme="majorBidi" w:cstheme="majorBidi"/>
          <w:sz w:val="24"/>
        </w:rPr>
        <w:t xml:space="preserve"> </w:t>
      </w:r>
      <w:r w:rsidRPr="00736B6B">
        <w:rPr>
          <w:rFonts w:asciiTheme="majorBidi" w:eastAsia="Times New Roman" w:hAnsiTheme="majorBidi" w:cstheme="majorBidi"/>
          <w:sz w:val="24"/>
        </w:rPr>
        <w:t>Shaul</w:t>
      </w:r>
      <w:r>
        <w:rPr>
          <w:rFonts w:asciiTheme="majorBidi" w:eastAsia="Times New Roman" w:hAnsiTheme="majorBidi" w:cstheme="majorBidi"/>
          <w:sz w:val="24"/>
        </w:rPr>
        <w:t>,</w:t>
      </w:r>
      <w:r w:rsidRPr="00736B6B">
        <w:rPr>
          <w:rFonts w:asciiTheme="majorBidi" w:eastAsia="Times New Roman" w:hAnsiTheme="majorBidi" w:cstheme="majorBidi"/>
          <w:sz w:val="24"/>
        </w:rPr>
        <w:t xml:space="preserve"> "Reading the Qur’ān: How Hamas and the Islamic Jihad Explain Sura al-Isra (17)", </w:t>
      </w:r>
      <w:r w:rsidRPr="0068342C">
        <w:rPr>
          <w:rFonts w:asciiTheme="majorBidi" w:eastAsia="Times New Roman" w:hAnsiTheme="majorBidi" w:cstheme="majorBidi"/>
          <w:i/>
          <w:iCs/>
          <w:sz w:val="24"/>
        </w:rPr>
        <w:t>Politics, Religion and Ideology</w:t>
      </w:r>
      <w:r w:rsidRPr="00736B6B">
        <w:rPr>
          <w:rFonts w:asciiTheme="majorBidi" w:eastAsia="Times New Roman" w:hAnsiTheme="majorBidi" w:cstheme="majorBidi"/>
          <w:sz w:val="24"/>
        </w:rPr>
        <w:t>, Vol. 17 No. 4, 201, pp. 392-408</w:t>
      </w:r>
    </w:p>
    <w:p w14:paraId="020A22CF" w14:textId="77777777" w:rsidR="006A31DE" w:rsidRPr="007B2876" w:rsidRDefault="006A31DE" w:rsidP="006A31DE">
      <w:pPr>
        <w:bidi w:val="0"/>
        <w:spacing w:line="240" w:lineRule="auto"/>
        <w:rPr>
          <w:rFonts w:ascii="David" w:hAnsi="David"/>
          <w:sz w:val="24"/>
        </w:rPr>
      </w:pPr>
      <w:r w:rsidRPr="00995A99">
        <w:rPr>
          <w:rFonts w:ascii="David" w:hAnsi="David"/>
          <w:sz w:val="24"/>
        </w:rPr>
        <w:t>Ben-Dror</w:t>
      </w:r>
      <w:r>
        <w:rPr>
          <w:rFonts w:ascii="David" w:hAnsi="David"/>
          <w:sz w:val="24"/>
        </w:rPr>
        <w:t xml:space="preserve">, </w:t>
      </w:r>
      <w:r w:rsidRPr="00995A99">
        <w:rPr>
          <w:rFonts w:ascii="David" w:hAnsi="David"/>
          <w:sz w:val="24"/>
        </w:rPr>
        <w:t xml:space="preserve">Elad </w:t>
      </w:r>
      <w:r>
        <w:rPr>
          <w:rFonts w:ascii="David" w:hAnsi="David"/>
          <w:sz w:val="24"/>
        </w:rPr>
        <w:t>and</w:t>
      </w:r>
      <w:r w:rsidRPr="00995A99">
        <w:rPr>
          <w:rFonts w:ascii="David" w:hAnsi="David"/>
          <w:sz w:val="24"/>
        </w:rPr>
        <w:t xml:space="preserve"> Flamer,</w:t>
      </w:r>
      <w:r>
        <w:rPr>
          <w:rFonts w:ascii="David" w:hAnsi="David"/>
          <w:sz w:val="24"/>
        </w:rPr>
        <w:t xml:space="preserve"> </w:t>
      </w:r>
      <w:r w:rsidRPr="00995A99">
        <w:rPr>
          <w:rFonts w:ascii="David" w:hAnsi="David"/>
          <w:sz w:val="24"/>
        </w:rPr>
        <w:t>Netanel</w:t>
      </w:r>
      <w:r>
        <w:rPr>
          <w:rFonts w:ascii="David" w:hAnsi="David"/>
          <w:sz w:val="24"/>
        </w:rPr>
        <w:t>,</w:t>
      </w:r>
      <w:r w:rsidRPr="00995A99">
        <w:rPr>
          <w:rFonts w:ascii="David" w:hAnsi="David"/>
          <w:sz w:val="24"/>
        </w:rPr>
        <w:t xml:space="preserve"> "Missing the Spoiler: Israel’s Policy with Regard to Hamas during the Oslo Talks and the First Stages of the Implementation of the Oslo Accords", </w:t>
      </w:r>
      <w:r w:rsidRPr="0068342C">
        <w:rPr>
          <w:rFonts w:ascii="David" w:hAnsi="David"/>
          <w:i/>
          <w:iCs/>
          <w:sz w:val="24"/>
        </w:rPr>
        <w:t>Terrorism and Political Violence</w:t>
      </w:r>
      <w:r w:rsidRPr="00995A99">
        <w:rPr>
          <w:rFonts w:ascii="David" w:hAnsi="David"/>
          <w:sz w:val="24"/>
        </w:rPr>
        <w:t>, 5/9/2023</w:t>
      </w:r>
      <w:r>
        <w:rPr>
          <w:rFonts w:ascii="David" w:hAnsi="David"/>
          <w:sz w:val="24"/>
        </w:rPr>
        <w:t>, pp. 1-19</w:t>
      </w:r>
    </w:p>
    <w:p w14:paraId="59E60EC7" w14:textId="77777777" w:rsidR="006A31DE" w:rsidRPr="00B8091E" w:rsidRDefault="006A31DE" w:rsidP="006A31DE">
      <w:pPr>
        <w:bidi w:val="0"/>
        <w:spacing w:after="240" w:line="240" w:lineRule="auto"/>
        <w:rPr>
          <w:rFonts w:ascii="David" w:hAnsi="David"/>
          <w:sz w:val="24"/>
        </w:rPr>
      </w:pPr>
      <w:r w:rsidRPr="00B8091E">
        <w:rPr>
          <w:rFonts w:ascii="David" w:hAnsi="David"/>
          <w:sz w:val="24"/>
        </w:rPr>
        <w:t xml:space="preserve">Daoud, Suheir Abu-Oksa, "Islamism, Nationalism and Modernization: The Case of the Islamic Movement in Israel", </w:t>
      </w:r>
      <w:r w:rsidRPr="00561705">
        <w:rPr>
          <w:rFonts w:ascii="David" w:hAnsi="David"/>
          <w:i/>
          <w:iCs/>
          <w:sz w:val="24"/>
        </w:rPr>
        <w:t>Politics, Religion &amp; Ideology</w:t>
      </w:r>
      <w:r w:rsidRPr="00B8091E">
        <w:rPr>
          <w:rFonts w:ascii="David" w:hAnsi="David"/>
          <w:b/>
          <w:bCs/>
          <w:sz w:val="24"/>
        </w:rPr>
        <w:t>,</w:t>
      </w:r>
      <w:r w:rsidRPr="00B8091E">
        <w:rPr>
          <w:rFonts w:ascii="David" w:hAnsi="David"/>
          <w:sz w:val="24"/>
        </w:rPr>
        <w:t xml:space="preserve"> Vol. 17, N0. 1, 2016, pp. 18–32</w:t>
      </w:r>
    </w:p>
    <w:p w14:paraId="69D1CF3F"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Eisen, Robert, </w:t>
      </w:r>
      <w:r w:rsidRPr="0068342C">
        <w:rPr>
          <w:rFonts w:asciiTheme="majorBidi" w:hAnsiTheme="majorBidi" w:cstheme="majorBidi"/>
          <w:i/>
          <w:iCs/>
          <w:sz w:val="24"/>
        </w:rPr>
        <w:t xml:space="preserve">The </w:t>
      </w:r>
      <w:proofErr w:type="gramStart"/>
      <w:r w:rsidRPr="0068342C">
        <w:rPr>
          <w:rFonts w:asciiTheme="majorBidi" w:hAnsiTheme="majorBidi" w:cstheme="majorBidi"/>
          <w:i/>
          <w:iCs/>
          <w:sz w:val="24"/>
        </w:rPr>
        <w:t>Peace</w:t>
      </w:r>
      <w:proofErr w:type="gramEnd"/>
      <w:r w:rsidRPr="0068342C">
        <w:rPr>
          <w:rFonts w:asciiTheme="majorBidi" w:hAnsiTheme="majorBidi" w:cstheme="majorBidi"/>
          <w:i/>
          <w:iCs/>
          <w:sz w:val="24"/>
        </w:rPr>
        <w:t xml:space="preserve"> and Violence of Judaism: From the Bible to Modern Zionism</w:t>
      </w:r>
      <w:r w:rsidRPr="003F3C4C">
        <w:rPr>
          <w:rFonts w:asciiTheme="majorBidi" w:hAnsiTheme="majorBidi" w:cstheme="majorBidi"/>
          <w:sz w:val="24"/>
        </w:rPr>
        <w:t>, Oxford, 2011</w:t>
      </w:r>
    </w:p>
    <w:p w14:paraId="31088465"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Feldman, Nitzan, "Economic Peace: Theory vs Reality", </w:t>
      </w:r>
      <w:r w:rsidRPr="00D93C74">
        <w:rPr>
          <w:rFonts w:asciiTheme="majorBidi" w:hAnsiTheme="majorBidi" w:cstheme="majorBidi"/>
          <w:i/>
          <w:iCs/>
          <w:sz w:val="24"/>
        </w:rPr>
        <w:t>Strategic Update</w:t>
      </w:r>
      <w:r w:rsidRPr="00C70AC4">
        <w:rPr>
          <w:rFonts w:asciiTheme="majorBidi" w:hAnsiTheme="majorBidi" w:cstheme="majorBidi"/>
          <w:sz w:val="24"/>
        </w:rPr>
        <w:t xml:space="preserve">, Vol. 12 No. 3, Institute for National Security Studies, 2009, pp. 17-24 </w:t>
      </w:r>
      <w:r>
        <w:rPr>
          <w:rFonts w:asciiTheme="majorBidi" w:hAnsiTheme="majorBidi" w:cstheme="majorBidi"/>
          <w:sz w:val="24"/>
        </w:rPr>
        <w:t>(Hebrew)</w:t>
      </w:r>
    </w:p>
    <w:p w14:paraId="2ECBEEBC"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Fox, Jonathan, "Towards a dynamic theory of ethno-religious conflict", </w:t>
      </w:r>
      <w:r w:rsidRPr="0068342C">
        <w:rPr>
          <w:rFonts w:asciiTheme="majorBidi" w:hAnsiTheme="majorBidi" w:cstheme="majorBidi"/>
          <w:i/>
          <w:iCs/>
          <w:sz w:val="24"/>
        </w:rPr>
        <w:t>Nations and Nationalism</w:t>
      </w:r>
      <w:r w:rsidRPr="003F3C4C">
        <w:rPr>
          <w:rFonts w:asciiTheme="majorBidi" w:hAnsiTheme="majorBidi" w:cstheme="majorBidi"/>
          <w:sz w:val="24"/>
        </w:rPr>
        <w:t xml:space="preserve"> 5 (4), 1999, pp. 431-463</w:t>
      </w:r>
    </w:p>
    <w:p w14:paraId="6092662E"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Frisch, Hillel, "Nationalizing a Universal Text: The Quran in Arafat's Rhetoric", </w:t>
      </w:r>
      <w:r w:rsidRPr="0068342C">
        <w:rPr>
          <w:rFonts w:asciiTheme="majorBidi" w:hAnsiTheme="majorBidi" w:cstheme="majorBidi"/>
          <w:i/>
          <w:iCs/>
          <w:sz w:val="24"/>
        </w:rPr>
        <w:t>Middle Eastern Studies</w:t>
      </w:r>
      <w:r w:rsidRPr="003F3C4C">
        <w:rPr>
          <w:rFonts w:asciiTheme="majorBidi" w:hAnsiTheme="majorBidi" w:cstheme="majorBidi"/>
          <w:sz w:val="24"/>
        </w:rPr>
        <w:t>, Vol. 41, No. 3, 2005, pp. 321-336</w:t>
      </w:r>
    </w:p>
    <w:p w14:paraId="6B66E247"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Frisch, Hillel, and Sandler, Shmuel, "Religion, State, and the International System in the Israeli-Palestinian Conflict", </w:t>
      </w:r>
      <w:r w:rsidRPr="0068342C">
        <w:rPr>
          <w:rFonts w:asciiTheme="majorBidi" w:hAnsiTheme="majorBidi" w:cstheme="majorBidi"/>
          <w:i/>
          <w:iCs/>
          <w:sz w:val="24"/>
        </w:rPr>
        <w:t>International Political Science Review</w:t>
      </w:r>
      <w:r w:rsidRPr="003F3C4C">
        <w:rPr>
          <w:rFonts w:asciiTheme="majorBidi" w:hAnsiTheme="majorBidi" w:cstheme="majorBidi"/>
          <w:sz w:val="24"/>
        </w:rPr>
        <w:t>, Vol. 25, No. 1, 2004, pp. 77-96</w:t>
      </w:r>
    </w:p>
    <w:p w14:paraId="6503A963"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Fritzen Buan, Marte, </w:t>
      </w:r>
      <w:r w:rsidRPr="0068342C">
        <w:rPr>
          <w:rFonts w:asciiTheme="majorBidi" w:hAnsiTheme="majorBidi" w:cstheme="majorBidi"/>
          <w:i/>
          <w:iCs/>
          <w:sz w:val="24"/>
        </w:rPr>
        <w:t>Hamas’s Resistance to the Oslo Agreement</w:t>
      </w:r>
      <w:r w:rsidRPr="003F3C4C">
        <w:rPr>
          <w:rFonts w:asciiTheme="majorBidi" w:hAnsiTheme="majorBidi" w:cstheme="majorBidi"/>
          <w:sz w:val="24"/>
        </w:rPr>
        <w:t xml:space="preserve">, </w:t>
      </w:r>
      <w:r>
        <w:rPr>
          <w:rFonts w:asciiTheme="majorBidi" w:hAnsiTheme="majorBidi" w:cstheme="majorBidi"/>
          <w:sz w:val="24"/>
        </w:rPr>
        <w:t xml:space="preserve">Dissertation </w:t>
      </w:r>
      <w:proofErr w:type="gramStart"/>
      <w:r>
        <w:rPr>
          <w:rFonts w:asciiTheme="majorBidi" w:hAnsiTheme="majorBidi" w:cstheme="majorBidi"/>
          <w:sz w:val="24"/>
        </w:rPr>
        <w:t xml:space="preserve">for </w:t>
      </w:r>
      <w:r w:rsidRPr="001C06E4">
        <w:rPr>
          <w:rFonts w:asciiTheme="majorBidi" w:hAnsiTheme="majorBidi" w:cstheme="majorBidi"/>
          <w:sz w:val="24"/>
        </w:rPr>
        <w:t xml:space="preserve"> </w:t>
      </w:r>
      <w:r>
        <w:rPr>
          <w:rFonts w:asciiTheme="majorBidi" w:hAnsiTheme="majorBidi" w:cstheme="majorBidi"/>
          <w:sz w:val="24"/>
        </w:rPr>
        <w:t>Ph</w:t>
      </w:r>
      <w:proofErr w:type="gramEnd"/>
      <w:r>
        <w:rPr>
          <w:rFonts w:asciiTheme="majorBidi" w:hAnsiTheme="majorBidi" w:cstheme="majorBidi"/>
          <w:sz w:val="24"/>
        </w:rPr>
        <w:t xml:space="preserve">.D </w:t>
      </w:r>
      <w:r w:rsidRPr="001C06E4">
        <w:rPr>
          <w:rFonts w:asciiTheme="majorBidi" w:hAnsiTheme="majorBidi" w:cstheme="majorBidi"/>
          <w:sz w:val="24"/>
        </w:rPr>
        <w:t>degr</w:t>
      </w:r>
      <w:r>
        <w:rPr>
          <w:rFonts w:asciiTheme="majorBidi" w:hAnsiTheme="majorBidi" w:cstheme="majorBidi"/>
          <w:sz w:val="24"/>
        </w:rPr>
        <w:t xml:space="preserve">ee, </w:t>
      </w:r>
      <w:r w:rsidRPr="003F3C4C">
        <w:rPr>
          <w:rFonts w:asciiTheme="majorBidi" w:hAnsiTheme="majorBidi" w:cstheme="majorBidi"/>
          <w:sz w:val="24"/>
        </w:rPr>
        <w:t>Oslo University, 2005</w:t>
      </w:r>
    </w:p>
    <w:p w14:paraId="588634DF"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Funk, Nathan and Said, Abdul Aziz, </w:t>
      </w:r>
      <w:r w:rsidRPr="0068342C">
        <w:rPr>
          <w:rFonts w:asciiTheme="majorBidi" w:hAnsiTheme="majorBidi" w:cstheme="majorBidi"/>
          <w:i/>
          <w:iCs/>
          <w:sz w:val="24"/>
        </w:rPr>
        <w:t>Islam and peacemaking in the Middle East</w:t>
      </w:r>
      <w:r w:rsidRPr="003F3C4C">
        <w:rPr>
          <w:rFonts w:asciiTheme="majorBidi" w:hAnsiTheme="majorBidi" w:cstheme="majorBidi"/>
          <w:sz w:val="24"/>
        </w:rPr>
        <w:t xml:space="preserve">, Boulder, </w:t>
      </w:r>
      <w:proofErr w:type="gramStart"/>
      <w:r w:rsidRPr="003F3C4C">
        <w:rPr>
          <w:rFonts w:asciiTheme="majorBidi" w:hAnsiTheme="majorBidi" w:cstheme="majorBidi"/>
          <w:sz w:val="24"/>
        </w:rPr>
        <w:t>Colorado :</w:t>
      </w:r>
      <w:proofErr w:type="gramEnd"/>
      <w:r w:rsidRPr="003F3C4C">
        <w:rPr>
          <w:rFonts w:asciiTheme="majorBidi" w:hAnsiTheme="majorBidi" w:cstheme="majorBidi"/>
          <w:sz w:val="24"/>
        </w:rPr>
        <w:t xml:space="preserve"> Lynne Rienner Publishers, 2009</w:t>
      </w:r>
    </w:p>
    <w:p w14:paraId="2FA73D28"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Ghan</w:t>
      </w:r>
      <w:r>
        <w:rPr>
          <w:rFonts w:asciiTheme="majorBidi" w:hAnsiTheme="majorBidi" w:cstheme="majorBidi"/>
          <w:sz w:val="24"/>
        </w:rPr>
        <w:t>e</w:t>
      </w:r>
      <w:r w:rsidRPr="00CF517F">
        <w:rPr>
          <w:rFonts w:asciiTheme="majorBidi" w:hAnsiTheme="majorBidi" w:cstheme="majorBidi"/>
          <w:sz w:val="24"/>
        </w:rPr>
        <w:t xml:space="preserve">m, As'ad, "The Perception of the Islamic Movement in Israel Towards Peace in the Region", in Ilan Pappé (ed.), </w:t>
      </w:r>
      <w:r w:rsidRPr="00824365">
        <w:rPr>
          <w:rFonts w:asciiTheme="majorBidi" w:hAnsiTheme="majorBidi" w:cstheme="majorBidi"/>
          <w:i/>
          <w:iCs/>
          <w:sz w:val="24"/>
        </w:rPr>
        <w:t>Islam and Peace - Islamic Approaches to Peace in the Contemporary Arab World</w:t>
      </w:r>
      <w:r w:rsidRPr="00CF517F">
        <w:rPr>
          <w:rFonts w:asciiTheme="majorBidi" w:hAnsiTheme="majorBidi" w:cstheme="majorBidi"/>
          <w:sz w:val="24"/>
        </w:rPr>
        <w:t>, Givat Haviva: The Center for the Study of Peace, 1992, pp. 83-99</w:t>
      </w:r>
      <w:r>
        <w:rPr>
          <w:rFonts w:asciiTheme="majorBidi" w:hAnsiTheme="majorBidi" w:cstheme="majorBidi"/>
          <w:sz w:val="24"/>
        </w:rPr>
        <w:t xml:space="preserve"> (Hebrew)</w:t>
      </w:r>
    </w:p>
    <w:p w14:paraId="3DE201D2" w14:textId="77777777" w:rsidR="006A31DE" w:rsidRPr="00CF517F" w:rsidRDefault="006A31DE" w:rsidP="006A31DE">
      <w:pPr>
        <w:bidi w:val="0"/>
        <w:spacing w:line="240" w:lineRule="auto"/>
        <w:jc w:val="both"/>
        <w:rPr>
          <w:rFonts w:asciiTheme="majorBidi" w:hAnsiTheme="majorBidi" w:cstheme="majorBidi"/>
          <w:sz w:val="24"/>
          <w:rtl/>
        </w:rPr>
      </w:pPr>
      <w:r w:rsidRPr="003F3C4C">
        <w:rPr>
          <w:rFonts w:asciiTheme="majorBidi" w:hAnsiTheme="majorBidi" w:cstheme="majorBidi"/>
          <w:sz w:val="24"/>
        </w:rPr>
        <w:t xml:space="preserve">Ghanem, As'ad, and Ozacky-Lazar, Sarah, "The Status of the Palestinians in Israel in an Era of Peace: Part of the Problem but not Part of the Solution", </w:t>
      </w:r>
      <w:r w:rsidRPr="0068342C">
        <w:rPr>
          <w:rFonts w:asciiTheme="majorBidi" w:hAnsiTheme="majorBidi" w:cstheme="majorBidi"/>
          <w:i/>
          <w:iCs/>
          <w:sz w:val="24"/>
        </w:rPr>
        <w:t>Israel Affairs</w:t>
      </w:r>
      <w:r>
        <w:rPr>
          <w:rFonts w:asciiTheme="majorBidi" w:hAnsiTheme="majorBidi" w:cstheme="majorBidi"/>
          <w:b/>
          <w:bCs/>
          <w:sz w:val="24"/>
        </w:rPr>
        <w:t xml:space="preserve">, </w:t>
      </w:r>
      <w:r w:rsidRPr="003F3C4C">
        <w:rPr>
          <w:rFonts w:asciiTheme="majorBidi" w:hAnsiTheme="majorBidi" w:cstheme="majorBidi"/>
          <w:sz w:val="24"/>
        </w:rPr>
        <w:t>Vol. 9 N. 1-2, 2002, pp. 263 - 289</w:t>
      </w:r>
    </w:p>
    <w:p w14:paraId="226CAA69" w14:textId="77777777" w:rsidR="006A31DE" w:rsidRDefault="006A31DE" w:rsidP="006A31DE">
      <w:pPr>
        <w:bidi w:val="0"/>
        <w:spacing w:line="240" w:lineRule="auto"/>
        <w:jc w:val="both"/>
        <w:rPr>
          <w:rFonts w:asciiTheme="majorBidi" w:hAnsiTheme="majorBidi" w:cstheme="majorBidi"/>
          <w:sz w:val="24"/>
        </w:rPr>
      </w:pPr>
      <w:r w:rsidRPr="003F3C4C">
        <w:rPr>
          <w:rFonts w:asciiTheme="majorBidi" w:hAnsiTheme="majorBidi" w:cstheme="majorBidi"/>
          <w:sz w:val="24"/>
        </w:rPr>
        <w:lastRenderedPageBreak/>
        <w:t xml:space="preserve">Gopin, Marc </w:t>
      </w:r>
      <w:r w:rsidRPr="0068342C">
        <w:rPr>
          <w:rFonts w:asciiTheme="majorBidi" w:hAnsiTheme="majorBidi" w:cstheme="majorBidi"/>
          <w:i/>
          <w:iCs/>
          <w:sz w:val="24"/>
        </w:rPr>
        <w:t>Holy War, Holy Peace - how religion can bring peace to the Middle East,</w:t>
      </w:r>
      <w:r w:rsidRPr="003F3C4C">
        <w:rPr>
          <w:rFonts w:asciiTheme="majorBidi" w:hAnsiTheme="majorBidi" w:cstheme="majorBidi"/>
          <w:sz w:val="24"/>
        </w:rPr>
        <w:t xml:space="preserve"> New </w:t>
      </w:r>
      <w:proofErr w:type="gramStart"/>
      <w:r w:rsidRPr="003F3C4C">
        <w:rPr>
          <w:rFonts w:asciiTheme="majorBidi" w:hAnsiTheme="majorBidi" w:cstheme="majorBidi"/>
          <w:sz w:val="24"/>
        </w:rPr>
        <w:t>York :</w:t>
      </w:r>
      <w:proofErr w:type="gramEnd"/>
      <w:r w:rsidRPr="003F3C4C">
        <w:rPr>
          <w:rFonts w:asciiTheme="majorBidi" w:hAnsiTheme="majorBidi" w:cstheme="majorBidi"/>
          <w:sz w:val="24"/>
        </w:rPr>
        <w:t xml:space="preserve"> Oxford University Press, 2002</w:t>
      </w:r>
    </w:p>
    <w:p w14:paraId="3DD23ECF"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Goren, Shlomo, </w:t>
      </w:r>
      <w:bookmarkStart w:id="1" w:name="_Hlk166410689"/>
      <w:r w:rsidRPr="00CB4761">
        <w:rPr>
          <w:rFonts w:asciiTheme="majorBidi" w:hAnsiTheme="majorBidi" w:cstheme="majorBidi"/>
          <w:i/>
          <w:iCs/>
          <w:sz w:val="24"/>
        </w:rPr>
        <w:t>With Might and Power</w:t>
      </w:r>
      <w:bookmarkEnd w:id="1"/>
      <w:r w:rsidRPr="00CB4761">
        <w:rPr>
          <w:rFonts w:asciiTheme="majorBidi" w:hAnsiTheme="majorBidi" w:cstheme="majorBidi"/>
          <w:i/>
          <w:iCs/>
          <w:sz w:val="24"/>
        </w:rPr>
        <w:t>: An Autobiography</w:t>
      </w:r>
      <w:r w:rsidRPr="00CF517F">
        <w:rPr>
          <w:rFonts w:asciiTheme="majorBidi" w:hAnsiTheme="majorBidi" w:cstheme="majorBidi"/>
          <w:sz w:val="24"/>
        </w:rPr>
        <w:t>, edited by Avi Rat, Tel Aviv: Yedioth Ahronoth: S</w:t>
      </w:r>
      <w:r>
        <w:rPr>
          <w:rFonts w:asciiTheme="majorBidi" w:hAnsiTheme="majorBidi" w:cstheme="majorBidi"/>
          <w:sz w:val="24"/>
        </w:rPr>
        <w:t>i</w:t>
      </w:r>
      <w:r w:rsidRPr="00CF517F">
        <w:rPr>
          <w:rFonts w:asciiTheme="majorBidi" w:hAnsiTheme="majorBidi" w:cstheme="majorBidi"/>
          <w:sz w:val="24"/>
        </w:rPr>
        <w:t>fr</w:t>
      </w:r>
      <w:r>
        <w:rPr>
          <w:rFonts w:asciiTheme="majorBidi" w:hAnsiTheme="majorBidi" w:cstheme="majorBidi"/>
          <w:sz w:val="24"/>
        </w:rPr>
        <w:t>e</w:t>
      </w:r>
      <w:r w:rsidRPr="00CF517F">
        <w:rPr>
          <w:rFonts w:asciiTheme="majorBidi" w:hAnsiTheme="majorBidi" w:cstheme="majorBidi"/>
          <w:sz w:val="24"/>
        </w:rPr>
        <w:t>i Chemed, 2013</w:t>
      </w:r>
      <w:r>
        <w:rPr>
          <w:rFonts w:asciiTheme="majorBidi" w:hAnsiTheme="majorBidi" w:cstheme="majorBidi"/>
          <w:sz w:val="24"/>
        </w:rPr>
        <w:t xml:space="preserve"> (Hebrew)</w:t>
      </w:r>
    </w:p>
    <w:p w14:paraId="45C05BAC"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Goren, Shlomo</w:t>
      </w:r>
      <w:r w:rsidRPr="00FE76D6">
        <w:rPr>
          <w:rFonts w:asciiTheme="majorBidi" w:hAnsiTheme="majorBidi" w:cstheme="majorBidi"/>
          <w:i/>
          <w:iCs/>
          <w:sz w:val="24"/>
        </w:rPr>
        <w:t xml:space="preserve">, The Temple Mount: </w:t>
      </w:r>
      <w:r>
        <w:rPr>
          <w:rFonts w:asciiTheme="majorBidi" w:hAnsiTheme="majorBidi" w:cstheme="majorBidi"/>
          <w:i/>
          <w:iCs/>
          <w:sz w:val="24"/>
        </w:rPr>
        <w:t>Meshiv Milchama</w:t>
      </w:r>
      <w:r w:rsidRPr="00FE76D6">
        <w:rPr>
          <w:rFonts w:asciiTheme="majorBidi" w:hAnsiTheme="majorBidi" w:cstheme="majorBidi"/>
          <w:i/>
          <w:iCs/>
          <w:sz w:val="24"/>
        </w:rPr>
        <w:t xml:space="preserve"> Part 4: A Comprehensive Historical Halakhic Study on Mount Moriah and the Temple Site</w:t>
      </w:r>
      <w:r w:rsidRPr="00CF517F">
        <w:rPr>
          <w:rFonts w:asciiTheme="majorBidi" w:hAnsiTheme="majorBidi" w:cstheme="majorBidi"/>
          <w:sz w:val="24"/>
        </w:rPr>
        <w:t>, Jerusalem: Ha'Idra Rabba, 1992</w:t>
      </w:r>
      <w:r>
        <w:rPr>
          <w:rFonts w:asciiTheme="majorBidi" w:hAnsiTheme="majorBidi" w:cstheme="majorBidi"/>
          <w:sz w:val="24"/>
        </w:rPr>
        <w:t xml:space="preserve"> (Hebrew)</w:t>
      </w:r>
    </w:p>
    <w:p w14:paraId="7F89B278" w14:textId="77777777" w:rsidR="006A31DE" w:rsidRPr="00CF517F" w:rsidRDefault="006A31DE" w:rsidP="006A31DE">
      <w:pPr>
        <w:bidi w:val="0"/>
        <w:spacing w:line="240" w:lineRule="auto"/>
        <w:jc w:val="both"/>
        <w:rPr>
          <w:rFonts w:asciiTheme="majorBidi" w:hAnsiTheme="majorBidi" w:cstheme="majorBidi"/>
          <w:sz w:val="24"/>
          <w:rtl/>
        </w:rPr>
      </w:pPr>
      <w:r w:rsidRPr="00CF517F">
        <w:rPr>
          <w:rFonts w:asciiTheme="majorBidi" w:hAnsiTheme="majorBidi" w:cstheme="majorBidi"/>
          <w:sz w:val="24"/>
        </w:rPr>
        <w:t xml:space="preserve">Goren, Shlomo, </w:t>
      </w:r>
      <w:r w:rsidRPr="00903ACD">
        <w:rPr>
          <w:rFonts w:asciiTheme="majorBidi" w:hAnsiTheme="majorBidi" w:cstheme="majorBidi"/>
          <w:i/>
          <w:iCs/>
          <w:sz w:val="24"/>
        </w:rPr>
        <w:t>The Doctrine of the State: A Historical Halakhic Study on the Issues at the Forefront of the State of Israel Since Its Establishment</w:t>
      </w:r>
      <w:r w:rsidRPr="00CF517F">
        <w:rPr>
          <w:rFonts w:asciiTheme="majorBidi" w:hAnsiTheme="majorBidi" w:cstheme="majorBidi"/>
          <w:sz w:val="24"/>
        </w:rPr>
        <w:t>, Jerusalem: Ha'Idra Rabba, 1996</w:t>
      </w:r>
      <w:r>
        <w:rPr>
          <w:rFonts w:asciiTheme="majorBidi" w:hAnsiTheme="majorBidi" w:cstheme="majorBidi"/>
          <w:sz w:val="24"/>
        </w:rPr>
        <w:t xml:space="preserve"> (Hebrew)</w:t>
      </w:r>
    </w:p>
    <w:p w14:paraId="60908F64" w14:textId="77777777" w:rsidR="006A31DE" w:rsidRPr="00CF517F" w:rsidRDefault="006A31DE" w:rsidP="006A31DE">
      <w:pPr>
        <w:bidi w:val="0"/>
        <w:spacing w:line="240" w:lineRule="auto"/>
        <w:jc w:val="both"/>
        <w:rPr>
          <w:rFonts w:asciiTheme="majorBidi" w:hAnsiTheme="majorBidi" w:cstheme="majorBidi"/>
          <w:sz w:val="24"/>
          <w:rtl/>
        </w:rPr>
      </w:pPr>
      <w:r w:rsidRPr="00CF517F">
        <w:rPr>
          <w:rFonts w:asciiTheme="majorBidi" w:hAnsiTheme="majorBidi" w:cstheme="majorBidi"/>
          <w:sz w:val="24"/>
        </w:rPr>
        <w:t>Goren, Shlomo, "</w:t>
      </w:r>
      <w:bookmarkStart w:id="2" w:name="_Hlk166410793"/>
      <w:r w:rsidRPr="00CF517F">
        <w:rPr>
          <w:rFonts w:asciiTheme="majorBidi" w:hAnsiTheme="majorBidi" w:cstheme="majorBidi"/>
          <w:sz w:val="24"/>
        </w:rPr>
        <w:t>The Holy Land and Saving Life</w:t>
      </w:r>
      <w:bookmarkEnd w:id="2"/>
      <w:r w:rsidRPr="00CF517F">
        <w:rPr>
          <w:rFonts w:asciiTheme="majorBidi" w:hAnsiTheme="majorBidi" w:cstheme="majorBidi"/>
          <w:sz w:val="24"/>
        </w:rPr>
        <w:t xml:space="preserve">", </w:t>
      </w:r>
      <w:r w:rsidRPr="00903ACD">
        <w:rPr>
          <w:rFonts w:asciiTheme="majorBidi" w:hAnsiTheme="majorBidi" w:cstheme="majorBidi"/>
          <w:i/>
          <w:iCs/>
          <w:sz w:val="24"/>
        </w:rPr>
        <w:t>Tchumin</w:t>
      </w:r>
      <w:r w:rsidRPr="00CF517F">
        <w:rPr>
          <w:rFonts w:asciiTheme="majorBidi" w:hAnsiTheme="majorBidi" w:cstheme="majorBidi"/>
          <w:sz w:val="24"/>
        </w:rPr>
        <w:t xml:space="preserve"> Vol. 15, pp. 11-22</w:t>
      </w:r>
      <w:r>
        <w:rPr>
          <w:rFonts w:asciiTheme="majorBidi" w:hAnsiTheme="majorBidi" w:cstheme="majorBidi"/>
          <w:sz w:val="24"/>
        </w:rPr>
        <w:t xml:space="preserve"> (Hebrew)</w:t>
      </w:r>
    </w:p>
    <w:p w14:paraId="24D9DB74"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Goren, Shlomo, "Between a Peace Agreement and True Peace", </w:t>
      </w:r>
      <w:r w:rsidRPr="00903ACD">
        <w:rPr>
          <w:rFonts w:asciiTheme="majorBidi" w:hAnsiTheme="majorBidi" w:cstheme="majorBidi"/>
          <w:i/>
          <w:iCs/>
          <w:sz w:val="24"/>
        </w:rPr>
        <w:t>Or HaMizrach</w:t>
      </w:r>
      <w:r w:rsidRPr="00CF517F">
        <w:rPr>
          <w:rFonts w:asciiTheme="majorBidi" w:hAnsiTheme="majorBidi" w:cstheme="majorBidi"/>
          <w:sz w:val="24"/>
        </w:rPr>
        <w:t>, Issue 28 Volume 2, Tevet 5740 (January 1980), pp. 144-147</w:t>
      </w:r>
      <w:r>
        <w:rPr>
          <w:rFonts w:asciiTheme="majorBidi" w:hAnsiTheme="majorBidi" w:cstheme="majorBidi"/>
          <w:sz w:val="24"/>
        </w:rPr>
        <w:t xml:space="preserve"> (Hebrew)</w:t>
      </w:r>
    </w:p>
    <w:p w14:paraId="54C4A8BD"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Goren, Shlomo, "On Issues of Religion and State," in Yosef and Tirosh (eds.) </w:t>
      </w:r>
      <w:r w:rsidRPr="00BC0C47">
        <w:rPr>
          <w:rFonts w:asciiTheme="majorBidi" w:hAnsiTheme="majorBidi" w:cstheme="majorBidi"/>
          <w:i/>
          <w:iCs/>
          <w:sz w:val="24"/>
        </w:rPr>
        <w:t>Religious Zionism and the State: A Collection of Articles for the Thirtieth Anniversary of the State</w:t>
      </w:r>
      <w:r w:rsidRPr="00CF517F">
        <w:rPr>
          <w:rFonts w:asciiTheme="majorBidi" w:hAnsiTheme="majorBidi" w:cstheme="majorBidi"/>
          <w:sz w:val="24"/>
        </w:rPr>
        <w:t>, Jerusalem, 1978, pp. 133</w:t>
      </w:r>
      <w:r>
        <w:rPr>
          <w:rFonts w:asciiTheme="majorBidi" w:hAnsiTheme="majorBidi" w:cstheme="majorBidi"/>
          <w:sz w:val="24"/>
        </w:rPr>
        <w:t xml:space="preserve"> (Hebrew)</w:t>
      </w:r>
    </w:p>
    <w:p w14:paraId="178A2BF6"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Goren, Shlomo, "The State of Israel as a Stage in the Prophetic Vision of Israel," </w:t>
      </w:r>
      <w:r w:rsidRPr="004A0EB7">
        <w:rPr>
          <w:rFonts w:asciiTheme="majorBidi" w:hAnsiTheme="majorBidi" w:cstheme="majorBidi"/>
          <w:i/>
          <w:iCs/>
          <w:sz w:val="24"/>
        </w:rPr>
        <w:t>Machanayim</w:t>
      </w:r>
      <w:r w:rsidRPr="00CF517F">
        <w:rPr>
          <w:rFonts w:asciiTheme="majorBidi" w:hAnsiTheme="majorBidi" w:cstheme="majorBidi"/>
          <w:sz w:val="24"/>
        </w:rPr>
        <w:t xml:space="preserve"> </w:t>
      </w:r>
      <w:r>
        <w:rPr>
          <w:rFonts w:asciiTheme="majorBidi" w:hAnsiTheme="majorBidi" w:cstheme="majorBidi"/>
          <w:sz w:val="24"/>
        </w:rPr>
        <w:t xml:space="preserve">Vol. </w:t>
      </w:r>
      <w:r w:rsidRPr="00CF517F">
        <w:rPr>
          <w:rFonts w:asciiTheme="majorBidi" w:hAnsiTheme="majorBidi" w:cstheme="majorBidi"/>
          <w:sz w:val="24"/>
        </w:rPr>
        <w:t>32, May 1960, pp. 8-11</w:t>
      </w:r>
      <w:r>
        <w:rPr>
          <w:rFonts w:asciiTheme="majorBidi" w:hAnsiTheme="majorBidi" w:cstheme="majorBidi"/>
          <w:sz w:val="24"/>
        </w:rPr>
        <w:t xml:space="preserve"> (Hebrew)</w:t>
      </w:r>
    </w:p>
    <w:p w14:paraId="2AC532EB" w14:textId="77777777" w:rsidR="006A31DE" w:rsidRPr="00CF517F"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Darwish, Abdullah Nimer, </w:t>
      </w:r>
      <w:r w:rsidRPr="004A0EB7">
        <w:rPr>
          <w:rFonts w:asciiTheme="majorBidi" w:hAnsiTheme="majorBidi" w:cstheme="majorBidi"/>
          <w:i/>
          <w:iCs/>
          <w:sz w:val="24"/>
        </w:rPr>
        <w:t>Islam is the Solution</w:t>
      </w:r>
      <w:r w:rsidRPr="00CF517F">
        <w:rPr>
          <w:rFonts w:asciiTheme="majorBidi" w:hAnsiTheme="majorBidi" w:cstheme="majorBidi"/>
          <w:sz w:val="24"/>
        </w:rPr>
        <w:t>, translated by Dorit Heitner, Tel Aviv: Resling, 2021</w:t>
      </w:r>
      <w:r>
        <w:rPr>
          <w:rFonts w:asciiTheme="majorBidi" w:hAnsiTheme="majorBidi" w:cstheme="majorBidi"/>
          <w:sz w:val="24"/>
        </w:rPr>
        <w:t xml:space="preserve"> (Hebrew)</w:t>
      </w:r>
    </w:p>
    <w:p w14:paraId="6A3F1DD6" w14:textId="77777777" w:rsidR="006A31DE" w:rsidRPr="00411811"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Hakham, David, </w:t>
      </w:r>
      <w:r w:rsidRPr="008B3E8F">
        <w:rPr>
          <w:rFonts w:asciiTheme="majorBidi" w:hAnsiTheme="majorBidi" w:cstheme="majorBidi"/>
          <w:i/>
          <w:iCs/>
          <w:sz w:val="24"/>
        </w:rPr>
        <w:t>And the Land Shall Be Filled with Hamas - Sheikh Ahmed Yassin and His War Against Israel</w:t>
      </w:r>
      <w:r w:rsidRPr="00CF517F">
        <w:rPr>
          <w:rFonts w:asciiTheme="majorBidi" w:hAnsiTheme="majorBidi" w:cstheme="majorBidi"/>
          <w:sz w:val="24"/>
        </w:rPr>
        <w:t>, Haiykan Chair for Geostrategy, University of Haifa, 2006</w:t>
      </w:r>
      <w:r>
        <w:rPr>
          <w:rFonts w:asciiTheme="majorBidi" w:hAnsiTheme="majorBidi" w:cstheme="majorBidi"/>
          <w:sz w:val="24"/>
        </w:rPr>
        <w:t xml:space="preserve"> (Hebrew)</w:t>
      </w:r>
    </w:p>
    <w:p w14:paraId="12688AFD"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Hancock, Landon E. and Weiss, Joshua N., "Prospect Theory and the Failure to Sell the Oslo Accords", </w:t>
      </w:r>
      <w:r w:rsidRPr="00411811">
        <w:rPr>
          <w:rFonts w:asciiTheme="majorBidi" w:hAnsiTheme="majorBidi" w:cstheme="majorBidi"/>
          <w:sz w:val="24"/>
        </w:rPr>
        <w:t>Peace and Change</w:t>
      </w:r>
      <w:r w:rsidRPr="003F3C4C">
        <w:rPr>
          <w:rFonts w:asciiTheme="majorBidi" w:hAnsiTheme="majorBidi" w:cstheme="majorBidi"/>
          <w:sz w:val="24"/>
        </w:rPr>
        <w:t>, Vol. 36, No. 3, July 2011, pp. 427-452</w:t>
      </w:r>
    </w:p>
    <w:p w14:paraId="4FA8C322" w14:textId="77777777" w:rsidR="006A31DE" w:rsidRDefault="006A31DE" w:rsidP="006A31DE">
      <w:pPr>
        <w:bidi w:val="0"/>
        <w:spacing w:line="240" w:lineRule="auto"/>
        <w:rPr>
          <w:rFonts w:asciiTheme="majorBidi" w:eastAsia="Times New Roman" w:hAnsiTheme="majorBidi" w:cstheme="majorBidi"/>
          <w:sz w:val="24"/>
        </w:rPr>
      </w:pPr>
      <w:r w:rsidRPr="003F3C4C">
        <w:rPr>
          <w:rFonts w:asciiTheme="majorBidi" w:eastAsia="Times New Roman" w:hAnsiTheme="majorBidi" w:cstheme="majorBidi"/>
          <w:sz w:val="24"/>
        </w:rPr>
        <w:t xml:space="preserve">Handelman, Sapir, </w:t>
      </w:r>
      <w:r w:rsidRPr="00411811">
        <w:rPr>
          <w:rFonts w:asciiTheme="majorBidi" w:eastAsia="Times New Roman" w:hAnsiTheme="majorBidi" w:cstheme="majorBidi"/>
          <w:i/>
          <w:iCs/>
          <w:sz w:val="24"/>
        </w:rPr>
        <w:t>Conflict and Peacemaking in Israel-</w:t>
      </w:r>
      <w:proofErr w:type="gramStart"/>
      <w:r w:rsidRPr="00411811">
        <w:rPr>
          <w:rFonts w:asciiTheme="majorBidi" w:eastAsia="Times New Roman" w:hAnsiTheme="majorBidi" w:cstheme="majorBidi"/>
          <w:i/>
          <w:iCs/>
          <w:sz w:val="24"/>
        </w:rPr>
        <w:t>Palestine :</w:t>
      </w:r>
      <w:proofErr w:type="gramEnd"/>
      <w:r w:rsidRPr="00411811">
        <w:rPr>
          <w:rFonts w:asciiTheme="majorBidi" w:eastAsia="Times New Roman" w:hAnsiTheme="majorBidi" w:cstheme="majorBidi"/>
          <w:i/>
          <w:iCs/>
          <w:sz w:val="24"/>
        </w:rPr>
        <w:t xml:space="preserve"> Theory and Application</w:t>
      </w:r>
      <w:r w:rsidRPr="003F3C4C">
        <w:rPr>
          <w:rFonts w:asciiTheme="majorBidi" w:eastAsia="Times New Roman" w:hAnsiTheme="majorBidi" w:cstheme="majorBidi"/>
          <w:b/>
          <w:bCs/>
          <w:sz w:val="24"/>
        </w:rPr>
        <w:t xml:space="preserve">, </w:t>
      </w:r>
      <w:r w:rsidRPr="003F3C4C">
        <w:rPr>
          <w:rFonts w:asciiTheme="majorBidi" w:eastAsia="Times New Roman" w:hAnsiTheme="majorBidi" w:cstheme="majorBidi"/>
          <w:sz w:val="24"/>
        </w:rPr>
        <w:t>New York: Routledge, 2011, pp. 15-24</w:t>
      </w:r>
    </w:p>
    <w:p w14:paraId="1852C42C" w14:textId="77777777" w:rsidR="006A31DE" w:rsidRDefault="006A31DE" w:rsidP="006A31DE">
      <w:pPr>
        <w:bidi w:val="0"/>
        <w:spacing w:line="240" w:lineRule="auto"/>
        <w:rPr>
          <w:rFonts w:asciiTheme="majorBidi" w:eastAsia="Times New Roman" w:hAnsiTheme="majorBidi" w:cstheme="majorBidi"/>
          <w:sz w:val="24"/>
        </w:rPr>
      </w:pPr>
      <w:r w:rsidRPr="003F3C4C">
        <w:rPr>
          <w:rFonts w:asciiTheme="majorBidi" w:eastAsia="Times New Roman" w:hAnsiTheme="majorBidi" w:cstheme="majorBidi"/>
          <w:sz w:val="24"/>
        </w:rPr>
        <w:t xml:space="preserve">Hassassian, Manuel, "Why Did Oslo Fail? Lessons for the future" in </w:t>
      </w:r>
      <w:r w:rsidRPr="00411811">
        <w:rPr>
          <w:rFonts w:asciiTheme="majorBidi" w:eastAsia="Times New Roman" w:hAnsiTheme="majorBidi" w:cstheme="majorBidi"/>
          <w:i/>
          <w:iCs/>
          <w:sz w:val="24"/>
        </w:rPr>
        <w:t>The Israeli-Palestinian Peace Process - Oslo and the Lessons of Failure</w:t>
      </w:r>
      <w:r w:rsidRPr="003F3C4C">
        <w:rPr>
          <w:rFonts w:asciiTheme="majorBidi" w:eastAsia="Times New Roman" w:hAnsiTheme="majorBidi" w:cstheme="majorBidi"/>
          <w:sz w:val="24"/>
        </w:rPr>
        <w:t>, Robert L. Rothstien, Moshe Maoz and Khalil Shikaki (Eds.), Sussex Academic Press, UK, 2002, pp. 114-13</w:t>
      </w:r>
    </w:p>
    <w:p w14:paraId="3A3C9723" w14:textId="77777777" w:rsidR="006A31DE"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Hatina</w:t>
      </w:r>
      <w:r>
        <w:rPr>
          <w:rFonts w:asciiTheme="majorBidi" w:hAnsiTheme="majorBidi" w:cstheme="majorBidi"/>
          <w:sz w:val="24"/>
        </w:rPr>
        <w:t xml:space="preserve">, </w:t>
      </w:r>
      <w:r w:rsidRPr="00B723BF">
        <w:rPr>
          <w:rFonts w:asciiTheme="majorBidi" w:hAnsiTheme="majorBidi" w:cstheme="majorBidi"/>
          <w:sz w:val="24"/>
        </w:rPr>
        <w:t xml:space="preserve">Meir, "Hamas and the Oslo accords: Religious dogma in a changing political reality", </w:t>
      </w:r>
      <w:r w:rsidRPr="00411811">
        <w:rPr>
          <w:rFonts w:asciiTheme="majorBidi" w:hAnsiTheme="majorBidi" w:cstheme="majorBidi"/>
          <w:i/>
          <w:iCs/>
          <w:sz w:val="24"/>
        </w:rPr>
        <w:t>Mediterranean Politics</w:t>
      </w:r>
      <w:r w:rsidRPr="00B723BF">
        <w:rPr>
          <w:rFonts w:asciiTheme="majorBidi" w:hAnsiTheme="majorBidi" w:cstheme="majorBidi"/>
          <w:sz w:val="24"/>
        </w:rPr>
        <w:t>, 4:3, 1999, pp. 37-55</w:t>
      </w:r>
    </w:p>
    <w:p w14:paraId="417EFAAC"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H</w:t>
      </w:r>
      <w:r>
        <w:rPr>
          <w:rFonts w:asciiTheme="majorBidi" w:hAnsiTheme="majorBidi" w:cstheme="majorBidi"/>
          <w:sz w:val="24"/>
        </w:rPr>
        <w:t>e</w:t>
      </w:r>
      <w:r w:rsidRPr="00CF517F">
        <w:rPr>
          <w:rFonts w:asciiTheme="majorBidi" w:hAnsiTheme="majorBidi" w:cstheme="majorBidi"/>
          <w:sz w:val="24"/>
        </w:rPr>
        <w:t>r</w:t>
      </w:r>
      <w:r>
        <w:rPr>
          <w:rFonts w:asciiTheme="majorBidi" w:hAnsiTheme="majorBidi" w:cstheme="majorBidi"/>
          <w:sz w:val="24"/>
        </w:rPr>
        <w:t>e</w:t>
      </w:r>
      <w:r w:rsidRPr="00CF517F">
        <w:rPr>
          <w:rFonts w:asciiTheme="majorBidi" w:hAnsiTheme="majorBidi" w:cstheme="majorBidi"/>
          <w:sz w:val="24"/>
        </w:rPr>
        <w:t xml:space="preserve">ra, Ephraim and Carsel, Gideon M., </w:t>
      </w:r>
      <w:r w:rsidRPr="004A0EB7">
        <w:rPr>
          <w:rFonts w:asciiTheme="majorBidi" w:hAnsiTheme="majorBidi" w:cstheme="majorBidi"/>
          <w:i/>
          <w:iCs/>
          <w:sz w:val="24"/>
        </w:rPr>
        <w:t>Jihad - Between Halakha and Practice</w:t>
      </w:r>
      <w:r w:rsidRPr="00CF517F">
        <w:rPr>
          <w:rFonts w:asciiTheme="majorBidi" w:hAnsiTheme="majorBidi" w:cstheme="majorBidi"/>
          <w:sz w:val="24"/>
        </w:rPr>
        <w:t>, Tel Aviv: Ministry of Defense/Dvir, 2009</w:t>
      </w:r>
      <w:r>
        <w:rPr>
          <w:rFonts w:asciiTheme="majorBidi" w:hAnsiTheme="majorBidi" w:cstheme="majorBidi"/>
          <w:sz w:val="24"/>
        </w:rPr>
        <w:t xml:space="preserve"> (Hebrew)</w:t>
      </w:r>
    </w:p>
    <w:p w14:paraId="3F6373F9"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Hirschfeld, Yair, </w:t>
      </w:r>
      <w:r w:rsidRPr="004A0EB7">
        <w:rPr>
          <w:rFonts w:asciiTheme="majorBidi" w:hAnsiTheme="majorBidi" w:cstheme="majorBidi"/>
          <w:i/>
          <w:iCs/>
          <w:sz w:val="24"/>
        </w:rPr>
        <w:t>Oslo: A Formula for Peace</w:t>
      </w:r>
      <w:r w:rsidRPr="00CF517F">
        <w:rPr>
          <w:rFonts w:asciiTheme="majorBidi" w:hAnsiTheme="majorBidi" w:cstheme="majorBidi"/>
          <w:sz w:val="24"/>
        </w:rPr>
        <w:t>, Am Oved, 2000</w:t>
      </w:r>
      <w:r>
        <w:rPr>
          <w:rFonts w:asciiTheme="majorBidi" w:hAnsiTheme="majorBidi" w:cstheme="majorBidi"/>
          <w:sz w:val="24"/>
        </w:rPr>
        <w:t xml:space="preserve"> (Hebrew)</w:t>
      </w:r>
    </w:p>
    <w:p w14:paraId="6564E8FA"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 xml:space="preserve">Hollander, Avi'ad, "Dual Loyalty to Halakha and the State and Its Solution: The Rulings of Rabbi Shlomo Goren as a Test Case," </w:t>
      </w:r>
      <w:r w:rsidRPr="004A0EB7">
        <w:rPr>
          <w:rFonts w:asciiTheme="majorBidi" w:hAnsiTheme="majorBidi" w:cstheme="majorBidi"/>
          <w:i/>
          <w:iCs/>
          <w:sz w:val="24"/>
        </w:rPr>
        <w:t>Hakirah</w:t>
      </w:r>
      <w:r w:rsidRPr="00CF517F">
        <w:rPr>
          <w:rFonts w:asciiTheme="majorBidi" w:hAnsiTheme="majorBidi" w:cstheme="majorBidi"/>
          <w:sz w:val="24"/>
        </w:rPr>
        <w:t xml:space="preserve">, </w:t>
      </w:r>
      <w:r>
        <w:rPr>
          <w:rFonts w:asciiTheme="majorBidi" w:hAnsiTheme="majorBidi" w:cstheme="majorBidi"/>
          <w:sz w:val="24"/>
        </w:rPr>
        <w:t xml:space="preserve">Vol. </w:t>
      </w:r>
      <w:r w:rsidRPr="00CF517F">
        <w:rPr>
          <w:rFonts w:asciiTheme="majorBidi" w:hAnsiTheme="majorBidi" w:cstheme="majorBidi"/>
          <w:sz w:val="24"/>
        </w:rPr>
        <w:t>15, 2013, pp. 5-34</w:t>
      </w:r>
      <w:r>
        <w:rPr>
          <w:rFonts w:asciiTheme="majorBidi" w:hAnsiTheme="majorBidi" w:cstheme="majorBidi"/>
          <w:sz w:val="24"/>
        </w:rPr>
        <w:t xml:space="preserve"> (Hebrew)</w:t>
      </w:r>
    </w:p>
    <w:p w14:paraId="6B4AB0A2" w14:textId="77777777" w:rsidR="006A31DE"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lastRenderedPageBreak/>
        <w:t>Hroub</w:t>
      </w:r>
      <w:r>
        <w:rPr>
          <w:rFonts w:asciiTheme="majorBidi" w:hAnsiTheme="majorBidi" w:cstheme="majorBidi"/>
          <w:sz w:val="24"/>
        </w:rPr>
        <w:t xml:space="preserve">, </w:t>
      </w:r>
      <w:r w:rsidRPr="00B723BF">
        <w:rPr>
          <w:rFonts w:asciiTheme="majorBidi" w:hAnsiTheme="majorBidi" w:cstheme="majorBidi"/>
          <w:sz w:val="24"/>
        </w:rPr>
        <w:t xml:space="preserve">Khaled, </w:t>
      </w:r>
      <w:r w:rsidRPr="00411811">
        <w:rPr>
          <w:rFonts w:asciiTheme="majorBidi" w:hAnsiTheme="majorBidi" w:cstheme="majorBidi"/>
          <w:i/>
          <w:iCs/>
          <w:sz w:val="24"/>
        </w:rPr>
        <w:t>Hamas: political thought and practice</w:t>
      </w:r>
      <w:r w:rsidRPr="00B723BF">
        <w:rPr>
          <w:rFonts w:asciiTheme="majorBidi" w:hAnsiTheme="majorBidi" w:cstheme="majorBidi"/>
          <w:sz w:val="24"/>
        </w:rPr>
        <w:t xml:space="preserve">, Washington, </w:t>
      </w:r>
      <w:proofErr w:type="gramStart"/>
      <w:r w:rsidRPr="00B723BF">
        <w:rPr>
          <w:rFonts w:asciiTheme="majorBidi" w:hAnsiTheme="majorBidi" w:cstheme="majorBidi"/>
          <w:sz w:val="24"/>
        </w:rPr>
        <w:t>DC :</w:t>
      </w:r>
      <w:proofErr w:type="gramEnd"/>
      <w:r w:rsidRPr="00B723BF">
        <w:rPr>
          <w:rFonts w:asciiTheme="majorBidi" w:hAnsiTheme="majorBidi" w:cstheme="majorBidi"/>
          <w:sz w:val="24"/>
        </w:rPr>
        <w:t xml:space="preserve"> Institute for Palestine Studies, 2000</w:t>
      </w:r>
    </w:p>
    <w:p w14:paraId="2B6733AF" w14:textId="77777777" w:rsidR="006A31DE"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Hroub,</w:t>
      </w:r>
      <w:r>
        <w:rPr>
          <w:rFonts w:asciiTheme="majorBidi" w:hAnsiTheme="majorBidi" w:cstheme="majorBidi"/>
          <w:sz w:val="24"/>
        </w:rPr>
        <w:t xml:space="preserve"> </w:t>
      </w:r>
      <w:r w:rsidRPr="00B723BF">
        <w:rPr>
          <w:rFonts w:asciiTheme="majorBidi" w:hAnsiTheme="majorBidi" w:cstheme="majorBidi"/>
          <w:sz w:val="24"/>
        </w:rPr>
        <w:t>Khaled</w:t>
      </w:r>
      <w:r>
        <w:rPr>
          <w:rFonts w:asciiTheme="majorBidi" w:hAnsiTheme="majorBidi" w:cstheme="majorBidi"/>
          <w:sz w:val="24"/>
        </w:rPr>
        <w:t>,</w:t>
      </w:r>
      <w:r w:rsidRPr="00B723BF">
        <w:rPr>
          <w:rFonts w:asciiTheme="majorBidi" w:hAnsiTheme="majorBidi" w:cstheme="majorBidi"/>
          <w:sz w:val="24"/>
        </w:rPr>
        <w:t xml:space="preserve"> "Hamas and Oslo: Rejection, Confusion and De Facto Adoption"</w:t>
      </w:r>
      <w:r w:rsidRPr="00B723BF">
        <w:rPr>
          <w:rFonts w:asciiTheme="majorBidi" w:eastAsia="Times New Roman" w:hAnsiTheme="majorBidi" w:cstheme="majorBidi"/>
          <w:sz w:val="24"/>
        </w:rPr>
        <w:t xml:space="preserve">, in </w:t>
      </w:r>
      <w:r w:rsidRPr="00B723BF">
        <w:rPr>
          <w:rFonts w:asciiTheme="majorBidi" w:hAnsiTheme="majorBidi" w:cstheme="majorBidi"/>
          <w:sz w:val="24"/>
        </w:rPr>
        <w:t xml:space="preserve">Bente Scheller, René Wildangel and Joachim Paul (Eds.), </w:t>
      </w:r>
      <w:r w:rsidRPr="00411811">
        <w:rPr>
          <w:rFonts w:asciiTheme="majorBidi" w:eastAsia="Times New Roman" w:hAnsiTheme="majorBidi" w:cstheme="majorBidi"/>
          <w:i/>
          <w:iCs/>
          <w:sz w:val="24"/>
        </w:rPr>
        <w:t>20 Years Since Oslo - Palestinian Perspectives</w:t>
      </w:r>
      <w:r w:rsidRPr="00B723BF">
        <w:rPr>
          <w:rFonts w:asciiTheme="majorBidi" w:eastAsia="Times New Roman" w:hAnsiTheme="majorBidi" w:cstheme="majorBidi"/>
          <w:sz w:val="24"/>
        </w:rPr>
        <w:t>,</w:t>
      </w:r>
      <w:r w:rsidRPr="00B723BF">
        <w:rPr>
          <w:rFonts w:asciiTheme="majorBidi" w:hAnsiTheme="majorBidi" w:cstheme="majorBidi"/>
          <w:sz w:val="24"/>
        </w:rPr>
        <w:t xml:space="preserve"> Heinrich Böll Stiftung, 2013, pp. 80-85</w:t>
      </w:r>
    </w:p>
    <w:p w14:paraId="31368BBB"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Inbari, Moti, </w:t>
      </w:r>
      <w:r w:rsidRPr="00951E50">
        <w:rPr>
          <w:rFonts w:asciiTheme="majorBidi" w:hAnsiTheme="majorBidi" w:cstheme="majorBidi"/>
          <w:i/>
          <w:iCs/>
          <w:sz w:val="24"/>
        </w:rPr>
        <w:t>Messianic Religious Zionism Confronts Israeli Territorial Compromises,</w:t>
      </w:r>
      <w:r w:rsidRPr="003F3C4C">
        <w:rPr>
          <w:rFonts w:asciiTheme="majorBidi" w:hAnsiTheme="majorBidi" w:cstheme="majorBidi"/>
          <w:sz w:val="24"/>
        </w:rPr>
        <w:t xml:space="preserve"> Cambridge University Press, 2012</w:t>
      </w:r>
    </w:p>
    <w:p w14:paraId="149B3F88"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Inbari, Motti, "When Prophecy Fails? The Theology of the Oslo Process - Rabbinical Responses to a Crisis of Faith", </w:t>
      </w:r>
      <w:r w:rsidRPr="00951E50">
        <w:rPr>
          <w:rFonts w:asciiTheme="majorBidi" w:hAnsiTheme="majorBidi" w:cstheme="majorBidi"/>
          <w:i/>
          <w:iCs/>
          <w:sz w:val="24"/>
        </w:rPr>
        <w:t>Modern Judaism - A Journal of Jewish Ideas and Experience</w:t>
      </w:r>
      <w:r w:rsidRPr="003F3C4C">
        <w:rPr>
          <w:rFonts w:asciiTheme="majorBidi" w:hAnsiTheme="majorBidi" w:cstheme="majorBidi"/>
          <w:sz w:val="24"/>
        </w:rPr>
        <w:t>, Vol. 29, No. 3, October 2009, pp. 303–325</w:t>
      </w:r>
    </w:p>
    <w:p w14:paraId="22E0F988"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Jackson, Sherman A., "Jihad and the Modern World", </w:t>
      </w:r>
      <w:r w:rsidRPr="00951E50">
        <w:rPr>
          <w:rFonts w:asciiTheme="majorBidi" w:hAnsiTheme="majorBidi" w:cstheme="majorBidi"/>
          <w:i/>
          <w:iCs/>
          <w:sz w:val="24"/>
        </w:rPr>
        <w:t>The Journal of Islamic Law and Culture</w:t>
      </w:r>
      <w:r w:rsidRPr="003F3C4C">
        <w:rPr>
          <w:rFonts w:asciiTheme="majorBidi" w:hAnsiTheme="majorBidi" w:cstheme="majorBidi"/>
          <w:sz w:val="24"/>
        </w:rPr>
        <w:t>, vol. 7:1, pp. 1-26</w:t>
      </w:r>
    </w:p>
    <w:p w14:paraId="2BD1A7EE" w14:textId="77777777" w:rsidR="006A31DE" w:rsidRDefault="006A31DE" w:rsidP="006A31DE">
      <w:pPr>
        <w:bidi w:val="0"/>
        <w:spacing w:line="240" w:lineRule="auto"/>
        <w:rPr>
          <w:rFonts w:asciiTheme="majorBidi" w:hAnsiTheme="majorBidi" w:cstheme="majorBidi"/>
          <w:sz w:val="24"/>
        </w:rPr>
      </w:pPr>
      <w:r>
        <w:rPr>
          <w:rFonts w:asciiTheme="majorBidi" w:hAnsiTheme="majorBidi" w:cstheme="majorBidi"/>
          <w:sz w:val="24"/>
        </w:rPr>
        <w:t>J</w:t>
      </w:r>
      <w:r w:rsidRPr="00B723BF">
        <w:rPr>
          <w:rFonts w:asciiTheme="majorBidi" w:hAnsiTheme="majorBidi" w:cstheme="majorBidi"/>
          <w:sz w:val="24"/>
        </w:rPr>
        <w:t>anssen,</w:t>
      </w:r>
      <w:r>
        <w:rPr>
          <w:rFonts w:asciiTheme="majorBidi" w:hAnsiTheme="majorBidi" w:cstheme="majorBidi"/>
          <w:sz w:val="24"/>
        </w:rPr>
        <w:t xml:space="preserve"> </w:t>
      </w:r>
      <w:r w:rsidRPr="00B723BF">
        <w:rPr>
          <w:rFonts w:asciiTheme="majorBidi" w:hAnsiTheme="majorBidi" w:cstheme="majorBidi"/>
          <w:sz w:val="24"/>
        </w:rPr>
        <w:t>Floor</w:t>
      </w:r>
      <w:r>
        <w:rPr>
          <w:rFonts w:asciiTheme="majorBidi" w:hAnsiTheme="majorBidi" w:cstheme="majorBidi"/>
          <w:sz w:val="24"/>
        </w:rPr>
        <w:t>,</w:t>
      </w:r>
      <w:r w:rsidRPr="00B723BF">
        <w:rPr>
          <w:rFonts w:asciiTheme="majorBidi" w:hAnsiTheme="majorBidi" w:cstheme="majorBidi"/>
          <w:sz w:val="24"/>
        </w:rPr>
        <w:t xml:space="preserve"> </w:t>
      </w:r>
      <w:r w:rsidRPr="00951E50">
        <w:rPr>
          <w:rFonts w:asciiTheme="majorBidi" w:hAnsiTheme="majorBidi" w:cstheme="majorBidi"/>
          <w:i/>
          <w:iCs/>
          <w:sz w:val="24"/>
        </w:rPr>
        <w:t>Hamas and its Positions Towards Israel – Understanding the Islamic Resistance Organization through the concept of framing</w:t>
      </w:r>
      <w:r w:rsidRPr="00B723BF">
        <w:rPr>
          <w:rFonts w:asciiTheme="majorBidi" w:hAnsiTheme="majorBidi" w:cstheme="majorBidi"/>
          <w:sz w:val="24"/>
        </w:rPr>
        <w:t>, Netherlands Institute of International Relations Clingendael, January 2009</w:t>
      </w:r>
    </w:p>
    <w:p w14:paraId="252420EA" w14:textId="77777777" w:rsidR="006A31DE" w:rsidRPr="00CF517F"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Jensen</w:t>
      </w:r>
      <w:r>
        <w:rPr>
          <w:rFonts w:asciiTheme="majorBidi" w:hAnsiTheme="majorBidi" w:cstheme="majorBidi"/>
          <w:sz w:val="24"/>
        </w:rPr>
        <w:t xml:space="preserve">, </w:t>
      </w:r>
      <w:r w:rsidRPr="00B723BF">
        <w:rPr>
          <w:rFonts w:asciiTheme="majorBidi" w:hAnsiTheme="majorBidi" w:cstheme="majorBidi"/>
          <w:sz w:val="24"/>
        </w:rPr>
        <w:t xml:space="preserve">Michael Irving, </w:t>
      </w:r>
      <w:r w:rsidRPr="00951E50">
        <w:rPr>
          <w:rFonts w:asciiTheme="majorBidi" w:hAnsiTheme="majorBidi" w:cstheme="majorBidi"/>
          <w:i/>
          <w:iCs/>
          <w:sz w:val="24"/>
        </w:rPr>
        <w:t>The Political Ideology of Hamas</w:t>
      </w:r>
      <w:r w:rsidRPr="00B723BF">
        <w:rPr>
          <w:rFonts w:asciiTheme="majorBidi" w:hAnsiTheme="majorBidi" w:cstheme="majorBidi"/>
          <w:sz w:val="24"/>
        </w:rPr>
        <w:t xml:space="preserve">, </w:t>
      </w:r>
      <w:r>
        <w:rPr>
          <w:rFonts w:asciiTheme="majorBidi" w:hAnsiTheme="majorBidi" w:cstheme="majorBidi"/>
          <w:sz w:val="24"/>
        </w:rPr>
        <w:t>I.B. Tauris, 2009</w:t>
      </w:r>
    </w:p>
    <w:p w14:paraId="760F8779"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Karsh, Efraim, "The Oslo War - Anatomy of Self-Deception", </w:t>
      </w:r>
      <w:r w:rsidRPr="00DC4D3C">
        <w:rPr>
          <w:rFonts w:asciiTheme="majorBidi" w:hAnsiTheme="majorBidi" w:cstheme="majorBidi"/>
          <w:i/>
          <w:iCs/>
          <w:sz w:val="24"/>
        </w:rPr>
        <w:t xml:space="preserve">Middle East Security Studies, </w:t>
      </w:r>
      <w:r w:rsidRPr="00C70AC4">
        <w:rPr>
          <w:rFonts w:asciiTheme="majorBidi" w:hAnsiTheme="majorBidi" w:cstheme="majorBidi"/>
          <w:sz w:val="24"/>
        </w:rPr>
        <w:t>The Begin-Sadat Center for Strategic Studies, Bar-Ilan University, No. 55, 2003, pp. 5-47</w:t>
      </w:r>
      <w:r>
        <w:rPr>
          <w:rFonts w:asciiTheme="majorBidi" w:hAnsiTheme="majorBidi" w:cstheme="majorBidi"/>
          <w:sz w:val="24"/>
        </w:rPr>
        <w:t xml:space="preserve"> (Hebrew)</w:t>
      </w:r>
      <w:r w:rsidRPr="00C70AC4">
        <w:rPr>
          <w:rFonts w:asciiTheme="majorBidi" w:hAnsiTheme="majorBidi" w:cstheme="majorBidi"/>
          <w:sz w:val="24"/>
        </w:rPr>
        <w:t xml:space="preserve"> </w:t>
      </w:r>
    </w:p>
    <w:p w14:paraId="4CCD1E53" w14:textId="77777777" w:rsidR="006A31DE" w:rsidRDefault="006A31DE" w:rsidP="006A31DE">
      <w:pPr>
        <w:bidi w:val="0"/>
        <w:spacing w:line="240" w:lineRule="auto"/>
        <w:jc w:val="both"/>
        <w:rPr>
          <w:rFonts w:asciiTheme="majorBidi" w:hAnsiTheme="majorBidi" w:cstheme="majorBidi"/>
          <w:sz w:val="24"/>
        </w:rPr>
      </w:pPr>
      <w:r w:rsidRPr="00C70AC4">
        <w:rPr>
          <w:rFonts w:asciiTheme="majorBidi" w:hAnsiTheme="majorBidi" w:cstheme="majorBidi"/>
          <w:sz w:val="24"/>
        </w:rPr>
        <w:t>Kedar, Mordechai, "The Islamic Movement's Vision for the Future", in</w:t>
      </w:r>
      <w:r>
        <w:rPr>
          <w:rFonts w:asciiTheme="majorBidi" w:hAnsiTheme="majorBidi" w:cstheme="majorBidi"/>
          <w:sz w:val="24"/>
        </w:rPr>
        <w:t xml:space="preserve"> </w:t>
      </w:r>
      <w:r w:rsidRPr="00C70AC4">
        <w:rPr>
          <w:rFonts w:asciiTheme="majorBidi" w:hAnsiTheme="majorBidi" w:cstheme="majorBidi"/>
          <w:sz w:val="24"/>
        </w:rPr>
        <w:t>Rekhess</w:t>
      </w:r>
      <w:r>
        <w:rPr>
          <w:rFonts w:asciiTheme="majorBidi" w:hAnsiTheme="majorBidi" w:cstheme="majorBidi"/>
          <w:sz w:val="24"/>
        </w:rPr>
        <w:t>, Eli</w:t>
      </w:r>
      <w:r w:rsidRPr="00C70AC4">
        <w:rPr>
          <w:rFonts w:asciiTheme="majorBidi" w:hAnsiTheme="majorBidi" w:cstheme="majorBidi"/>
          <w:sz w:val="24"/>
        </w:rPr>
        <w:t xml:space="preserve"> and</w:t>
      </w:r>
      <w:r>
        <w:rPr>
          <w:rFonts w:asciiTheme="majorBidi" w:hAnsiTheme="majorBidi" w:cstheme="majorBidi"/>
          <w:sz w:val="24"/>
        </w:rPr>
        <w:t xml:space="preserve"> </w:t>
      </w:r>
      <w:r w:rsidRPr="00C70AC4">
        <w:rPr>
          <w:rFonts w:asciiTheme="majorBidi" w:hAnsiTheme="majorBidi" w:cstheme="majorBidi"/>
          <w:sz w:val="24"/>
        </w:rPr>
        <w:t>Rudnitzky</w:t>
      </w:r>
      <w:r>
        <w:rPr>
          <w:rFonts w:asciiTheme="majorBidi" w:hAnsiTheme="majorBidi" w:cstheme="majorBidi"/>
          <w:sz w:val="24"/>
        </w:rPr>
        <w:t>, Arik</w:t>
      </w:r>
      <w:r w:rsidRPr="00C70AC4">
        <w:rPr>
          <w:rFonts w:asciiTheme="majorBidi" w:hAnsiTheme="majorBidi" w:cstheme="majorBidi"/>
          <w:sz w:val="24"/>
        </w:rPr>
        <w:t xml:space="preserve"> (eds.), </w:t>
      </w:r>
      <w:r w:rsidRPr="000A198F">
        <w:rPr>
          <w:rFonts w:asciiTheme="majorBidi" w:hAnsiTheme="majorBidi" w:cstheme="majorBidi"/>
          <w:i/>
          <w:iCs/>
          <w:sz w:val="24"/>
        </w:rPr>
        <w:t>Muslim Minorities in Non-Muslim Majority States: The Islamic Movement in Israel as a Test Case</w:t>
      </w:r>
      <w:r w:rsidRPr="00C70AC4">
        <w:rPr>
          <w:rFonts w:asciiTheme="majorBidi" w:hAnsiTheme="majorBidi" w:cstheme="majorBidi"/>
          <w:sz w:val="24"/>
        </w:rPr>
        <w:t>, Tel Aviv University: Moshe Dayan Center for Middle Eastern and African Studies and Konrad Adenauer Stiftung in Israel, 2011, pp. 117-123</w:t>
      </w:r>
      <w:r>
        <w:rPr>
          <w:rFonts w:asciiTheme="majorBidi" w:hAnsiTheme="majorBidi" w:cstheme="majorBidi"/>
          <w:sz w:val="24"/>
        </w:rPr>
        <w:t xml:space="preserve"> (Hebrew)</w:t>
      </w:r>
    </w:p>
    <w:p w14:paraId="7411293F"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Kelman, Herbert C., "The Israeli-Palestinian Peace Process and Its Vicissitudes - Insights From Attitude Theory", </w:t>
      </w:r>
      <w:r w:rsidRPr="002B2F0C">
        <w:rPr>
          <w:rFonts w:asciiTheme="majorBidi" w:hAnsiTheme="majorBidi" w:cstheme="majorBidi"/>
          <w:i/>
          <w:iCs/>
          <w:sz w:val="24"/>
        </w:rPr>
        <w:t>American Psychologist</w:t>
      </w:r>
      <w:r w:rsidRPr="003F3C4C">
        <w:rPr>
          <w:rFonts w:asciiTheme="majorBidi" w:hAnsiTheme="majorBidi" w:cstheme="majorBidi"/>
          <w:sz w:val="24"/>
        </w:rPr>
        <w:t xml:space="preserve"> vol. 62 No.4, 2007</w:t>
      </w:r>
    </w:p>
    <w:p w14:paraId="51684095" w14:textId="77777777" w:rsidR="006A31DE" w:rsidRPr="00951E50" w:rsidRDefault="006A31DE" w:rsidP="006A31DE">
      <w:pPr>
        <w:pStyle w:val="FootnoteText"/>
        <w:bidi w:val="0"/>
        <w:spacing w:after="160"/>
        <w:rPr>
          <w:rFonts w:asciiTheme="majorBidi" w:hAnsiTheme="majorBidi" w:cstheme="majorBidi"/>
          <w:sz w:val="24"/>
          <w:szCs w:val="24"/>
        </w:rPr>
      </w:pPr>
      <w:r w:rsidRPr="003F3C4C">
        <w:rPr>
          <w:rFonts w:asciiTheme="majorBidi" w:hAnsiTheme="majorBidi" w:cstheme="majorBidi"/>
          <w:sz w:val="24"/>
          <w:szCs w:val="24"/>
        </w:rPr>
        <w:t xml:space="preserve">Kelsay, John, "On Fighting as An Individual Duty in Islam", </w:t>
      </w:r>
      <w:r w:rsidRPr="002B2F0C">
        <w:rPr>
          <w:rFonts w:asciiTheme="majorBidi" w:hAnsiTheme="majorBidi" w:cstheme="majorBidi"/>
          <w:i/>
          <w:iCs/>
          <w:sz w:val="24"/>
          <w:szCs w:val="24"/>
        </w:rPr>
        <w:t>The Muslim World</w:t>
      </w:r>
      <w:r w:rsidRPr="003F3C4C">
        <w:rPr>
          <w:rFonts w:asciiTheme="majorBidi" w:hAnsiTheme="majorBidi" w:cstheme="majorBidi"/>
          <w:sz w:val="24"/>
          <w:szCs w:val="24"/>
        </w:rPr>
        <w:t xml:space="preserve"> Vol. 106, 2016, pp. 374-383</w:t>
      </w:r>
    </w:p>
    <w:p w14:paraId="27828725" w14:textId="77777777" w:rsidR="006A31DE" w:rsidRPr="003F3C4C" w:rsidRDefault="006A31DE" w:rsidP="006A31DE">
      <w:pPr>
        <w:pStyle w:val="FootnoteText"/>
        <w:bidi w:val="0"/>
        <w:spacing w:after="160"/>
        <w:rPr>
          <w:rFonts w:asciiTheme="majorBidi" w:hAnsiTheme="majorBidi" w:cstheme="majorBidi"/>
          <w:sz w:val="24"/>
          <w:szCs w:val="24"/>
        </w:rPr>
      </w:pPr>
      <w:r w:rsidRPr="003F3C4C">
        <w:rPr>
          <w:rFonts w:asciiTheme="majorBidi" w:hAnsiTheme="majorBidi" w:cstheme="majorBidi"/>
          <w:sz w:val="24"/>
          <w:szCs w:val="24"/>
        </w:rPr>
        <w:t xml:space="preserve">Khadduri, Majud, </w:t>
      </w:r>
      <w:r w:rsidRPr="002B2F0C">
        <w:rPr>
          <w:rFonts w:asciiTheme="majorBidi" w:hAnsiTheme="majorBidi" w:cstheme="majorBidi"/>
          <w:i/>
          <w:iCs/>
          <w:sz w:val="24"/>
          <w:szCs w:val="24"/>
        </w:rPr>
        <w:t>War and Peace in the Law of Islam</w:t>
      </w:r>
      <w:r w:rsidRPr="003F3C4C">
        <w:rPr>
          <w:rFonts w:asciiTheme="majorBidi" w:hAnsiTheme="majorBidi" w:cstheme="majorBidi"/>
          <w:sz w:val="24"/>
          <w:szCs w:val="24"/>
        </w:rPr>
        <w:t xml:space="preserve">, </w:t>
      </w:r>
      <w:proofErr w:type="gramStart"/>
      <w:r w:rsidRPr="003F3C4C">
        <w:rPr>
          <w:rFonts w:asciiTheme="majorBidi" w:hAnsiTheme="majorBidi" w:cstheme="majorBidi"/>
          <w:sz w:val="24"/>
          <w:szCs w:val="24"/>
        </w:rPr>
        <w:t>Baltimore</w:t>
      </w:r>
      <w:proofErr w:type="gramEnd"/>
      <w:r w:rsidRPr="003F3C4C">
        <w:rPr>
          <w:rFonts w:asciiTheme="majorBidi" w:hAnsiTheme="majorBidi" w:cstheme="majorBidi"/>
          <w:sz w:val="24"/>
          <w:szCs w:val="24"/>
        </w:rPr>
        <w:t xml:space="preserve"> and London: the Johns Hopkins Press, 1955, pp. 51-133</w:t>
      </w:r>
    </w:p>
    <w:p w14:paraId="55876950"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Khan, Suhail, "How Religious Leadership Can Help Bring Peace and Justice to the Middle East", </w:t>
      </w:r>
      <w:r w:rsidRPr="002B2F0C">
        <w:rPr>
          <w:rFonts w:asciiTheme="majorBidi" w:hAnsiTheme="majorBidi" w:cstheme="majorBidi"/>
          <w:i/>
          <w:iCs/>
          <w:sz w:val="24"/>
        </w:rPr>
        <w:t>The Review of Faith &amp; International Affairs</w:t>
      </w:r>
      <w:r w:rsidRPr="003F3C4C">
        <w:rPr>
          <w:rFonts w:asciiTheme="majorBidi" w:hAnsiTheme="majorBidi" w:cstheme="majorBidi"/>
          <w:sz w:val="24"/>
        </w:rPr>
        <w:t>, 8:3, pp. 51-55</w:t>
      </w:r>
    </w:p>
    <w:p w14:paraId="46DFF7DB" w14:textId="77777777" w:rsidR="006A31DE" w:rsidRPr="003F3C4C" w:rsidRDefault="006A31DE" w:rsidP="006A31DE">
      <w:pPr>
        <w:pStyle w:val="FootnoteText"/>
        <w:bidi w:val="0"/>
        <w:spacing w:after="160"/>
        <w:rPr>
          <w:rFonts w:asciiTheme="majorBidi" w:hAnsiTheme="majorBidi" w:cstheme="majorBidi"/>
          <w:sz w:val="24"/>
          <w:szCs w:val="24"/>
        </w:rPr>
      </w:pPr>
      <w:r w:rsidRPr="003F3C4C">
        <w:rPr>
          <w:rFonts w:asciiTheme="majorBidi" w:hAnsiTheme="majorBidi" w:cstheme="majorBidi"/>
          <w:sz w:val="24"/>
          <w:szCs w:val="24"/>
        </w:rPr>
        <w:t xml:space="preserve">Kristianasen, Wendy, "Challenge and Counterchallenge: Hamas's Response to Oslo", </w:t>
      </w:r>
      <w:r w:rsidRPr="002B2F0C">
        <w:rPr>
          <w:rFonts w:asciiTheme="majorBidi" w:hAnsiTheme="majorBidi" w:cstheme="majorBidi"/>
          <w:i/>
          <w:iCs/>
          <w:sz w:val="24"/>
          <w:szCs w:val="24"/>
        </w:rPr>
        <w:t>Journal of Palestine Studies</w:t>
      </w:r>
      <w:r w:rsidRPr="003F3C4C">
        <w:rPr>
          <w:rFonts w:asciiTheme="majorBidi" w:hAnsiTheme="majorBidi" w:cstheme="majorBidi"/>
          <w:sz w:val="24"/>
          <w:szCs w:val="24"/>
        </w:rPr>
        <w:t>, Vol. 28, No. 3, 1999, pp. 19-36</w:t>
      </w:r>
    </w:p>
    <w:p w14:paraId="19346593"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Landau, Yehezkel, "Healing the Holy Land - Interreligious Peacebuilding in Israel/Palestine", </w:t>
      </w:r>
      <w:r w:rsidRPr="0019124B">
        <w:rPr>
          <w:rFonts w:asciiTheme="majorBidi" w:hAnsiTheme="majorBidi" w:cstheme="majorBidi"/>
          <w:i/>
          <w:iCs/>
          <w:sz w:val="24"/>
        </w:rPr>
        <w:t>United States Institute of Peace</w:t>
      </w:r>
      <w:r w:rsidRPr="003F3C4C">
        <w:rPr>
          <w:rFonts w:asciiTheme="majorBidi" w:hAnsiTheme="majorBidi" w:cstheme="majorBidi"/>
          <w:sz w:val="24"/>
        </w:rPr>
        <w:t>, Peaceworks No. 51, September 2003, pp. 3-12</w:t>
      </w:r>
    </w:p>
    <w:p w14:paraId="0A298A27"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Liebman, Charles S., "Jewish Identity, Israeli Society and the Peace Process", </w:t>
      </w:r>
      <w:r w:rsidRPr="0019124B">
        <w:rPr>
          <w:rFonts w:asciiTheme="majorBidi" w:hAnsiTheme="majorBidi" w:cstheme="majorBidi"/>
          <w:i/>
          <w:iCs/>
          <w:sz w:val="24"/>
        </w:rPr>
        <w:t>Israel Studies Bulletin</w:t>
      </w:r>
      <w:r w:rsidRPr="003F3C4C">
        <w:rPr>
          <w:rFonts w:asciiTheme="majorBidi" w:hAnsiTheme="majorBidi" w:cstheme="majorBidi"/>
          <w:sz w:val="24"/>
        </w:rPr>
        <w:t>, Vol. 11, No. 1, 1995, pp. 6-8</w:t>
      </w:r>
    </w:p>
    <w:p w14:paraId="76A5B429" w14:textId="77777777" w:rsidR="006A31DE"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Litvak</w:t>
      </w:r>
      <w:r>
        <w:rPr>
          <w:rFonts w:asciiTheme="majorBidi" w:hAnsiTheme="majorBidi" w:cstheme="majorBidi"/>
          <w:sz w:val="24"/>
        </w:rPr>
        <w:t xml:space="preserve">, </w:t>
      </w:r>
      <w:r w:rsidRPr="00B723BF">
        <w:rPr>
          <w:rFonts w:asciiTheme="majorBidi" w:hAnsiTheme="majorBidi" w:cstheme="majorBidi"/>
          <w:sz w:val="24"/>
        </w:rPr>
        <w:t xml:space="preserve">Meir, "The Islamization of the Palestinian-Israeli Conflict: The case of Hamas", </w:t>
      </w:r>
      <w:r w:rsidRPr="0019124B">
        <w:rPr>
          <w:rFonts w:asciiTheme="majorBidi" w:hAnsiTheme="majorBidi" w:cstheme="majorBidi"/>
          <w:i/>
          <w:iCs/>
          <w:sz w:val="24"/>
        </w:rPr>
        <w:t>Middle Eastern Studies</w:t>
      </w:r>
      <w:r w:rsidRPr="00B723BF">
        <w:rPr>
          <w:rFonts w:asciiTheme="majorBidi" w:hAnsiTheme="majorBidi" w:cstheme="majorBidi"/>
          <w:sz w:val="24"/>
        </w:rPr>
        <w:t>; Vol. 34 No. 1, 1998, pp. 148-163</w:t>
      </w:r>
    </w:p>
    <w:p w14:paraId="4DFD795D" w14:textId="77777777" w:rsidR="006A31DE" w:rsidRPr="00995A99" w:rsidRDefault="006A31DE" w:rsidP="006A31DE">
      <w:pPr>
        <w:bidi w:val="0"/>
        <w:spacing w:line="240" w:lineRule="auto"/>
        <w:rPr>
          <w:rFonts w:ascii="David" w:hAnsi="David"/>
          <w:sz w:val="24"/>
          <w:rtl/>
        </w:rPr>
      </w:pPr>
      <w:r w:rsidRPr="00995A99">
        <w:rPr>
          <w:rFonts w:ascii="David" w:hAnsi="David"/>
          <w:sz w:val="24"/>
        </w:rPr>
        <w:lastRenderedPageBreak/>
        <w:t>Løvlie,</w:t>
      </w:r>
      <w:r>
        <w:rPr>
          <w:rFonts w:ascii="David" w:hAnsi="David"/>
          <w:sz w:val="24"/>
        </w:rPr>
        <w:t xml:space="preserve"> </w:t>
      </w:r>
      <w:r w:rsidRPr="00995A99">
        <w:rPr>
          <w:rFonts w:ascii="David" w:hAnsi="David"/>
          <w:sz w:val="24"/>
        </w:rPr>
        <w:t>Frode</w:t>
      </w:r>
      <w:r>
        <w:rPr>
          <w:rFonts w:ascii="David" w:hAnsi="David"/>
          <w:sz w:val="24"/>
        </w:rPr>
        <w:t xml:space="preserve">, </w:t>
      </w:r>
      <w:r w:rsidRPr="00995A99">
        <w:rPr>
          <w:rFonts w:ascii="David" w:hAnsi="David"/>
          <w:sz w:val="24"/>
        </w:rPr>
        <w:t xml:space="preserve">"Explaining Hamas’s Changing Electoral Strategy, 1996–2006", </w:t>
      </w:r>
      <w:r w:rsidRPr="0019124B">
        <w:rPr>
          <w:rFonts w:ascii="David" w:hAnsi="David"/>
          <w:i/>
          <w:iCs/>
          <w:sz w:val="24"/>
        </w:rPr>
        <w:t>Government and Opposition</w:t>
      </w:r>
      <w:r w:rsidRPr="00995A99">
        <w:rPr>
          <w:rFonts w:ascii="David" w:hAnsi="David"/>
          <w:sz w:val="24"/>
        </w:rPr>
        <w:t>, Vol. 48, No. 4,</w:t>
      </w:r>
      <w:r>
        <w:rPr>
          <w:rFonts w:ascii="David" w:hAnsi="David"/>
          <w:sz w:val="24"/>
        </w:rPr>
        <w:t xml:space="preserve"> </w:t>
      </w:r>
      <w:r w:rsidRPr="00995A99">
        <w:rPr>
          <w:rFonts w:ascii="David" w:hAnsi="David"/>
          <w:sz w:val="24"/>
        </w:rPr>
        <w:t>2013</w:t>
      </w:r>
      <w:r>
        <w:rPr>
          <w:rFonts w:ascii="David" w:hAnsi="David"/>
          <w:sz w:val="24"/>
        </w:rPr>
        <w:t>,</w:t>
      </w:r>
      <w:r w:rsidRPr="00995A99">
        <w:rPr>
          <w:rFonts w:ascii="David" w:hAnsi="David"/>
          <w:sz w:val="24"/>
        </w:rPr>
        <w:t xml:space="preserve"> pp. 570–</w:t>
      </w:r>
      <w:proofErr w:type="gramStart"/>
      <w:r w:rsidRPr="00995A99">
        <w:rPr>
          <w:rFonts w:ascii="David" w:hAnsi="David"/>
          <w:sz w:val="24"/>
        </w:rPr>
        <w:t>593</w:t>
      </w:r>
      <w:proofErr w:type="gramEnd"/>
    </w:p>
    <w:p w14:paraId="1025B0FE" w14:textId="77777777" w:rsidR="006A31DE" w:rsidRPr="00632E52" w:rsidRDefault="006A31DE" w:rsidP="006A31DE">
      <w:pPr>
        <w:bidi w:val="0"/>
        <w:spacing w:line="240" w:lineRule="auto"/>
        <w:jc w:val="both"/>
        <w:rPr>
          <w:rFonts w:asciiTheme="majorBidi" w:hAnsiTheme="majorBidi" w:cstheme="majorBidi"/>
          <w:sz w:val="24"/>
          <w:rtl/>
        </w:rPr>
      </w:pPr>
      <w:r w:rsidRPr="00632E52">
        <w:rPr>
          <w:rFonts w:asciiTheme="majorBidi" w:hAnsiTheme="majorBidi" w:cstheme="majorBidi"/>
          <w:sz w:val="24"/>
        </w:rPr>
        <w:t xml:space="preserve">Maoz, Zeev and Russett, Bruce, "The Democratic Peace - Structural and Normative Factors, 1946-1986", </w:t>
      </w:r>
      <w:r w:rsidRPr="00E50B4A">
        <w:rPr>
          <w:rFonts w:asciiTheme="majorBidi" w:hAnsiTheme="majorBidi" w:cstheme="majorBidi"/>
          <w:i/>
          <w:iCs/>
          <w:sz w:val="24"/>
        </w:rPr>
        <w:t>Politics</w:t>
      </w:r>
      <w:r w:rsidRPr="00632E52">
        <w:rPr>
          <w:rFonts w:asciiTheme="majorBidi" w:hAnsiTheme="majorBidi" w:cstheme="majorBidi"/>
          <w:sz w:val="24"/>
        </w:rPr>
        <w:t xml:space="preserve"> </w:t>
      </w:r>
      <w:r>
        <w:rPr>
          <w:rFonts w:asciiTheme="majorBidi" w:hAnsiTheme="majorBidi" w:cstheme="majorBidi"/>
          <w:sz w:val="24"/>
        </w:rPr>
        <w:t xml:space="preserve">Vol. </w:t>
      </w:r>
      <w:r w:rsidRPr="00632E52">
        <w:rPr>
          <w:rFonts w:asciiTheme="majorBidi" w:hAnsiTheme="majorBidi" w:cstheme="majorBidi"/>
          <w:sz w:val="24"/>
        </w:rPr>
        <w:t>26, Jerusalem, The Davis Institute of the Hebrew University 2017, pp. 25-66</w:t>
      </w:r>
      <w:r>
        <w:rPr>
          <w:rFonts w:asciiTheme="majorBidi" w:hAnsiTheme="majorBidi" w:cstheme="majorBidi"/>
          <w:sz w:val="24"/>
        </w:rPr>
        <w:t xml:space="preserve"> (Hebrew)</w:t>
      </w:r>
    </w:p>
    <w:p w14:paraId="1103A956"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Melchior, Michael, "Establishing a Religious Peace", </w:t>
      </w:r>
      <w:r w:rsidRPr="00746EC3">
        <w:rPr>
          <w:rFonts w:asciiTheme="majorBidi" w:hAnsiTheme="majorBidi" w:cstheme="majorBidi"/>
          <w:i/>
          <w:iCs/>
          <w:sz w:val="24"/>
        </w:rPr>
        <w:t>Mosaica - The Religious Peace Initiative</w:t>
      </w:r>
      <w:r w:rsidRPr="003F3C4C">
        <w:rPr>
          <w:rFonts w:asciiTheme="majorBidi" w:hAnsiTheme="majorBidi" w:cstheme="majorBidi"/>
          <w:sz w:val="24"/>
        </w:rPr>
        <w:t xml:space="preserve">, </w:t>
      </w:r>
      <w:hyperlink r:id="rId29" w:history="1">
        <w:r w:rsidRPr="003F3C4C">
          <w:rPr>
            <w:rStyle w:val="Hyperlink"/>
            <w:rFonts w:asciiTheme="majorBidi" w:hAnsiTheme="majorBidi" w:cstheme="majorBidi"/>
            <w:sz w:val="24"/>
          </w:rPr>
          <w:t>http://religiouspeaceinitiative.org/en/publication/establishing-a-religious-peace/</w:t>
        </w:r>
      </w:hyperlink>
      <w:r w:rsidRPr="003F3C4C">
        <w:rPr>
          <w:rFonts w:asciiTheme="majorBidi" w:hAnsiTheme="majorBidi" w:cstheme="majorBidi"/>
          <w:sz w:val="24"/>
        </w:rPr>
        <w:t>, pp. 1-9</w:t>
      </w:r>
    </w:p>
    <w:p w14:paraId="54841066" w14:textId="77777777" w:rsidR="006A31DE" w:rsidRPr="003F3C4C"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Mishal</w:t>
      </w:r>
      <w:r>
        <w:rPr>
          <w:rFonts w:asciiTheme="majorBidi" w:hAnsiTheme="majorBidi" w:cstheme="majorBidi"/>
          <w:sz w:val="24"/>
        </w:rPr>
        <w:t xml:space="preserve">, </w:t>
      </w:r>
      <w:r w:rsidRPr="00B723BF">
        <w:rPr>
          <w:rFonts w:asciiTheme="majorBidi" w:hAnsiTheme="majorBidi" w:cstheme="majorBidi"/>
          <w:sz w:val="24"/>
        </w:rPr>
        <w:t>Shaul and Sela</w:t>
      </w:r>
      <w:r>
        <w:rPr>
          <w:rFonts w:asciiTheme="majorBidi" w:hAnsiTheme="majorBidi" w:cstheme="majorBidi"/>
          <w:sz w:val="24"/>
        </w:rPr>
        <w:t xml:space="preserve">, </w:t>
      </w:r>
      <w:r w:rsidRPr="00B723BF">
        <w:rPr>
          <w:rFonts w:asciiTheme="majorBidi" w:hAnsiTheme="majorBidi" w:cstheme="majorBidi"/>
          <w:sz w:val="24"/>
        </w:rPr>
        <w:t>Avraham,</w:t>
      </w:r>
      <w:r w:rsidRPr="00B723BF">
        <w:rPr>
          <w:rFonts w:asciiTheme="majorBidi" w:hAnsiTheme="majorBidi" w:cstheme="majorBidi"/>
          <w:b/>
          <w:bCs/>
          <w:sz w:val="24"/>
        </w:rPr>
        <w:t xml:space="preserve"> </w:t>
      </w:r>
      <w:r w:rsidRPr="00746EC3">
        <w:rPr>
          <w:rFonts w:asciiTheme="majorBidi" w:hAnsiTheme="majorBidi" w:cstheme="majorBidi"/>
          <w:i/>
          <w:iCs/>
          <w:sz w:val="24"/>
        </w:rPr>
        <w:t>The Palestinian Hamas - Vision, Violence, and Coexistence,</w:t>
      </w:r>
      <w:r w:rsidRPr="00B723BF">
        <w:rPr>
          <w:rFonts w:asciiTheme="majorBidi" w:hAnsiTheme="majorBidi" w:cstheme="majorBidi"/>
          <w:b/>
          <w:bCs/>
          <w:sz w:val="24"/>
        </w:rPr>
        <w:t xml:space="preserve"> </w:t>
      </w:r>
      <w:r w:rsidRPr="00B723BF">
        <w:rPr>
          <w:rFonts w:asciiTheme="majorBidi" w:hAnsiTheme="majorBidi" w:cstheme="majorBidi"/>
          <w:sz w:val="24"/>
        </w:rPr>
        <w:t>Columbia University Press, 2006</w:t>
      </w:r>
    </w:p>
    <w:p w14:paraId="6975EFD2" w14:textId="77777777" w:rsidR="006A31DE" w:rsidRPr="00632E52"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Mishlov, Sh</w:t>
      </w:r>
      <w:r>
        <w:rPr>
          <w:rFonts w:asciiTheme="majorBidi" w:hAnsiTheme="majorBidi" w:cstheme="majorBidi"/>
          <w:sz w:val="24"/>
        </w:rPr>
        <w:t>i</w:t>
      </w:r>
      <w:r w:rsidRPr="00632E52">
        <w:rPr>
          <w:rFonts w:asciiTheme="majorBidi" w:hAnsiTheme="majorBidi" w:cstheme="majorBidi"/>
          <w:sz w:val="24"/>
        </w:rPr>
        <w:t xml:space="preserve">fra, </w:t>
      </w:r>
      <w:bookmarkStart w:id="3" w:name="_Hlk166410720"/>
      <w:r w:rsidRPr="00A837A9">
        <w:rPr>
          <w:rFonts w:asciiTheme="majorBidi" w:hAnsiTheme="majorBidi" w:cstheme="majorBidi"/>
          <w:i/>
          <w:iCs/>
          <w:sz w:val="24"/>
        </w:rPr>
        <w:t xml:space="preserve">In the Eye of the Storm </w:t>
      </w:r>
      <w:bookmarkEnd w:id="3"/>
      <w:r w:rsidRPr="00A837A9">
        <w:rPr>
          <w:rFonts w:asciiTheme="majorBidi" w:hAnsiTheme="majorBidi" w:cstheme="majorBidi"/>
          <w:i/>
          <w:iCs/>
          <w:sz w:val="24"/>
        </w:rPr>
        <w:t>- The Public Figure and Torah Writings of Rabbi Shlomo Goren in the Years 1948-1994</w:t>
      </w:r>
      <w:r w:rsidRPr="00632E52">
        <w:rPr>
          <w:rFonts w:asciiTheme="majorBidi" w:hAnsiTheme="majorBidi" w:cstheme="majorBidi"/>
          <w:sz w:val="24"/>
        </w:rPr>
        <w:t>, dissertation for the degree of Doctor of Philosophy, Bar-Ilan University: Ramat Gan, 2010</w:t>
      </w:r>
      <w:r>
        <w:rPr>
          <w:rFonts w:asciiTheme="majorBidi" w:hAnsiTheme="majorBidi" w:cstheme="majorBidi"/>
          <w:sz w:val="24"/>
        </w:rPr>
        <w:t xml:space="preserve"> (Hebrew)</w:t>
      </w:r>
    </w:p>
    <w:p w14:paraId="6C7E322A" w14:textId="77777777" w:rsidR="006A31DE" w:rsidRPr="00632E52"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Mishlov, Sh</w:t>
      </w:r>
      <w:r>
        <w:rPr>
          <w:rFonts w:asciiTheme="majorBidi" w:hAnsiTheme="majorBidi" w:cstheme="majorBidi"/>
          <w:sz w:val="24"/>
        </w:rPr>
        <w:t>i</w:t>
      </w:r>
      <w:r w:rsidRPr="00632E52">
        <w:rPr>
          <w:rFonts w:asciiTheme="majorBidi" w:hAnsiTheme="majorBidi" w:cstheme="majorBidi"/>
          <w:sz w:val="24"/>
        </w:rPr>
        <w:t xml:space="preserve">fra, "The Zionist Outlook of Rabbi Shlomo Goren", </w:t>
      </w:r>
      <w:r w:rsidRPr="00A837A9">
        <w:rPr>
          <w:rFonts w:asciiTheme="majorBidi" w:hAnsiTheme="majorBidi" w:cstheme="majorBidi"/>
          <w:i/>
          <w:iCs/>
          <w:sz w:val="24"/>
        </w:rPr>
        <w:t>Israel</w:t>
      </w:r>
      <w:r w:rsidRPr="00632E52">
        <w:rPr>
          <w:rFonts w:asciiTheme="majorBidi" w:hAnsiTheme="majorBidi" w:cstheme="majorBidi"/>
          <w:sz w:val="24"/>
        </w:rPr>
        <w:t>, 20, 2012, pp. 81-82</w:t>
      </w:r>
      <w:r>
        <w:rPr>
          <w:rFonts w:asciiTheme="majorBidi" w:hAnsiTheme="majorBidi" w:cstheme="majorBidi"/>
          <w:sz w:val="24"/>
        </w:rPr>
        <w:t xml:space="preserve"> (Hebrew)</w:t>
      </w:r>
    </w:p>
    <w:p w14:paraId="40575E28" w14:textId="77777777" w:rsidR="006A31DE" w:rsidRPr="00CF517F"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Mishlov, Sh</w:t>
      </w:r>
      <w:r>
        <w:rPr>
          <w:rFonts w:asciiTheme="majorBidi" w:hAnsiTheme="majorBidi" w:cstheme="majorBidi"/>
          <w:sz w:val="24"/>
        </w:rPr>
        <w:t>i</w:t>
      </w:r>
      <w:r w:rsidRPr="00632E52">
        <w:rPr>
          <w:rFonts w:asciiTheme="majorBidi" w:hAnsiTheme="majorBidi" w:cstheme="majorBidi"/>
          <w:sz w:val="24"/>
        </w:rPr>
        <w:t xml:space="preserve">fra, "Rabbi Goren's Position on </w:t>
      </w:r>
      <w:bookmarkStart w:id="4" w:name="_Hlk166410869"/>
      <w:r w:rsidRPr="00632E52">
        <w:rPr>
          <w:rFonts w:asciiTheme="majorBidi" w:hAnsiTheme="majorBidi" w:cstheme="majorBidi"/>
          <w:sz w:val="24"/>
        </w:rPr>
        <w:t>Transferring Territories for Peace</w:t>
      </w:r>
      <w:bookmarkEnd w:id="4"/>
      <w:r w:rsidRPr="00632E52">
        <w:rPr>
          <w:rFonts w:asciiTheme="majorBidi" w:hAnsiTheme="majorBidi" w:cstheme="majorBidi"/>
          <w:sz w:val="24"/>
        </w:rPr>
        <w:t xml:space="preserve">", </w:t>
      </w:r>
      <w:r w:rsidRPr="00E50B4A">
        <w:rPr>
          <w:rFonts w:asciiTheme="majorBidi" w:hAnsiTheme="majorBidi" w:cstheme="majorBidi"/>
          <w:i/>
          <w:iCs/>
          <w:sz w:val="24"/>
        </w:rPr>
        <w:t>Judea and Samaria Research Studies</w:t>
      </w:r>
      <w:r w:rsidRPr="00632E52">
        <w:rPr>
          <w:rFonts w:asciiTheme="majorBidi" w:hAnsiTheme="majorBidi" w:cstheme="majorBidi"/>
          <w:sz w:val="24"/>
        </w:rPr>
        <w:t>, 22, 2013, pp. 243-259</w:t>
      </w:r>
      <w:r>
        <w:rPr>
          <w:rFonts w:asciiTheme="majorBidi" w:hAnsiTheme="majorBidi" w:cstheme="majorBidi"/>
          <w:sz w:val="24"/>
        </w:rPr>
        <w:t xml:space="preserve"> (Hebrew)</w:t>
      </w:r>
      <w:r w:rsidRPr="00632E52">
        <w:rPr>
          <w:rFonts w:asciiTheme="majorBidi" w:hAnsiTheme="majorBidi" w:cstheme="majorBidi"/>
          <w:sz w:val="24"/>
        </w:rPr>
        <w:t xml:space="preserve"> </w:t>
      </w:r>
    </w:p>
    <w:p w14:paraId="72C409C2"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Mustafa, Mohand, "Political Participation of the Islamic Movement in Israel," in Rekhess</w:t>
      </w:r>
      <w:r>
        <w:rPr>
          <w:rFonts w:asciiTheme="majorBidi" w:hAnsiTheme="majorBidi" w:cstheme="majorBidi"/>
          <w:sz w:val="24"/>
        </w:rPr>
        <w:t>, Eli</w:t>
      </w:r>
      <w:r w:rsidRPr="00CF517F">
        <w:rPr>
          <w:rFonts w:asciiTheme="majorBidi" w:hAnsiTheme="majorBidi" w:cstheme="majorBidi"/>
          <w:sz w:val="24"/>
        </w:rPr>
        <w:t xml:space="preserve"> and Rudnitzky</w:t>
      </w:r>
      <w:r>
        <w:rPr>
          <w:rFonts w:asciiTheme="majorBidi" w:hAnsiTheme="majorBidi" w:cstheme="majorBidi"/>
          <w:sz w:val="24"/>
        </w:rPr>
        <w:t>, Arik</w:t>
      </w:r>
      <w:r w:rsidRPr="00CF517F">
        <w:rPr>
          <w:rFonts w:asciiTheme="majorBidi" w:hAnsiTheme="majorBidi" w:cstheme="majorBidi"/>
          <w:sz w:val="24"/>
        </w:rPr>
        <w:t xml:space="preserve"> (eds.) </w:t>
      </w:r>
      <w:r w:rsidRPr="008A7CF6">
        <w:rPr>
          <w:rFonts w:asciiTheme="majorBidi" w:hAnsiTheme="majorBidi" w:cstheme="majorBidi"/>
          <w:i/>
          <w:iCs/>
          <w:sz w:val="24"/>
        </w:rPr>
        <w:t>Muslim Minorities in Non-Muslim Majority States: The Islamic Movement in Israel as a Test Case</w:t>
      </w:r>
      <w:r w:rsidRPr="00CF517F">
        <w:rPr>
          <w:rFonts w:asciiTheme="majorBidi" w:hAnsiTheme="majorBidi" w:cstheme="majorBidi"/>
          <w:sz w:val="24"/>
        </w:rPr>
        <w:t>, Tel Aviv: Tel Aviv University: Moshe Dayan Center for Middle Eastern and African Studies and Konrad Adenauer Stiftung in Israel, 2011, pp. 99-115</w:t>
      </w:r>
      <w:r>
        <w:rPr>
          <w:rFonts w:asciiTheme="majorBidi" w:hAnsiTheme="majorBidi" w:cstheme="majorBidi"/>
          <w:sz w:val="24"/>
        </w:rPr>
        <w:t xml:space="preserve"> (Hebrew)</w:t>
      </w:r>
    </w:p>
    <w:p w14:paraId="65B74086" w14:textId="77777777" w:rsidR="006A31DE" w:rsidRPr="00632E52" w:rsidRDefault="006A31DE" w:rsidP="006A31DE">
      <w:pPr>
        <w:bidi w:val="0"/>
        <w:spacing w:line="240" w:lineRule="auto"/>
        <w:jc w:val="both"/>
        <w:rPr>
          <w:rFonts w:asciiTheme="majorBidi" w:hAnsiTheme="majorBidi" w:cstheme="majorBidi"/>
          <w:sz w:val="24"/>
        </w:rPr>
      </w:pPr>
      <w:r w:rsidRPr="00632E52">
        <w:rPr>
          <w:rFonts w:asciiTheme="majorBidi" w:hAnsiTheme="majorBidi" w:cstheme="majorBidi"/>
          <w:sz w:val="24"/>
        </w:rPr>
        <w:t>Mustafa, Mohanad, and Ghan</w:t>
      </w:r>
      <w:r>
        <w:rPr>
          <w:rFonts w:asciiTheme="majorBidi" w:hAnsiTheme="majorBidi" w:cstheme="majorBidi"/>
          <w:sz w:val="24"/>
        </w:rPr>
        <w:t>e</w:t>
      </w:r>
      <w:r w:rsidRPr="00632E52">
        <w:rPr>
          <w:rFonts w:asciiTheme="majorBidi" w:hAnsiTheme="majorBidi" w:cstheme="majorBidi"/>
          <w:sz w:val="24"/>
        </w:rPr>
        <w:t xml:space="preserve">m, Asad, "The Islamic Movement in Israel - Political Islam in a Jewish State", in </w:t>
      </w:r>
      <w:r w:rsidRPr="00CF517F">
        <w:rPr>
          <w:rFonts w:asciiTheme="majorBidi" w:hAnsiTheme="majorBidi" w:cstheme="majorBidi"/>
          <w:sz w:val="24"/>
        </w:rPr>
        <w:t>Hatina, Meir, and Al-Atawna, Muhammad, (eds.)</w:t>
      </w:r>
      <w:r>
        <w:rPr>
          <w:rFonts w:asciiTheme="majorBidi" w:hAnsiTheme="majorBidi" w:cstheme="majorBidi"/>
          <w:sz w:val="24"/>
        </w:rPr>
        <w:t xml:space="preserve"> </w:t>
      </w:r>
      <w:r w:rsidRPr="00185E92">
        <w:rPr>
          <w:rFonts w:asciiTheme="majorBidi" w:hAnsiTheme="majorBidi" w:cstheme="majorBidi"/>
          <w:i/>
          <w:iCs/>
          <w:sz w:val="24"/>
        </w:rPr>
        <w:t>Muslims in the Jewish State</w:t>
      </w:r>
      <w:r w:rsidRPr="00CF517F">
        <w:rPr>
          <w:rFonts w:asciiTheme="majorBidi" w:hAnsiTheme="majorBidi" w:cstheme="majorBidi"/>
          <w:sz w:val="24"/>
        </w:rPr>
        <w:t>,</w:t>
      </w:r>
      <w:r>
        <w:rPr>
          <w:rFonts w:asciiTheme="majorBidi" w:hAnsiTheme="majorBidi" w:cstheme="majorBidi"/>
          <w:sz w:val="24"/>
        </w:rPr>
        <w:t xml:space="preserve"> </w:t>
      </w:r>
      <w:r w:rsidRPr="00CF517F">
        <w:rPr>
          <w:rFonts w:asciiTheme="majorBidi" w:hAnsiTheme="majorBidi" w:cstheme="majorBidi"/>
          <w:sz w:val="24"/>
        </w:rPr>
        <w:t>Raanana: HaKibbutz HaMeuchad, 2018</w:t>
      </w:r>
      <w:r>
        <w:rPr>
          <w:rFonts w:asciiTheme="majorBidi" w:hAnsiTheme="majorBidi" w:cstheme="majorBidi"/>
          <w:sz w:val="24"/>
        </w:rPr>
        <w:t>,</w:t>
      </w:r>
      <w:r w:rsidRPr="00CF517F">
        <w:rPr>
          <w:rFonts w:asciiTheme="majorBidi" w:hAnsiTheme="majorBidi" w:cstheme="majorBidi"/>
          <w:sz w:val="24"/>
        </w:rPr>
        <w:t xml:space="preserve"> </w:t>
      </w:r>
      <w:r w:rsidRPr="00632E52">
        <w:rPr>
          <w:rFonts w:asciiTheme="majorBidi" w:hAnsiTheme="majorBidi" w:cstheme="majorBidi"/>
          <w:sz w:val="24"/>
        </w:rPr>
        <w:t>pp. 49-60</w:t>
      </w:r>
      <w:r>
        <w:rPr>
          <w:rFonts w:asciiTheme="majorBidi" w:hAnsiTheme="majorBidi" w:cstheme="majorBidi"/>
          <w:sz w:val="24"/>
        </w:rPr>
        <w:t xml:space="preserve"> (Hebrew)</w:t>
      </w:r>
    </w:p>
    <w:p w14:paraId="423347FF" w14:textId="77777777" w:rsidR="006A31DE" w:rsidRPr="003F3C4C" w:rsidRDefault="006A31DE" w:rsidP="006A31DE">
      <w:pPr>
        <w:bidi w:val="0"/>
        <w:spacing w:line="240" w:lineRule="auto"/>
        <w:rPr>
          <w:rFonts w:asciiTheme="majorBidi" w:hAnsiTheme="majorBidi" w:cstheme="majorBidi"/>
          <w:sz w:val="24"/>
          <w:rtl/>
        </w:rPr>
      </w:pPr>
      <w:r w:rsidRPr="003F3C4C">
        <w:rPr>
          <w:rFonts w:asciiTheme="majorBidi" w:hAnsiTheme="majorBidi" w:cstheme="majorBidi"/>
          <w:sz w:val="24"/>
        </w:rPr>
        <w:t xml:space="preserve">Nardin, Terry (Ed.), </w:t>
      </w:r>
      <w:r w:rsidRPr="00EF62E7">
        <w:rPr>
          <w:rFonts w:asciiTheme="majorBidi" w:hAnsiTheme="majorBidi" w:cstheme="majorBidi"/>
          <w:i/>
          <w:iCs/>
          <w:sz w:val="24"/>
        </w:rPr>
        <w:t>The Ethics of War and Peace - Religious and Secular Perspectives</w:t>
      </w:r>
      <w:r w:rsidRPr="003F3C4C">
        <w:rPr>
          <w:rFonts w:asciiTheme="majorBidi" w:hAnsiTheme="majorBidi" w:cstheme="majorBidi"/>
          <w:sz w:val="24"/>
        </w:rPr>
        <w:t>, Princeton University Press, 1996</w:t>
      </w:r>
    </w:p>
    <w:p w14:paraId="445DCA04" w14:textId="77777777" w:rsidR="006A31DE" w:rsidRPr="003F3C4C" w:rsidRDefault="006A31DE" w:rsidP="006A31DE">
      <w:pPr>
        <w:bidi w:val="0"/>
        <w:spacing w:line="240" w:lineRule="auto"/>
        <w:rPr>
          <w:rFonts w:asciiTheme="majorBidi" w:hAnsiTheme="majorBidi" w:cstheme="majorBidi"/>
          <w:b/>
          <w:bCs/>
          <w:sz w:val="24"/>
        </w:rPr>
      </w:pPr>
      <w:r w:rsidRPr="003F3C4C">
        <w:rPr>
          <w:rFonts w:asciiTheme="majorBidi" w:hAnsiTheme="majorBidi" w:cstheme="majorBidi"/>
          <w:sz w:val="24"/>
        </w:rPr>
        <w:t xml:space="preserve">Nasasra, Mansour, "The Politics of Exclusion and Localization: The Palestinian Minority in Israel and the Oslo Accords", </w:t>
      </w:r>
      <w:r w:rsidRPr="00EF62E7">
        <w:rPr>
          <w:rFonts w:asciiTheme="majorBidi" w:hAnsiTheme="majorBidi" w:cstheme="majorBidi"/>
          <w:i/>
          <w:iCs/>
          <w:sz w:val="24"/>
        </w:rPr>
        <w:t>Ethnopolitics</w:t>
      </w:r>
      <w:r w:rsidRPr="003F3C4C">
        <w:rPr>
          <w:rFonts w:asciiTheme="majorBidi" w:hAnsiTheme="majorBidi" w:cstheme="majorBidi"/>
          <w:sz w:val="24"/>
        </w:rPr>
        <w:t>, 2019, pp. 1 - 23</w:t>
      </w:r>
    </w:p>
    <w:p w14:paraId="5D1BE720"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Nüsse, Andrea,</w:t>
      </w:r>
      <w:r w:rsidRPr="003F3C4C">
        <w:rPr>
          <w:rFonts w:asciiTheme="majorBidi" w:hAnsiTheme="majorBidi" w:cstheme="majorBidi"/>
          <w:b/>
          <w:bCs/>
          <w:sz w:val="24"/>
        </w:rPr>
        <w:t xml:space="preserve"> </w:t>
      </w:r>
      <w:r w:rsidRPr="00EF62E7">
        <w:rPr>
          <w:rFonts w:asciiTheme="majorBidi" w:hAnsiTheme="majorBidi" w:cstheme="majorBidi"/>
          <w:i/>
          <w:iCs/>
          <w:sz w:val="24"/>
        </w:rPr>
        <w:t>Muslim Palestine-the ideology of Ḥamas</w:t>
      </w:r>
      <w:r w:rsidRPr="003F3C4C">
        <w:rPr>
          <w:rFonts w:asciiTheme="majorBidi" w:hAnsiTheme="majorBidi" w:cstheme="majorBidi"/>
          <w:sz w:val="24"/>
        </w:rPr>
        <w:t xml:space="preserve">, </w:t>
      </w:r>
      <w:proofErr w:type="gramStart"/>
      <w:r w:rsidRPr="003F3C4C">
        <w:rPr>
          <w:rFonts w:asciiTheme="majorBidi" w:hAnsiTheme="majorBidi" w:cstheme="majorBidi"/>
          <w:sz w:val="24"/>
        </w:rPr>
        <w:t>Amsterdam:Harwood</w:t>
      </w:r>
      <w:proofErr w:type="gramEnd"/>
      <w:r w:rsidRPr="003F3C4C">
        <w:rPr>
          <w:rFonts w:asciiTheme="majorBidi" w:hAnsiTheme="majorBidi" w:cstheme="majorBidi"/>
          <w:sz w:val="24"/>
        </w:rPr>
        <w:t xml:space="preserve"> Academic Publishers, 1998</w:t>
      </w:r>
    </w:p>
    <w:p w14:paraId="127E9124" w14:textId="77777777" w:rsidR="006A31DE" w:rsidRPr="00C70AC4" w:rsidRDefault="006A31DE" w:rsidP="006A31DE">
      <w:pPr>
        <w:bidi w:val="0"/>
        <w:spacing w:line="240" w:lineRule="auto"/>
        <w:jc w:val="both"/>
        <w:rPr>
          <w:rFonts w:asciiTheme="majorBidi" w:hAnsiTheme="majorBidi" w:cstheme="majorBidi"/>
          <w:sz w:val="24"/>
        </w:rPr>
      </w:pPr>
      <w:r w:rsidRPr="00C70AC4">
        <w:rPr>
          <w:rFonts w:asciiTheme="majorBidi" w:hAnsiTheme="majorBidi" w:cstheme="majorBidi"/>
          <w:sz w:val="24"/>
        </w:rPr>
        <w:t>Paz, Reuven, "The Stance of Radical Islamic Movements Towards Jews and Zionism Today", in</w:t>
      </w:r>
      <w:r>
        <w:rPr>
          <w:rFonts w:asciiTheme="majorBidi" w:hAnsiTheme="majorBidi" w:cstheme="majorBidi"/>
          <w:sz w:val="24"/>
        </w:rPr>
        <w:t xml:space="preserve"> </w:t>
      </w:r>
      <w:r w:rsidRPr="00C70AC4">
        <w:rPr>
          <w:rFonts w:asciiTheme="majorBidi" w:hAnsiTheme="majorBidi" w:cstheme="majorBidi"/>
          <w:sz w:val="24"/>
        </w:rPr>
        <w:t xml:space="preserve">Ilan Pappé (ed.), </w:t>
      </w:r>
      <w:r w:rsidRPr="00D93C74">
        <w:rPr>
          <w:rFonts w:asciiTheme="majorBidi" w:hAnsiTheme="majorBidi" w:cstheme="majorBidi"/>
          <w:i/>
          <w:iCs/>
          <w:sz w:val="24"/>
        </w:rPr>
        <w:t>Islam and Peace - Islamic Approaches to Peace in the Contemporary Arab World</w:t>
      </w:r>
      <w:r w:rsidRPr="00C70AC4">
        <w:rPr>
          <w:rFonts w:asciiTheme="majorBidi" w:hAnsiTheme="majorBidi" w:cstheme="majorBidi"/>
          <w:sz w:val="24"/>
        </w:rPr>
        <w:t>, Peace Research Papers 1, The Leonard Davis Institute for International Relations, 1992, pp. 46-65</w:t>
      </w:r>
      <w:r>
        <w:rPr>
          <w:rFonts w:asciiTheme="majorBidi" w:hAnsiTheme="majorBidi" w:cstheme="majorBidi"/>
          <w:sz w:val="24"/>
        </w:rPr>
        <w:t xml:space="preserve"> (Hebrew)</w:t>
      </w:r>
    </w:p>
    <w:p w14:paraId="1C92D5BE"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Pedahzur, Ron, </w:t>
      </w:r>
      <w:r w:rsidRPr="00D93C74">
        <w:rPr>
          <w:rFonts w:asciiTheme="majorBidi" w:hAnsiTheme="majorBidi" w:cstheme="majorBidi"/>
          <w:i/>
          <w:iCs/>
          <w:sz w:val="24"/>
        </w:rPr>
        <w:t>Back Channel: Oslo - The Full Story</w:t>
      </w:r>
      <w:r w:rsidRPr="00C70AC4">
        <w:rPr>
          <w:rFonts w:asciiTheme="majorBidi" w:hAnsiTheme="majorBidi" w:cstheme="majorBidi"/>
          <w:sz w:val="24"/>
        </w:rPr>
        <w:t>, Aliyat Gag/Yedioth Books Publishing, 2013</w:t>
      </w:r>
      <w:r>
        <w:rPr>
          <w:rFonts w:asciiTheme="majorBidi" w:hAnsiTheme="majorBidi" w:cstheme="majorBidi"/>
          <w:sz w:val="24"/>
        </w:rPr>
        <w:t xml:space="preserve"> (Hebrew)</w:t>
      </w:r>
    </w:p>
    <w:p w14:paraId="481E8E53" w14:textId="77777777" w:rsidR="006A31DE" w:rsidRPr="00C70AC4" w:rsidRDefault="006A31DE" w:rsidP="006A31DE">
      <w:pPr>
        <w:bidi w:val="0"/>
        <w:spacing w:line="240" w:lineRule="auto"/>
        <w:jc w:val="both"/>
        <w:rPr>
          <w:rFonts w:asciiTheme="majorBidi" w:hAnsiTheme="majorBidi" w:cstheme="majorBidi"/>
          <w:sz w:val="24"/>
          <w:rtl/>
        </w:rPr>
      </w:pPr>
      <w:r>
        <w:rPr>
          <w:rFonts w:asciiTheme="majorBidi" w:hAnsiTheme="majorBidi" w:cstheme="majorBidi"/>
          <w:sz w:val="24"/>
        </w:rPr>
        <w:t>P</w:t>
      </w:r>
      <w:r w:rsidRPr="00C70AC4">
        <w:rPr>
          <w:rFonts w:asciiTheme="majorBidi" w:hAnsiTheme="majorBidi" w:cstheme="majorBidi"/>
          <w:sz w:val="24"/>
        </w:rPr>
        <w:t xml:space="preserve">eres, Shimon, </w:t>
      </w:r>
      <w:r w:rsidRPr="00DC4D3C">
        <w:rPr>
          <w:rFonts w:asciiTheme="majorBidi" w:hAnsiTheme="majorBidi" w:cstheme="majorBidi"/>
          <w:i/>
          <w:iCs/>
          <w:sz w:val="24"/>
        </w:rPr>
        <w:t>The New Middle East - Framework and Processes for the Era of Peace</w:t>
      </w:r>
      <w:r w:rsidRPr="00C70AC4">
        <w:rPr>
          <w:rFonts w:asciiTheme="majorBidi" w:hAnsiTheme="majorBidi" w:cstheme="majorBidi"/>
          <w:sz w:val="24"/>
        </w:rPr>
        <w:t>, Steimatzky: Bnei Brak, 1993</w:t>
      </w:r>
      <w:r>
        <w:rPr>
          <w:rFonts w:asciiTheme="majorBidi" w:hAnsiTheme="majorBidi" w:cstheme="majorBidi"/>
          <w:sz w:val="24"/>
        </w:rPr>
        <w:t xml:space="preserve"> (Hebrew)</w:t>
      </w:r>
    </w:p>
    <w:p w14:paraId="5746D7C0"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Reichner, Alishiv, </w:t>
      </w:r>
      <w:r w:rsidRPr="00214AFE">
        <w:rPr>
          <w:rFonts w:asciiTheme="majorBidi" w:hAnsiTheme="majorBidi" w:cstheme="majorBidi"/>
          <w:i/>
          <w:iCs/>
          <w:sz w:val="24"/>
        </w:rPr>
        <w:t>Be'emunaṭo: The Story of Rabbi Yehuda Amital</w:t>
      </w:r>
      <w:r w:rsidRPr="00C70AC4">
        <w:rPr>
          <w:rFonts w:asciiTheme="majorBidi" w:hAnsiTheme="majorBidi" w:cstheme="majorBidi"/>
          <w:sz w:val="24"/>
        </w:rPr>
        <w:t xml:space="preserve">, Tel Aviv: Yedioth Ahronoth, 2011 </w:t>
      </w:r>
      <w:r>
        <w:rPr>
          <w:rFonts w:asciiTheme="majorBidi" w:hAnsiTheme="majorBidi" w:cstheme="majorBidi"/>
          <w:sz w:val="24"/>
        </w:rPr>
        <w:t>(Hebrew)</w:t>
      </w:r>
    </w:p>
    <w:p w14:paraId="53CFB32C"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lastRenderedPageBreak/>
        <w:t xml:space="preserve">Reiter, Yitzhak, ""All of Palestine is Holy Muslim Waqf Land": a Myth and Its Roots" </w:t>
      </w:r>
      <w:r>
        <w:rPr>
          <w:rFonts w:asciiTheme="majorBidi" w:hAnsiTheme="majorBidi" w:cstheme="majorBidi"/>
          <w:sz w:val="24"/>
        </w:rPr>
        <w:t>i</w:t>
      </w:r>
      <w:r w:rsidRPr="003F3C4C">
        <w:rPr>
          <w:rFonts w:asciiTheme="majorBidi" w:hAnsiTheme="majorBidi" w:cstheme="majorBidi"/>
          <w:sz w:val="24"/>
        </w:rPr>
        <w:t>n</w:t>
      </w:r>
      <w:r>
        <w:rPr>
          <w:rFonts w:asciiTheme="majorBidi" w:hAnsiTheme="majorBidi" w:cstheme="majorBidi"/>
          <w:sz w:val="24"/>
        </w:rPr>
        <w:t xml:space="preserve"> </w:t>
      </w:r>
      <w:r w:rsidRPr="003F3C4C">
        <w:rPr>
          <w:rFonts w:asciiTheme="majorBidi" w:hAnsiTheme="majorBidi" w:cstheme="majorBidi"/>
          <w:sz w:val="24"/>
        </w:rPr>
        <w:t>Shaham</w:t>
      </w:r>
      <w:r>
        <w:rPr>
          <w:rFonts w:asciiTheme="majorBidi" w:hAnsiTheme="majorBidi" w:cstheme="majorBidi"/>
          <w:sz w:val="24"/>
        </w:rPr>
        <w:t>, Ron,</w:t>
      </w:r>
      <w:r w:rsidRPr="003F3C4C">
        <w:rPr>
          <w:rFonts w:asciiTheme="majorBidi" w:hAnsiTheme="majorBidi" w:cstheme="majorBidi"/>
          <w:sz w:val="24"/>
        </w:rPr>
        <w:t xml:space="preserve"> (Ed.) </w:t>
      </w:r>
      <w:r w:rsidRPr="00BF429D">
        <w:rPr>
          <w:rFonts w:asciiTheme="majorBidi" w:hAnsiTheme="majorBidi" w:cstheme="majorBidi"/>
          <w:i/>
          <w:iCs/>
          <w:sz w:val="24"/>
        </w:rPr>
        <w:t>Law, Custom, and Statute in the Muslim World</w:t>
      </w:r>
      <w:r w:rsidRPr="00BF429D">
        <w:rPr>
          <w:rFonts w:asciiTheme="majorBidi" w:hAnsiTheme="majorBidi" w:cstheme="majorBidi"/>
          <w:i/>
          <w:iCs/>
          <w:sz w:val="24"/>
          <w:rtl/>
        </w:rPr>
        <w:t xml:space="preserve"> - </w:t>
      </w:r>
      <w:r w:rsidRPr="00BF429D">
        <w:rPr>
          <w:rFonts w:asciiTheme="majorBidi" w:hAnsiTheme="majorBidi" w:cstheme="majorBidi"/>
          <w:i/>
          <w:iCs/>
          <w:sz w:val="24"/>
        </w:rPr>
        <w:t>Studies in Honor of Aharon Layish</w:t>
      </w:r>
      <w:proofErr w:type="gramStart"/>
      <w:r w:rsidRPr="003F3C4C">
        <w:rPr>
          <w:rFonts w:asciiTheme="majorBidi" w:hAnsiTheme="majorBidi" w:cstheme="majorBidi"/>
          <w:sz w:val="24"/>
        </w:rPr>
        <w:t>, ,</w:t>
      </w:r>
      <w:proofErr w:type="gramEnd"/>
      <w:r w:rsidRPr="003F3C4C">
        <w:rPr>
          <w:rFonts w:asciiTheme="majorBidi" w:hAnsiTheme="majorBidi" w:cstheme="majorBidi"/>
          <w:sz w:val="24"/>
        </w:rPr>
        <w:t xml:space="preserve"> 2006, pp. 173-197</w:t>
      </w:r>
    </w:p>
    <w:p w14:paraId="62197154"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Reiter, Yitzhak, </w:t>
      </w:r>
      <w:r w:rsidRPr="0065617A">
        <w:rPr>
          <w:rFonts w:asciiTheme="majorBidi" w:hAnsiTheme="majorBidi" w:cstheme="majorBidi"/>
          <w:i/>
          <w:iCs/>
          <w:sz w:val="24"/>
        </w:rPr>
        <w:t>War, Peace and International Relations in Contemporary Islam</w:t>
      </w:r>
      <w:r w:rsidRPr="00C70AC4">
        <w:rPr>
          <w:rFonts w:asciiTheme="majorBidi" w:hAnsiTheme="majorBidi" w:cstheme="majorBidi"/>
          <w:sz w:val="24"/>
        </w:rPr>
        <w:t xml:space="preserve">, Jerusalem: Jerusalem Institute for Israel Studies, 2008 </w:t>
      </w:r>
      <w:r>
        <w:rPr>
          <w:rFonts w:asciiTheme="majorBidi" w:hAnsiTheme="majorBidi" w:cstheme="majorBidi"/>
          <w:sz w:val="24"/>
        </w:rPr>
        <w:t>(Hebrew)</w:t>
      </w:r>
      <w:r w:rsidRPr="00C70AC4">
        <w:rPr>
          <w:rFonts w:asciiTheme="majorBidi" w:hAnsiTheme="majorBidi" w:cstheme="majorBidi"/>
          <w:sz w:val="24"/>
        </w:rPr>
        <w:t xml:space="preserve"> </w:t>
      </w:r>
    </w:p>
    <w:p w14:paraId="051D9543"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Reiter, Yitzhak, "Religion as an Obstacle to Compromise in the Israeli-Palestinian Conflict", in Bar-Siman-Tov, Yaacov (ed.), </w:t>
      </w:r>
      <w:r w:rsidRPr="00214AFE">
        <w:rPr>
          <w:rFonts w:asciiTheme="majorBidi" w:hAnsiTheme="majorBidi" w:cstheme="majorBidi"/>
          <w:i/>
          <w:iCs/>
          <w:sz w:val="24"/>
        </w:rPr>
        <w:t>Obstacles to Peace in the Israeli-Palestinian Conflict,</w:t>
      </w:r>
      <w:r w:rsidRPr="00C70AC4">
        <w:rPr>
          <w:rFonts w:asciiTheme="majorBidi" w:hAnsiTheme="majorBidi" w:cstheme="majorBidi"/>
          <w:sz w:val="24"/>
        </w:rPr>
        <w:t xml:space="preserve"> Jerusalem Institute for Israel Studies, 2010, pp. 294-324</w:t>
      </w:r>
      <w:r>
        <w:rPr>
          <w:rFonts w:asciiTheme="majorBidi" w:hAnsiTheme="majorBidi" w:cstheme="majorBidi"/>
          <w:sz w:val="24"/>
        </w:rPr>
        <w:t xml:space="preserve"> (Hebrew)</w:t>
      </w:r>
    </w:p>
    <w:p w14:paraId="5AF3D479" w14:textId="77777777" w:rsidR="006A31DE" w:rsidRPr="008660BA" w:rsidRDefault="006A31DE" w:rsidP="006A31DE">
      <w:pPr>
        <w:pStyle w:val="FootnoteText"/>
        <w:bidi w:val="0"/>
        <w:spacing w:after="160"/>
        <w:jc w:val="both"/>
        <w:rPr>
          <w:rFonts w:asciiTheme="majorBidi" w:hAnsiTheme="majorBidi" w:cstheme="majorBidi"/>
          <w:sz w:val="24"/>
          <w:szCs w:val="24"/>
          <w:rtl/>
        </w:rPr>
      </w:pPr>
      <w:r w:rsidRPr="003F3C4C">
        <w:rPr>
          <w:rFonts w:asciiTheme="majorBidi" w:hAnsiTheme="majorBidi" w:cstheme="majorBidi"/>
          <w:sz w:val="24"/>
          <w:szCs w:val="24"/>
        </w:rPr>
        <w:t>Rekhess,</w:t>
      </w:r>
      <w:r>
        <w:rPr>
          <w:rFonts w:asciiTheme="majorBidi" w:hAnsiTheme="majorBidi" w:cstheme="majorBidi"/>
          <w:sz w:val="24"/>
          <w:szCs w:val="24"/>
        </w:rPr>
        <w:t xml:space="preserve"> </w:t>
      </w:r>
      <w:r w:rsidRPr="003F3C4C">
        <w:rPr>
          <w:rFonts w:asciiTheme="majorBidi" w:hAnsiTheme="majorBidi" w:cstheme="majorBidi"/>
          <w:sz w:val="24"/>
          <w:szCs w:val="24"/>
        </w:rPr>
        <w:t xml:space="preserve">Elie, </w:t>
      </w:r>
      <w:r w:rsidRPr="008660BA">
        <w:rPr>
          <w:rFonts w:asciiTheme="majorBidi" w:hAnsiTheme="majorBidi" w:cstheme="majorBidi"/>
          <w:i/>
          <w:iCs/>
          <w:sz w:val="24"/>
          <w:szCs w:val="24"/>
        </w:rPr>
        <w:t>Islamism across the Green Line: relations among Islamist movements in Israel, the West Bank</w:t>
      </w:r>
      <w:r>
        <w:rPr>
          <w:rFonts w:asciiTheme="majorBidi" w:hAnsiTheme="majorBidi" w:cstheme="majorBidi"/>
          <w:i/>
          <w:iCs/>
          <w:sz w:val="24"/>
          <w:szCs w:val="24"/>
        </w:rPr>
        <w:t xml:space="preserve"> </w:t>
      </w:r>
      <w:r w:rsidRPr="008660BA">
        <w:rPr>
          <w:rFonts w:asciiTheme="majorBidi" w:hAnsiTheme="majorBidi" w:cstheme="majorBidi"/>
          <w:i/>
          <w:iCs/>
          <w:sz w:val="24"/>
          <w:szCs w:val="24"/>
        </w:rPr>
        <w:t>and Gaza</w:t>
      </w:r>
      <w:r w:rsidRPr="003F3C4C">
        <w:rPr>
          <w:rFonts w:asciiTheme="majorBidi" w:hAnsiTheme="majorBidi" w:cstheme="majorBidi"/>
          <w:sz w:val="24"/>
          <w:szCs w:val="24"/>
        </w:rPr>
        <w:t>, Washington, D.C.: Washington Institute for Near East Policy, 1997, pp. 9 - 21</w:t>
      </w:r>
      <w:r w:rsidRPr="00DD684D">
        <w:rPr>
          <w:rFonts w:asciiTheme="majorBidi" w:hAnsiTheme="majorBidi" w:cstheme="majorBidi"/>
          <w:sz w:val="24"/>
        </w:rPr>
        <w:t xml:space="preserve"> </w:t>
      </w:r>
    </w:p>
    <w:p w14:paraId="572B1B72" w14:textId="77777777" w:rsidR="006A31DE" w:rsidRDefault="006A31DE" w:rsidP="006A31DE">
      <w:pPr>
        <w:bidi w:val="0"/>
        <w:spacing w:line="240" w:lineRule="auto"/>
        <w:jc w:val="both"/>
        <w:rPr>
          <w:rFonts w:asciiTheme="majorBidi" w:hAnsiTheme="majorBidi" w:cstheme="majorBidi"/>
          <w:sz w:val="24"/>
        </w:rPr>
      </w:pPr>
      <w:r w:rsidRPr="00C70AC4">
        <w:rPr>
          <w:rFonts w:asciiTheme="majorBidi" w:hAnsiTheme="majorBidi" w:cstheme="majorBidi"/>
          <w:sz w:val="24"/>
        </w:rPr>
        <w:t>Rekhess, Eli, "The Islamization of Arab Identity in Israel: The Islamic Movement, 1972–1996", in</w:t>
      </w:r>
      <w:r>
        <w:rPr>
          <w:rFonts w:asciiTheme="majorBidi" w:hAnsiTheme="majorBidi" w:cstheme="majorBidi"/>
          <w:sz w:val="24"/>
        </w:rPr>
        <w:t xml:space="preserve"> </w:t>
      </w:r>
      <w:r w:rsidRPr="00C70AC4">
        <w:rPr>
          <w:rFonts w:asciiTheme="majorBidi" w:hAnsiTheme="majorBidi" w:cstheme="majorBidi"/>
          <w:sz w:val="24"/>
        </w:rPr>
        <w:t>Rekhess</w:t>
      </w:r>
      <w:r>
        <w:rPr>
          <w:rFonts w:asciiTheme="majorBidi" w:hAnsiTheme="majorBidi" w:cstheme="majorBidi"/>
          <w:sz w:val="24"/>
        </w:rPr>
        <w:t>, Eli</w:t>
      </w:r>
      <w:r w:rsidRPr="00C70AC4">
        <w:rPr>
          <w:rFonts w:asciiTheme="majorBidi" w:hAnsiTheme="majorBidi" w:cstheme="majorBidi"/>
          <w:sz w:val="24"/>
        </w:rPr>
        <w:t xml:space="preserve"> and</w:t>
      </w:r>
      <w:r>
        <w:rPr>
          <w:rFonts w:asciiTheme="majorBidi" w:hAnsiTheme="majorBidi" w:cstheme="majorBidi"/>
          <w:sz w:val="24"/>
        </w:rPr>
        <w:t xml:space="preserve"> </w:t>
      </w:r>
      <w:r w:rsidRPr="00C70AC4">
        <w:rPr>
          <w:rFonts w:asciiTheme="majorBidi" w:hAnsiTheme="majorBidi" w:cstheme="majorBidi"/>
          <w:sz w:val="24"/>
        </w:rPr>
        <w:t>Rudnitzky</w:t>
      </w:r>
      <w:r>
        <w:rPr>
          <w:rFonts w:asciiTheme="majorBidi" w:hAnsiTheme="majorBidi" w:cstheme="majorBidi"/>
          <w:sz w:val="24"/>
        </w:rPr>
        <w:t>, Arik</w:t>
      </w:r>
      <w:r w:rsidRPr="00C70AC4">
        <w:rPr>
          <w:rFonts w:asciiTheme="majorBidi" w:hAnsiTheme="majorBidi" w:cstheme="majorBidi"/>
          <w:sz w:val="24"/>
        </w:rPr>
        <w:t xml:space="preserve"> (eds.), </w:t>
      </w:r>
      <w:r w:rsidRPr="000A198F">
        <w:rPr>
          <w:rFonts w:asciiTheme="majorBidi" w:hAnsiTheme="majorBidi" w:cstheme="majorBidi"/>
          <w:i/>
          <w:iCs/>
          <w:sz w:val="24"/>
        </w:rPr>
        <w:t>Muslim Minorities in Non-Muslim Majority States: The Islamic Movement in Israel as a Test Case</w:t>
      </w:r>
      <w:r w:rsidRPr="00C70AC4">
        <w:rPr>
          <w:rFonts w:asciiTheme="majorBidi" w:hAnsiTheme="majorBidi" w:cstheme="majorBidi"/>
          <w:sz w:val="24"/>
        </w:rPr>
        <w:t>, Tel Aviv University: Moshe Dayan Center for Middle Eastern and African Studies and Konrad Adenauer Stiftung in Israel, 2011, pp. 63-73</w:t>
      </w:r>
      <w:r>
        <w:rPr>
          <w:rFonts w:asciiTheme="majorBidi" w:hAnsiTheme="majorBidi" w:cstheme="majorBidi"/>
          <w:sz w:val="24"/>
        </w:rPr>
        <w:t xml:space="preserve"> (Hebrew)</w:t>
      </w:r>
    </w:p>
    <w:p w14:paraId="2BC8B710" w14:textId="77777777" w:rsidR="006A31DE" w:rsidRPr="00DD684D" w:rsidRDefault="006A31DE" w:rsidP="006A31DE">
      <w:pPr>
        <w:bidi w:val="0"/>
        <w:spacing w:line="240" w:lineRule="auto"/>
        <w:jc w:val="both"/>
        <w:rPr>
          <w:rFonts w:asciiTheme="majorBidi" w:hAnsiTheme="majorBidi" w:cstheme="majorBidi"/>
          <w:sz w:val="24"/>
          <w:rtl/>
        </w:rPr>
      </w:pPr>
      <w:r w:rsidRPr="00DD684D">
        <w:rPr>
          <w:rFonts w:asciiTheme="majorBidi" w:hAnsiTheme="majorBidi" w:cstheme="majorBidi"/>
          <w:sz w:val="24"/>
        </w:rPr>
        <w:t xml:space="preserve">Rekhess, Eli, "The Islamic Movement in Israel: A Decade's Balance Sheet", in David Menashri (ed.), </w:t>
      </w:r>
      <w:r w:rsidRPr="00830EA6">
        <w:rPr>
          <w:rFonts w:asciiTheme="majorBidi" w:hAnsiTheme="majorBidi" w:cstheme="majorBidi"/>
          <w:i/>
          <w:iCs/>
          <w:sz w:val="24"/>
        </w:rPr>
        <w:t>Fundamentalist Isla Fundamentalist Islam m - A Challenge to Regional Stability</w:t>
      </w:r>
      <w:r w:rsidRPr="00DD684D">
        <w:rPr>
          <w:rFonts w:asciiTheme="majorBidi" w:hAnsiTheme="majorBidi" w:cstheme="majorBidi"/>
          <w:sz w:val="24"/>
        </w:rPr>
        <w:t>, Tel Aviv University: Moshe Dayan Center for Middle Eastern and African Studies, 1993, pp. 71-79</w:t>
      </w:r>
      <w:r>
        <w:rPr>
          <w:rFonts w:asciiTheme="majorBidi" w:hAnsiTheme="majorBidi" w:cstheme="majorBidi"/>
          <w:sz w:val="24"/>
        </w:rPr>
        <w:t xml:space="preserve"> (Hebrew)</w:t>
      </w:r>
    </w:p>
    <w:p w14:paraId="4E23A1B3" w14:textId="77777777" w:rsidR="006A31DE" w:rsidRDefault="006A31DE" w:rsidP="006A31DE">
      <w:pPr>
        <w:bidi w:val="0"/>
        <w:spacing w:line="240" w:lineRule="auto"/>
        <w:jc w:val="both"/>
        <w:rPr>
          <w:rFonts w:asciiTheme="majorBidi" w:hAnsiTheme="majorBidi" w:cstheme="majorBidi"/>
          <w:sz w:val="24"/>
        </w:rPr>
      </w:pPr>
      <w:r w:rsidRPr="00DD684D">
        <w:rPr>
          <w:rFonts w:asciiTheme="majorBidi" w:hAnsiTheme="majorBidi" w:cstheme="majorBidi"/>
          <w:sz w:val="24"/>
        </w:rPr>
        <w:t xml:space="preserve">Rekhess, Eli, "The Islamic Movement in Israel and its Link to Political Islam in the Territories", in Ruth Gavison and Dafna Haker (eds.), </w:t>
      </w:r>
      <w:r w:rsidRPr="00830EA6">
        <w:rPr>
          <w:rFonts w:asciiTheme="majorBidi" w:hAnsiTheme="majorBidi" w:cstheme="majorBidi"/>
          <w:i/>
          <w:iCs/>
          <w:sz w:val="24"/>
        </w:rPr>
        <w:t>The Jewish-Arab Rift in Israel: A Reader</w:t>
      </w:r>
      <w:r w:rsidRPr="00DD684D">
        <w:rPr>
          <w:rFonts w:asciiTheme="majorBidi" w:hAnsiTheme="majorBidi" w:cstheme="majorBidi"/>
          <w:sz w:val="24"/>
        </w:rPr>
        <w:t xml:space="preserve">, Jerusalem: The Israel Democracy Institute, 2000, pp. 271-277 </w:t>
      </w:r>
      <w:r>
        <w:rPr>
          <w:rFonts w:asciiTheme="majorBidi" w:hAnsiTheme="majorBidi" w:cstheme="majorBidi"/>
          <w:sz w:val="24"/>
        </w:rPr>
        <w:t>(Hebrew)</w:t>
      </w:r>
    </w:p>
    <w:p w14:paraId="47FF3568"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Rosen, David, "Religion; Identity and Mideast Peace", </w:t>
      </w:r>
      <w:r w:rsidRPr="00966981">
        <w:rPr>
          <w:rFonts w:asciiTheme="majorBidi" w:hAnsiTheme="majorBidi" w:cstheme="majorBidi"/>
          <w:i/>
          <w:iCs/>
          <w:sz w:val="24"/>
        </w:rPr>
        <w:t>The Review of Faith &amp; International Affairs</w:t>
      </w:r>
      <w:r w:rsidRPr="003F3C4C">
        <w:rPr>
          <w:rFonts w:asciiTheme="majorBidi" w:hAnsiTheme="majorBidi" w:cstheme="majorBidi"/>
          <w:sz w:val="24"/>
        </w:rPr>
        <w:t>, 7:2, pp. 55-59</w:t>
      </w:r>
    </w:p>
    <w:p w14:paraId="24B0A768"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Roth Daniel, "Insider Religious Mediators advancing religious peace in the context of the Israeli-Palestinian conflict", </w:t>
      </w:r>
      <w:r w:rsidRPr="00D17E46">
        <w:rPr>
          <w:rFonts w:asciiTheme="majorBidi" w:hAnsiTheme="majorBidi" w:cstheme="majorBidi"/>
          <w:i/>
          <w:iCs/>
          <w:sz w:val="24"/>
        </w:rPr>
        <w:t>Journal for Dialogue - Israel &amp; Palestine</w:t>
      </w:r>
      <w:r w:rsidRPr="003F3C4C">
        <w:rPr>
          <w:rFonts w:asciiTheme="majorBidi" w:hAnsiTheme="majorBidi" w:cstheme="majorBidi"/>
          <w:sz w:val="24"/>
        </w:rPr>
        <w:t xml:space="preserve">, Summer 2021, pp. 43 - </w:t>
      </w:r>
      <w:proofErr w:type="gramStart"/>
      <w:r w:rsidRPr="003F3C4C">
        <w:rPr>
          <w:rFonts w:asciiTheme="majorBidi" w:hAnsiTheme="majorBidi" w:cstheme="majorBidi"/>
          <w:sz w:val="24"/>
        </w:rPr>
        <w:t>83</w:t>
      </w:r>
      <w:proofErr w:type="gramEnd"/>
    </w:p>
    <w:p w14:paraId="28130558" w14:textId="77777777" w:rsidR="006A31DE" w:rsidRPr="003F3C4C" w:rsidRDefault="006A31DE" w:rsidP="006A31DE">
      <w:pPr>
        <w:bidi w:val="0"/>
        <w:spacing w:line="240" w:lineRule="auto"/>
        <w:jc w:val="both"/>
        <w:rPr>
          <w:rFonts w:asciiTheme="majorBidi" w:hAnsiTheme="majorBidi" w:cstheme="majorBidi"/>
          <w:sz w:val="24"/>
        </w:rPr>
      </w:pPr>
      <w:r w:rsidRPr="003F3C4C">
        <w:rPr>
          <w:rFonts w:asciiTheme="majorBidi" w:hAnsiTheme="majorBidi" w:cstheme="majorBidi"/>
          <w:sz w:val="24"/>
        </w:rPr>
        <w:t xml:space="preserve">Rubin, Lawrence, "Islamic Political Activism in Israel", </w:t>
      </w:r>
      <w:r w:rsidRPr="00D17E46">
        <w:rPr>
          <w:rFonts w:asciiTheme="majorBidi" w:hAnsiTheme="majorBidi" w:cstheme="majorBidi"/>
          <w:i/>
          <w:iCs/>
          <w:sz w:val="24"/>
        </w:rPr>
        <w:t>Analysis Paper</w:t>
      </w:r>
      <w:r w:rsidRPr="003F3C4C">
        <w:rPr>
          <w:rFonts w:asciiTheme="majorBidi" w:hAnsiTheme="majorBidi" w:cstheme="majorBidi"/>
          <w:sz w:val="24"/>
        </w:rPr>
        <w:t xml:space="preserve"> 32, The Saban Center for Middle East Policy at Brookings, April 2014, pp. 1 - 7</w:t>
      </w:r>
    </w:p>
    <w:p w14:paraId="7CC0BC29" w14:textId="77777777" w:rsidR="006A31DE" w:rsidRPr="00C70AC4" w:rsidRDefault="006A31DE" w:rsidP="006A31DE">
      <w:pPr>
        <w:bidi w:val="0"/>
        <w:spacing w:line="240" w:lineRule="auto"/>
        <w:jc w:val="both"/>
        <w:rPr>
          <w:rFonts w:asciiTheme="majorBidi" w:hAnsiTheme="majorBidi" w:cstheme="majorBidi"/>
          <w:sz w:val="24"/>
          <w:rtl/>
        </w:rPr>
      </w:pPr>
      <w:r w:rsidRPr="00C70AC4">
        <w:rPr>
          <w:rFonts w:asciiTheme="majorBidi" w:hAnsiTheme="majorBidi" w:cstheme="majorBidi"/>
          <w:sz w:val="24"/>
        </w:rPr>
        <w:t xml:space="preserve">Rudnitzky, Arik, </w:t>
      </w:r>
      <w:r w:rsidRPr="0065617A">
        <w:rPr>
          <w:rFonts w:asciiTheme="majorBidi" w:hAnsiTheme="majorBidi" w:cstheme="majorBidi"/>
          <w:i/>
          <w:iCs/>
          <w:sz w:val="24"/>
        </w:rPr>
        <w:t xml:space="preserve">The Arab Minority in </w:t>
      </w:r>
      <w:proofErr w:type="gramStart"/>
      <w:r w:rsidRPr="0065617A">
        <w:rPr>
          <w:rFonts w:asciiTheme="majorBidi" w:hAnsiTheme="majorBidi" w:cstheme="majorBidi"/>
          <w:i/>
          <w:iCs/>
          <w:sz w:val="24"/>
        </w:rPr>
        <w:t>Israel</w:t>
      </w:r>
      <w:proofErr w:type="gramEnd"/>
      <w:r w:rsidRPr="0065617A">
        <w:rPr>
          <w:rFonts w:asciiTheme="majorBidi" w:hAnsiTheme="majorBidi" w:cstheme="majorBidi"/>
          <w:i/>
          <w:iCs/>
          <w:sz w:val="24"/>
        </w:rPr>
        <w:t xml:space="preserve"> and the Discourse on the "Jewish State"</w:t>
      </w:r>
      <w:r w:rsidRPr="00C70AC4">
        <w:rPr>
          <w:rFonts w:asciiTheme="majorBidi" w:hAnsiTheme="majorBidi" w:cstheme="majorBidi"/>
          <w:sz w:val="24"/>
        </w:rPr>
        <w:t>, Jerusalem: The Israel Democracy Institute, 2015</w:t>
      </w:r>
      <w:r>
        <w:rPr>
          <w:rFonts w:asciiTheme="majorBidi" w:hAnsiTheme="majorBidi" w:cstheme="majorBidi"/>
          <w:sz w:val="24"/>
        </w:rPr>
        <w:t xml:space="preserve"> (Hebrew)</w:t>
      </w:r>
    </w:p>
    <w:p w14:paraId="08FF5DC5" w14:textId="77777777" w:rsidR="006A31DE" w:rsidRPr="00DD684D" w:rsidRDefault="006A31DE" w:rsidP="006A31DE">
      <w:pPr>
        <w:bidi w:val="0"/>
        <w:spacing w:line="240" w:lineRule="auto"/>
        <w:jc w:val="both"/>
        <w:rPr>
          <w:rFonts w:asciiTheme="majorBidi" w:hAnsiTheme="majorBidi" w:cstheme="majorBidi"/>
          <w:sz w:val="24"/>
        </w:rPr>
      </w:pPr>
      <w:r w:rsidRPr="00C70AC4">
        <w:rPr>
          <w:rFonts w:asciiTheme="majorBidi" w:hAnsiTheme="majorBidi" w:cstheme="majorBidi"/>
          <w:sz w:val="24"/>
        </w:rPr>
        <w:t>Rudnitzky, Arik, "Do Jews Have a Right to Self-Determination in Palestine? The Islamic Discourse in Israel", in</w:t>
      </w:r>
      <w:r>
        <w:rPr>
          <w:rFonts w:asciiTheme="majorBidi" w:hAnsiTheme="majorBidi" w:cstheme="majorBidi"/>
          <w:sz w:val="24"/>
        </w:rPr>
        <w:t xml:space="preserve"> </w:t>
      </w:r>
      <w:r w:rsidRPr="00C70AC4">
        <w:rPr>
          <w:rFonts w:asciiTheme="majorBidi" w:hAnsiTheme="majorBidi" w:cstheme="majorBidi"/>
          <w:sz w:val="24"/>
        </w:rPr>
        <w:t>Rekhess</w:t>
      </w:r>
      <w:r>
        <w:rPr>
          <w:rFonts w:asciiTheme="majorBidi" w:hAnsiTheme="majorBidi" w:cstheme="majorBidi"/>
          <w:sz w:val="24"/>
        </w:rPr>
        <w:t>, Eli</w:t>
      </w:r>
      <w:r w:rsidRPr="00C70AC4">
        <w:rPr>
          <w:rFonts w:asciiTheme="majorBidi" w:hAnsiTheme="majorBidi" w:cstheme="majorBidi"/>
          <w:sz w:val="24"/>
        </w:rPr>
        <w:t xml:space="preserve"> and</w:t>
      </w:r>
      <w:r>
        <w:rPr>
          <w:rFonts w:asciiTheme="majorBidi" w:hAnsiTheme="majorBidi" w:cstheme="majorBidi"/>
          <w:sz w:val="24"/>
        </w:rPr>
        <w:t xml:space="preserve"> </w:t>
      </w:r>
      <w:r w:rsidRPr="00C70AC4">
        <w:rPr>
          <w:rFonts w:asciiTheme="majorBidi" w:hAnsiTheme="majorBidi" w:cstheme="majorBidi"/>
          <w:sz w:val="24"/>
        </w:rPr>
        <w:t>Rudnitzky</w:t>
      </w:r>
      <w:r>
        <w:rPr>
          <w:rFonts w:asciiTheme="majorBidi" w:hAnsiTheme="majorBidi" w:cstheme="majorBidi"/>
          <w:sz w:val="24"/>
        </w:rPr>
        <w:t>, Arik</w:t>
      </w:r>
      <w:r w:rsidRPr="00C70AC4">
        <w:rPr>
          <w:rFonts w:asciiTheme="majorBidi" w:hAnsiTheme="majorBidi" w:cstheme="majorBidi"/>
          <w:sz w:val="24"/>
        </w:rPr>
        <w:t xml:space="preserve"> (eds.), </w:t>
      </w:r>
      <w:r w:rsidRPr="000A198F">
        <w:rPr>
          <w:rFonts w:asciiTheme="majorBidi" w:hAnsiTheme="majorBidi" w:cstheme="majorBidi"/>
          <w:i/>
          <w:iCs/>
          <w:sz w:val="24"/>
        </w:rPr>
        <w:t>Muslim Minorities in Non-Muslim Majority States: The Islamic Movement in Israel as a Test Case</w:t>
      </w:r>
      <w:r w:rsidRPr="00C70AC4">
        <w:rPr>
          <w:rFonts w:asciiTheme="majorBidi" w:hAnsiTheme="majorBidi" w:cstheme="majorBidi"/>
          <w:sz w:val="24"/>
        </w:rPr>
        <w:t>, Tel Aviv University: Moshe Dayan Center for Middle Eastern and African Studies and Konrad Adenauer Stiftung in Israel, 2011, pp. 80-98</w:t>
      </w:r>
      <w:r>
        <w:rPr>
          <w:rFonts w:asciiTheme="majorBidi" w:hAnsiTheme="majorBidi" w:cstheme="majorBidi"/>
          <w:sz w:val="24"/>
        </w:rPr>
        <w:t xml:space="preserve"> (Hebrew)</w:t>
      </w:r>
      <w:r w:rsidRPr="00C70AC4">
        <w:rPr>
          <w:rFonts w:asciiTheme="majorBidi" w:hAnsiTheme="majorBidi" w:cstheme="majorBidi"/>
          <w:sz w:val="24"/>
        </w:rPr>
        <w:t xml:space="preserve">  </w:t>
      </w:r>
    </w:p>
    <w:p w14:paraId="47BCFF32" w14:textId="77777777" w:rsidR="006A31DE" w:rsidRPr="003F3C4C" w:rsidRDefault="006A31DE" w:rsidP="006A31DE">
      <w:pPr>
        <w:pStyle w:val="FootnoteText"/>
        <w:bidi w:val="0"/>
        <w:spacing w:after="160"/>
        <w:rPr>
          <w:rFonts w:asciiTheme="majorBidi" w:hAnsiTheme="majorBidi" w:cstheme="majorBidi"/>
          <w:sz w:val="24"/>
          <w:szCs w:val="24"/>
        </w:rPr>
      </w:pPr>
      <w:r w:rsidRPr="003F3C4C">
        <w:rPr>
          <w:rFonts w:asciiTheme="majorBidi" w:hAnsiTheme="majorBidi" w:cstheme="majorBidi"/>
          <w:sz w:val="24"/>
          <w:szCs w:val="24"/>
        </w:rPr>
        <w:t xml:space="preserve">Rynhold, Jonathan, "The Failure of the Oslo Process: Inherently Flawed or Flawed Implementation?", </w:t>
      </w:r>
      <w:r w:rsidRPr="00D17E46">
        <w:rPr>
          <w:rFonts w:asciiTheme="majorBidi" w:hAnsiTheme="majorBidi" w:cstheme="majorBidi"/>
          <w:i/>
          <w:iCs/>
          <w:sz w:val="24"/>
          <w:szCs w:val="24"/>
        </w:rPr>
        <w:t>Mideast Security and Policy Studies</w:t>
      </w:r>
      <w:r w:rsidRPr="003F3C4C">
        <w:rPr>
          <w:rFonts w:asciiTheme="majorBidi" w:hAnsiTheme="majorBidi" w:cstheme="majorBidi"/>
          <w:sz w:val="24"/>
          <w:szCs w:val="24"/>
        </w:rPr>
        <w:t xml:space="preserve"> No. 76, The Begin-Sadat Center for Strategic Studies Bar-Ilan University, 2008, pp. 2-26</w:t>
      </w:r>
    </w:p>
    <w:p w14:paraId="3896F695" w14:textId="77777777" w:rsidR="006A31DE" w:rsidRPr="00632E52" w:rsidRDefault="006A31DE" w:rsidP="006A31DE">
      <w:pPr>
        <w:bidi w:val="0"/>
        <w:spacing w:line="240" w:lineRule="auto"/>
        <w:jc w:val="both"/>
        <w:rPr>
          <w:rFonts w:asciiTheme="majorBidi" w:hAnsiTheme="majorBidi" w:cstheme="majorBidi"/>
          <w:sz w:val="24"/>
          <w:rtl/>
        </w:rPr>
      </w:pPr>
      <w:r w:rsidRPr="00632E52">
        <w:rPr>
          <w:rFonts w:asciiTheme="majorBidi" w:hAnsiTheme="majorBidi" w:cstheme="majorBidi"/>
          <w:sz w:val="24"/>
        </w:rPr>
        <w:t>Sarsour, Ibrahim, "The Islamic Movement and the State" in</w:t>
      </w:r>
      <w:r w:rsidRPr="00D8796C">
        <w:rPr>
          <w:rFonts w:asciiTheme="majorBidi" w:hAnsiTheme="majorBidi" w:cstheme="majorBidi"/>
          <w:sz w:val="24"/>
        </w:rPr>
        <w:t xml:space="preserve"> </w:t>
      </w:r>
      <w:r w:rsidRPr="00632E52">
        <w:rPr>
          <w:rFonts w:asciiTheme="majorBidi" w:hAnsiTheme="majorBidi" w:cstheme="majorBidi"/>
          <w:sz w:val="24"/>
        </w:rPr>
        <w:t>Yitzhak Reiter (ed</w:t>
      </w:r>
      <w:r>
        <w:rPr>
          <w:rFonts w:asciiTheme="majorBidi" w:hAnsiTheme="majorBidi" w:cstheme="majorBidi"/>
          <w:sz w:val="24"/>
        </w:rPr>
        <w:t>.</w:t>
      </w:r>
      <w:r w:rsidRPr="00632E52">
        <w:rPr>
          <w:rFonts w:asciiTheme="majorBidi" w:hAnsiTheme="majorBidi" w:cstheme="majorBidi"/>
          <w:sz w:val="24"/>
        </w:rPr>
        <w:t xml:space="preserve">), </w:t>
      </w:r>
      <w:r w:rsidRPr="00D8796C">
        <w:rPr>
          <w:rFonts w:asciiTheme="majorBidi" w:hAnsiTheme="majorBidi" w:cstheme="majorBidi"/>
          <w:i/>
          <w:iCs/>
          <w:sz w:val="24"/>
        </w:rPr>
        <w:t>Dilemmas in Jewish-Arab Relations in Israel</w:t>
      </w:r>
      <w:r w:rsidRPr="00632E52">
        <w:rPr>
          <w:rFonts w:asciiTheme="majorBidi" w:hAnsiTheme="majorBidi" w:cstheme="majorBidi"/>
          <w:sz w:val="24"/>
        </w:rPr>
        <w:t>, Jerusalem: Schocken, 2005, pp. 242-249</w:t>
      </w:r>
      <w:r>
        <w:rPr>
          <w:rFonts w:asciiTheme="majorBidi" w:hAnsiTheme="majorBidi" w:cstheme="majorBidi"/>
          <w:sz w:val="24"/>
        </w:rPr>
        <w:t xml:space="preserve"> (Hebrew)</w:t>
      </w:r>
    </w:p>
    <w:p w14:paraId="127E8EAB" w14:textId="77777777" w:rsidR="006A31DE"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lastRenderedPageBreak/>
        <w:t>S</w:t>
      </w:r>
      <w:r>
        <w:rPr>
          <w:rFonts w:asciiTheme="majorBidi" w:hAnsiTheme="majorBidi" w:cstheme="majorBidi"/>
          <w:sz w:val="24"/>
        </w:rPr>
        <w:t>a</w:t>
      </w:r>
      <w:r w:rsidRPr="003F3C4C">
        <w:rPr>
          <w:rFonts w:asciiTheme="majorBidi" w:hAnsiTheme="majorBidi" w:cstheme="majorBidi"/>
          <w:sz w:val="24"/>
        </w:rPr>
        <w:t xml:space="preserve">mooha, Sammy, "The Implications of the Transition to Peace for Israeli Society", </w:t>
      </w:r>
      <w:r w:rsidRPr="00FC1930">
        <w:rPr>
          <w:rFonts w:asciiTheme="majorBidi" w:hAnsiTheme="majorBidi" w:cstheme="majorBidi"/>
          <w:i/>
          <w:iCs/>
          <w:sz w:val="24"/>
        </w:rPr>
        <w:t>The Annals of the American Academy of Political and Social Science</w:t>
      </w:r>
      <w:r w:rsidRPr="003F3C4C">
        <w:rPr>
          <w:rFonts w:asciiTheme="majorBidi" w:hAnsiTheme="majorBidi" w:cstheme="majorBidi"/>
          <w:sz w:val="24"/>
        </w:rPr>
        <w:t>, Vol. 555, 1998, pp. 26-45</w:t>
      </w:r>
    </w:p>
    <w:p w14:paraId="1C33F61D" w14:textId="77777777" w:rsidR="006A31DE" w:rsidRPr="00B723BF" w:rsidRDefault="006A31DE" w:rsidP="006A31DE">
      <w:pPr>
        <w:bidi w:val="0"/>
        <w:spacing w:line="240" w:lineRule="auto"/>
        <w:rPr>
          <w:rFonts w:asciiTheme="majorBidi" w:hAnsiTheme="majorBidi" w:cstheme="majorBidi"/>
          <w:sz w:val="24"/>
        </w:rPr>
      </w:pPr>
      <w:r w:rsidRPr="00B723BF">
        <w:rPr>
          <w:rFonts w:asciiTheme="majorBidi" w:hAnsiTheme="majorBidi" w:cstheme="majorBidi"/>
          <w:sz w:val="24"/>
        </w:rPr>
        <w:t>Scham</w:t>
      </w:r>
      <w:r>
        <w:rPr>
          <w:rFonts w:asciiTheme="majorBidi" w:hAnsiTheme="majorBidi" w:cstheme="majorBidi"/>
          <w:sz w:val="24"/>
        </w:rPr>
        <w:t xml:space="preserve">, </w:t>
      </w:r>
      <w:r w:rsidRPr="00B723BF">
        <w:rPr>
          <w:rFonts w:asciiTheme="majorBidi" w:hAnsiTheme="majorBidi" w:cstheme="majorBidi"/>
          <w:sz w:val="24"/>
        </w:rPr>
        <w:t>Paul and Abu-Irshaid</w:t>
      </w:r>
      <w:r>
        <w:rPr>
          <w:rFonts w:asciiTheme="majorBidi" w:hAnsiTheme="majorBidi" w:cstheme="majorBidi"/>
          <w:sz w:val="24"/>
        </w:rPr>
        <w:t xml:space="preserve">, </w:t>
      </w:r>
      <w:r w:rsidRPr="00B723BF">
        <w:rPr>
          <w:rFonts w:asciiTheme="majorBidi" w:hAnsiTheme="majorBidi" w:cstheme="majorBidi"/>
          <w:sz w:val="24"/>
        </w:rPr>
        <w:t>Osama</w:t>
      </w:r>
      <w:r>
        <w:rPr>
          <w:rFonts w:asciiTheme="majorBidi" w:hAnsiTheme="majorBidi" w:cstheme="majorBidi"/>
          <w:sz w:val="24"/>
        </w:rPr>
        <w:t>,</w:t>
      </w:r>
      <w:r w:rsidRPr="00B723BF">
        <w:rPr>
          <w:rFonts w:asciiTheme="majorBidi" w:hAnsiTheme="majorBidi" w:cstheme="majorBidi"/>
          <w:sz w:val="24"/>
        </w:rPr>
        <w:t xml:space="preserve"> "Hamas Ideological Rigidity and Political Flexibility", </w:t>
      </w:r>
      <w:r w:rsidRPr="00FC1930">
        <w:rPr>
          <w:rFonts w:asciiTheme="majorBidi" w:hAnsiTheme="majorBidi" w:cstheme="majorBidi"/>
          <w:i/>
          <w:iCs/>
          <w:sz w:val="24"/>
        </w:rPr>
        <w:t>Special Report - United States Institute of Peace</w:t>
      </w:r>
      <w:r w:rsidRPr="00B723BF">
        <w:rPr>
          <w:rFonts w:asciiTheme="majorBidi" w:hAnsiTheme="majorBidi" w:cstheme="majorBidi"/>
          <w:sz w:val="24"/>
        </w:rPr>
        <w:t>, June 2009, pp. 1-22</w:t>
      </w:r>
    </w:p>
    <w:p w14:paraId="10756EA9" w14:textId="77777777" w:rsidR="006A31DE" w:rsidRPr="0081695F" w:rsidRDefault="006A31DE" w:rsidP="006A31DE">
      <w:pPr>
        <w:bidi w:val="0"/>
        <w:spacing w:line="240" w:lineRule="auto"/>
        <w:jc w:val="both"/>
        <w:rPr>
          <w:rFonts w:asciiTheme="majorBidi" w:hAnsiTheme="majorBidi" w:cstheme="majorBidi"/>
          <w:i/>
          <w:iCs/>
          <w:sz w:val="24"/>
        </w:rPr>
      </w:pPr>
      <w:r w:rsidRPr="0081695F">
        <w:rPr>
          <w:rFonts w:asciiTheme="majorBidi" w:hAnsiTheme="majorBidi" w:cstheme="majorBidi"/>
          <w:sz w:val="24"/>
        </w:rPr>
        <w:t>Schuz,</w:t>
      </w:r>
      <w:r>
        <w:rPr>
          <w:rFonts w:asciiTheme="majorBidi" w:hAnsiTheme="majorBidi" w:cstheme="majorBidi"/>
          <w:sz w:val="24"/>
        </w:rPr>
        <w:t xml:space="preserve"> Odeya,</w:t>
      </w:r>
      <w:r w:rsidRPr="0081695F">
        <w:rPr>
          <w:rFonts w:asciiTheme="majorBidi" w:hAnsiTheme="majorBidi" w:cstheme="majorBidi"/>
          <w:sz w:val="24"/>
        </w:rPr>
        <w:t xml:space="preserve"> </w:t>
      </w:r>
      <w:r w:rsidRPr="0081695F">
        <w:rPr>
          <w:rFonts w:asciiTheme="majorBidi" w:hAnsiTheme="majorBidi" w:cstheme="majorBidi"/>
          <w:i/>
          <w:iCs/>
          <w:sz w:val="24"/>
        </w:rPr>
        <w:t>Attitudes of Jewish and Muslim Religious Leaders Towards the Declaration of Principles and the 'Gaza and Jericho First' Accord As a Case Study for the Relations of Religion and Conflict</w:t>
      </w:r>
      <w:r>
        <w:rPr>
          <w:rFonts w:asciiTheme="majorBidi" w:hAnsiTheme="majorBidi" w:cstheme="majorBidi"/>
          <w:i/>
          <w:iCs/>
          <w:sz w:val="24"/>
        </w:rPr>
        <w:t xml:space="preserve">, </w:t>
      </w:r>
      <w:proofErr w:type="gramStart"/>
      <w:r w:rsidRPr="00A271AF">
        <w:rPr>
          <w:rFonts w:asciiTheme="majorBidi" w:hAnsiTheme="majorBidi" w:cstheme="majorBidi"/>
          <w:sz w:val="24"/>
        </w:rPr>
        <w:t>Master's</w:t>
      </w:r>
      <w:proofErr w:type="gramEnd"/>
      <w:r w:rsidRPr="00A271AF">
        <w:rPr>
          <w:rFonts w:asciiTheme="majorBidi" w:hAnsiTheme="majorBidi" w:cstheme="majorBidi"/>
          <w:sz w:val="24"/>
        </w:rPr>
        <w:t xml:space="preserve"> thesis, </w:t>
      </w:r>
      <w:r>
        <w:rPr>
          <w:rFonts w:asciiTheme="majorBidi" w:hAnsiTheme="majorBidi" w:cstheme="majorBidi"/>
          <w:sz w:val="24"/>
        </w:rPr>
        <w:t>Bar Ilan University, 2021</w:t>
      </w:r>
    </w:p>
    <w:p w14:paraId="0422FEBF"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Scheffler, Thomas, "Interreligious Dialogue and Peacebuilding", </w:t>
      </w:r>
      <w:r w:rsidRPr="00FC1930">
        <w:rPr>
          <w:rFonts w:asciiTheme="majorBidi" w:hAnsiTheme="majorBidi" w:cstheme="majorBidi"/>
          <w:i/>
          <w:iCs/>
          <w:sz w:val="24"/>
        </w:rPr>
        <w:t>Die Friedens-Warte</w:t>
      </w:r>
      <w:r w:rsidRPr="003F3C4C">
        <w:rPr>
          <w:rFonts w:asciiTheme="majorBidi" w:hAnsiTheme="majorBidi" w:cstheme="majorBidi"/>
          <w:sz w:val="24"/>
        </w:rPr>
        <w:t>, Vol. 82, No. 2/3, Religion, Krieg und Frieden, 2007, pp. 173-187</w:t>
      </w:r>
    </w:p>
    <w:p w14:paraId="4D93A573" w14:textId="77777777" w:rsidR="006A31DE" w:rsidRPr="00DD684D" w:rsidRDefault="006A31DE" w:rsidP="006A31DE">
      <w:pPr>
        <w:bidi w:val="0"/>
        <w:spacing w:line="240" w:lineRule="auto"/>
        <w:jc w:val="both"/>
        <w:rPr>
          <w:rFonts w:asciiTheme="majorBidi" w:hAnsiTheme="majorBidi" w:cstheme="majorBidi"/>
          <w:sz w:val="24"/>
          <w:rtl/>
        </w:rPr>
      </w:pPr>
      <w:r w:rsidRPr="00DD684D">
        <w:rPr>
          <w:rFonts w:asciiTheme="majorBidi" w:hAnsiTheme="majorBidi" w:cstheme="majorBidi"/>
          <w:sz w:val="24"/>
        </w:rPr>
        <w:t>Sh</w:t>
      </w:r>
      <w:r>
        <w:rPr>
          <w:rFonts w:asciiTheme="majorBidi" w:hAnsiTheme="majorBidi" w:cstheme="majorBidi"/>
          <w:sz w:val="24"/>
        </w:rPr>
        <w:t>a</w:t>
      </w:r>
      <w:r w:rsidRPr="00DD684D">
        <w:rPr>
          <w:rFonts w:asciiTheme="majorBidi" w:hAnsiTheme="majorBidi" w:cstheme="majorBidi"/>
          <w:sz w:val="24"/>
        </w:rPr>
        <w:t>b</w:t>
      </w:r>
      <w:r>
        <w:rPr>
          <w:rFonts w:asciiTheme="majorBidi" w:hAnsiTheme="majorBidi" w:cstheme="majorBidi"/>
          <w:sz w:val="24"/>
        </w:rPr>
        <w:t>b</w:t>
      </w:r>
      <w:r w:rsidRPr="00DD684D">
        <w:rPr>
          <w:rFonts w:asciiTheme="majorBidi" w:hAnsiTheme="majorBidi" w:cstheme="majorBidi"/>
          <w:sz w:val="24"/>
        </w:rPr>
        <w:t xml:space="preserve">at, Yehezkel, </w:t>
      </w:r>
      <w:r w:rsidRPr="0028415F">
        <w:rPr>
          <w:rFonts w:asciiTheme="majorBidi" w:hAnsiTheme="majorBidi" w:cstheme="majorBidi"/>
          <w:i/>
          <w:iCs/>
          <w:sz w:val="24"/>
        </w:rPr>
        <w:t>Hamas and the Peace Process</w:t>
      </w:r>
      <w:r w:rsidRPr="00DD684D">
        <w:rPr>
          <w:rFonts w:asciiTheme="majorBidi" w:hAnsiTheme="majorBidi" w:cstheme="majorBidi"/>
          <w:sz w:val="24"/>
        </w:rPr>
        <w:t>, Y. Shbath Publishing, 1997</w:t>
      </w:r>
      <w:r>
        <w:rPr>
          <w:rFonts w:asciiTheme="majorBidi" w:hAnsiTheme="majorBidi" w:cstheme="majorBidi"/>
          <w:sz w:val="24"/>
        </w:rPr>
        <w:t xml:space="preserve"> (Hebrew)</w:t>
      </w:r>
    </w:p>
    <w:p w14:paraId="343F123B" w14:textId="77777777" w:rsidR="006A31DE" w:rsidRDefault="006A31DE" w:rsidP="006A31DE">
      <w:pPr>
        <w:bidi w:val="0"/>
        <w:spacing w:line="240" w:lineRule="auto"/>
        <w:jc w:val="both"/>
        <w:rPr>
          <w:rFonts w:asciiTheme="majorBidi" w:hAnsiTheme="majorBidi" w:cstheme="majorBidi"/>
          <w:sz w:val="24"/>
        </w:rPr>
      </w:pPr>
      <w:r w:rsidRPr="00B8091E">
        <w:rPr>
          <w:rFonts w:ascii="David" w:hAnsi="David"/>
          <w:sz w:val="24"/>
        </w:rPr>
        <w:t>Shaham, Ron, "Legal Maxims in Y</w:t>
      </w:r>
      <w:r w:rsidRPr="00B8091E">
        <w:rPr>
          <w:rFonts w:ascii="Calibri" w:hAnsi="Calibri" w:cs="Calibri"/>
          <w:sz w:val="24"/>
        </w:rPr>
        <w:t>ū</w:t>
      </w:r>
      <w:r w:rsidRPr="00B8091E">
        <w:rPr>
          <w:rFonts w:ascii="David" w:hAnsi="David"/>
          <w:sz w:val="24"/>
        </w:rPr>
        <w:t>suf al-Qara</w:t>
      </w:r>
      <w:r w:rsidRPr="00B8091E">
        <w:rPr>
          <w:rFonts w:ascii="Calibri" w:hAnsi="Calibri" w:cs="Calibri"/>
          <w:sz w:val="24"/>
        </w:rPr>
        <w:t>ḍā</w:t>
      </w:r>
      <w:r w:rsidRPr="00B8091E">
        <w:rPr>
          <w:rFonts w:ascii="David" w:hAnsi="David"/>
          <w:sz w:val="24"/>
        </w:rPr>
        <w:t>w</w:t>
      </w:r>
      <w:r w:rsidRPr="00B8091E">
        <w:rPr>
          <w:rFonts w:ascii="Calibri" w:hAnsi="Calibri" w:cs="Calibri"/>
          <w:sz w:val="24"/>
        </w:rPr>
        <w:t>ī</w:t>
      </w:r>
      <w:r w:rsidRPr="00B8091E">
        <w:rPr>
          <w:rFonts w:ascii="David" w:hAnsi="David"/>
          <w:sz w:val="24"/>
        </w:rPr>
        <w:t xml:space="preserve">’s Jurisprudence and Fatwas", </w:t>
      </w:r>
      <w:r w:rsidRPr="00FC1930">
        <w:rPr>
          <w:rFonts w:ascii="David" w:hAnsi="David"/>
          <w:i/>
          <w:iCs/>
          <w:sz w:val="24"/>
        </w:rPr>
        <w:t>Journal of the American Oriental Society</w:t>
      </w:r>
      <w:r w:rsidRPr="00B8091E">
        <w:rPr>
          <w:rFonts w:ascii="David" w:hAnsi="David"/>
          <w:sz w:val="24"/>
        </w:rPr>
        <w:t>, Vol. 140 No. 2, 2020, pp. 435-450</w:t>
      </w:r>
    </w:p>
    <w:p w14:paraId="72AB3906" w14:textId="77777777" w:rsidR="006A31DE" w:rsidRPr="00DD684D" w:rsidRDefault="006A31DE" w:rsidP="006A31DE">
      <w:pPr>
        <w:bidi w:val="0"/>
        <w:spacing w:line="240" w:lineRule="auto"/>
        <w:jc w:val="both"/>
        <w:rPr>
          <w:rFonts w:asciiTheme="majorBidi" w:hAnsiTheme="majorBidi" w:cstheme="majorBidi"/>
          <w:sz w:val="24"/>
          <w:rtl/>
        </w:rPr>
      </w:pPr>
      <w:r w:rsidRPr="00DD684D">
        <w:rPr>
          <w:rFonts w:asciiTheme="majorBidi" w:hAnsiTheme="majorBidi" w:cstheme="majorBidi"/>
          <w:sz w:val="24"/>
        </w:rPr>
        <w:t>Shavit, Uri</w:t>
      </w:r>
      <w:r>
        <w:rPr>
          <w:rFonts w:asciiTheme="majorBidi" w:hAnsiTheme="majorBidi" w:cstheme="majorBidi"/>
          <w:sz w:val="24"/>
        </w:rPr>
        <w:t>ya</w:t>
      </w:r>
      <w:r w:rsidRPr="00DD684D">
        <w:rPr>
          <w:rFonts w:asciiTheme="majorBidi" w:hAnsiTheme="majorBidi" w:cstheme="majorBidi"/>
          <w:sz w:val="24"/>
        </w:rPr>
        <w:t xml:space="preserve">, "Muslim Identity in Europe and Israel: Outlines for a Comparative Discussion", in </w:t>
      </w:r>
      <w:r w:rsidRPr="00C70AC4">
        <w:rPr>
          <w:rFonts w:asciiTheme="majorBidi" w:hAnsiTheme="majorBidi" w:cstheme="majorBidi"/>
          <w:sz w:val="24"/>
        </w:rPr>
        <w:t>in</w:t>
      </w:r>
      <w:r>
        <w:rPr>
          <w:rFonts w:asciiTheme="majorBidi" w:hAnsiTheme="majorBidi" w:cstheme="majorBidi"/>
          <w:sz w:val="24"/>
        </w:rPr>
        <w:t xml:space="preserve"> </w:t>
      </w:r>
      <w:r w:rsidRPr="00C70AC4">
        <w:rPr>
          <w:rFonts w:asciiTheme="majorBidi" w:hAnsiTheme="majorBidi" w:cstheme="majorBidi"/>
          <w:sz w:val="24"/>
        </w:rPr>
        <w:t>Rekhess</w:t>
      </w:r>
      <w:r>
        <w:rPr>
          <w:rFonts w:asciiTheme="majorBidi" w:hAnsiTheme="majorBidi" w:cstheme="majorBidi"/>
          <w:sz w:val="24"/>
        </w:rPr>
        <w:t>, Eli</w:t>
      </w:r>
      <w:r w:rsidRPr="00C70AC4">
        <w:rPr>
          <w:rFonts w:asciiTheme="majorBidi" w:hAnsiTheme="majorBidi" w:cstheme="majorBidi"/>
          <w:sz w:val="24"/>
        </w:rPr>
        <w:t xml:space="preserve"> and</w:t>
      </w:r>
      <w:r>
        <w:rPr>
          <w:rFonts w:asciiTheme="majorBidi" w:hAnsiTheme="majorBidi" w:cstheme="majorBidi"/>
          <w:sz w:val="24"/>
        </w:rPr>
        <w:t xml:space="preserve"> </w:t>
      </w:r>
      <w:r w:rsidRPr="00C70AC4">
        <w:rPr>
          <w:rFonts w:asciiTheme="majorBidi" w:hAnsiTheme="majorBidi" w:cstheme="majorBidi"/>
          <w:sz w:val="24"/>
        </w:rPr>
        <w:t>Rudnitzky</w:t>
      </w:r>
      <w:r>
        <w:rPr>
          <w:rFonts w:asciiTheme="majorBidi" w:hAnsiTheme="majorBidi" w:cstheme="majorBidi"/>
          <w:sz w:val="24"/>
        </w:rPr>
        <w:t>, Arik</w:t>
      </w:r>
      <w:r w:rsidRPr="00C70AC4">
        <w:rPr>
          <w:rFonts w:asciiTheme="majorBidi" w:hAnsiTheme="majorBidi" w:cstheme="majorBidi"/>
          <w:sz w:val="24"/>
        </w:rPr>
        <w:t xml:space="preserve"> (eds.), </w:t>
      </w:r>
      <w:r w:rsidRPr="000A198F">
        <w:rPr>
          <w:rFonts w:asciiTheme="majorBidi" w:hAnsiTheme="majorBidi" w:cstheme="majorBidi"/>
          <w:i/>
          <w:iCs/>
          <w:sz w:val="24"/>
        </w:rPr>
        <w:t>Muslim Minorities in Non-Muslim Majority States: The Islamic Movement in Israel as a Test Case</w:t>
      </w:r>
      <w:r w:rsidRPr="00C70AC4">
        <w:rPr>
          <w:rFonts w:asciiTheme="majorBidi" w:hAnsiTheme="majorBidi" w:cstheme="majorBidi"/>
          <w:sz w:val="24"/>
        </w:rPr>
        <w:t>, Tel Aviv University: Moshe Dayan Center for Middle Eastern and African Studies and Konrad Adenauer Stiftung in Israel, 2011</w:t>
      </w:r>
      <w:r w:rsidRPr="00DD684D">
        <w:rPr>
          <w:rFonts w:asciiTheme="majorBidi" w:hAnsiTheme="majorBidi" w:cstheme="majorBidi"/>
          <w:sz w:val="24"/>
        </w:rPr>
        <w:t>, pp. 21-26</w:t>
      </w:r>
      <w:r>
        <w:rPr>
          <w:rFonts w:asciiTheme="majorBidi" w:hAnsiTheme="majorBidi" w:cstheme="majorBidi"/>
          <w:sz w:val="24"/>
        </w:rPr>
        <w:t xml:space="preserve"> (Hebrew)</w:t>
      </w:r>
    </w:p>
    <w:p w14:paraId="2DB781FC" w14:textId="77777777" w:rsidR="006A31DE" w:rsidRPr="00DD684D" w:rsidRDefault="006A31DE" w:rsidP="006A31DE">
      <w:pPr>
        <w:bidi w:val="0"/>
        <w:spacing w:line="240" w:lineRule="auto"/>
        <w:jc w:val="both"/>
        <w:rPr>
          <w:rFonts w:asciiTheme="majorBidi" w:hAnsiTheme="majorBidi" w:cstheme="majorBidi"/>
          <w:sz w:val="24"/>
        </w:rPr>
      </w:pPr>
      <w:r w:rsidRPr="00DD684D">
        <w:rPr>
          <w:rFonts w:asciiTheme="majorBidi" w:hAnsiTheme="majorBidi" w:cstheme="majorBidi"/>
          <w:sz w:val="24"/>
        </w:rPr>
        <w:t>Shavit, Uri</w:t>
      </w:r>
      <w:r>
        <w:rPr>
          <w:rFonts w:asciiTheme="majorBidi" w:hAnsiTheme="majorBidi" w:cstheme="majorBidi"/>
          <w:sz w:val="24"/>
        </w:rPr>
        <w:t>ya</w:t>
      </w:r>
      <w:r w:rsidRPr="00DD684D">
        <w:rPr>
          <w:rFonts w:asciiTheme="majorBidi" w:hAnsiTheme="majorBidi" w:cstheme="majorBidi"/>
          <w:sz w:val="24"/>
        </w:rPr>
        <w:t xml:space="preserve">, "Being a Muslim Minority", </w:t>
      </w:r>
      <w:r w:rsidRPr="0028415F">
        <w:rPr>
          <w:rFonts w:asciiTheme="majorBidi" w:hAnsiTheme="majorBidi" w:cstheme="majorBidi"/>
          <w:i/>
          <w:iCs/>
          <w:sz w:val="24"/>
        </w:rPr>
        <w:t>HaPrakhlit</w:t>
      </w:r>
      <w:r w:rsidRPr="00DD684D">
        <w:rPr>
          <w:rFonts w:asciiTheme="majorBidi" w:hAnsiTheme="majorBidi" w:cstheme="majorBidi"/>
          <w:sz w:val="24"/>
        </w:rPr>
        <w:t>, 26, January 2015, pp. 127-129</w:t>
      </w:r>
      <w:r>
        <w:rPr>
          <w:rFonts w:asciiTheme="majorBidi" w:hAnsiTheme="majorBidi" w:cstheme="majorBidi"/>
          <w:sz w:val="24"/>
        </w:rPr>
        <w:t xml:space="preserve"> (Hebrew)</w:t>
      </w:r>
    </w:p>
    <w:p w14:paraId="74025C1D" w14:textId="77777777" w:rsidR="006A31DE" w:rsidRDefault="006A31DE" w:rsidP="006A31DE">
      <w:pPr>
        <w:bidi w:val="0"/>
        <w:spacing w:line="240" w:lineRule="auto"/>
        <w:jc w:val="both"/>
        <w:rPr>
          <w:rFonts w:asciiTheme="majorBidi" w:hAnsiTheme="majorBidi" w:cstheme="majorBidi"/>
          <w:sz w:val="24"/>
        </w:rPr>
      </w:pPr>
      <w:r w:rsidRPr="00DD684D">
        <w:rPr>
          <w:rFonts w:asciiTheme="majorBidi" w:hAnsiTheme="majorBidi" w:cstheme="majorBidi"/>
          <w:sz w:val="24"/>
        </w:rPr>
        <w:t>Shemer, Nes</w:t>
      </w:r>
      <w:r>
        <w:rPr>
          <w:rFonts w:asciiTheme="majorBidi" w:hAnsiTheme="majorBidi" w:cstheme="majorBidi"/>
          <w:sz w:val="24"/>
        </w:rPr>
        <w:t>y</w:t>
      </w:r>
      <w:r w:rsidRPr="00DD684D">
        <w:rPr>
          <w:rFonts w:asciiTheme="majorBidi" w:hAnsiTheme="majorBidi" w:cstheme="majorBidi"/>
          <w:sz w:val="24"/>
        </w:rPr>
        <w:t xml:space="preserve">a, "Sheikh Yusuf Al-Qaradawi on the Theological Dimension of the Israeli-Palestinian Conflict", Lecture at the Conference </w:t>
      </w:r>
      <w:r w:rsidRPr="0028415F">
        <w:rPr>
          <w:rFonts w:asciiTheme="majorBidi" w:hAnsiTheme="majorBidi" w:cstheme="majorBidi"/>
          <w:i/>
          <w:iCs/>
          <w:sz w:val="24"/>
        </w:rPr>
        <w:t>"The Head" of Hamas</w:t>
      </w:r>
      <w:r>
        <w:rPr>
          <w:rFonts w:asciiTheme="majorBidi" w:hAnsiTheme="majorBidi" w:cstheme="majorBidi"/>
          <w:i/>
          <w:iCs/>
          <w:sz w:val="24"/>
        </w:rPr>
        <w:t xml:space="preserve">: </w:t>
      </w:r>
      <w:r w:rsidRPr="0028415F">
        <w:rPr>
          <w:rFonts w:asciiTheme="majorBidi" w:hAnsiTheme="majorBidi" w:cstheme="majorBidi"/>
          <w:i/>
          <w:iCs/>
          <w:sz w:val="24"/>
        </w:rPr>
        <w:t>Sheikh Yosef Alkardawi's thought on the Jews and Israel</w:t>
      </w:r>
      <w:r w:rsidRPr="00DD684D">
        <w:rPr>
          <w:rFonts w:asciiTheme="majorBidi" w:hAnsiTheme="majorBidi" w:cstheme="majorBidi"/>
          <w:sz w:val="24"/>
        </w:rPr>
        <w:t>,</w:t>
      </w:r>
      <w:r>
        <w:rPr>
          <w:rFonts w:asciiTheme="majorBidi" w:hAnsiTheme="majorBidi" w:cstheme="majorBidi"/>
          <w:sz w:val="24"/>
        </w:rPr>
        <w:t xml:space="preserve"> Bar Ilan University, 29.11.2018,</w:t>
      </w:r>
      <w:r w:rsidRPr="00DD684D">
        <w:rPr>
          <w:rFonts w:asciiTheme="majorBidi" w:hAnsiTheme="majorBidi" w:cstheme="majorBidi"/>
          <w:sz w:val="24"/>
        </w:rPr>
        <w:t xml:space="preserve"> </w:t>
      </w:r>
      <w:hyperlink r:id="rId30" w:history="1">
        <w:r w:rsidRPr="00FC177B">
          <w:rPr>
            <w:rStyle w:val="Hyperlink"/>
            <w:rFonts w:asciiTheme="majorBidi" w:hAnsiTheme="majorBidi" w:cstheme="majorBidi"/>
            <w:sz w:val="24"/>
          </w:rPr>
          <w:t>https://www.youtube.com/watch?v=Su6r5yQFvYE</w:t>
        </w:r>
      </w:hyperlink>
      <w:r>
        <w:rPr>
          <w:rFonts w:asciiTheme="majorBidi" w:hAnsiTheme="majorBidi" w:cstheme="majorBidi"/>
          <w:sz w:val="24"/>
        </w:rPr>
        <w:t xml:space="preserve"> </w:t>
      </w:r>
      <w:r w:rsidRPr="00DD684D">
        <w:rPr>
          <w:rFonts w:asciiTheme="majorBidi" w:hAnsiTheme="majorBidi" w:cstheme="majorBidi"/>
          <w:sz w:val="24"/>
        </w:rPr>
        <w:t>, (minute 4:30 and on)</w:t>
      </w:r>
      <w:r>
        <w:rPr>
          <w:rFonts w:asciiTheme="majorBidi" w:hAnsiTheme="majorBidi" w:cstheme="majorBidi"/>
          <w:sz w:val="24"/>
        </w:rPr>
        <w:t xml:space="preserve"> (Hebrew)</w:t>
      </w:r>
    </w:p>
    <w:p w14:paraId="1994ADE3" w14:textId="77777777" w:rsidR="006A31DE" w:rsidRPr="00DD684D" w:rsidRDefault="006A31DE" w:rsidP="006A31DE">
      <w:pPr>
        <w:bidi w:val="0"/>
        <w:spacing w:line="240" w:lineRule="auto"/>
        <w:jc w:val="both"/>
        <w:rPr>
          <w:rFonts w:asciiTheme="majorBidi" w:hAnsiTheme="majorBidi" w:cstheme="majorBidi"/>
          <w:sz w:val="24"/>
        </w:rPr>
      </w:pPr>
      <w:r w:rsidRPr="00DD684D">
        <w:rPr>
          <w:rFonts w:asciiTheme="majorBidi" w:hAnsiTheme="majorBidi" w:cstheme="majorBidi"/>
          <w:sz w:val="24"/>
        </w:rPr>
        <w:t>Shil</w:t>
      </w:r>
      <w:r>
        <w:rPr>
          <w:rFonts w:asciiTheme="majorBidi" w:hAnsiTheme="majorBidi" w:cstheme="majorBidi"/>
          <w:sz w:val="24"/>
        </w:rPr>
        <w:t>l</w:t>
      </w:r>
      <w:r w:rsidRPr="00DD684D">
        <w:rPr>
          <w:rFonts w:asciiTheme="majorBidi" w:hAnsiTheme="majorBidi" w:cstheme="majorBidi"/>
          <w:sz w:val="24"/>
        </w:rPr>
        <w:t>o</w:t>
      </w:r>
      <w:r>
        <w:rPr>
          <w:rFonts w:asciiTheme="majorBidi" w:hAnsiTheme="majorBidi" w:cstheme="majorBidi"/>
          <w:sz w:val="24"/>
        </w:rPr>
        <w:t>n</w:t>
      </w:r>
      <w:r w:rsidRPr="00DD684D">
        <w:rPr>
          <w:rFonts w:asciiTheme="majorBidi" w:hAnsiTheme="majorBidi" w:cstheme="majorBidi"/>
          <w:sz w:val="24"/>
        </w:rPr>
        <w:t xml:space="preserve">, Avi, </w:t>
      </w:r>
      <w:r w:rsidRPr="0028415F">
        <w:rPr>
          <w:rFonts w:asciiTheme="majorBidi" w:hAnsiTheme="majorBidi" w:cstheme="majorBidi"/>
          <w:i/>
          <w:iCs/>
          <w:sz w:val="24"/>
        </w:rPr>
        <w:t xml:space="preserve">The </w:t>
      </w:r>
      <w:r>
        <w:rPr>
          <w:rFonts w:asciiTheme="majorBidi" w:hAnsiTheme="majorBidi" w:cstheme="majorBidi"/>
          <w:i/>
          <w:iCs/>
          <w:sz w:val="24"/>
        </w:rPr>
        <w:t>Agony</w:t>
      </w:r>
      <w:r w:rsidRPr="0028415F">
        <w:rPr>
          <w:rFonts w:asciiTheme="majorBidi" w:hAnsiTheme="majorBidi" w:cstheme="majorBidi"/>
          <w:i/>
          <w:iCs/>
          <w:sz w:val="24"/>
        </w:rPr>
        <w:t xml:space="preserve"> of the Left - Yossi Beilin and the Peace Camp: The Untold Story</w:t>
      </w:r>
      <w:r w:rsidRPr="00DD684D">
        <w:rPr>
          <w:rFonts w:asciiTheme="majorBidi" w:hAnsiTheme="majorBidi" w:cstheme="majorBidi"/>
          <w:sz w:val="24"/>
        </w:rPr>
        <w:t>, Kinneret Zmora-Bitan Devir, 2017</w:t>
      </w:r>
      <w:r>
        <w:rPr>
          <w:rFonts w:asciiTheme="majorBidi" w:hAnsiTheme="majorBidi" w:cstheme="majorBidi"/>
          <w:sz w:val="24"/>
        </w:rPr>
        <w:t xml:space="preserve"> (Hebrew)</w:t>
      </w:r>
    </w:p>
    <w:p w14:paraId="77DF9FEC" w14:textId="77777777" w:rsidR="006A31DE" w:rsidRPr="003F3C4C" w:rsidRDefault="006A31DE" w:rsidP="006A31DE">
      <w:pPr>
        <w:bidi w:val="0"/>
        <w:spacing w:line="240" w:lineRule="auto"/>
        <w:rPr>
          <w:rFonts w:asciiTheme="majorBidi" w:hAnsiTheme="majorBidi" w:cstheme="majorBidi"/>
          <w:sz w:val="24"/>
        </w:rPr>
      </w:pPr>
      <w:r w:rsidRPr="003F3C4C">
        <w:rPr>
          <w:rFonts w:asciiTheme="majorBidi" w:hAnsiTheme="majorBidi" w:cstheme="majorBidi"/>
          <w:sz w:val="24"/>
        </w:rPr>
        <w:t xml:space="preserve">Smock, David R. (Ed.), </w:t>
      </w:r>
      <w:r w:rsidRPr="00FC1930">
        <w:rPr>
          <w:rFonts w:asciiTheme="majorBidi" w:hAnsiTheme="majorBidi" w:cstheme="majorBidi"/>
          <w:i/>
          <w:iCs/>
          <w:sz w:val="24"/>
        </w:rPr>
        <w:t>Religious Contributions to Peacemaking</w:t>
      </w:r>
      <w:r w:rsidRPr="003F3C4C">
        <w:rPr>
          <w:rFonts w:asciiTheme="majorBidi" w:hAnsiTheme="majorBidi" w:cstheme="majorBidi"/>
          <w:sz w:val="24"/>
        </w:rPr>
        <w:t>, New York: Nova Science Publishers, 2010</w:t>
      </w:r>
    </w:p>
    <w:p w14:paraId="5907255B" w14:textId="77777777" w:rsidR="006A31DE" w:rsidRDefault="006A31DE" w:rsidP="006A31DE">
      <w:pPr>
        <w:bidi w:val="0"/>
        <w:spacing w:line="240" w:lineRule="auto"/>
        <w:jc w:val="both"/>
        <w:rPr>
          <w:rFonts w:asciiTheme="majorBidi" w:hAnsiTheme="majorBidi" w:cstheme="majorBidi"/>
          <w:sz w:val="24"/>
        </w:rPr>
      </w:pPr>
      <w:r w:rsidRPr="00C70AC4">
        <w:rPr>
          <w:rFonts w:asciiTheme="majorBidi" w:hAnsiTheme="majorBidi" w:cstheme="majorBidi"/>
          <w:sz w:val="24"/>
        </w:rPr>
        <w:t xml:space="preserve">Tsoref, Hagai (ed.), "From the Oslo Accords to the Cairo Agreement: The Negotiations with the PLO on the Establishment of the Palestinian Autonomy October 1993–May 1994", </w:t>
      </w:r>
      <w:r w:rsidRPr="00DC4D3C">
        <w:rPr>
          <w:rFonts w:asciiTheme="majorBidi" w:hAnsiTheme="majorBidi" w:cstheme="majorBidi"/>
          <w:i/>
          <w:iCs/>
          <w:sz w:val="24"/>
        </w:rPr>
        <w:t>State Archives Publications</w:t>
      </w:r>
      <w:r w:rsidRPr="00C70AC4">
        <w:rPr>
          <w:rFonts w:asciiTheme="majorBidi" w:hAnsiTheme="majorBidi" w:cstheme="majorBidi"/>
          <w:sz w:val="24"/>
        </w:rPr>
        <w:t xml:space="preserve">, </w:t>
      </w:r>
      <w:hyperlink r:id="rId31" w:history="1">
        <w:r w:rsidRPr="00620FAC">
          <w:rPr>
            <w:rStyle w:val="Hyperlink"/>
            <w:rFonts w:asciiTheme="majorBidi" w:hAnsiTheme="majorBidi" w:cstheme="majorBidi"/>
            <w:sz w:val="24"/>
          </w:rPr>
          <w:t>https://catalog.archives.gov.il/publication/from-oslo-to-cairo/</w:t>
        </w:r>
      </w:hyperlink>
      <w:r>
        <w:rPr>
          <w:rFonts w:asciiTheme="majorBidi" w:hAnsiTheme="majorBidi" w:cstheme="majorBidi"/>
          <w:sz w:val="24"/>
        </w:rPr>
        <w:t xml:space="preserve"> (Hebrew)</w:t>
      </w:r>
    </w:p>
    <w:p w14:paraId="02310162" w14:textId="77777777" w:rsidR="006A31DE" w:rsidRPr="007D3286" w:rsidRDefault="006A31DE" w:rsidP="006A31DE">
      <w:pPr>
        <w:bidi w:val="0"/>
        <w:spacing w:line="240" w:lineRule="auto"/>
        <w:rPr>
          <w:rFonts w:ascii="David" w:hAnsi="David"/>
          <w:sz w:val="24"/>
        </w:rPr>
      </w:pPr>
      <w:r w:rsidRPr="00995A99">
        <w:rPr>
          <w:rFonts w:ascii="David" w:hAnsi="David"/>
          <w:sz w:val="24"/>
        </w:rPr>
        <w:t>Tuastad,</w:t>
      </w:r>
      <w:r>
        <w:rPr>
          <w:rFonts w:ascii="David" w:hAnsi="David"/>
          <w:sz w:val="24"/>
        </w:rPr>
        <w:t xml:space="preserve"> </w:t>
      </w:r>
      <w:r w:rsidRPr="00995A99">
        <w:rPr>
          <w:rFonts w:ascii="David" w:hAnsi="David"/>
          <w:sz w:val="24"/>
        </w:rPr>
        <w:t>Dag</w:t>
      </w:r>
      <w:r w:rsidRPr="00CB38E5">
        <w:rPr>
          <w:rFonts w:ascii="David" w:hAnsi="David"/>
          <w:b/>
          <w:bCs/>
          <w:i/>
          <w:iCs/>
          <w:sz w:val="24"/>
        </w:rPr>
        <w:t xml:space="preserve">, </w:t>
      </w:r>
      <w:r w:rsidRPr="00CB38E5">
        <w:rPr>
          <w:rFonts w:ascii="David" w:hAnsi="David"/>
          <w:i/>
          <w:iCs/>
          <w:sz w:val="24"/>
        </w:rPr>
        <w:t xml:space="preserve">Hamas’s Concept of a Long-term Ceasefire: A Viable Alternative to Full </w:t>
      </w:r>
      <w:proofErr w:type="gramStart"/>
      <w:r w:rsidRPr="00CB38E5">
        <w:rPr>
          <w:rFonts w:ascii="David" w:hAnsi="David"/>
          <w:i/>
          <w:iCs/>
          <w:sz w:val="24"/>
        </w:rPr>
        <w:t>Peace?,</w:t>
      </w:r>
      <w:proofErr w:type="gramEnd"/>
      <w:r w:rsidRPr="00995A99">
        <w:rPr>
          <w:rFonts w:ascii="David" w:hAnsi="David"/>
          <w:sz w:val="24"/>
        </w:rPr>
        <w:t xml:space="preserve"> </w:t>
      </w:r>
      <w:r w:rsidRPr="00493B37">
        <w:rPr>
          <w:rFonts w:ascii="David" w:hAnsi="David"/>
          <w:sz w:val="24"/>
        </w:rPr>
        <w:t>Peace Research Institute Oslo (PRIO) Paper</w:t>
      </w:r>
      <w:r w:rsidRPr="00995A99">
        <w:rPr>
          <w:rFonts w:ascii="David" w:hAnsi="David"/>
          <w:sz w:val="24"/>
        </w:rPr>
        <w:t>, November 2010</w:t>
      </w:r>
    </w:p>
    <w:p w14:paraId="2D0EC09A" w14:textId="77777777" w:rsidR="006A31DE" w:rsidRPr="00995A99" w:rsidRDefault="006A31DE" w:rsidP="006A31DE">
      <w:pPr>
        <w:bidi w:val="0"/>
        <w:spacing w:line="240" w:lineRule="auto"/>
        <w:rPr>
          <w:rFonts w:ascii="David" w:hAnsi="David"/>
          <w:sz w:val="24"/>
        </w:rPr>
      </w:pPr>
      <w:r w:rsidRPr="00995A99">
        <w:rPr>
          <w:rFonts w:ascii="David" w:hAnsi="David"/>
          <w:sz w:val="24"/>
        </w:rPr>
        <w:t>Usher</w:t>
      </w:r>
      <w:r>
        <w:rPr>
          <w:rFonts w:ascii="David" w:hAnsi="David"/>
          <w:sz w:val="24"/>
        </w:rPr>
        <w:t xml:space="preserve">, </w:t>
      </w:r>
      <w:r w:rsidRPr="00995A99">
        <w:rPr>
          <w:rFonts w:ascii="David" w:hAnsi="David"/>
          <w:sz w:val="24"/>
        </w:rPr>
        <w:t xml:space="preserve">Graham, </w:t>
      </w:r>
      <w:r w:rsidRPr="00935A1F">
        <w:rPr>
          <w:rFonts w:ascii="David" w:hAnsi="David"/>
          <w:i/>
          <w:iCs/>
          <w:sz w:val="24"/>
        </w:rPr>
        <w:t>Dispatches from Palestine - The Rise and Fall of the Oslo Peace Process</w:t>
      </w:r>
      <w:r w:rsidRPr="00995A99">
        <w:rPr>
          <w:rFonts w:ascii="David" w:hAnsi="David"/>
          <w:sz w:val="24"/>
        </w:rPr>
        <w:t>, Pluto Press – London, 1999</w:t>
      </w:r>
    </w:p>
    <w:p w14:paraId="29FFB009" w14:textId="77777777" w:rsidR="006A31DE" w:rsidRPr="00B8091E" w:rsidRDefault="006A31DE" w:rsidP="006A31DE">
      <w:pPr>
        <w:bidi w:val="0"/>
        <w:spacing w:line="240" w:lineRule="auto"/>
        <w:rPr>
          <w:rFonts w:ascii="David" w:hAnsi="David"/>
          <w:sz w:val="24"/>
        </w:rPr>
      </w:pPr>
      <w:r w:rsidRPr="00B8091E">
        <w:rPr>
          <w:rFonts w:ascii="David" w:eastAsia="Times New Roman" w:hAnsi="David"/>
          <w:sz w:val="24"/>
        </w:rPr>
        <w:t>Waxman, Dov, "Identity Matters - the Oslo Process and Israeli National Identity"</w:t>
      </w:r>
      <w:r w:rsidRPr="00B8091E">
        <w:rPr>
          <w:rFonts w:ascii="David" w:eastAsia="Times New Roman" w:hAnsi="David"/>
          <w:b/>
          <w:bCs/>
          <w:sz w:val="24"/>
        </w:rPr>
        <w:t xml:space="preserve"> </w:t>
      </w:r>
      <w:r w:rsidRPr="00B8091E">
        <w:rPr>
          <w:rFonts w:ascii="David" w:eastAsia="Times New Roman" w:hAnsi="David"/>
          <w:sz w:val="24"/>
        </w:rPr>
        <w:t>in</w:t>
      </w:r>
      <w:r>
        <w:rPr>
          <w:rFonts w:ascii="David" w:eastAsia="Times New Roman" w:hAnsi="David"/>
          <w:sz w:val="24"/>
        </w:rPr>
        <w:t xml:space="preserve"> </w:t>
      </w:r>
      <w:r w:rsidRPr="00B8091E">
        <w:rPr>
          <w:rFonts w:ascii="David" w:hAnsi="David"/>
          <w:sz w:val="24"/>
        </w:rPr>
        <w:t>Fendius-Elman, Miriam, Haklai, Oded and Spruyt, Henrik (Eds.)</w:t>
      </w:r>
      <w:r w:rsidRPr="00B8091E">
        <w:rPr>
          <w:rFonts w:ascii="David" w:eastAsia="Times New Roman" w:hAnsi="David"/>
          <w:sz w:val="24"/>
        </w:rPr>
        <w:t xml:space="preserve"> </w:t>
      </w:r>
      <w:r w:rsidRPr="00FE59CA">
        <w:rPr>
          <w:rFonts w:ascii="David" w:eastAsia="Times New Roman" w:hAnsi="David"/>
          <w:i/>
          <w:iCs/>
          <w:sz w:val="24"/>
        </w:rPr>
        <w:t>Democracy and Conflict Resolution - the Dilemmas of Israel's Peacemaking,</w:t>
      </w:r>
      <w:r w:rsidRPr="00B8091E">
        <w:rPr>
          <w:rFonts w:ascii="David" w:eastAsia="Times New Roman" w:hAnsi="David"/>
          <w:sz w:val="24"/>
        </w:rPr>
        <w:t xml:space="preserve"> </w:t>
      </w:r>
      <w:r w:rsidRPr="00B8091E">
        <w:rPr>
          <w:rFonts w:ascii="David" w:hAnsi="David"/>
          <w:sz w:val="24"/>
        </w:rPr>
        <w:t xml:space="preserve">New York: Syracuse University Press, 2014, </w:t>
      </w:r>
      <w:r w:rsidRPr="00B8091E">
        <w:rPr>
          <w:rFonts w:ascii="David" w:eastAsia="Times New Roman" w:hAnsi="David"/>
          <w:sz w:val="24"/>
        </w:rPr>
        <w:t>pp. 133-156</w:t>
      </w:r>
    </w:p>
    <w:p w14:paraId="51111CD0" w14:textId="77777777" w:rsidR="006A31DE" w:rsidRPr="00CF517F" w:rsidRDefault="006A31DE" w:rsidP="006A31DE">
      <w:pPr>
        <w:bidi w:val="0"/>
        <w:spacing w:line="240" w:lineRule="auto"/>
        <w:jc w:val="both"/>
        <w:rPr>
          <w:rFonts w:asciiTheme="majorBidi" w:hAnsiTheme="majorBidi" w:cstheme="majorBidi"/>
          <w:sz w:val="24"/>
          <w:rtl/>
        </w:rPr>
      </w:pPr>
      <w:r w:rsidRPr="00CF517F">
        <w:rPr>
          <w:rFonts w:asciiTheme="majorBidi" w:hAnsiTheme="majorBidi" w:cstheme="majorBidi"/>
          <w:sz w:val="24"/>
        </w:rPr>
        <w:t xml:space="preserve">Yosef, Ovadia, "Returning Parts of the Land of Israel in Case of Saving a Life," Yitzhak Refael (ed.), </w:t>
      </w:r>
      <w:r w:rsidRPr="00B17AA7">
        <w:rPr>
          <w:rFonts w:asciiTheme="majorBidi" w:hAnsiTheme="majorBidi" w:cstheme="majorBidi"/>
          <w:i/>
          <w:iCs/>
          <w:sz w:val="24"/>
        </w:rPr>
        <w:t>Torah She-be'al Peh</w:t>
      </w:r>
      <w:r w:rsidRPr="00CF517F">
        <w:rPr>
          <w:rFonts w:asciiTheme="majorBidi" w:hAnsiTheme="majorBidi" w:cstheme="majorBidi"/>
          <w:sz w:val="24"/>
        </w:rPr>
        <w:t xml:space="preserve"> </w:t>
      </w:r>
      <w:r>
        <w:rPr>
          <w:rFonts w:asciiTheme="majorBidi" w:hAnsiTheme="majorBidi" w:cstheme="majorBidi"/>
          <w:sz w:val="24"/>
        </w:rPr>
        <w:t xml:space="preserve">Vol. </w:t>
      </w:r>
      <w:r w:rsidRPr="00CF517F">
        <w:rPr>
          <w:rFonts w:asciiTheme="majorBidi" w:hAnsiTheme="majorBidi" w:cstheme="majorBidi"/>
          <w:sz w:val="24"/>
        </w:rPr>
        <w:t>21, 1980, pp. 12-20</w:t>
      </w:r>
      <w:r>
        <w:rPr>
          <w:rFonts w:asciiTheme="majorBidi" w:hAnsiTheme="majorBidi" w:cstheme="majorBidi"/>
          <w:sz w:val="24"/>
        </w:rPr>
        <w:t xml:space="preserve"> (Hebrew)</w:t>
      </w:r>
    </w:p>
    <w:p w14:paraId="188B45B6" w14:textId="77777777" w:rsidR="006A31DE" w:rsidRPr="003F3C4C" w:rsidRDefault="006A31DE" w:rsidP="006A31DE">
      <w:pPr>
        <w:bidi w:val="0"/>
        <w:spacing w:line="240" w:lineRule="auto"/>
        <w:jc w:val="both"/>
        <w:rPr>
          <w:rFonts w:asciiTheme="majorBidi" w:hAnsiTheme="majorBidi" w:cstheme="majorBidi"/>
          <w:sz w:val="24"/>
        </w:rPr>
      </w:pPr>
      <w:r w:rsidRPr="003F3C4C">
        <w:rPr>
          <w:rFonts w:asciiTheme="majorBidi" w:hAnsiTheme="majorBidi" w:cstheme="majorBidi"/>
          <w:sz w:val="24"/>
        </w:rPr>
        <w:lastRenderedPageBreak/>
        <w:t xml:space="preserve">Zahalka, Iyad, </w:t>
      </w:r>
      <w:r w:rsidRPr="00935A1F">
        <w:rPr>
          <w:rFonts w:asciiTheme="majorBidi" w:hAnsiTheme="majorBidi" w:cstheme="majorBidi"/>
          <w:i/>
          <w:iCs/>
          <w:sz w:val="24"/>
        </w:rPr>
        <w:t>Shari'a in the modern era: Muslim minorities jurisprudence</w:t>
      </w:r>
      <w:r w:rsidRPr="003F3C4C">
        <w:rPr>
          <w:rFonts w:asciiTheme="majorBidi" w:hAnsiTheme="majorBidi" w:cstheme="majorBidi"/>
          <w:sz w:val="24"/>
        </w:rPr>
        <w:t>, Cambridge: Cambridge University Press, 2016, pp. 145-172</w:t>
      </w:r>
    </w:p>
    <w:p w14:paraId="31FE0B0B" w14:textId="77777777" w:rsidR="006A31DE" w:rsidRDefault="006A31DE" w:rsidP="006A31DE">
      <w:pPr>
        <w:bidi w:val="0"/>
        <w:spacing w:line="240" w:lineRule="auto"/>
        <w:jc w:val="both"/>
        <w:rPr>
          <w:rFonts w:asciiTheme="majorBidi" w:hAnsiTheme="majorBidi" w:cstheme="majorBidi"/>
          <w:sz w:val="24"/>
        </w:rPr>
      </w:pPr>
      <w:r w:rsidRPr="00CF517F">
        <w:rPr>
          <w:rFonts w:asciiTheme="majorBidi" w:hAnsiTheme="majorBidi" w:cstheme="majorBidi"/>
          <w:sz w:val="24"/>
        </w:rPr>
        <w:t>Zahalka, Iyad, "The Development of Muslim Halakha in Israel and Its Relation to Minority Laws," in Hatina, Meir, and Al-Atawna, Muhammad, (eds.)</w:t>
      </w:r>
      <w:r>
        <w:rPr>
          <w:rFonts w:asciiTheme="majorBidi" w:hAnsiTheme="majorBidi" w:cstheme="majorBidi"/>
          <w:sz w:val="24"/>
        </w:rPr>
        <w:t xml:space="preserve"> </w:t>
      </w:r>
      <w:r w:rsidRPr="00185E92">
        <w:rPr>
          <w:rFonts w:asciiTheme="majorBidi" w:hAnsiTheme="majorBidi" w:cstheme="majorBidi"/>
          <w:i/>
          <w:iCs/>
          <w:sz w:val="24"/>
        </w:rPr>
        <w:t>Muslims in the Jewish State</w:t>
      </w:r>
      <w:r w:rsidRPr="00CF517F">
        <w:rPr>
          <w:rFonts w:asciiTheme="majorBidi" w:hAnsiTheme="majorBidi" w:cstheme="majorBidi"/>
          <w:sz w:val="24"/>
        </w:rPr>
        <w:t>,</w:t>
      </w:r>
      <w:r>
        <w:rPr>
          <w:rFonts w:asciiTheme="majorBidi" w:hAnsiTheme="majorBidi" w:cstheme="majorBidi"/>
          <w:sz w:val="24"/>
        </w:rPr>
        <w:t xml:space="preserve"> </w:t>
      </w:r>
      <w:r w:rsidRPr="00CF517F">
        <w:rPr>
          <w:rFonts w:asciiTheme="majorBidi" w:hAnsiTheme="majorBidi" w:cstheme="majorBidi"/>
          <w:sz w:val="24"/>
        </w:rPr>
        <w:t>Raanana: HaKibbutz HaMeuchad, 2018</w:t>
      </w:r>
      <w:r>
        <w:rPr>
          <w:rFonts w:asciiTheme="majorBidi" w:hAnsiTheme="majorBidi" w:cstheme="majorBidi"/>
          <w:sz w:val="24"/>
        </w:rPr>
        <w:t>,</w:t>
      </w:r>
      <w:r w:rsidRPr="00CF517F">
        <w:rPr>
          <w:rFonts w:asciiTheme="majorBidi" w:hAnsiTheme="majorBidi" w:cstheme="majorBidi"/>
          <w:sz w:val="24"/>
        </w:rPr>
        <w:t xml:space="preserve"> pp. 197-201</w:t>
      </w:r>
      <w:r>
        <w:rPr>
          <w:rFonts w:asciiTheme="majorBidi" w:hAnsiTheme="majorBidi" w:cstheme="majorBidi"/>
          <w:sz w:val="24"/>
        </w:rPr>
        <w:t xml:space="preserve"> (Hebrew)</w:t>
      </w:r>
    </w:p>
    <w:p w14:paraId="3C91685C" w14:textId="54F06B02" w:rsidR="006A31DE" w:rsidRPr="008351C4" w:rsidRDefault="006A31DE" w:rsidP="006A31DE">
      <w:pPr>
        <w:bidi w:val="0"/>
        <w:spacing w:line="240" w:lineRule="auto"/>
        <w:rPr>
          <w:rFonts w:asciiTheme="majorBidi" w:hAnsiTheme="majorBidi" w:cstheme="majorBidi"/>
          <w:sz w:val="24"/>
        </w:rPr>
      </w:pPr>
      <w:r w:rsidRPr="008351C4">
        <w:rPr>
          <w:rFonts w:asciiTheme="majorBidi" w:hAnsiTheme="majorBidi" w:cstheme="majorBidi"/>
          <w:sz w:val="24"/>
        </w:rPr>
        <w:t>"</w:t>
      </w:r>
      <w:r>
        <w:rPr>
          <w:rFonts w:asciiTheme="majorBidi" w:hAnsiTheme="majorBidi" w:cstheme="majorBidi"/>
          <w:sz w:val="24"/>
        </w:rPr>
        <w:t>A</w:t>
      </w:r>
      <w:r w:rsidRPr="008351C4">
        <w:rPr>
          <w:rFonts w:asciiTheme="majorBidi" w:hAnsiTheme="majorBidi" w:cstheme="majorBidi"/>
          <w:sz w:val="24"/>
        </w:rPr>
        <w:t xml:space="preserve">l-Janubiati tarajue hisabatiha wa-Tuhaqiq fi natayij alfushal", (The Southern Reviews Its Accounts and Investigates the Results of Failure)", </w:t>
      </w:r>
      <w:r w:rsidRPr="008351C4">
        <w:rPr>
          <w:rFonts w:asciiTheme="majorBidi" w:hAnsiTheme="majorBidi" w:cstheme="majorBidi"/>
          <w:i/>
          <w:iCs/>
          <w:sz w:val="24"/>
        </w:rPr>
        <w:t>Madar - The Palestinian Center for Israeli Studies</w:t>
      </w:r>
      <w:r w:rsidRPr="008351C4">
        <w:rPr>
          <w:rFonts w:asciiTheme="majorBidi" w:hAnsiTheme="majorBidi" w:cstheme="majorBidi"/>
          <w:sz w:val="24"/>
        </w:rPr>
        <w:t xml:space="preserve">, 03.03.2003, </w:t>
      </w:r>
      <w:hyperlink r:id="rId32" w:history="1">
        <w:r w:rsidRPr="008351C4">
          <w:rPr>
            <w:rStyle w:val="Hyperlink"/>
            <w:rFonts w:asciiTheme="majorBidi" w:hAnsiTheme="majorBidi" w:cstheme="majorBidi"/>
            <w:sz w:val="24"/>
          </w:rPr>
          <w:t>https://katzr.net/afc96b</w:t>
        </w:r>
      </w:hyperlink>
    </w:p>
    <w:sectPr w:rsidR="006A31DE" w:rsidRPr="008351C4" w:rsidSect="00E1763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1B07" w14:textId="77777777" w:rsidR="00E17633" w:rsidRDefault="00E17633" w:rsidP="00BA16FE">
      <w:pPr>
        <w:spacing w:after="0" w:line="240" w:lineRule="auto"/>
      </w:pPr>
      <w:r>
        <w:separator/>
      </w:r>
    </w:p>
  </w:endnote>
  <w:endnote w:type="continuationSeparator" w:id="0">
    <w:p w14:paraId="13879E95" w14:textId="77777777" w:rsidR="00E17633" w:rsidRDefault="00E17633" w:rsidP="00BA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avid">
    <w:panose1 w:val="020E0502060401010101"/>
    <w:charset w:val="B1"/>
    <w:family w:val="swiss"/>
    <w:pitch w:val="variable"/>
    <w:sig w:usb0="00000803" w:usb1="00000000" w:usb2="00000000" w:usb3="00000000" w:csb0="0000002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2CAE" w14:textId="77777777" w:rsidR="00E17633" w:rsidRDefault="00E17633" w:rsidP="00BA16FE">
      <w:pPr>
        <w:spacing w:after="0" w:line="240" w:lineRule="auto"/>
      </w:pPr>
      <w:r>
        <w:separator/>
      </w:r>
    </w:p>
  </w:footnote>
  <w:footnote w:type="continuationSeparator" w:id="0">
    <w:p w14:paraId="41F14E7F" w14:textId="77777777" w:rsidR="00E17633" w:rsidRDefault="00E17633" w:rsidP="00BA16FE">
      <w:pPr>
        <w:spacing w:after="0" w:line="240" w:lineRule="auto"/>
      </w:pPr>
      <w:r>
        <w:continuationSeparator/>
      </w:r>
    </w:p>
  </w:footnote>
  <w:footnote w:id="1">
    <w:p w14:paraId="53F2A5E5" w14:textId="74F449A6" w:rsidR="00BA16FE" w:rsidRPr="00BA16FE" w:rsidRDefault="00BA16FE" w:rsidP="00F11937">
      <w:pPr>
        <w:bidi w:val="0"/>
        <w:spacing w:after="0" w:line="240" w:lineRule="auto"/>
        <w:jc w:val="both"/>
        <w:rPr>
          <w:rFonts w:asciiTheme="majorBidi" w:eastAsia="Times New Roman" w:hAnsiTheme="majorBidi" w:cstheme="majorBidi"/>
          <w:kern w:val="0"/>
          <w:sz w:val="20"/>
          <w:szCs w:val="20"/>
          <w14:ligatures w14:val="none"/>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Pr="00BA16FE">
        <w:rPr>
          <w:rFonts w:asciiTheme="majorBidi" w:eastAsia="Times New Roman" w:hAnsiTheme="majorBidi" w:cstheme="majorBidi"/>
          <w:kern w:val="0"/>
          <w:sz w:val="20"/>
          <w:szCs w:val="20"/>
          <w14:ligatures w14:val="none"/>
        </w:rPr>
        <w:t xml:space="preserve">Declaration of Principles on Interim Self-Government Arrangements with the PLO; Hirschfeld, </w:t>
      </w:r>
      <w:r w:rsidRPr="00BA16FE">
        <w:rPr>
          <w:rFonts w:asciiTheme="majorBidi" w:eastAsia="Times New Roman" w:hAnsiTheme="majorBidi" w:cstheme="majorBidi"/>
          <w:i/>
          <w:iCs/>
          <w:kern w:val="0"/>
          <w:sz w:val="20"/>
          <w:szCs w:val="20"/>
          <w14:ligatures w14:val="none"/>
        </w:rPr>
        <w:t>Oslo: A Formula for Peace</w:t>
      </w:r>
      <w:r w:rsidRPr="00BA16FE">
        <w:rPr>
          <w:rFonts w:asciiTheme="majorBidi" w:eastAsia="Times New Roman" w:hAnsiTheme="majorBidi" w:cstheme="majorBidi"/>
          <w:kern w:val="0"/>
          <w:sz w:val="20"/>
          <w:szCs w:val="20"/>
          <w14:ligatures w14:val="none"/>
        </w:rPr>
        <w:t xml:space="preserve">, pp. 277, 279; Karsh, </w:t>
      </w:r>
      <w:r w:rsidRPr="00BA16FE">
        <w:rPr>
          <w:rFonts w:asciiTheme="majorBidi" w:eastAsia="Times New Roman" w:hAnsiTheme="majorBidi" w:cstheme="majorBidi"/>
          <w:i/>
          <w:iCs/>
          <w:kern w:val="0"/>
          <w:sz w:val="20"/>
          <w:szCs w:val="20"/>
          <w14:ligatures w14:val="none"/>
        </w:rPr>
        <w:t>"The Oslo War,"</w:t>
      </w:r>
      <w:r w:rsidRPr="00BA16FE">
        <w:rPr>
          <w:rFonts w:asciiTheme="majorBidi" w:eastAsia="Times New Roman" w:hAnsiTheme="majorBidi" w:cstheme="majorBidi"/>
          <w:kern w:val="0"/>
          <w:sz w:val="20"/>
          <w:szCs w:val="20"/>
          <w14:ligatures w14:val="none"/>
        </w:rPr>
        <w:t xml:space="preserve"> pp. 7–26.</w:t>
      </w:r>
    </w:p>
    <w:p w14:paraId="699AC50E" w14:textId="1FB21CE5" w:rsidR="00BA16FE" w:rsidRPr="00957623" w:rsidRDefault="00BA16FE" w:rsidP="00957623">
      <w:pPr>
        <w:bidi w:val="0"/>
        <w:spacing w:after="0" w:line="240" w:lineRule="auto"/>
        <w:jc w:val="both"/>
        <w:rPr>
          <w:rFonts w:asciiTheme="majorBidi" w:eastAsia="Times New Roman" w:hAnsiTheme="majorBidi" w:cstheme="majorBidi"/>
          <w:kern w:val="0"/>
          <w:sz w:val="20"/>
          <w:szCs w:val="20"/>
          <w:rtl/>
          <w14:ligatures w14:val="none"/>
        </w:rPr>
      </w:pPr>
      <w:r w:rsidRPr="00BA16FE">
        <w:rPr>
          <w:rFonts w:asciiTheme="majorBidi" w:eastAsia="Times New Roman" w:hAnsiTheme="majorBidi" w:cstheme="majorBidi"/>
          <w:kern w:val="0"/>
          <w:sz w:val="20"/>
          <w:szCs w:val="20"/>
          <w14:ligatures w14:val="none"/>
        </w:rPr>
        <w:t>The D</w:t>
      </w:r>
      <w:r w:rsidR="004B67F9">
        <w:rPr>
          <w:rFonts w:asciiTheme="majorBidi" w:eastAsia="Times New Roman" w:hAnsiTheme="majorBidi" w:cstheme="majorBidi"/>
          <w:kern w:val="0"/>
          <w:sz w:val="20"/>
          <w:szCs w:val="20"/>
          <w14:ligatures w14:val="none"/>
        </w:rPr>
        <w:t>OP</w:t>
      </w:r>
      <w:r w:rsidRPr="00BA16FE">
        <w:rPr>
          <w:rFonts w:asciiTheme="majorBidi" w:eastAsia="Times New Roman" w:hAnsiTheme="majorBidi" w:cstheme="majorBidi"/>
          <w:kern w:val="0"/>
          <w:sz w:val="20"/>
          <w:szCs w:val="20"/>
          <w14:ligatures w14:val="none"/>
        </w:rPr>
        <w:t xml:space="preserve"> exemplified the implementation of the liberal peace paradigm on the Israeli-Palestinian conflict. For further reading: Shillon, </w:t>
      </w:r>
      <w:r w:rsidRPr="00BA16FE">
        <w:rPr>
          <w:rFonts w:asciiTheme="majorBidi" w:eastAsia="Times New Roman" w:hAnsiTheme="majorBidi" w:cstheme="majorBidi"/>
          <w:i/>
          <w:iCs/>
          <w:kern w:val="0"/>
          <w:sz w:val="20"/>
          <w:szCs w:val="20"/>
          <w14:ligatures w14:val="none"/>
        </w:rPr>
        <w:t>The Agony of the Left</w:t>
      </w:r>
      <w:r w:rsidRPr="00BA16FE">
        <w:rPr>
          <w:rFonts w:asciiTheme="majorBidi" w:eastAsia="Times New Roman" w:hAnsiTheme="majorBidi" w:cstheme="majorBidi"/>
          <w:kern w:val="0"/>
          <w:sz w:val="20"/>
          <w:szCs w:val="20"/>
          <w14:ligatures w14:val="none"/>
        </w:rPr>
        <w:t xml:space="preserve">, pp. 15, 41-44; Peres, </w:t>
      </w:r>
      <w:r w:rsidRPr="00BA16FE">
        <w:rPr>
          <w:rFonts w:asciiTheme="majorBidi" w:eastAsia="Times New Roman" w:hAnsiTheme="majorBidi" w:cstheme="majorBidi"/>
          <w:i/>
          <w:iCs/>
          <w:kern w:val="0"/>
          <w:sz w:val="20"/>
          <w:szCs w:val="20"/>
          <w14:ligatures w14:val="none"/>
        </w:rPr>
        <w:t>The New Middle East</w:t>
      </w:r>
      <w:r w:rsidRPr="00BA16FE">
        <w:rPr>
          <w:rFonts w:asciiTheme="majorBidi" w:eastAsia="Times New Roman" w:hAnsiTheme="majorBidi" w:cstheme="majorBidi"/>
          <w:kern w:val="0"/>
          <w:sz w:val="20"/>
          <w:szCs w:val="20"/>
          <w14:ligatures w14:val="none"/>
        </w:rPr>
        <w:t>, pp. 73-92; Maoz and Russett, "The Democratic Peace," p. 25; Feldman, "Economic Peace: Theory vs. Reality," p. 17;</w:t>
      </w:r>
      <w:r w:rsidRPr="00F11937">
        <w:rPr>
          <w:rFonts w:asciiTheme="majorBidi" w:eastAsia="Times New Roman" w:hAnsiTheme="majorBidi" w:cstheme="majorBidi"/>
          <w:kern w:val="0"/>
          <w:sz w:val="20"/>
          <w:szCs w:val="20"/>
          <w14:ligatures w14:val="none"/>
        </w:rPr>
        <w:t xml:space="preserve"> </w:t>
      </w:r>
      <w:r w:rsidRPr="00BA16FE">
        <w:rPr>
          <w:rFonts w:asciiTheme="majorBidi" w:eastAsia="Times New Roman" w:hAnsiTheme="majorBidi" w:cstheme="majorBidi"/>
          <w:kern w:val="0"/>
          <w:sz w:val="20"/>
          <w:szCs w:val="20"/>
          <w14:ligatures w14:val="none"/>
        </w:rPr>
        <w:t>Rynhold, "The Failure of the Oslo Process," pp. 2-26</w:t>
      </w:r>
      <w:r w:rsidR="00957623">
        <w:rPr>
          <w:rFonts w:asciiTheme="majorBidi" w:eastAsia="Times New Roman" w:hAnsiTheme="majorBidi" w:cstheme="majorBidi"/>
          <w:kern w:val="0"/>
          <w:sz w:val="20"/>
          <w:szCs w:val="20"/>
          <w14:ligatures w14:val="none"/>
        </w:rPr>
        <w:t>.</w:t>
      </w:r>
    </w:p>
  </w:footnote>
  <w:footnote w:id="2">
    <w:p w14:paraId="15069FB4" w14:textId="01E82F37" w:rsidR="00446ED2" w:rsidRPr="00F11937" w:rsidRDefault="00446ED2" w:rsidP="00F11937">
      <w:pPr>
        <w:bidi w:val="0"/>
        <w:spacing w:after="0" w:line="240" w:lineRule="auto"/>
        <w:jc w:val="both"/>
        <w:rPr>
          <w:rFonts w:asciiTheme="majorBidi" w:hAnsiTheme="majorBidi" w:cstheme="majorBidi"/>
          <w:sz w:val="20"/>
          <w:szCs w:val="20"/>
          <w:rtl/>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004E6B3D" w:rsidRPr="00F11937">
        <w:rPr>
          <w:rFonts w:asciiTheme="majorBidi" w:hAnsiTheme="majorBidi" w:cstheme="majorBidi"/>
          <w:sz w:val="20"/>
          <w:szCs w:val="20"/>
        </w:rPr>
        <w:t xml:space="preserve">Abu-Nimer, </w:t>
      </w:r>
      <w:r w:rsidR="004E6B3D" w:rsidRPr="00F11937">
        <w:rPr>
          <w:rFonts w:asciiTheme="majorBidi" w:hAnsiTheme="majorBidi" w:cstheme="majorBidi"/>
          <w:i/>
          <w:iCs/>
          <w:sz w:val="20"/>
          <w:szCs w:val="20"/>
        </w:rPr>
        <w:t>Dialogue, Conflict Resolution, and Change</w:t>
      </w:r>
      <w:r w:rsidR="004E6B3D" w:rsidRPr="00F11937">
        <w:rPr>
          <w:rFonts w:asciiTheme="majorBidi" w:hAnsiTheme="majorBidi" w:cstheme="majorBidi"/>
          <w:sz w:val="20"/>
          <w:szCs w:val="20"/>
        </w:rPr>
        <w:t xml:space="preserve">, pp. 11-13; Bar-Tal and Raviv, </w:t>
      </w:r>
      <w:r w:rsidR="004E6B3D" w:rsidRPr="00F11937">
        <w:rPr>
          <w:rFonts w:asciiTheme="majorBidi" w:hAnsiTheme="majorBidi" w:cstheme="majorBidi"/>
          <w:i/>
          <w:iCs/>
          <w:sz w:val="20"/>
          <w:szCs w:val="20"/>
        </w:rPr>
        <w:t>The Comfort Zone of a Society in Conflict</w:t>
      </w:r>
      <w:r w:rsidR="004E6B3D" w:rsidRPr="00F11937">
        <w:rPr>
          <w:rFonts w:asciiTheme="majorBidi" w:hAnsiTheme="majorBidi" w:cstheme="majorBidi"/>
          <w:sz w:val="20"/>
          <w:szCs w:val="20"/>
        </w:rPr>
        <w:t xml:space="preserve">, pp. 13-109; Bar-Tal, Raviv and Abramowitz, </w:t>
      </w:r>
      <w:r w:rsidR="004E6B3D" w:rsidRPr="00F11937">
        <w:rPr>
          <w:rFonts w:asciiTheme="majorBidi" w:hAnsiTheme="majorBidi" w:cstheme="majorBidi"/>
          <w:i/>
          <w:iCs/>
          <w:sz w:val="20"/>
          <w:szCs w:val="20"/>
        </w:rPr>
        <w:t>In the Eye of the Beholder</w:t>
      </w:r>
      <w:r w:rsidR="004E6B3D" w:rsidRPr="00F11937">
        <w:rPr>
          <w:rFonts w:asciiTheme="majorBidi" w:hAnsiTheme="majorBidi" w:cstheme="majorBidi"/>
          <w:sz w:val="20"/>
          <w:szCs w:val="20"/>
        </w:rPr>
        <w:t xml:space="preserve">, pp. 23-120;  Gopin, </w:t>
      </w:r>
      <w:r w:rsidR="004E6B3D" w:rsidRPr="00F11937">
        <w:rPr>
          <w:rFonts w:asciiTheme="majorBidi" w:hAnsiTheme="majorBidi" w:cstheme="majorBidi"/>
          <w:i/>
          <w:iCs/>
          <w:sz w:val="20"/>
          <w:szCs w:val="20"/>
        </w:rPr>
        <w:t>Holy War, Holy Peace</w:t>
      </w:r>
      <w:r w:rsidR="004E6B3D" w:rsidRPr="00F11937">
        <w:rPr>
          <w:rFonts w:asciiTheme="majorBidi" w:hAnsiTheme="majorBidi" w:cstheme="majorBidi"/>
          <w:sz w:val="20"/>
          <w:szCs w:val="20"/>
        </w:rPr>
        <w:t xml:space="preserve">, pp. 3-6, 58-90; Handelman, </w:t>
      </w:r>
      <w:r w:rsidR="004E6B3D" w:rsidRPr="00F11937">
        <w:rPr>
          <w:rFonts w:asciiTheme="majorBidi" w:hAnsiTheme="majorBidi" w:cstheme="majorBidi"/>
          <w:i/>
          <w:iCs/>
          <w:sz w:val="20"/>
          <w:szCs w:val="20"/>
        </w:rPr>
        <w:t>Conflict and Peacemaking in Israel-Palestine</w:t>
      </w:r>
      <w:r w:rsidR="004E6B3D" w:rsidRPr="00F11937">
        <w:rPr>
          <w:rFonts w:asciiTheme="majorBidi" w:hAnsiTheme="majorBidi" w:cstheme="majorBidi"/>
          <w:sz w:val="20"/>
          <w:szCs w:val="20"/>
        </w:rPr>
        <w:t xml:space="preserve">, pp. 3-24; Smock, </w:t>
      </w:r>
      <w:r w:rsidR="004E6B3D" w:rsidRPr="00F11937">
        <w:rPr>
          <w:rFonts w:asciiTheme="majorBidi" w:hAnsiTheme="majorBidi" w:cstheme="majorBidi"/>
          <w:i/>
          <w:iCs/>
          <w:sz w:val="20"/>
          <w:szCs w:val="20"/>
        </w:rPr>
        <w:t>Religious Contributions to Peacemaking</w:t>
      </w:r>
      <w:r w:rsidR="004E6B3D" w:rsidRPr="00F11937">
        <w:rPr>
          <w:rFonts w:asciiTheme="majorBidi" w:hAnsiTheme="majorBidi" w:cstheme="majorBidi"/>
          <w:sz w:val="20"/>
          <w:szCs w:val="20"/>
        </w:rPr>
        <w:t>, pp. xvi-xix; Bar-Tal, "From Intractable Conflict through Conflict Resolution to Reconciliation", pp. 351-365; Kelman, "The Israeli-Palestinian Peace Process and Its Vicissitudes", pp. 287-303; Melchior, "Establishing a Religious Peace", pp. 1-9; Scheffler, "Interreligious Dialogue and Peacebuilding", pp. 173-187; Waxman, "Identity Matters", pp. 133-156.</w:t>
      </w:r>
    </w:p>
  </w:footnote>
  <w:footnote w:id="3">
    <w:p w14:paraId="29F39D93" w14:textId="39EAF507" w:rsidR="004E6B3D" w:rsidRPr="00F11937" w:rsidRDefault="004E6B3D" w:rsidP="00F11937">
      <w:pPr>
        <w:bidi w:val="0"/>
        <w:spacing w:after="0" w:line="240" w:lineRule="auto"/>
        <w:jc w:val="both"/>
        <w:rPr>
          <w:rFonts w:asciiTheme="majorBidi" w:hAnsiTheme="majorBidi" w:cstheme="majorBidi"/>
          <w:sz w:val="20"/>
          <w:szCs w:val="20"/>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Pr="00F11937">
        <w:rPr>
          <w:rFonts w:asciiTheme="majorBidi" w:hAnsiTheme="majorBidi" w:cstheme="majorBidi"/>
          <w:sz w:val="20"/>
          <w:szCs w:val="20"/>
        </w:rPr>
        <w:t xml:space="preserve">Smock, </w:t>
      </w:r>
      <w:r w:rsidRPr="00F11937">
        <w:rPr>
          <w:rFonts w:asciiTheme="majorBidi" w:hAnsiTheme="majorBidi" w:cstheme="majorBidi"/>
          <w:i/>
          <w:iCs/>
          <w:sz w:val="20"/>
          <w:szCs w:val="20"/>
        </w:rPr>
        <w:t>Religious Contributions to Peacemaking</w:t>
      </w:r>
      <w:r w:rsidRPr="00F11937">
        <w:rPr>
          <w:rFonts w:asciiTheme="majorBidi" w:hAnsiTheme="majorBidi" w:cstheme="majorBidi"/>
          <w:sz w:val="20"/>
          <w:szCs w:val="20"/>
        </w:rPr>
        <w:t>, pp. xvi-xix; Bar-Tal, "From Intractable Conflict", pp. 351-365; Fox, "Towards a dynamic theory of ethno-religious conflict", pp. 431-463; Landau, "Healing the Holy Land", pp. 3-12; Melchior, "Establishing a Religious Peace", pp. 1-9; Scheffler, "Interreligious Dialogue and Peacebuilding", pp. 173-187; Waxman, "Identity Matters", pp. 133-156.</w:t>
      </w:r>
    </w:p>
  </w:footnote>
  <w:footnote w:id="4">
    <w:p w14:paraId="2F538BD8" w14:textId="3BBEBDCA" w:rsidR="00ED17D6" w:rsidRPr="00F11937" w:rsidRDefault="00ED17D6" w:rsidP="00F11937">
      <w:pPr>
        <w:pStyle w:val="FootnoteText"/>
        <w:bidi w:val="0"/>
        <w:rPr>
          <w:rFonts w:asciiTheme="majorBidi" w:hAnsiTheme="majorBidi" w:cstheme="majorBidi"/>
        </w:rPr>
      </w:pPr>
      <w:r w:rsidRPr="00F11937">
        <w:rPr>
          <w:rStyle w:val="FootnoteReference"/>
          <w:rFonts w:asciiTheme="majorBidi" w:hAnsiTheme="majorBidi" w:cstheme="majorBidi"/>
        </w:rPr>
        <w:footnoteRef/>
      </w:r>
      <w:r w:rsidRPr="00F11937">
        <w:rPr>
          <w:rFonts w:asciiTheme="majorBidi" w:hAnsiTheme="majorBidi" w:cstheme="majorBidi"/>
          <w:rtl/>
        </w:rPr>
        <w:t xml:space="preserve"> </w:t>
      </w:r>
      <w:r w:rsidRPr="00F11937">
        <w:rPr>
          <w:rFonts w:asciiTheme="majorBidi" w:hAnsiTheme="majorBidi" w:cstheme="majorBidi"/>
        </w:rPr>
        <w:t xml:space="preserve">Appleby, </w:t>
      </w:r>
      <w:r w:rsidRPr="00F11937">
        <w:rPr>
          <w:rFonts w:asciiTheme="majorBidi" w:hAnsiTheme="majorBidi" w:cstheme="majorBidi"/>
          <w:i/>
          <w:iCs/>
        </w:rPr>
        <w:t>The Ambivalence of the Sacred</w:t>
      </w:r>
      <w:r w:rsidRPr="00F11937">
        <w:rPr>
          <w:rFonts w:asciiTheme="majorBidi" w:hAnsiTheme="majorBidi" w:cstheme="majorBidi"/>
        </w:rPr>
        <w:t xml:space="preserve">; Eisen, </w:t>
      </w:r>
      <w:r w:rsidRPr="00F11937">
        <w:rPr>
          <w:rFonts w:asciiTheme="majorBidi" w:hAnsiTheme="majorBidi" w:cstheme="majorBidi"/>
          <w:i/>
          <w:iCs/>
        </w:rPr>
        <w:t>The Peace and Violence of Judaism</w:t>
      </w:r>
      <w:r w:rsidRPr="00F11937">
        <w:rPr>
          <w:rFonts w:asciiTheme="majorBidi" w:hAnsiTheme="majorBidi" w:cstheme="majorBidi"/>
        </w:rPr>
        <w:t xml:space="preserve">; Nardin, </w:t>
      </w:r>
      <w:r w:rsidRPr="00F11937">
        <w:rPr>
          <w:rFonts w:asciiTheme="majorBidi" w:hAnsiTheme="majorBidi" w:cstheme="majorBidi"/>
          <w:i/>
          <w:iCs/>
        </w:rPr>
        <w:t>The Ethics of War and Peace</w:t>
      </w:r>
      <w:r w:rsidRPr="00F11937">
        <w:rPr>
          <w:rFonts w:asciiTheme="majorBidi" w:hAnsiTheme="majorBidi" w:cstheme="majorBidi"/>
        </w:rPr>
        <w:t>.</w:t>
      </w:r>
    </w:p>
  </w:footnote>
  <w:footnote w:id="5">
    <w:p w14:paraId="402B2956" w14:textId="66ADBB24" w:rsidR="00E320AF" w:rsidRPr="00F11937" w:rsidRDefault="00E320AF" w:rsidP="00F11937">
      <w:pPr>
        <w:bidi w:val="0"/>
        <w:spacing w:after="0" w:line="240" w:lineRule="auto"/>
        <w:jc w:val="both"/>
        <w:rPr>
          <w:rFonts w:asciiTheme="majorBidi" w:hAnsiTheme="majorBidi" w:cstheme="majorBidi"/>
          <w:sz w:val="20"/>
          <w:szCs w:val="20"/>
          <w:rtl/>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Pr="00F11937">
        <w:rPr>
          <w:rFonts w:asciiTheme="majorBidi" w:hAnsiTheme="majorBidi" w:cstheme="majorBidi"/>
          <w:sz w:val="20"/>
          <w:szCs w:val="20"/>
        </w:rPr>
        <w:t xml:space="preserve">For further reading: Appleby, </w:t>
      </w:r>
      <w:r w:rsidRPr="00F11937">
        <w:rPr>
          <w:rFonts w:asciiTheme="majorBidi" w:hAnsiTheme="majorBidi" w:cstheme="majorBidi"/>
          <w:i/>
          <w:iCs/>
          <w:sz w:val="20"/>
          <w:szCs w:val="20"/>
        </w:rPr>
        <w:t>The Ambivalence of the Sacred</w:t>
      </w:r>
      <w:r w:rsidRPr="00F11937">
        <w:rPr>
          <w:rFonts w:asciiTheme="majorBidi" w:hAnsiTheme="majorBidi" w:cstheme="majorBidi"/>
          <w:sz w:val="20"/>
          <w:szCs w:val="20"/>
        </w:rPr>
        <w:t xml:space="preserve">; Ashmore, Jussim, and Wilder, </w:t>
      </w:r>
      <w:r w:rsidRPr="00F11937">
        <w:rPr>
          <w:rFonts w:asciiTheme="majorBidi" w:hAnsiTheme="majorBidi" w:cstheme="majorBidi"/>
          <w:i/>
          <w:iCs/>
          <w:sz w:val="20"/>
          <w:szCs w:val="20"/>
        </w:rPr>
        <w:t>Social Identity, Intergroup Conflict, and Conflict Reduction</w:t>
      </w:r>
      <w:r w:rsidRPr="00F11937">
        <w:rPr>
          <w:rFonts w:asciiTheme="majorBidi" w:hAnsiTheme="majorBidi" w:cstheme="majorBidi"/>
          <w:sz w:val="20"/>
          <w:szCs w:val="20"/>
        </w:rPr>
        <w:t xml:space="preserve">, pp. 17-41, 187-212; Funk and Said, </w:t>
      </w:r>
      <w:r w:rsidRPr="00F11937">
        <w:rPr>
          <w:rFonts w:asciiTheme="majorBidi" w:hAnsiTheme="majorBidi" w:cstheme="majorBidi"/>
          <w:i/>
          <w:iCs/>
          <w:sz w:val="20"/>
          <w:szCs w:val="20"/>
        </w:rPr>
        <w:t>Islam and Peacemaking in the Middle East</w:t>
      </w:r>
      <w:r w:rsidRPr="00F11937">
        <w:rPr>
          <w:rFonts w:asciiTheme="majorBidi" w:hAnsiTheme="majorBidi" w:cstheme="majorBidi"/>
          <w:sz w:val="20"/>
          <w:szCs w:val="20"/>
        </w:rPr>
        <w:t xml:space="preserve">; Gopin, </w:t>
      </w:r>
      <w:r w:rsidRPr="00F11937">
        <w:rPr>
          <w:rFonts w:asciiTheme="majorBidi" w:hAnsiTheme="majorBidi" w:cstheme="majorBidi"/>
          <w:i/>
          <w:iCs/>
          <w:sz w:val="20"/>
          <w:szCs w:val="20"/>
        </w:rPr>
        <w:t>Holy War, Holy</w:t>
      </w:r>
      <w:r w:rsidRPr="00F11937">
        <w:rPr>
          <w:rFonts w:asciiTheme="majorBidi" w:hAnsiTheme="majorBidi" w:cstheme="majorBidi"/>
          <w:sz w:val="20"/>
          <w:szCs w:val="20"/>
        </w:rPr>
        <w:t xml:space="preserve"> Peace; Reiter, </w:t>
      </w:r>
      <w:r w:rsidRPr="00F11937">
        <w:rPr>
          <w:rFonts w:asciiTheme="majorBidi" w:hAnsiTheme="majorBidi" w:cstheme="majorBidi"/>
          <w:i/>
          <w:iCs/>
          <w:sz w:val="20"/>
          <w:szCs w:val="20"/>
        </w:rPr>
        <w:t>War, Peace and International Relations in Contemporary Islam</w:t>
      </w:r>
      <w:r w:rsidRPr="00F11937">
        <w:rPr>
          <w:rFonts w:asciiTheme="majorBidi" w:hAnsiTheme="majorBidi" w:cstheme="majorBidi"/>
          <w:sz w:val="20"/>
          <w:szCs w:val="20"/>
        </w:rPr>
        <w:t>; Abu-Nimer, "Religion, Dialogue, and Non-Violent Actions in Palestinian-Israeli Conflict", pp. 491-511; Hancock and Weiss, "Prospect Theory and the Failure to Sell the Oslo Accords", pp. 427-452; Frisch, "Nationalizing a Universal Text", pp. 321-336; Frisch and Sandler, "Religion, State, and the International System in the Israeli-Palestinian Conflict", pp. 77-96; Kelman, "The Israeli-Palestinian Peace Process and Its Vicissitudes"; Khan, "How Religious Leadership Can Help Bring Peace and Justice to the Middle East", pp. 51-55; Liebman, "Jewish Identity, Israeli Society and the Peace Process", pp. 6-8; Melchior, "Establishing a Religious Peace", pp. 1-9; Paz, "The Position of Radical Islamic Movements Towards Jews and Zionism Today", pp. 46-65; Reiter, "Religion as an Obstacle to Compromise in the Israeli-Palestinian Conflict", pp. 294-324;</w:t>
      </w:r>
      <w:r w:rsidRPr="00F11937">
        <w:rPr>
          <w:rFonts w:asciiTheme="majorBidi" w:hAnsiTheme="majorBidi" w:cstheme="majorBidi"/>
          <w:sz w:val="20"/>
          <w:szCs w:val="20"/>
          <w:rtl/>
        </w:rPr>
        <w:t xml:space="preserve"> </w:t>
      </w:r>
      <w:r w:rsidRPr="00F11937">
        <w:rPr>
          <w:rFonts w:asciiTheme="majorBidi" w:hAnsiTheme="majorBidi" w:cstheme="majorBidi"/>
          <w:sz w:val="20"/>
          <w:szCs w:val="20"/>
        </w:rPr>
        <w:t>Rosen "Religion, Identity and Mideast Peace", pp. 55-59; Scheffler, "Interreligious Dialogue and Peacebuilding", pp. 173-187.</w:t>
      </w:r>
    </w:p>
  </w:footnote>
  <w:footnote w:id="6">
    <w:p w14:paraId="3A10C8E0" w14:textId="105FC037" w:rsidR="00E320AF" w:rsidRPr="00F11937" w:rsidRDefault="00E320AF" w:rsidP="00F11937">
      <w:pPr>
        <w:pStyle w:val="FootnoteText"/>
        <w:bidi w:val="0"/>
        <w:rPr>
          <w:rFonts w:asciiTheme="majorBidi" w:hAnsiTheme="majorBidi" w:cstheme="majorBidi"/>
          <w:rtl/>
        </w:rPr>
      </w:pPr>
      <w:r w:rsidRPr="004F31DB">
        <w:rPr>
          <w:rStyle w:val="FootnoteReference"/>
          <w:rFonts w:asciiTheme="majorBidi" w:hAnsiTheme="majorBidi" w:cstheme="majorBidi"/>
        </w:rPr>
        <w:footnoteRef/>
      </w:r>
      <w:r w:rsidRPr="004F31DB">
        <w:rPr>
          <w:rFonts w:asciiTheme="majorBidi" w:hAnsiTheme="majorBidi" w:cstheme="majorBidi"/>
          <w:rtl/>
        </w:rPr>
        <w:t xml:space="preserve"> </w:t>
      </w:r>
      <w:r w:rsidR="00DD6129" w:rsidRPr="004F31DB">
        <w:rPr>
          <w:rFonts w:asciiTheme="majorBidi" w:hAnsiTheme="majorBidi" w:cstheme="majorBidi"/>
        </w:rPr>
        <w:t xml:space="preserve">Deuteronomy 7:2; </w:t>
      </w:r>
      <w:r w:rsidR="00BD3596" w:rsidRPr="00BD3596">
        <w:rPr>
          <w:rFonts w:asciiTheme="majorBidi" w:hAnsiTheme="majorBidi" w:cstheme="majorBidi"/>
        </w:rPr>
        <w:t>Nachmanides</w:t>
      </w:r>
      <w:r w:rsidR="00BD3596">
        <w:rPr>
          <w:rFonts w:asciiTheme="majorBidi" w:hAnsiTheme="majorBidi" w:cstheme="majorBidi"/>
        </w:rPr>
        <w:t xml:space="preserve">, </w:t>
      </w:r>
      <w:r w:rsidR="00BD3596" w:rsidRPr="00BD3596">
        <w:rPr>
          <w:rFonts w:asciiTheme="majorBidi" w:hAnsiTheme="majorBidi" w:cstheme="majorBidi"/>
        </w:rPr>
        <w:t xml:space="preserve">Hassagot </w:t>
      </w:r>
      <w:r w:rsidR="00BD3596">
        <w:rPr>
          <w:rFonts w:asciiTheme="majorBidi" w:hAnsiTheme="majorBidi" w:cstheme="majorBidi"/>
        </w:rPr>
        <w:t xml:space="preserve">(on Maimonides </w:t>
      </w:r>
      <w:r w:rsidR="00BD3596" w:rsidRPr="00BD3596">
        <w:rPr>
          <w:rFonts w:asciiTheme="majorBidi" w:hAnsiTheme="majorBidi" w:cstheme="majorBidi"/>
        </w:rPr>
        <w:t>Sefer Hamitzvot</w:t>
      </w:r>
      <w:r w:rsidR="00BD3596">
        <w:rPr>
          <w:rFonts w:asciiTheme="majorBidi" w:hAnsiTheme="majorBidi" w:cstheme="majorBidi"/>
        </w:rPr>
        <w:t xml:space="preserve">), 4; </w:t>
      </w:r>
      <w:r w:rsidR="004F31DB" w:rsidRPr="004F31DB">
        <w:rPr>
          <w:rFonts w:asciiTheme="majorBidi" w:hAnsiTheme="majorBidi" w:cstheme="majorBidi"/>
        </w:rPr>
        <w:t>Maimonides</w:t>
      </w:r>
      <w:r w:rsidR="004E3E97">
        <w:rPr>
          <w:rFonts w:asciiTheme="majorBidi" w:hAnsiTheme="majorBidi" w:cstheme="majorBidi"/>
        </w:rPr>
        <w:t>,</w:t>
      </w:r>
      <w:r w:rsidR="000F5E05">
        <w:rPr>
          <w:rFonts w:asciiTheme="majorBidi" w:hAnsiTheme="majorBidi" w:cstheme="majorBidi"/>
        </w:rPr>
        <w:t xml:space="preserve"> </w:t>
      </w:r>
      <w:r w:rsidR="000F5E05" w:rsidRPr="000F5E05">
        <w:rPr>
          <w:rFonts w:asciiTheme="majorBidi" w:hAnsiTheme="majorBidi" w:cstheme="majorBidi"/>
          <w:i/>
          <w:iCs/>
        </w:rPr>
        <w:t>Mishneh Torah</w:t>
      </w:r>
      <w:r w:rsidR="004E3E97">
        <w:rPr>
          <w:rFonts w:asciiTheme="majorBidi" w:hAnsiTheme="majorBidi" w:cstheme="majorBidi"/>
        </w:rPr>
        <w:t xml:space="preserve"> </w:t>
      </w:r>
      <w:r w:rsidR="000F5E05">
        <w:rPr>
          <w:rFonts w:asciiTheme="majorBidi" w:hAnsiTheme="majorBidi" w:cstheme="majorBidi"/>
          <w:i/>
          <w:iCs/>
        </w:rPr>
        <w:t xml:space="preserve">- </w:t>
      </w:r>
      <w:r w:rsidR="004E3E97" w:rsidRPr="004E3E97">
        <w:rPr>
          <w:rFonts w:asciiTheme="majorBidi" w:hAnsiTheme="majorBidi" w:cstheme="majorBidi"/>
          <w:i/>
          <w:iCs/>
        </w:rPr>
        <w:t>Melachim uMilhamoteyhem</w:t>
      </w:r>
      <w:r w:rsidR="004E3E97">
        <w:rPr>
          <w:rFonts w:asciiTheme="majorBidi" w:hAnsiTheme="majorBidi" w:cstheme="majorBidi"/>
          <w:i/>
          <w:iCs/>
        </w:rPr>
        <w:t xml:space="preserve"> (</w:t>
      </w:r>
      <w:r w:rsidR="004E3E97" w:rsidRPr="004E3E97">
        <w:rPr>
          <w:rFonts w:asciiTheme="majorBidi" w:hAnsiTheme="majorBidi" w:cstheme="majorBidi"/>
          <w:i/>
          <w:iCs/>
        </w:rPr>
        <w:t>kings and wars)</w:t>
      </w:r>
      <w:r w:rsidR="00DD6129" w:rsidRPr="004E3E97">
        <w:rPr>
          <w:rFonts w:asciiTheme="majorBidi" w:hAnsiTheme="majorBidi" w:cstheme="majorBidi"/>
        </w:rPr>
        <w:t>, 5</w:t>
      </w:r>
      <w:r w:rsidR="004F31DB" w:rsidRPr="004E3E97">
        <w:rPr>
          <w:rFonts w:asciiTheme="majorBidi" w:hAnsiTheme="majorBidi" w:cstheme="majorBidi"/>
        </w:rPr>
        <w:t>:</w:t>
      </w:r>
      <w:r w:rsidR="00DD6129" w:rsidRPr="004E3E97">
        <w:rPr>
          <w:rFonts w:asciiTheme="majorBidi" w:hAnsiTheme="majorBidi" w:cstheme="majorBidi"/>
        </w:rPr>
        <w:t>12, 7</w:t>
      </w:r>
      <w:r w:rsidR="004F31DB" w:rsidRPr="004E3E97">
        <w:rPr>
          <w:rFonts w:asciiTheme="majorBidi" w:hAnsiTheme="majorBidi" w:cstheme="majorBidi"/>
        </w:rPr>
        <w:t>:</w:t>
      </w:r>
      <w:r w:rsidR="00DD6129" w:rsidRPr="004E3E97">
        <w:rPr>
          <w:rFonts w:asciiTheme="majorBidi" w:hAnsiTheme="majorBidi" w:cstheme="majorBidi"/>
        </w:rPr>
        <w:t>4,15</w:t>
      </w:r>
      <w:r w:rsidR="00666EE1">
        <w:rPr>
          <w:rFonts w:asciiTheme="majorBidi" w:hAnsiTheme="majorBidi" w:cstheme="majorBidi"/>
        </w:rPr>
        <w:t>,</w:t>
      </w:r>
      <w:r w:rsidR="000671D6">
        <w:rPr>
          <w:rFonts w:asciiTheme="majorBidi" w:hAnsiTheme="majorBidi" w:cstheme="majorBidi"/>
        </w:rPr>
        <w:t xml:space="preserve"> </w:t>
      </w:r>
      <w:r w:rsidR="000671D6" w:rsidRPr="000671D6">
        <w:rPr>
          <w:rFonts w:asciiTheme="majorBidi" w:hAnsiTheme="majorBidi" w:cstheme="majorBidi"/>
          <w:i/>
          <w:iCs/>
        </w:rPr>
        <w:t>Avodah Zarah</w:t>
      </w:r>
      <w:r w:rsidR="00DD6129" w:rsidRPr="000671D6">
        <w:rPr>
          <w:rFonts w:asciiTheme="majorBidi" w:hAnsiTheme="majorBidi" w:cstheme="majorBidi"/>
        </w:rPr>
        <w:t xml:space="preserve"> </w:t>
      </w:r>
      <w:r w:rsidR="000671D6">
        <w:rPr>
          <w:rFonts w:asciiTheme="majorBidi" w:hAnsiTheme="majorBidi" w:cstheme="majorBidi"/>
          <w:i/>
          <w:iCs/>
        </w:rPr>
        <w:t>(</w:t>
      </w:r>
      <w:r w:rsidR="009D751A" w:rsidRPr="000671D6">
        <w:rPr>
          <w:rFonts w:asciiTheme="majorBidi" w:hAnsiTheme="majorBidi" w:cstheme="majorBidi"/>
          <w:i/>
          <w:iCs/>
        </w:rPr>
        <w:t>Idolatry</w:t>
      </w:r>
      <w:r w:rsidR="000671D6">
        <w:rPr>
          <w:rFonts w:asciiTheme="majorBidi" w:hAnsiTheme="majorBidi" w:cstheme="majorBidi"/>
          <w:i/>
          <w:iCs/>
        </w:rPr>
        <w:t>)</w:t>
      </w:r>
      <w:r w:rsidR="009D751A" w:rsidRPr="004E3E97">
        <w:rPr>
          <w:rFonts w:asciiTheme="majorBidi" w:hAnsiTheme="majorBidi" w:cstheme="majorBidi"/>
          <w:i/>
          <w:iCs/>
        </w:rPr>
        <w:t xml:space="preserve"> </w:t>
      </w:r>
      <w:r w:rsidR="00DD6129" w:rsidRPr="004E3E97">
        <w:rPr>
          <w:rFonts w:asciiTheme="majorBidi" w:hAnsiTheme="majorBidi" w:cstheme="majorBidi"/>
        </w:rPr>
        <w:t>10</w:t>
      </w:r>
      <w:r w:rsidR="004F31DB" w:rsidRPr="004E3E97">
        <w:rPr>
          <w:rFonts w:asciiTheme="majorBidi" w:hAnsiTheme="majorBidi" w:cstheme="majorBidi"/>
        </w:rPr>
        <w:t>:</w:t>
      </w:r>
      <w:r w:rsidR="00DD6129" w:rsidRPr="004E3E97">
        <w:rPr>
          <w:rFonts w:asciiTheme="majorBidi" w:hAnsiTheme="majorBidi" w:cstheme="majorBidi"/>
        </w:rPr>
        <w:t xml:space="preserve">4-6; </w:t>
      </w:r>
      <w:r w:rsidR="00C158F0" w:rsidRPr="00C158F0">
        <w:rPr>
          <w:rFonts w:asciiTheme="majorBidi" w:hAnsiTheme="majorBidi" w:cstheme="majorBidi"/>
        </w:rPr>
        <w:t>Joseph Karo</w:t>
      </w:r>
      <w:r w:rsidR="00C158F0">
        <w:rPr>
          <w:rFonts w:asciiTheme="majorBidi" w:hAnsiTheme="majorBidi" w:cstheme="majorBidi"/>
        </w:rPr>
        <w:t xml:space="preserve">, </w:t>
      </w:r>
      <w:r w:rsidR="00DD6129" w:rsidRPr="00C158F0">
        <w:rPr>
          <w:rFonts w:asciiTheme="majorBidi" w:hAnsiTheme="majorBidi" w:cstheme="majorBidi"/>
          <w:i/>
          <w:iCs/>
        </w:rPr>
        <w:t>Shulchan Aruch</w:t>
      </w:r>
      <w:r w:rsidR="00DD6129" w:rsidRPr="00C158F0">
        <w:rPr>
          <w:rFonts w:asciiTheme="majorBidi" w:hAnsiTheme="majorBidi" w:cstheme="majorBidi"/>
        </w:rPr>
        <w:t xml:space="preserve">, Orach Chaim 329:6; </w:t>
      </w:r>
      <w:r w:rsidR="00306469" w:rsidRPr="00306469">
        <w:rPr>
          <w:rFonts w:asciiTheme="majorBidi" w:hAnsiTheme="majorBidi" w:cstheme="majorBidi"/>
        </w:rPr>
        <w:t>Joseph Babad</w:t>
      </w:r>
      <w:r w:rsidR="00306469" w:rsidRPr="00306469">
        <w:rPr>
          <w:rFonts w:asciiTheme="majorBidi" w:hAnsiTheme="majorBidi" w:cstheme="majorBidi"/>
          <w:i/>
          <w:iCs/>
        </w:rPr>
        <w:t xml:space="preserve">, </w:t>
      </w:r>
      <w:r w:rsidR="00DD6129" w:rsidRPr="00306469">
        <w:rPr>
          <w:rFonts w:asciiTheme="majorBidi" w:hAnsiTheme="majorBidi" w:cstheme="majorBidi"/>
          <w:i/>
          <w:iCs/>
        </w:rPr>
        <w:t>Minchat Chinuch</w:t>
      </w:r>
      <w:r w:rsidR="00DD6129" w:rsidRPr="00306469">
        <w:rPr>
          <w:rFonts w:asciiTheme="majorBidi" w:hAnsiTheme="majorBidi" w:cstheme="majorBidi"/>
        </w:rPr>
        <w:t xml:space="preserve"> 425;</w:t>
      </w:r>
      <w:r w:rsidR="00C158F0">
        <w:rPr>
          <w:rFonts w:asciiTheme="majorBidi" w:hAnsiTheme="majorBidi" w:cstheme="majorBidi"/>
        </w:rPr>
        <w:t xml:space="preserve"> </w:t>
      </w:r>
      <w:r w:rsidR="00C158F0" w:rsidRPr="00C158F0">
        <w:rPr>
          <w:rFonts w:asciiTheme="majorBidi" w:hAnsiTheme="majorBidi" w:cstheme="majorBidi"/>
        </w:rPr>
        <w:t>Avraham Yeshaya Karelitz</w:t>
      </w:r>
      <w:r w:rsidR="00C158F0">
        <w:rPr>
          <w:rFonts w:asciiTheme="majorBidi" w:hAnsiTheme="majorBidi" w:cstheme="majorBidi"/>
        </w:rPr>
        <w:t>,</w:t>
      </w:r>
      <w:r w:rsidR="00DD6129" w:rsidRPr="00306469">
        <w:rPr>
          <w:rFonts w:asciiTheme="majorBidi" w:hAnsiTheme="majorBidi" w:cstheme="majorBidi"/>
        </w:rPr>
        <w:t xml:space="preserve"> </w:t>
      </w:r>
      <w:r w:rsidR="00DD6129" w:rsidRPr="000042EF">
        <w:rPr>
          <w:rFonts w:asciiTheme="majorBidi" w:hAnsiTheme="majorBidi" w:cstheme="majorBidi"/>
          <w:i/>
          <w:iCs/>
        </w:rPr>
        <w:t>Chazon Ish</w:t>
      </w:r>
      <w:r w:rsidR="004F31DB" w:rsidRPr="000042EF">
        <w:rPr>
          <w:rFonts w:asciiTheme="majorBidi" w:hAnsiTheme="majorBidi" w:cstheme="majorBidi"/>
        </w:rPr>
        <w:t>,</w:t>
      </w:r>
      <w:r w:rsidR="000042EF">
        <w:rPr>
          <w:rFonts w:asciiTheme="majorBidi" w:hAnsiTheme="majorBidi" w:cstheme="majorBidi"/>
        </w:rPr>
        <w:t xml:space="preserve"> on</w:t>
      </w:r>
      <w:r w:rsidR="004F31DB" w:rsidRPr="000042EF">
        <w:rPr>
          <w:rFonts w:asciiTheme="majorBidi" w:hAnsiTheme="majorBidi" w:cstheme="majorBidi"/>
        </w:rPr>
        <w:t xml:space="preserve"> </w:t>
      </w:r>
      <w:r w:rsidR="00DD6129" w:rsidRPr="000042EF">
        <w:rPr>
          <w:rFonts w:asciiTheme="majorBidi" w:hAnsiTheme="majorBidi" w:cstheme="majorBidi"/>
        </w:rPr>
        <w:t>Eruvin 114</w:t>
      </w:r>
      <w:r w:rsidR="00666EE1">
        <w:rPr>
          <w:rFonts w:asciiTheme="majorBidi" w:hAnsiTheme="majorBidi" w:cstheme="majorBidi"/>
        </w:rPr>
        <w:t>a</w:t>
      </w:r>
      <w:r w:rsidR="00DD6129" w:rsidRPr="000042EF">
        <w:rPr>
          <w:rFonts w:asciiTheme="majorBidi" w:hAnsiTheme="majorBidi" w:cstheme="majorBidi"/>
        </w:rPr>
        <w:t>.</w:t>
      </w:r>
    </w:p>
  </w:footnote>
  <w:footnote w:id="7">
    <w:p w14:paraId="5CA2674D" w14:textId="1DAF5438" w:rsidR="00D6250A" w:rsidRPr="00F11937" w:rsidRDefault="00E320AF" w:rsidP="00D6250A">
      <w:pPr>
        <w:bidi w:val="0"/>
        <w:spacing w:after="0" w:line="240" w:lineRule="auto"/>
        <w:jc w:val="both"/>
        <w:rPr>
          <w:rFonts w:asciiTheme="majorBidi" w:hAnsiTheme="majorBidi" w:cstheme="majorBidi"/>
          <w:sz w:val="20"/>
          <w:szCs w:val="20"/>
          <w:rtl/>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000153C1" w:rsidRPr="00D6250A">
        <w:rPr>
          <w:rFonts w:asciiTheme="majorBidi" w:hAnsiTheme="majorBidi" w:cstheme="majorBidi"/>
          <w:sz w:val="20"/>
          <w:szCs w:val="20"/>
        </w:rPr>
        <w:t>Badir,</w:t>
      </w:r>
      <w:r w:rsidR="00D6250A" w:rsidRPr="00D6250A">
        <w:rPr>
          <w:rFonts w:asciiTheme="majorBidi" w:hAnsiTheme="majorBidi" w:cstheme="majorBidi"/>
          <w:sz w:val="20"/>
          <w:szCs w:val="20"/>
        </w:rPr>
        <w:t xml:space="preserve"> "Ichlal </w:t>
      </w:r>
      <w:r w:rsidR="006A496D">
        <w:rPr>
          <w:rFonts w:asciiTheme="majorBidi" w:hAnsiTheme="majorBidi" w:cstheme="majorBidi"/>
          <w:sz w:val="20"/>
          <w:szCs w:val="20"/>
        </w:rPr>
        <w:t>a</w:t>
      </w:r>
      <w:r w:rsidR="00D6250A" w:rsidRPr="00D6250A">
        <w:rPr>
          <w:rFonts w:asciiTheme="majorBidi" w:hAnsiTheme="majorBidi" w:cstheme="majorBidi"/>
          <w:sz w:val="20"/>
          <w:szCs w:val="20"/>
        </w:rPr>
        <w:t xml:space="preserve">l-Salam fi </w:t>
      </w:r>
      <w:r w:rsidR="006A496D">
        <w:rPr>
          <w:rFonts w:asciiTheme="majorBidi" w:hAnsiTheme="majorBidi" w:cstheme="majorBidi"/>
          <w:sz w:val="20"/>
          <w:szCs w:val="20"/>
        </w:rPr>
        <w:t>a</w:t>
      </w:r>
      <w:r w:rsidR="00D6250A" w:rsidRPr="00D6250A">
        <w:rPr>
          <w:rFonts w:asciiTheme="majorBidi" w:hAnsiTheme="majorBidi" w:cstheme="majorBidi"/>
          <w:sz w:val="20"/>
          <w:szCs w:val="20"/>
        </w:rPr>
        <w:t xml:space="preserve">l-Ard </w:t>
      </w:r>
      <w:r w:rsidR="006A496D">
        <w:rPr>
          <w:rFonts w:asciiTheme="majorBidi" w:hAnsiTheme="majorBidi" w:cstheme="majorBidi"/>
          <w:sz w:val="20"/>
          <w:szCs w:val="20"/>
        </w:rPr>
        <w:t>a</w:t>
      </w:r>
      <w:r w:rsidR="00D6250A" w:rsidRPr="00D6250A">
        <w:rPr>
          <w:rFonts w:asciiTheme="majorBidi" w:hAnsiTheme="majorBidi" w:cstheme="majorBidi"/>
          <w:sz w:val="20"/>
          <w:szCs w:val="20"/>
        </w:rPr>
        <w:t>l-Mukadasa</w:t>
      </w:r>
      <w:r w:rsidR="000153C1" w:rsidRPr="00D6250A">
        <w:rPr>
          <w:rFonts w:asciiTheme="majorBidi" w:hAnsiTheme="majorBidi" w:cstheme="majorBidi"/>
          <w:sz w:val="20"/>
          <w:szCs w:val="20"/>
        </w:rPr>
        <w:t xml:space="preserve"> </w:t>
      </w:r>
      <w:r w:rsidR="00FF206B" w:rsidRPr="00D6250A">
        <w:rPr>
          <w:rFonts w:asciiTheme="majorBidi" w:hAnsiTheme="majorBidi" w:cstheme="majorBidi"/>
          <w:sz w:val="20"/>
          <w:szCs w:val="20"/>
        </w:rPr>
        <w:t>(</w:t>
      </w:r>
      <w:r w:rsidR="000153C1" w:rsidRPr="00D6250A">
        <w:rPr>
          <w:rFonts w:asciiTheme="majorBidi" w:hAnsiTheme="majorBidi" w:cstheme="majorBidi"/>
          <w:sz w:val="20"/>
          <w:szCs w:val="20"/>
        </w:rPr>
        <w:t>Achieving Peace in the Holy Land</w:t>
      </w:r>
      <w:r w:rsidR="00FF206B" w:rsidRPr="00D6250A">
        <w:rPr>
          <w:rFonts w:asciiTheme="majorBidi" w:hAnsiTheme="majorBidi" w:cstheme="majorBidi"/>
          <w:sz w:val="20"/>
          <w:szCs w:val="20"/>
        </w:rPr>
        <w:t>");</w:t>
      </w:r>
      <w:r w:rsidR="000153C1" w:rsidRPr="00F11937">
        <w:rPr>
          <w:rFonts w:asciiTheme="majorBidi" w:hAnsiTheme="majorBidi" w:cstheme="majorBidi"/>
          <w:sz w:val="20"/>
          <w:szCs w:val="20"/>
        </w:rPr>
        <w:t xml:space="preserve"> Reiter, "All of Palestine is Holy Muslim Waqf Land", pp. 173-197.</w:t>
      </w:r>
    </w:p>
  </w:footnote>
  <w:footnote w:id="8">
    <w:p w14:paraId="4D851FF4" w14:textId="0D1399B2" w:rsidR="00E320AF" w:rsidRPr="00F11937" w:rsidRDefault="00E320AF" w:rsidP="00F11937">
      <w:pPr>
        <w:bidi w:val="0"/>
        <w:spacing w:after="0" w:line="240" w:lineRule="auto"/>
        <w:jc w:val="both"/>
        <w:rPr>
          <w:rFonts w:asciiTheme="majorBidi" w:hAnsiTheme="majorBidi" w:cstheme="majorBidi"/>
          <w:i/>
          <w:iCs/>
          <w:sz w:val="20"/>
          <w:szCs w:val="20"/>
          <w:rtl/>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000153C1" w:rsidRPr="00F11937">
        <w:rPr>
          <w:rFonts w:asciiTheme="majorBidi" w:hAnsiTheme="majorBidi" w:cstheme="majorBidi"/>
          <w:sz w:val="20"/>
          <w:szCs w:val="20"/>
        </w:rPr>
        <w:t>M</w:t>
      </w:r>
      <w:r w:rsidR="00B90E60">
        <w:rPr>
          <w:rFonts w:asciiTheme="majorBidi" w:hAnsiTheme="majorBidi" w:cstheme="majorBidi"/>
          <w:sz w:val="20"/>
          <w:szCs w:val="20"/>
        </w:rPr>
        <w:t>e</w:t>
      </w:r>
      <w:r w:rsidR="000153C1" w:rsidRPr="00F11937">
        <w:rPr>
          <w:rFonts w:asciiTheme="majorBidi" w:hAnsiTheme="majorBidi" w:cstheme="majorBidi"/>
          <w:sz w:val="20"/>
          <w:szCs w:val="20"/>
        </w:rPr>
        <w:t xml:space="preserve">llamed, </w:t>
      </w:r>
      <w:r w:rsidR="000153C1" w:rsidRPr="00F11937">
        <w:rPr>
          <w:rFonts w:asciiTheme="majorBidi" w:hAnsiTheme="majorBidi" w:cstheme="majorBidi"/>
          <w:i/>
          <w:iCs/>
          <w:sz w:val="20"/>
          <w:szCs w:val="20"/>
        </w:rPr>
        <w:t>Pniney Halacha - Collected Writings on the People and the Land</w:t>
      </w:r>
      <w:r w:rsidR="001F509E">
        <w:rPr>
          <w:rFonts w:asciiTheme="majorBidi" w:hAnsiTheme="majorBidi" w:cstheme="majorBidi"/>
          <w:i/>
          <w:iCs/>
          <w:sz w:val="20"/>
          <w:szCs w:val="20"/>
        </w:rPr>
        <w:t>.</w:t>
      </w:r>
    </w:p>
  </w:footnote>
  <w:footnote w:id="9">
    <w:p w14:paraId="0EB852B6" w14:textId="6A2A3E2E" w:rsidR="00E320AF" w:rsidRPr="00F11937" w:rsidRDefault="00E320AF" w:rsidP="00F11937">
      <w:pPr>
        <w:pStyle w:val="FootnoteText"/>
        <w:bidi w:val="0"/>
        <w:rPr>
          <w:rFonts w:asciiTheme="majorBidi" w:hAnsiTheme="majorBidi" w:cstheme="majorBidi"/>
        </w:rPr>
      </w:pPr>
      <w:r w:rsidRPr="00F11937">
        <w:rPr>
          <w:rStyle w:val="FootnoteReference"/>
          <w:rFonts w:asciiTheme="majorBidi" w:hAnsiTheme="majorBidi" w:cstheme="majorBidi"/>
        </w:rPr>
        <w:footnoteRef/>
      </w:r>
      <w:r w:rsidRPr="00F11937">
        <w:rPr>
          <w:rFonts w:asciiTheme="majorBidi" w:hAnsiTheme="majorBidi" w:cstheme="majorBidi"/>
          <w:rtl/>
        </w:rPr>
        <w:t xml:space="preserve"> </w:t>
      </w:r>
      <w:r w:rsidR="000153C1" w:rsidRPr="00F11937">
        <w:rPr>
          <w:rFonts w:asciiTheme="majorBidi" w:hAnsiTheme="majorBidi" w:cstheme="majorBidi"/>
        </w:rPr>
        <w:t>Bartal, "Reading the Qur'an", pp. 392-408; Reiter, "All of Palestine is Holy Muslim Waqf Land", pp. 173-197; Shemer, "Sheikh Yusuf Al-Qaradawi on the Theological Dimension of the Israeli-Palestinian Conflict".</w:t>
      </w:r>
    </w:p>
  </w:footnote>
  <w:footnote w:id="10">
    <w:p w14:paraId="7A1593F4" w14:textId="099B9E59" w:rsidR="00E320AF" w:rsidRPr="000D455D" w:rsidRDefault="00E320AF" w:rsidP="00F11937">
      <w:pPr>
        <w:bidi w:val="0"/>
        <w:spacing w:after="0" w:line="240" w:lineRule="auto"/>
        <w:jc w:val="both"/>
        <w:rPr>
          <w:rFonts w:asciiTheme="majorBidi" w:hAnsiTheme="majorBidi" w:cstheme="majorBidi"/>
          <w:sz w:val="20"/>
          <w:szCs w:val="20"/>
        </w:rPr>
      </w:pPr>
      <w:r w:rsidRPr="006A1E2F">
        <w:rPr>
          <w:rStyle w:val="FootnoteReference"/>
          <w:rFonts w:asciiTheme="majorBidi" w:hAnsiTheme="majorBidi" w:cstheme="majorBidi"/>
          <w:sz w:val="20"/>
          <w:szCs w:val="20"/>
        </w:rPr>
        <w:footnoteRef/>
      </w:r>
      <w:r w:rsidRPr="006A1E2F">
        <w:rPr>
          <w:rFonts w:asciiTheme="majorBidi" w:hAnsiTheme="majorBidi" w:cstheme="majorBidi"/>
          <w:sz w:val="20"/>
          <w:szCs w:val="20"/>
          <w:rtl/>
        </w:rPr>
        <w:t xml:space="preserve"> </w:t>
      </w:r>
      <w:r w:rsidR="005F2DDA" w:rsidRPr="006A1E2F">
        <w:rPr>
          <w:rFonts w:asciiTheme="majorBidi" w:hAnsiTheme="majorBidi" w:cstheme="majorBidi"/>
          <w:i/>
          <w:iCs/>
          <w:sz w:val="20"/>
          <w:szCs w:val="20"/>
        </w:rPr>
        <w:t>Talmud</w:t>
      </w:r>
      <w:r w:rsidR="00666EE1" w:rsidRPr="006A1E2F">
        <w:rPr>
          <w:rFonts w:asciiTheme="majorBidi" w:hAnsiTheme="majorBidi" w:cstheme="majorBidi"/>
          <w:sz w:val="20"/>
          <w:szCs w:val="20"/>
        </w:rPr>
        <w:t>,</w:t>
      </w:r>
      <w:r w:rsidR="005F2DDA" w:rsidRPr="006A1E2F">
        <w:rPr>
          <w:rFonts w:asciiTheme="majorBidi" w:hAnsiTheme="majorBidi" w:cstheme="majorBidi"/>
          <w:sz w:val="20"/>
          <w:szCs w:val="20"/>
        </w:rPr>
        <w:t xml:space="preserve"> Sanhedrin 74a, Yoma 85a</w:t>
      </w:r>
      <w:r w:rsidR="00666EE1" w:rsidRPr="006A1E2F">
        <w:rPr>
          <w:rFonts w:asciiTheme="majorBidi" w:hAnsiTheme="majorBidi" w:cstheme="majorBidi"/>
          <w:sz w:val="20"/>
          <w:szCs w:val="20"/>
        </w:rPr>
        <w:t>;</w:t>
      </w:r>
      <w:r w:rsidR="005F2DDA" w:rsidRPr="006A1E2F">
        <w:rPr>
          <w:rFonts w:asciiTheme="majorBidi" w:hAnsiTheme="majorBidi" w:cstheme="majorBidi"/>
          <w:sz w:val="20"/>
          <w:szCs w:val="20"/>
        </w:rPr>
        <w:t xml:space="preserve"> </w:t>
      </w:r>
      <w:r w:rsidR="00666EE1" w:rsidRPr="001F509E">
        <w:rPr>
          <w:rFonts w:asciiTheme="majorBidi" w:hAnsiTheme="majorBidi" w:cstheme="majorBidi"/>
          <w:sz w:val="20"/>
          <w:szCs w:val="22"/>
        </w:rPr>
        <w:t>Maimonides</w:t>
      </w:r>
      <w:r w:rsidR="00666EE1" w:rsidRPr="006A1E2F">
        <w:rPr>
          <w:rFonts w:asciiTheme="majorBidi" w:hAnsiTheme="majorBidi" w:cstheme="majorBidi"/>
        </w:rPr>
        <w:t xml:space="preserve">, </w:t>
      </w:r>
      <w:r w:rsidR="00666EE1" w:rsidRPr="000D455D">
        <w:rPr>
          <w:rFonts w:asciiTheme="majorBidi" w:hAnsiTheme="majorBidi" w:cstheme="majorBidi"/>
          <w:i/>
          <w:iCs/>
          <w:sz w:val="20"/>
          <w:szCs w:val="20"/>
        </w:rPr>
        <w:t>Mishneh Torah</w:t>
      </w:r>
      <w:r w:rsidR="000D455D" w:rsidRPr="000D455D">
        <w:rPr>
          <w:rFonts w:asciiTheme="majorBidi" w:hAnsiTheme="majorBidi" w:cstheme="majorBidi"/>
          <w:i/>
          <w:iCs/>
          <w:sz w:val="20"/>
          <w:szCs w:val="20"/>
        </w:rPr>
        <w:t xml:space="preserve"> - Yesodei ha-Torah (‘Foundations of the Torah’) </w:t>
      </w:r>
      <w:r w:rsidR="00666EE1" w:rsidRPr="000D455D">
        <w:rPr>
          <w:rFonts w:asciiTheme="majorBidi" w:hAnsiTheme="majorBidi" w:cstheme="majorBidi"/>
          <w:sz w:val="20"/>
          <w:szCs w:val="20"/>
        </w:rPr>
        <w:t xml:space="preserve">5:1, </w:t>
      </w:r>
      <w:r w:rsidR="005F2DDA" w:rsidRPr="000D455D">
        <w:rPr>
          <w:rFonts w:asciiTheme="majorBidi" w:hAnsiTheme="majorBidi" w:cstheme="majorBidi"/>
          <w:sz w:val="20"/>
          <w:szCs w:val="20"/>
        </w:rPr>
        <w:t>Shabbat</w:t>
      </w:r>
      <w:r w:rsidR="00666EE1" w:rsidRPr="000D455D">
        <w:rPr>
          <w:rFonts w:asciiTheme="majorBidi" w:hAnsiTheme="majorBidi" w:cstheme="majorBidi"/>
          <w:sz w:val="20"/>
          <w:szCs w:val="20"/>
        </w:rPr>
        <w:t xml:space="preserve"> 2:3;</w:t>
      </w:r>
      <w:r w:rsidR="005F2DDA" w:rsidRPr="000D455D">
        <w:rPr>
          <w:rFonts w:asciiTheme="majorBidi" w:hAnsiTheme="majorBidi" w:cstheme="majorBidi"/>
          <w:sz w:val="20"/>
          <w:szCs w:val="20"/>
        </w:rPr>
        <w:t xml:space="preserve"> </w:t>
      </w:r>
      <w:r w:rsidR="00666EE1" w:rsidRPr="000D455D">
        <w:rPr>
          <w:rFonts w:asciiTheme="majorBidi" w:hAnsiTheme="majorBidi" w:cstheme="majorBidi"/>
          <w:sz w:val="20"/>
          <w:szCs w:val="20"/>
        </w:rPr>
        <w:t xml:space="preserve">Joseph Karo, </w:t>
      </w:r>
      <w:r w:rsidR="00666EE1" w:rsidRPr="000D455D">
        <w:rPr>
          <w:rFonts w:asciiTheme="majorBidi" w:hAnsiTheme="majorBidi" w:cstheme="majorBidi"/>
          <w:i/>
          <w:iCs/>
          <w:sz w:val="20"/>
          <w:szCs w:val="20"/>
        </w:rPr>
        <w:t>Shulchan Aruch</w:t>
      </w:r>
      <w:r w:rsidR="00666EE1" w:rsidRPr="000D455D">
        <w:rPr>
          <w:rFonts w:asciiTheme="majorBidi" w:hAnsiTheme="majorBidi" w:cstheme="majorBidi"/>
          <w:sz w:val="20"/>
          <w:szCs w:val="20"/>
        </w:rPr>
        <w:t xml:space="preserve">, Orach Chaim </w:t>
      </w:r>
      <w:r w:rsidR="005F2DDA" w:rsidRPr="000D455D">
        <w:rPr>
          <w:rFonts w:asciiTheme="majorBidi" w:hAnsiTheme="majorBidi" w:cstheme="majorBidi"/>
          <w:sz w:val="20"/>
          <w:szCs w:val="20"/>
        </w:rPr>
        <w:t>329:1.</w:t>
      </w:r>
    </w:p>
  </w:footnote>
  <w:footnote w:id="11">
    <w:p w14:paraId="1842D66E" w14:textId="32F58364" w:rsidR="00E320AF" w:rsidRPr="00F11937" w:rsidRDefault="00E320AF" w:rsidP="00A20B7C">
      <w:pPr>
        <w:bidi w:val="0"/>
        <w:spacing w:after="0" w:line="240" w:lineRule="auto"/>
        <w:jc w:val="both"/>
        <w:rPr>
          <w:rFonts w:asciiTheme="majorBidi" w:hAnsiTheme="majorBidi" w:cstheme="majorBidi"/>
          <w:sz w:val="20"/>
          <w:szCs w:val="20"/>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00AE000B" w:rsidRPr="00F11937">
        <w:rPr>
          <w:rFonts w:asciiTheme="majorBidi" w:hAnsiTheme="majorBidi" w:cstheme="majorBidi"/>
          <w:sz w:val="20"/>
          <w:szCs w:val="20"/>
        </w:rPr>
        <w:t xml:space="preserve">The agreement was signed between Muhammad and the people of Quraysh in </w:t>
      </w:r>
      <w:proofErr w:type="gramStart"/>
      <w:r w:rsidR="00AE000B" w:rsidRPr="00F11937">
        <w:rPr>
          <w:rFonts w:asciiTheme="majorBidi" w:hAnsiTheme="majorBidi" w:cstheme="majorBidi"/>
          <w:sz w:val="20"/>
          <w:szCs w:val="20"/>
        </w:rPr>
        <w:t>628, and</w:t>
      </w:r>
      <w:proofErr w:type="gramEnd"/>
      <w:r w:rsidR="00AE000B" w:rsidRPr="00F11937">
        <w:rPr>
          <w:rFonts w:asciiTheme="majorBidi" w:hAnsiTheme="majorBidi" w:cstheme="majorBidi"/>
          <w:sz w:val="20"/>
          <w:szCs w:val="20"/>
        </w:rPr>
        <w:t xml:space="preserve"> was violated two years later when the Muslims conquered Mecca. On one hand, the </w:t>
      </w:r>
      <w:r w:rsidR="00E81652">
        <w:rPr>
          <w:rFonts w:asciiTheme="majorBidi" w:hAnsiTheme="majorBidi" w:cstheme="majorBidi"/>
          <w:sz w:val="20"/>
          <w:szCs w:val="20"/>
        </w:rPr>
        <w:t>Treaty of Al-</w:t>
      </w:r>
      <w:r w:rsidR="00E81652" w:rsidRPr="00E81652">
        <w:rPr>
          <w:rFonts w:asciiTheme="majorBidi" w:hAnsiTheme="majorBidi" w:cstheme="majorBidi"/>
          <w:sz w:val="20"/>
          <w:szCs w:val="20"/>
        </w:rPr>
        <w:t>Hudaybiya</w:t>
      </w:r>
      <w:r w:rsidR="00E81652">
        <w:rPr>
          <w:rFonts w:asciiTheme="majorBidi" w:hAnsiTheme="majorBidi" w:cstheme="majorBidi"/>
          <w:sz w:val="20"/>
          <w:szCs w:val="20"/>
        </w:rPr>
        <w:t xml:space="preserve"> </w:t>
      </w:r>
      <w:r w:rsidR="00AE000B" w:rsidRPr="00F11937">
        <w:rPr>
          <w:rFonts w:asciiTheme="majorBidi" w:hAnsiTheme="majorBidi" w:cstheme="majorBidi"/>
          <w:sz w:val="20"/>
          <w:szCs w:val="20"/>
        </w:rPr>
        <w:t xml:space="preserve">justifies making a long-term peace agreement under conditions of inferiority that includes terms unfavorable to Muslims and recognition of the infidel enemy who dispossessed the Muslims, just like Israel for the Palestinians. On the other hand, the </w:t>
      </w:r>
      <w:r w:rsidR="00E81652">
        <w:rPr>
          <w:rFonts w:asciiTheme="majorBidi" w:hAnsiTheme="majorBidi" w:cstheme="majorBidi"/>
          <w:sz w:val="20"/>
          <w:szCs w:val="20"/>
        </w:rPr>
        <w:t>Treaty of Al-</w:t>
      </w:r>
      <w:r w:rsidR="00E81652" w:rsidRPr="00E81652">
        <w:rPr>
          <w:rFonts w:asciiTheme="majorBidi" w:hAnsiTheme="majorBidi" w:cstheme="majorBidi"/>
          <w:sz w:val="20"/>
          <w:szCs w:val="20"/>
        </w:rPr>
        <w:t>Hudaybiya</w:t>
      </w:r>
      <w:r w:rsidR="00E81652">
        <w:rPr>
          <w:rFonts w:asciiTheme="majorBidi" w:hAnsiTheme="majorBidi" w:cstheme="majorBidi"/>
          <w:sz w:val="20"/>
          <w:szCs w:val="20"/>
        </w:rPr>
        <w:t xml:space="preserve"> </w:t>
      </w:r>
      <w:r w:rsidR="00AE000B" w:rsidRPr="00F11937">
        <w:rPr>
          <w:rFonts w:asciiTheme="majorBidi" w:hAnsiTheme="majorBidi" w:cstheme="majorBidi"/>
          <w:sz w:val="20"/>
          <w:szCs w:val="20"/>
        </w:rPr>
        <w:t xml:space="preserve">had significant benefits for Muhammad and the Muslim community, including recognition of Islam, and the dissolution of the alliance between Mecca and Khaybar, consequently allowing the latter's conquest and gaining wealth and prestige. Therefore, many interpret it as a ruse meant to be violated from the outset. In this vein, the agreement was mentioned by Arafat in a controversial 1994 Johannesburg speech, </w:t>
      </w:r>
      <w:hyperlink r:id="rId1" w:history="1">
        <w:r w:rsidR="00AE000B" w:rsidRPr="00F11937">
          <w:rPr>
            <w:rStyle w:val="Hyperlink"/>
            <w:rFonts w:asciiTheme="majorBidi" w:hAnsiTheme="majorBidi" w:cstheme="majorBidi"/>
            <w:sz w:val="20"/>
            <w:szCs w:val="20"/>
          </w:rPr>
          <w:t>https://bit.ly/3j0JfnV</w:t>
        </w:r>
      </w:hyperlink>
      <w:r w:rsidR="00AE000B" w:rsidRPr="00F11937">
        <w:rPr>
          <w:rFonts w:asciiTheme="majorBidi" w:hAnsiTheme="majorBidi" w:cstheme="majorBidi"/>
          <w:sz w:val="20"/>
          <w:szCs w:val="20"/>
        </w:rPr>
        <w:t>. In addition, there were other precedents of Muhammad and his successors making peace treaties with other idolaters. For further reading:</w:t>
      </w:r>
      <w:r w:rsidR="001F667F">
        <w:rPr>
          <w:rFonts w:asciiTheme="majorBidi" w:hAnsiTheme="majorBidi" w:cstheme="majorBidi"/>
          <w:sz w:val="20"/>
          <w:szCs w:val="20"/>
        </w:rPr>
        <w:t xml:space="preserve"> </w:t>
      </w:r>
      <w:r w:rsidR="001F667F" w:rsidRPr="00F11937">
        <w:rPr>
          <w:rFonts w:asciiTheme="majorBidi" w:hAnsiTheme="majorBidi" w:cstheme="majorBidi"/>
          <w:sz w:val="20"/>
          <w:szCs w:val="20"/>
        </w:rPr>
        <w:t xml:space="preserve">Hererah and Karsel, </w:t>
      </w:r>
      <w:r w:rsidR="001F667F" w:rsidRPr="001F667F">
        <w:rPr>
          <w:rFonts w:asciiTheme="majorBidi" w:hAnsiTheme="majorBidi" w:cstheme="majorBidi"/>
          <w:i/>
          <w:iCs/>
          <w:sz w:val="20"/>
          <w:szCs w:val="20"/>
        </w:rPr>
        <w:t>Jihad -</w:t>
      </w:r>
      <w:r w:rsidR="001F667F" w:rsidRPr="00F11937">
        <w:rPr>
          <w:rFonts w:asciiTheme="majorBidi" w:hAnsiTheme="majorBidi" w:cstheme="majorBidi"/>
          <w:sz w:val="20"/>
          <w:szCs w:val="20"/>
        </w:rPr>
        <w:t xml:space="preserve"> </w:t>
      </w:r>
      <w:r w:rsidR="001F667F" w:rsidRPr="00F11937">
        <w:rPr>
          <w:rFonts w:asciiTheme="majorBidi" w:hAnsiTheme="majorBidi" w:cstheme="majorBidi"/>
          <w:i/>
          <w:iCs/>
          <w:sz w:val="20"/>
          <w:szCs w:val="20"/>
        </w:rPr>
        <w:t>Between Law and Practice</w:t>
      </w:r>
      <w:r w:rsidR="001F667F" w:rsidRPr="00F11937">
        <w:rPr>
          <w:rFonts w:asciiTheme="majorBidi" w:hAnsiTheme="majorBidi" w:cstheme="majorBidi"/>
          <w:sz w:val="20"/>
          <w:szCs w:val="20"/>
        </w:rPr>
        <w:t>, pp. 94-97</w:t>
      </w:r>
      <w:r w:rsidR="00AE000B" w:rsidRPr="00F11937">
        <w:rPr>
          <w:rFonts w:asciiTheme="majorBidi" w:hAnsiTheme="majorBidi" w:cstheme="majorBidi"/>
          <w:sz w:val="20"/>
          <w:szCs w:val="20"/>
        </w:rPr>
        <w:t xml:space="preserve"> Khadduri, </w:t>
      </w:r>
      <w:r w:rsidR="00AE000B" w:rsidRPr="00F11937">
        <w:rPr>
          <w:rFonts w:asciiTheme="majorBidi" w:hAnsiTheme="majorBidi" w:cstheme="majorBidi"/>
          <w:i/>
          <w:iCs/>
          <w:sz w:val="20"/>
          <w:szCs w:val="20"/>
        </w:rPr>
        <w:t>War and Peace in the Law of Islam</w:t>
      </w:r>
      <w:r w:rsidR="00AE000B" w:rsidRPr="00F11937">
        <w:rPr>
          <w:rFonts w:asciiTheme="majorBidi" w:hAnsiTheme="majorBidi" w:cstheme="majorBidi"/>
          <w:sz w:val="20"/>
          <w:szCs w:val="20"/>
        </w:rPr>
        <w:t xml:space="preserve">, pp. 51-133; Reiter, </w:t>
      </w:r>
      <w:r w:rsidR="00AE000B" w:rsidRPr="00F11937">
        <w:rPr>
          <w:rFonts w:asciiTheme="majorBidi" w:hAnsiTheme="majorBidi" w:cstheme="majorBidi"/>
          <w:i/>
          <w:iCs/>
          <w:sz w:val="20"/>
          <w:szCs w:val="20"/>
        </w:rPr>
        <w:t>War, Peace and International Relations in Contemporary Islam</w:t>
      </w:r>
      <w:r w:rsidR="00AE000B" w:rsidRPr="00F11937">
        <w:rPr>
          <w:rFonts w:asciiTheme="majorBidi" w:hAnsiTheme="majorBidi" w:cstheme="majorBidi"/>
          <w:sz w:val="20"/>
          <w:szCs w:val="20"/>
        </w:rPr>
        <w:t xml:space="preserve">, pp. 14-57; </w:t>
      </w:r>
      <w:r w:rsidR="00AE000B" w:rsidRPr="00FC4F54">
        <w:rPr>
          <w:rFonts w:asciiTheme="majorBidi" w:hAnsiTheme="majorBidi" w:cstheme="majorBidi"/>
          <w:sz w:val="20"/>
          <w:szCs w:val="20"/>
        </w:rPr>
        <w:t xml:space="preserve">Al-Qaradawi, </w:t>
      </w:r>
      <w:r w:rsidR="00FC4F54" w:rsidRPr="00395EA4">
        <w:rPr>
          <w:rFonts w:asciiTheme="majorBidi" w:hAnsiTheme="majorBidi" w:cstheme="majorBidi"/>
          <w:i/>
          <w:iCs/>
          <w:sz w:val="20"/>
          <w:szCs w:val="20"/>
        </w:rPr>
        <w:t xml:space="preserve">Fiqh al-Jihad </w:t>
      </w:r>
      <w:r w:rsidR="00E84DFE" w:rsidRPr="00395EA4">
        <w:rPr>
          <w:rFonts w:asciiTheme="majorBidi" w:hAnsiTheme="majorBidi" w:cstheme="majorBidi"/>
          <w:i/>
          <w:iCs/>
          <w:sz w:val="20"/>
          <w:szCs w:val="20"/>
        </w:rPr>
        <w:t>("</w:t>
      </w:r>
      <w:r w:rsidR="00AE000B" w:rsidRPr="00395EA4">
        <w:rPr>
          <w:rFonts w:asciiTheme="majorBidi" w:hAnsiTheme="majorBidi" w:cstheme="majorBidi"/>
          <w:i/>
          <w:iCs/>
          <w:sz w:val="20"/>
          <w:szCs w:val="20"/>
        </w:rPr>
        <w:t>Jurisprudence of Jihad</w:t>
      </w:r>
      <w:r w:rsidR="00E84DFE" w:rsidRPr="00395EA4">
        <w:rPr>
          <w:rFonts w:asciiTheme="majorBidi" w:hAnsiTheme="majorBidi" w:cstheme="majorBidi"/>
          <w:i/>
          <w:iCs/>
          <w:sz w:val="20"/>
          <w:szCs w:val="20"/>
        </w:rPr>
        <w:t>")</w:t>
      </w:r>
      <w:r w:rsidR="00AE000B" w:rsidRPr="00FC4F54">
        <w:rPr>
          <w:rFonts w:asciiTheme="majorBidi" w:hAnsiTheme="majorBidi" w:cstheme="majorBidi"/>
          <w:sz w:val="20"/>
          <w:szCs w:val="20"/>
        </w:rPr>
        <w:t xml:space="preserve">; </w:t>
      </w:r>
      <w:r w:rsidR="00AE000B" w:rsidRPr="007B5D14">
        <w:rPr>
          <w:rFonts w:asciiTheme="majorBidi" w:hAnsiTheme="majorBidi" w:cstheme="majorBidi"/>
          <w:sz w:val="20"/>
          <w:szCs w:val="20"/>
        </w:rPr>
        <w:t xml:space="preserve">Adlan, </w:t>
      </w:r>
      <w:r w:rsidR="00FC4F54" w:rsidRPr="007B5D14">
        <w:rPr>
          <w:rFonts w:asciiTheme="majorBidi" w:hAnsiTheme="majorBidi" w:cstheme="majorBidi"/>
          <w:sz w:val="20"/>
          <w:szCs w:val="20"/>
        </w:rPr>
        <w:t>"Fataw-I al-</w:t>
      </w:r>
      <w:r w:rsidR="007B5D14" w:rsidRPr="007B5D14">
        <w:rPr>
          <w:rFonts w:asciiTheme="majorBidi" w:hAnsiTheme="majorBidi" w:cstheme="majorBidi"/>
          <w:sz w:val="20"/>
          <w:szCs w:val="20"/>
        </w:rPr>
        <w:t>Sheikh Ibn Baz an al-Tatbi"</w:t>
      </w:r>
      <w:r w:rsidR="00FC4F54" w:rsidRPr="007B5D14">
        <w:rPr>
          <w:rFonts w:asciiTheme="majorBidi" w:hAnsiTheme="majorBidi" w:cstheme="majorBidi"/>
          <w:sz w:val="20"/>
          <w:szCs w:val="20"/>
        </w:rPr>
        <w:t xml:space="preserve"> (</w:t>
      </w:r>
      <w:r w:rsidR="00AE000B" w:rsidRPr="007B5D14">
        <w:rPr>
          <w:rFonts w:asciiTheme="majorBidi" w:hAnsiTheme="majorBidi" w:cstheme="majorBidi"/>
          <w:sz w:val="20"/>
          <w:szCs w:val="20"/>
        </w:rPr>
        <w:t>"Ibn Baz's Fatwa on Normalization"</w:t>
      </w:r>
      <w:r w:rsidR="00FC4F54" w:rsidRPr="007B5D14">
        <w:rPr>
          <w:rFonts w:asciiTheme="majorBidi" w:hAnsiTheme="majorBidi" w:cstheme="majorBidi"/>
          <w:sz w:val="20"/>
          <w:szCs w:val="20"/>
        </w:rPr>
        <w:t>)</w:t>
      </w:r>
      <w:r w:rsidR="00AE000B" w:rsidRPr="007B5D14">
        <w:rPr>
          <w:rFonts w:asciiTheme="majorBidi" w:hAnsiTheme="majorBidi" w:cstheme="majorBidi"/>
          <w:sz w:val="20"/>
          <w:szCs w:val="20"/>
        </w:rPr>
        <w:t xml:space="preserve">; </w:t>
      </w:r>
      <w:r w:rsidR="00D6250A" w:rsidRPr="00D6250A">
        <w:rPr>
          <w:rFonts w:asciiTheme="majorBidi" w:hAnsiTheme="majorBidi" w:cstheme="majorBidi"/>
          <w:sz w:val="20"/>
          <w:szCs w:val="20"/>
        </w:rPr>
        <w:t xml:space="preserve">Badir, "Ichlal </w:t>
      </w:r>
      <w:r w:rsidR="00FC4F54">
        <w:rPr>
          <w:rFonts w:asciiTheme="majorBidi" w:hAnsiTheme="majorBidi" w:cstheme="majorBidi"/>
          <w:sz w:val="20"/>
          <w:szCs w:val="20"/>
        </w:rPr>
        <w:t>a</w:t>
      </w:r>
      <w:r w:rsidR="00D6250A" w:rsidRPr="00D6250A">
        <w:rPr>
          <w:rFonts w:asciiTheme="majorBidi" w:hAnsiTheme="majorBidi" w:cstheme="majorBidi"/>
          <w:sz w:val="20"/>
          <w:szCs w:val="20"/>
        </w:rPr>
        <w:t xml:space="preserve">l-Salam fi </w:t>
      </w:r>
      <w:r w:rsidR="00FC4F54">
        <w:rPr>
          <w:rFonts w:asciiTheme="majorBidi" w:hAnsiTheme="majorBidi" w:cstheme="majorBidi"/>
          <w:sz w:val="20"/>
          <w:szCs w:val="20"/>
        </w:rPr>
        <w:t>a</w:t>
      </w:r>
      <w:r w:rsidR="00D6250A" w:rsidRPr="00D6250A">
        <w:rPr>
          <w:rFonts w:asciiTheme="majorBidi" w:hAnsiTheme="majorBidi" w:cstheme="majorBidi"/>
          <w:sz w:val="20"/>
          <w:szCs w:val="20"/>
        </w:rPr>
        <w:t xml:space="preserve">l-Ard </w:t>
      </w:r>
      <w:r w:rsidR="00FC4F54">
        <w:rPr>
          <w:rFonts w:asciiTheme="majorBidi" w:hAnsiTheme="majorBidi" w:cstheme="majorBidi"/>
          <w:sz w:val="20"/>
          <w:szCs w:val="20"/>
        </w:rPr>
        <w:t>a</w:t>
      </w:r>
      <w:r w:rsidR="00D6250A" w:rsidRPr="00D6250A">
        <w:rPr>
          <w:rFonts w:asciiTheme="majorBidi" w:hAnsiTheme="majorBidi" w:cstheme="majorBidi"/>
          <w:sz w:val="20"/>
          <w:szCs w:val="20"/>
        </w:rPr>
        <w:t>l-Mukadasa (Achieving Peace in the Holy Land</w:t>
      </w:r>
      <w:r w:rsidR="00D6250A">
        <w:rPr>
          <w:rFonts w:asciiTheme="majorBidi" w:hAnsiTheme="majorBidi" w:cstheme="majorBidi"/>
          <w:sz w:val="20"/>
          <w:szCs w:val="20"/>
        </w:rPr>
        <w:t>");</w:t>
      </w:r>
      <w:r w:rsidR="00AE000B" w:rsidRPr="00F11937">
        <w:rPr>
          <w:rFonts w:asciiTheme="majorBidi" w:hAnsiTheme="majorBidi" w:cstheme="majorBidi"/>
          <w:sz w:val="20"/>
          <w:szCs w:val="20"/>
        </w:rPr>
        <w:t xml:space="preserve"> Jackson, "Jihad and the Modern World", pp. 1-26; Kelsay, "On Fighting as An Individual Duty", pp. 374-383; Polka, "Centrists VS Salafists", pp. 10-25</w:t>
      </w:r>
      <w:r w:rsidR="00A20B7C">
        <w:rPr>
          <w:rFonts w:asciiTheme="majorBidi" w:hAnsiTheme="majorBidi" w:cstheme="majorBidi"/>
          <w:sz w:val="20"/>
          <w:szCs w:val="20"/>
        </w:rPr>
        <w:t>.</w:t>
      </w:r>
    </w:p>
  </w:footnote>
  <w:footnote w:id="12">
    <w:p w14:paraId="7B9A2193" w14:textId="152095EF" w:rsidR="00754B3E" w:rsidRPr="00C2380C" w:rsidRDefault="00E320AF" w:rsidP="00A20B7C">
      <w:pPr>
        <w:bidi w:val="0"/>
        <w:spacing w:after="0" w:line="240" w:lineRule="auto"/>
        <w:jc w:val="both"/>
        <w:rPr>
          <w:rFonts w:asciiTheme="majorBidi" w:hAnsiTheme="majorBidi" w:cstheme="majorBidi"/>
          <w:sz w:val="20"/>
          <w:szCs w:val="20"/>
          <w:rtl/>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00C2380C" w:rsidRPr="00F11937">
        <w:rPr>
          <w:rFonts w:asciiTheme="majorBidi" w:hAnsiTheme="majorBidi" w:cstheme="majorBidi"/>
          <w:sz w:val="20"/>
          <w:szCs w:val="20"/>
        </w:rPr>
        <w:t xml:space="preserve">Hererah and Karsel, </w:t>
      </w:r>
      <w:r w:rsidR="00C2380C" w:rsidRPr="00BE1262">
        <w:rPr>
          <w:rFonts w:asciiTheme="majorBidi" w:hAnsiTheme="majorBidi" w:cstheme="majorBidi"/>
          <w:i/>
          <w:iCs/>
          <w:sz w:val="20"/>
          <w:szCs w:val="20"/>
        </w:rPr>
        <w:t>Jihad -</w:t>
      </w:r>
      <w:r w:rsidR="00C2380C" w:rsidRPr="00F11937">
        <w:rPr>
          <w:rFonts w:asciiTheme="majorBidi" w:hAnsiTheme="majorBidi" w:cstheme="majorBidi"/>
          <w:sz w:val="20"/>
          <w:szCs w:val="20"/>
        </w:rPr>
        <w:t xml:space="preserve"> </w:t>
      </w:r>
      <w:r w:rsidR="00C2380C" w:rsidRPr="00F11937">
        <w:rPr>
          <w:rFonts w:asciiTheme="majorBidi" w:hAnsiTheme="majorBidi" w:cstheme="majorBidi"/>
          <w:i/>
          <w:iCs/>
          <w:sz w:val="20"/>
          <w:szCs w:val="20"/>
        </w:rPr>
        <w:t>Between Law and Practice</w:t>
      </w:r>
      <w:r w:rsidR="00C2380C" w:rsidRPr="00F11937">
        <w:rPr>
          <w:rFonts w:asciiTheme="majorBidi" w:hAnsiTheme="majorBidi" w:cstheme="majorBidi"/>
          <w:sz w:val="20"/>
          <w:szCs w:val="20"/>
        </w:rPr>
        <w:t xml:space="preserve">, pp. </w:t>
      </w:r>
      <w:r w:rsidR="00C2380C" w:rsidRPr="000153C1">
        <w:rPr>
          <w:rFonts w:asciiTheme="majorBidi" w:hAnsiTheme="majorBidi" w:cstheme="majorBidi"/>
          <w:sz w:val="20"/>
          <w:szCs w:val="20"/>
        </w:rPr>
        <w:t>86-91, 96, 171-190;</w:t>
      </w:r>
      <w:r w:rsidR="00C2380C">
        <w:rPr>
          <w:rFonts w:asciiTheme="majorBidi" w:hAnsiTheme="majorBidi" w:cstheme="majorBidi"/>
          <w:sz w:val="20"/>
          <w:szCs w:val="20"/>
        </w:rPr>
        <w:t xml:space="preserve"> </w:t>
      </w:r>
      <w:r w:rsidR="00C2380C" w:rsidRPr="00F11937">
        <w:rPr>
          <w:rFonts w:asciiTheme="majorBidi" w:hAnsiTheme="majorBidi" w:cstheme="majorBidi"/>
          <w:sz w:val="20"/>
          <w:szCs w:val="20"/>
        </w:rPr>
        <w:t xml:space="preserve">Khadduri, </w:t>
      </w:r>
      <w:r w:rsidR="00C2380C" w:rsidRPr="00F11937">
        <w:rPr>
          <w:rFonts w:asciiTheme="majorBidi" w:hAnsiTheme="majorBidi" w:cstheme="majorBidi"/>
          <w:i/>
          <w:iCs/>
          <w:sz w:val="20"/>
          <w:szCs w:val="20"/>
        </w:rPr>
        <w:t>War and Peace in the Law of Islam</w:t>
      </w:r>
      <w:r w:rsidR="00C2380C" w:rsidRPr="00F11937">
        <w:rPr>
          <w:rFonts w:asciiTheme="majorBidi" w:hAnsiTheme="majorBidi" w:cstheme="majorBidi"/>
          <w:sz w:val="20"/>
          <w:szCs w:val="20"/>
        </w:rPr>
        <w:t xml:space="preserve">, pp. 51-133; </w:t>
      </w:r>
      <w:r w:rsidR="00C2380C">
        <w:rPr>
          <w:rFonts w:asciiTheme="majorBidi" w:hAnsiTheme="majorBidi" w:cstheme="majorBidi"/>
          <w:sz w:val="20"/>
          <w:szCs w:val="20"/>
        </w:rPr>
        <w:t xml:space="preserve"> </w:t>
      </w:r>
      <w:r w:rsidR="00C2380C" w:rsidRPr="00F11937">
        <w:rPr>
          <w:rFonts w:asciiTheme="majorBidi" w:hAnsiTheme="majorBidi" w:cstheme="majorBidi"/>
          <w:sz w:val="20"/>
          <w:szCs w:val="20"/>
        </w:rPr>
        <w:t xml:space="preserve">Reiter, </w:t>
      </w:r>
      <w:r w:rsidR="00C2380C" w:rsidRPr="00F11937">
        <w:rPr>
          <w:rFonts w:asciiTheme="majorBidi" w:hAnsiTheme="majorBidi" w:cstheme="majorBidi"/>
          <w:i/>
          <w:iCs/>
          <w:sz w:val="20"/>
          <w:szCs w:val="20"/>
        </w:rPr>
        <w:t>War, Peace and International Relations in Contemporary Islam</w:t>
      </w:r>
      <w:r w:rsidR="00C2380C" w:rsidRPr="00F11937">
        <w:rPr>
          <w:rFonts w:asciiTheme="majorBidi" w:hAnsiTheme="majorBidi" w:cstheme="majorBidi"/>
          <w:sz w:val="20"/>
          <w:szCs w:val="20"/>
        </w:rPr>
        <w:t xml:space="preserve">, pp. </w:t>
      </w:r>
      <w:r w:rsidR="00C2380C">
        <w:rPr>
          <w:rFonts w:asciiTheme="majorBidi" w:hAnsiTheme="majorBidi" w:cstheme="majorBidi"/>
          <w:sz w:val="20"/>
          <w:szCs w:val="20"/>
        </w:rPr>
        <w:t>29</w:t>
      </w:r>
      <w:r w:rsidR="00C2380C" w:rsidRPr="00F11937">
        <w:rPr>
          <w:rFonts w:asciiTheme="majorBidi" w:hAnsiTheme="majorBidi" w:cstheme="majorBidi"/>
          <w:sz w:val="20"/>
          <w:szCs w:val="20"/>
        </w:rPr>
        <w:t>-57</w:t>
      </w:r>
      <w:r w:rsidR="00C2380C">
        <w:rPr>
          <w:rFonts w:asciiTheme="majorBidi" w:hAnsiTheme="majorBidi" w:cstheme="majorBidi"/>
          <w:sz w:val="20"/>
          <w:szCs w:val="20"/>
        </w:rPr>
        <w:t>, 108-123</w:t>
      </w:r>
      <w:r w:rsidR="00C2380C" w:rsidRPr="00F11937">
        <w:rPr>
          <w:rFonts w:asciiTheme="majorBidi" w:hAnsiTheme="majorBidi" w:cstheme="majorBidi"/>
          <w:sz w:val="20"/>
          <w:szCs w:val="20"/>
        </w:rPr>
        <w:t xml:space="preserve">; </w:t>
      </w:r>
      <w:r w:rsidR="00A20B7C" w:rsidRPr="00FC4F54">
        <w:rPr>
          <w:rFonts w:asciiTheme="majorBidi" w:hAnsiTheme="majorBidi" w:cstheme="majorBidi"/>
          <w:sz w:val="20"/>
          <w:szCs w:val="20"/>
        </w:rPr>
        <w:t>Al-Qaradawi</w:t>
      </w:r>
      <w:r w:rsidR="00A20B7C" w:rsidRPr="00395EA4">
        <w:rPr>
          <w:rFonts w:asciiTheme="majorBidi" w:hAnsiTheme="majorBidi" w:cstheme="majorBidi"/>
          <w:i/>
          <w:iCs/>
          <w:sz w:val="20"/>
          <w:szCs w:val="20"/>
        </w:rPr>
        <w:t>, Fiqh al-Jihad ("Jurisprudence of Jihad")</w:t>
      </w:r>
      <w:r w:rsidR="00A20B7C" w:rsidRPr="00FC4F54">
        <w:rPr>
          <w:rFonts w:asciiTheme="majorBidi" w:hAnsiTheme="majorBidi" w:cstheme="majorBidi"/>
          <w:sz w:val="20"/>
          <w:szCs w:val="20"/>
        </w:rPr>
        <w:t xml:space="preserve">; </w:t>
      </w:r>
      <w:r w:rsidR="00C2380C" w:rsidRPr="00A20B7C">
        <w:rPr>
          <w:rFonts w:asciiTheme="majorBidi" w:hAnsiTheme="majorBidi" w:cstheme="majorBidi"/>
          <w:sz w:val="20"/>
          <w:szCs w:val="20"/>
        </w:rPr>
        <w:t xml:space="preserve">Sarsour, </w:t>
      </w:r>
      <w:r w:rsidR="00A20B7C" w:rsidRPr="00A20B7C">
        <w:rPr>
          <w:rFonts w:asciiTheme="majorBidi" w:hAnsiTheme="majorBidi" w:cstheme="majorBidi"/>
          <w:sz w:val="20"/>
          <w:szCs w:val="20"/>
        </w:rPr>
        <w:t>"Filastin Bina al-chakika Wa-al-waham" (</w:t>
      </w:r>
      <w:r w:rsidR="00C2380C" w:rsidRPr="00A20B7C">
        <w:rPr>
          <w:rFonts w:asciiTheme="majorBidi" w:hAnsiTheme="majorBidi" w:cstheme="majorBidi"/>
          <w:sz w:val="20"/>
          <w:szCs w:val="20"/>
        </w:rPr>
        <w:t>"Palestine Between Reality and Illusion"</w:t>
      </w:r>
      <w:r w:rsidR="00A20B7C" w:rsidRPr="00A20B7C">
        <w:rPr>
          <w:rFonts w:asciiTheme="majorBidi" w:hAnsiTheme="majorBidi" w:cstheme="majorBidi"/>
          <w:sz w:val="20"/>
          <w:szCs w:val="20"/>
        </w:rPr>
        <w:t>)</w:t>
      </w:r>
      <w:r w:rsidR="00C2380C" w:rsidRPr="00A20B7C">
        <w:rPr>
          <w:rFonts w:asciiTheme="majorBidi" w:hAnsiTheme="majorBidi" w:cstheme="majorBidi"/>
          <w:sz w:val="20"/>
          <w:szCs w:val="20"/>
        </w:rPr>
        <w:t xml:space="preserve">; </w:t>
      </w:r>
      <w:r w:rsidR="00821F15" w:rsidRPr="00D6250A">
        <w:rPr>
          <w:rFonts w:asciiTheme="majorBidi" w:hAnsiTheme="majorBidi" w:cstheme="majorBidi"/>
          <w:sz w:val="20"/>
          <w:szCs w:val="20"/>
        </w:rPr>
        <w:t xml:space="preserve">Badir, "Ichlal </w:t>
      </w:r>
      <w:r w:rsidR="00FC4F54">
        <w:rPr>
          <w:rFonts w:asciiTheme="majorBidi" w:hAnsiTheme="majorBidi" w:cstheme="majorBidi"/>
          <w:sz w:val="20"/>
          <w:szCs w:val="20"/>
        </w:rPr>
        <w:t>a</w:t>
      </w:r>
      <w:r w:rsidR="00821F15" w:rsidRPr="00D6250A">
        <w:rPr>
          <w:rFonts w:asciiTheme="majorBidi" w:hAnsiTheme="majorBidi" w:cstheme="majorBidi"/>
          <w:sz w:val="20"/>
          <w:szCs w:val="20"/>
        </w:rPr>
        <w:t xml:space="preserve">l-Salam fi </w:t>
      </w:r>
      <w:r w:rsidR="00FC4F54">
        <w:rPr>
          <w:rFonts w:asciiTheme="majorBidi" w:hAnsiTheme="majorBidi" w:cstheme="majorBidi"/>
          <w:sz w:val="20"/>
          <w:szCs w:val="20"/>
        </w:rPr>
        <w:t>a</w:t>
      </w:r>
      <w:r w:rsidR="00821F15" w:rsidRPr="00D6250A">
        <w:rPr>
          <w:rFonts w:asciiTheme="majorBidi" w:hAnsiTheme="majorBidi" w:cstheme="majorBidi"/>
          <w:sz w:val="20"/>
          <w:szCs w:val="20"/>
        </w:rPr>
        <w:t xml:space="preserve">l-Ard </w:t>
      </w:r>
      <w:r w:rsidR="00FC4F54">
        <w:rPr>
          <w:rFonts w:asciiTheme="majorBidi" w:hAnsiTheme="majorBidi" w:cstheme="majorBidi"/>
          <w:sz w:val="20"/>
          <w:szCs w:val="20"/>
        </w:rPr>
        <w:t>a</w:t>
      </w:r>
      <w:r w:rsidR="00821F15" w:rsidRPr="00D6250A">
        <w:rPr>
          <w:rFonts w:asciiTheme="majorBidi" w:hAnsiTheme="majorBidi" w:cstheme="majorBidi"/>
          <w:sz w:val="20"/>
          <w:szCs w:val="20"/>
        </w:rPr>
        <w:t>l-Mukadasa (Achieving Peace in the Holy Land</w:t>
      </w:r>
      <w:r w:rsidR="00821F15" w:rsidRPr="00821F15">
        <w:rPr>
          <w:rFonts w:asciiTheme="majorBidi" w:hAnsiTheme="majorBidi" w:cstheme="majorBidi"/>
          <w:sz w:val="20"/>
          <w:szCs w:val="20"/>
        </w:rPr>
        <w:t xml:space="preserve">"); </w:t>
      </w:r>
      <w:r w:rsidR="007B5D14" w:rsidRPr="007B5D14">
        <w:rPr>
          <w:rFonts w:asciiTheme="majorBidi" w:hAnsiTheme="majorBidi" w:cstheme="majorBidi"/>
          <w:sz w:val="20"/>
          <w:szCs w:val="20"/>
        </w:rPr>
        <w:t>Adlan, "Fataw-I al-Sheikh Ibn Baz an al-Tatbi" ("Ibn Baz's Fatwa on Normalization")</w:t>
      </w:r>
      <w:r w:rsidR="007B5D14">
        <w:rPr>
          <w:rFonts w:asciiTheme="majorBidi" w:hAnsiTheme="majorBidi" w:cstheme="majorBidi"/>
          <w:sz w:val="20"/>
          <w:szCs w:val="20"/>
        </w:rPr>
        <w:t xml:space="preserve">; </w:t>
      </w:r>
      <w:r w:rsidR="00C2380C" w:rsidRPr="000153C1">
        <w:rPr>
          <w:rFonts w:asciiTheme="majorBidi" w:hAnsiTheme="majorBidi" w:cstheme="majorBidi"/>
          <w:sz w:val="20"/>
          <w:szCs w:val="20"/>
        </w:rPr>
        <w:t>Jackson, "Jihad and the Modern World", pp. 1-26; Kelsay, "On Fighting as An Individual Duty", pp. 374-383; Polka, "Centrists VS Salafists", pp. 10-25.</w:t>
      </w:r>
    </w:p>
  </w:footnote>
  <w:footnote w:id="13">
    <w:p w14:paraId="5A3E361E" w14:textId="117F13EA" w:rsidR="00E320AF" w:rsidRPr="002A7DB5" w:rsidRDefault="00E320AF" w:rsidP="002A7DB5">
      <w:pPr>
        <w:bidi w:val="0"/>
        <w:spacing w:after="0" w:line="240" w:lineRule="auto"/>
        <w:jc w:val="both"/>
        <w:rPr>
          <w:rFonts w:asciiTheme="majorBidi" w:hAnsiTheme="majorBidi" w:cstheme="majorBidi"/>
          <w:sz w:val="20"/>
          <w:szCs w:val="20"/>
          <w:rtl/>
        </w:rPr>
      </w:pPr>
      <w:r w:rsidRPr="00F11937">
        <w:rPr>
          <w:rStyle w:val="FootnoteReference"/>
          <w:rFonts w:asciiTheme="majorBidi" w:hAnsiTheme="majorBidi" w:cstheme="majorBidi"/>
          <w:sz w:val="20"/>
          <w:szCs w:val="20"/>
        </w:rPr>
        <w:footnoteRef/>
      </w:r>
      <w:r w:rsidRPr="00F11937">
        <w:rPr>
          <w:rFonts w:asciiTheme="majorBidi" w:hAnsiTheme="majorBidi" w:cstheme="majorBidi"/>
          <w:sz w:val="20"/>
          <w:szCs w:val="20"/>
          <w:rtl/>
        </w:rPr>
        <w:t xml:space="preserve"> </w:t>
      </w:r>
      <w:r w:rsidR="002A7DB5" w:rsidRPr="000153C1">
        <w:rPr>
          <w:rFonts w:asciiTheme="majorBidi" w:hAnsiTheme="majorBidi" w:cstheme="majorBidi"/>
          <w:sz w:val="20"/>
          <w:szCs w:val="20"/>
        </w:rPr>
        <w:t xml:space="preserve">Shillon, </w:t>
      </w:r>
      <w:r w:rsidR="002A7DB5" w:rsidRPr="002A7DB5">
        <w:rPr>
          <w:rFonts w:asciiTheme="majorBidi" w:hAnsiTheme="majorBidi" w:cstheme="majorBidi"/>
          <w:i/>
          <w:iCs/>
          <w:sz w:val="20"/>
          <w:szCs w:val="20"/>
        </w:rPr>
        <w:t>The Agony of the Left</w:t>
      </w:r>
      <w:r w:rsidR="002A7DB5" w:rsidRPr="000153C1">
        <w:rPr>
          <w:rFonts w:asciiTheme="majorBidi" w:hAnsiTheme="majorBidi" w:cstheme="majorBidi"/>
          <w:sz w:val="20"/>
          <w:szCs w:val="20"/>
        </w:rPr>
        <w:t>, pp. 260-269, 286; Hancock and Weiss, "Prospect Theory", pp. 427-452; Hassassian, "Why Did Oslo Fail?", pp. 114-132; Kelman, "The Israeli-Palestinian Peace Process", pp. 287-303; Smooha, "The Implications of the Transition to Peace for Israeli Society", pp. 26-45.</w:t>
      </w:r>
    </w:p>
  </w:footnote>
  <w:footnote w:id="14">
    <w:p w14:paraId="121AB997" w14:textId="767C249B" w:rsidR="00EA0325" w:rsidRPr="00EA0325" w:rsidRDefault="00EA0325" w:rsidP="00EA0325">
      <w:pPr>
        <w:pStyle w:val="FootnoteText"/>
        <w:bidi w:val="0"/>
      </w:pPr>
      <w:r>
        <w:rPr>
          <w:rStyle w:val="FootnoteReference"/>
        </w:rPr>
        <w:footnoteRef/>
      </w:r>
      <w:r>
        <w:rPr>
          <w:rtl/>
        </w:rPr>
        <w:t xml:space="preserve"> </w:t>
      </w:r>
      <w:r w:rsidRPr="00EA0325">
        <w:rPr>
          <w:rFonts w:asciiTheme="majorBidi" w:hAnsiTheme="majorBidi" w:cstheme="majorBidi"/>
        </w:rPr>
        <w:t xml:space="preserve">Reichner, </w:t>
      </w:r>
      <w:r w:rsidRPr="00EA0325">
        <w:rPr>
          <w:rFonts w:asciiTheme="majorBidi" w:hAnsiTheme="majorBidi" w:cstheme="majorBidi"/>
          <w:i/>
          <w:iCs/>
        </w:rPr>
        <w:t>Be'emunato</w:t>
      </w:r>
      <w:r w:rsidR="006F7E6E">
        <w:rPr>
          <w:rFonts w:asciiTheme="majorBidi" w:hAnsiTheme="majorBidi" w:cstheme="majorBidi"/>
        </w:rPr>
        <w:t xml:space="preserve"> </w:t>
      </w:r>
      <w:r>
        <w:rPr>
          <w:rFonts w:asciiTheme="majorBidi" w:hAnsiTheme="majorBidi" w:cstheme="majorBidi"/>
        </w:rPr>
        <w:t>(</w:t>
      </w:r>
      <w:r w:rsidR="006F7E6E">
        <w:rPr>
          <w:rFonts w:asciiTheme="majorBidi" w:hAnsiTheme="majorBidi" w:cstheme="majorBidi"/>
        </w:rPr>
        <w:t>"</w:t>
      </w:r>
      <w:r w:rsidR="006F7E6E" w:rsidRPr="006F7E6E">
        <w:rPr>
          <w:rFonts w:asciiTheme="majorBidi" w:hAnsiTheme="majorBidi" w:cstheme="majorBidi"/>
        </w:rPr>
        <w:t>in his faith</w:t>
      </w:r>
      <w:r w:rsidR="006F7E6E">
        <w:rPr>
          <w:rFonts w:asciiTheme="majorBidi" w:hAnsiTheme="majorBidi" w:cstheme="majorBidi"/>
        </w:rPr>
        <w:t>"</w:t>
      </w:r>
      <w:r>
        <w:rPr>
          <w:rFonts w:asciiTheme="majorBidi" w:hAnsiTheme="majorBidi" w:cstheme="majorBidi"/>
        </w:rPr>
        <w:t>)</w:t>
      </w:r>
      <w:r w:rsidR="006F7E6E">
        <w:rPr>
          <w:rFonts w:asciiTheme="majorBidi" w:hAnsiTheme="majorBidi" w:cstheme="majorBidi"/>
        </w:rPr>
        <w:t>,</w:t>
      </w:r>
      <w:r w:rsidRPr="00EA0325">
        <w:rPr>
          <w:rFonts w:asciiTheme="majorBidi" w:hAnsiTheme="majorBidi" w:cstheme="majorBidi"/>
        </w:rPr>
        <w:t xml:space="preserve"> pp. 5-35, 50-70, 175-210, 223-245</w:t>
      </w:r>
      <w:r w:rsidR="000126A3">
        <w:rPr>
          <w:rFonts w:asciiTheme="majorBidi" w:hAnsiTheme="majorBidi" w:cstheme="majorBidi"/>
        </w:rPr>
        <w:t>.</w:t>
      </w:r>
    </w:p>
  </w:footnote>
  <w:footnote w:id="15">
    <w:p w14:paraId="457C134F" w14:textId="5CA6CC10" w:rsidR="000B61FF" w:rsidRPr="000B61FF" w:rsidRDefault="000B61FF" w:rsidP="000B61FF">
      <w:pPr>
        <w:bidi w:val="0"/>
        <w:spacing w:after="0" w:line="240" w:lineRule="auto"/>
        <w:jc w:val="both"/>
        <w:rPr>
          <w:rFonts w:asciiTheme="majorBidi" w:hAnsiTheme="majorBidi" w:cstheme="majorBidi"/>
          <w:sz w:val="24"/>
        </w:rPr>
      </w:pPr>
      <w:r>
        <w:rPr>
          <w:rStyle w:val="FootnoteReference"/>
        </w:rPr>
        <w:footnoteRef/>
      </w:r>
      <w:r>
        <w:rPr>
          <w:rtl/>
        </w:rPr>
        <w:t xml:space="preserve"> </w:t>
      </w:r>
      <w:r w:rsidRPr="00DD33B8">
        <w:rPr>
          <w:rFonts w:asciiTheme="majorBidi" w:hAnsiTheme="majorBidi" w:cstheme="majorBidi"/>
          <w:sz w:val="20"/>
          <w:szCs w:val="20"/>
        </w:rPr>
        <w:t xml:space="preserve">Amital, </w:t>
      </w:r>
      <w:r w:rsidRPr="00DD33B8">
        <w:rPr>
          <w:rFonts w:asciiTheme="majorBidi" w:hAnsiTheme="majorBidi" w:cstheme="majorBidi"/>
          <w:i/>
          <w:iCs/>
          <w:sz w:val="20"/>
          <w:szCs w:val="20"/>
        </w:rPr>
        <w:t>Ve'haaretz natan li'Bnei Adam</w:t>
      </w:r>
      <w:r w:rsidRPr="00DD33B8">
        <w:rPr>
          <w:rFonts w:asciiTheme="majorBidi" w:hAnsiTheme="majorBidi" w:cstheme="majorBidi"/>
          <w:sz w:val="20"/>
          <w:szCs w:val="20"/>
        </w:rPr>
        <w:t>, p. 149</w:t>
      </w:r>
      <w:r>
        <w:rPr>
          <w:rFonts w:asciiTheme="majorBidi" w:hAnsiTheme="majorBidi" w:cstheme="majorBidi"/>
          <w:sz w:val="20"/>
          <w:szCs w:val="20"/>
        </w:rPr>
        <w:t xml:space="preserve">; </w:t>
      </w:r>
      <w:r w:rsidRPr="00DD33B8">
        <w:rPr>
          <w:rFonts w:asciiTheme="majorBidi" w:hAnsiTheme="majorBidi" w:cstheme="majorBidi"/>
          <w:sz w:val="20"/>
          <w:szCs w:val="20"/>
        </w:rPr>
        <w:t>Amital, "The Religious Meaning of Israel."</w:t>
      </w:r>
    </w:p>
  </w:footnote>
  <w:footnote w:id="16">
    <w:p w14:paraId="1E00D26D" w14:textId="2D8D1CFD" w:rsidR="00B4049B" w:rsidRPr="00B4049B" w:rsidRDefault="00B4049B" w:rsidP="00B4049B">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B4049B">
        <w:rPr>
          <w:rFonts w:asciiTheme="majorBidi" w:hAnsiTheme="majorBidi" w:cstheme="majorBidi"/>
          <w:sz w:val="20"/>
          <w:szCs w:val="20"/>
        </w:rPr>
        <w:t xml:space="preserve">The meeting </w:t>
      </w:r>
      <w:r w:rsidR="000126A3">
        <w:rPr>
          <w:rFonts w:asciiTheme="majorBidi" w:hAnsiTheme="majorBidi" w:cstheme="majorBidi"/>
          <w:sz w:val="20"/>
          <w:szCs w:val="20"/>
        </w:rPr>
        <w:t>was</w:t>
      </w:r>
      <w:r w:rsidRPr="00B4049B">
        <w:rPr>
          <w:rFonts w:asciiTheme="majorBidi" w:hAnsiTheme="majorBidi" w:cstheme="majorBidi"/>
          <w:sz w:val="20"/>
          <w:szCs w:val="20"/>
        </w:rPr>
        <w:t xml:space="preserve"> on 9</w:t>
      </w:r>
      <w:r w:rsidR="000126A3">
        <w:rPr>
          <w:rFonts w:asciiTheme="majorBidi" w:hAnsiTheme="majorBidi" w:cstheme="majorBidi"/>
          <w:sz w:val="20"/>
          <w:szCs w:val="20"/>
        </w:rPr>
        <w:t>.</w:t>
      </w:r>
      <w:r w:rsidRPr="00B4049B">
        <w:rPr>
          <w:rFonts w:asciiTheme="majorBidi" w:hAnsiTheme="majorBidi" w:cstheme="majorBidi"/>
          <w:sz w:val="20"/>
          <w:szCs w:val="20"/>
        </w:rPr>
        <w:t>22</w:t>
      </w:r>
      <w:r w:rsidR="000126A3">
        <w:rPr>
          <w:rFonts w:asciiTheme="majorBidi" w:hAnsiTheme="majorBidi" w:cstheme="majorBidi"/>
          <w:sz w:val="20"/>
          <w:szCs w:val="20"/>
        </w:rPr>
        <w:t>.</w:t>
      </w:r>
      <w:r w:rsidRPr="00B4049B">
        <w:rPr>
          <w:rFonts w:asciiTheme="majorBidi" w:hAnsiTheme="majorBidi" w:cstheme="majorBidi"/>
          <w:sz w:val="20"/>
          <w:szCs w:val="20"/>
        </w:rPr>
        <w:t xml:space="preserve">1993. Reichner, </w:t>
      </w:r>
      <w:r w:rsidRPr="00B4049B">
        <w:rPr>
          <w:rFonts w:asciiTheme="majorBidi" w:hAnsiTheme="majorBidi" w:cstheme="majorBidi"/>
          <w:i/>
          <w:iCs/>
          <w:sz w:val="20"/>
          <w:szCs w:val="20"/>
        </w:rPr>
        <w:t>Be'emunato</w:t>
      </w:r>
      <w:r w:rsidRPr="00B4049B">
        <w:rPr>
          <w:rFonts w:asciiTheme="majorBidi" w:hAnsiTheme="majorBidi" w:cstheme="majorBidi"/>
          <w:sz w:val="20"/>
          <w:szCs w:val="20"/>
        </w:rPr>
        <w:t>, pp. 193-207</w:t>
      </w:r>
      <w:r w:rsidR="000126A3">
        <w:rPr>
          <w:rFonts w:asciiTheme="majorBidi" w:hAnsiTheme="majorBidi" w:cstheme="majorBidi"/>
          <w:sz w:val="20"/>
          <w:szCs w:val="20"/>
        </w:rPr>
        <w:t>.</w:t>
      </w:r>
    </w:p>
  </w:footnote>
  <w:footnote w:id="17">
    <w:p w14:paraId="2EF452F6" w14:textId="18E27719" w:rsidR="00B4049B" w:rsidRPr="00B658DF" w:rsidRDefault="00B4049B" w:rsidP="00B658DF">
      <w:pPr>
        <w:bidi w:val="0"/>
        <w:spacing w:after="0" w:line="240" w:lineRule="auto"/>
        <w:jc w:val="both"/>
        <w:rPr>
          <w:rFonts w:asciiTheme="majorBidi" w:hAnsiTheme="majorBidi" w:cstheme="majorBidi"/>
          <w:i/>
          <w:iCs/>
          <w:sz w:val="20"/>
          <w:szCs w:val="20"/>
        </w:rPr>
      </w:pPr>
      <w:r>
        <w:rPr>
          <w:rStyle w:val="FootnoteReference"/>
        </w:rPr>
        <w:footnoteRef/>
      </w:r>
      <w:r>
        <w:rPr>
          <w:rtl/>
        </w:rPr>
        <w:t xml:space="preserve"> </w:t>
      </w:r>
      <w:r w:rsidRPr="00B4049B">
        <w:rPr>
          <w:rFonts w:asciiTheme="majorBidi" w:hAnsiTheme="majorBidi" w:cstheme="majorBidi"/>
          <w:sz w:val="20"/>
          <w:szCs w:val="20"/>
        </w:rPr>
        <w:t>Yosef, "Returning Parts of the Land of Israel in a Life-Threatening Situation</w:t>
      </w:r>
      <w:r>
        <w:rPr>
          <w:rFonts w:asciiTheme="majorBidi" w:hAnsiTheme="majorBidi" w:cstheme="majorBidi"/>
          <w:sz w:val="20"/>
          <w:szCs w:val="20"/>
        </w:rPr>
        <w:t>"</w:t>
      </w:r>
      <w:r w:rsidRPr="00B4049B">
        <w:rPr>
          <w:rFonts w:asciiTheme="majorBidi" w:hAnsiTheme="majorBidi" w:cstheme="majorBidi"/>
          <w:sz w:val="20"/>
          <w:szCs w:val="20"/>
        </w:rPr>
        <w:t>. For more see S</w:t>
      </w:r>
      <w:r w:rsidR="000126A3">
        <w:rPr>
          <w:rFonts w:asciiTheme="majorBidi" w:hAnsiTheme="majorBidi" w:cstheme="majorBidi"/>
          <w:sz w:val="20"/>
          <w:szCs w:val="20"/>
        </w:rPr>
        <w:t>chuz</w:t>
      </w:r>
      <w:r w:rsidRPr="00B4049B">
        <w:rPr>
          <w:rFonts w:asciiTheme="majorBidi" w:hAnsiTheme="majorBidi" w:cstheme="majorBidi"/>
          <w:sz w:val="20"/>
          <w:szCs w:val="20"/>
        </w:rPr>
        <w:t>,</w:t>
      </w:r>
      <w:r w:rsidR="00B658DF">
        <w:rPr>
          <w:rFonts w:asciiTheme="majorBidi" w:hAnsiTheme="majorBidi" w:cstheme="majorBidi"/>
          <w:sz w:val="20"/>
          <w:szCs w:val="20"/>
        </w:rPr>
        <w:t xml:space="preserve"> </w:t>
      </w:r>
      <w:r w:rsidR="00B658DF" w:rsidRPr="00B658DF">
        <w:rPr>
          <w:rFonts w:asciiTheme="majorBidi" w:hAnsiTheme="majorBidi" w:cstheme="majorBidi"/>
          <w:i/>
          <w:iCs/>
          <w:sz w:val="20"/>
          <w:szCs w:val="20"/>
        </w:rPr>
        <w:t>Attitudes of Jewish and Muslim Religious Leaders</w:t>
      </w:r>
      <w:r w:rsidR="00B658DF">
        <w:rPr>
          <w:rFonts w:asciiTheme="majorBidi" w:hAnsiTheme="majorBidi" w:cstheme="majorBidi"/>
          <w:i/>
          <w:iCs/>
          <w:sz w:val="20"/>
          <w:szCs w:val="20"/>
        </w:rPr>
        <w:t xml:space="preserve"> </w:t>
      </w:r>
      <w:r w:rsidR="00B658DF" w:rsidRPr="00B658DF">
        <w:rPr>
          <w:rFonts w:asciiTheme="majorBidi" w:hAnsiTheme="majorBidi" w:cstheme="majorBidi"/>
          <w:i/>
          <w:iCs/>
          <w:sz w:val="20"/>
          <w:szCs w:val="20"/>
        </w:rPr>
        <w:t>Towards the Declaration of Principles</w:t>
      </w:r>
      <w:r w:rsidR="00B658DF">
        <w:rPr>
          <w:rFonts w:asciiTheme="majorBidi" w:hAnsiTheme="majorBidi" w:cstheme="majorBidi"/>
          <w:i/>
          <w:iCs/>
          <w:sz w:val="20"/>
          <w:szCs w:val="20"/>
        </w:rPr>
        <w:t>.</w:t>
      </w:r>
    </w:p>
  </w:footnote>
  <w:footnote w:id="18">
    <w:p w14:paraId="21978A6C" w14:textId="644E96BF" w:rsidR="00826135" w:rsidRDefault="00826135" w:rsidP="00826135">
      <w:pPr>
        <w:pStyle w:val="FootnoteText"/>
        <w:bidi w:val="0"/>
      </w:pPr>
      <w:r>
        <w:rPr>
          <w:rStyle w:val="FootnoteReference"/>
        </w:rPr>
        <w:footnoteRef/>
      </w:r>
      <w:r>
        <w:rPr>
          <w:rtl/>
        </w:rPr>
        <w:t xml:space="preserve"> </w:t>
      </w:r>
      <w:r w:rsidRPr="0080311B">
        <w:rPr>
          <w:rFonts w:asciiTheme="majorBidi" w:hAnsiTheme="majorBidi" w:cstheme="majorBidi"/>
        </w:rPr>
        <w:t>Amital, "There is Hope for the Zionist Settlement in Judea and Samaria."</w:t>
      </w:r>
    </w:p>
  </w:footnote>
  <w:footnote w:id="19">
    <w:p w14:paraId="032D7D92" w14:textId="77FDA92E" w:rsidR="004C521A" w:rsidRPr="004C521A" w:rsidRDefault="004C521A" w:rsidP="004C521A">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80311B">
        <w:rPr>
          <w:rFonts w:asciiTheme="majorBidi" w:hAnsiTheme="majorBidi" w:cstheme="majorBidi"/>
          <w:sz w:val="20"/>
          <w:szCs w:val="20"/>
        </w:rPr>
        <w:t xml:space="preserve">Reichner, </w:t>
      </w:r>
      <w:r w:rsidRPr="0080311B">
        <w:rPr>
          <w:rFonts w:asciiTheme="majorBidi" w:hAnsiTheme="majorBidi" w:cstheme="majorBidi"/>
          <w:i/>
          <w:iCs/>
          <w:sz w:val="20"/>
          <w:szCs w:val="20"/>
        </w:rPr>
        <w:t>Be'emunato</w:t>
      </w:r>
      <w:r w:rsidRPr="0080311B">
        <w:rPr>
          <w:rFonts w:asciiTheme="majorBidi" w:hAnsiTheme="majorBidi" w:cstheme="majorBidi"/>
          <w:sz w:val="20"/>
          <w:szCs w:val="20"/>
        </w:rPr>
        <w:t xml:space="preserve">, p. 204  </w:t>
      </w:r>
    </w:p>
  </w:footnote>
  <w:footnote w:id="20">
    <w:p w14:paraId="48032F0E" w14:textId="70898B3F" w:rsidR="004C521A" w:rsidRDefault="004C521A" w:rsidP="004C521A">
      <w:pPr>
        <w:pStyle w:val="FootnoteText"/>
        <w:bidi w:val="0"/>
      </w:pPr>
      <w:r>
        <w:rPr>
          <w:rStyle w:val="FootnoteReference"/>
        </w:rPr>
        <w:footnoteRef/>
      </w:r>
      <w:r>
        <w:rPr>
          <w:rtl/>
        </w:rPr>
        <w:t xml:space="preserve"> </w:t>
      </w:r>
      <w:r w:rsidRPr="0080311B">
        <w:rPr>
          <w:rFonts w:asciiTheme="majorBidi" w:hAnsiTheme="majorBidi" w:cstheme="majorBidi"/>
        </w:rPr>
        <w:t>Amital, "There is Hope for the Zionist Settlement in Judea and Samaria."</w:t>
      </w:r>
    </w:p>
  </w:footnote>
  <w:footnote w:id="21">
    <w:p w14:paraId="1848A249" w14:textId="1D637F5D" w:rsidR="004C521A" w:rsidRDefault="004C521A" w:rsidP="004C521A">
      <w:pPr>
        <w:pStyle w:val="FootnoteText"/>
        <w:bidi w:val="0"/>
      </w:pPr>
      <w:r>
        <w:rPr>
          <w:rStyle w:val="FootnoteReference"/>
        </w:rPr>
        <w:footnoteRef/>
      </w:r>
      <w:r>
        <w:rPr>
          <w:rtl/>
        </w:rPr>
        <w:t xml:space="preserve"> </w:t>
      </w:r>
      <w:r w:rsidRPr="0080311B">
        <w:rPr>
          <w:rFonts w:asciiTheme="majorBidi" w:hAnsiTheme="majorBidi" w:cstheme="majorBidi"/>
        </w:rPr>
        <w:t>Ibid.</w:t>
      </w:r>
    </w:p>
  </w:footnote>
  <w:footnote w:id="22">
    <w:p w14:paraId="7462450C" w14:textId="41EB3838" w:rsidR="004C521A" w:rsidRDefault="004C521A" w:rsidP="004C521A">
      <w:pPr>
        <w:pStyle w:val="FootnoteText"/>
        <w:bidi w:val="0"/>
      </w:pPr>
      <w:r>
        <w:rPr>
          <w:rStyle w:val="FootnoteReference"/>
        </w:rPr>
        <w:footnoteRef/>
      </w:r>
      <w:r>
        <w:rPr>
          <w:rtl/>
        </w:rPr>
        <w:t xml:space="preserve"> </w:t>
      </w:r>
      <w:r w:rsidRPr="0080311B">
        <w:rPr>
          <w:rFonts w:asciiTheme="majorBidi" w:hAnsiTheme="majorBidi" w:cstheme="majorBidi"/>
        </w:rPr>
        <w:t xml:space="preserve">Reichner, </w:t>
      </w:r>
      <w:r w:rsidRPr="0080311B">
        <w:rPr>
          <w:rFonts w:asciiTheme="majorBidi" w:hAnsiTheme="majorBidi" w:cstheme="majorBidi"/>
          <w:i/>
          <w:iCs/>
        </w:rPr>
        <w:t>Be'emunato,</w:t>
      </w:r>
      <w:r w:rsidRPr="0080311B">
        <w:rPr>
          <w:rFonts w:asciiTheme="majorBidi" w:hAnsiTheme="majorBidi" w:cstheme="majorBidi"/>
        </w:rPr>
        <w:t xml:space="preserve"> p. 203.</w:t>
      </w:r>
    </w:p>
  </w:footnote>
  <w:footnote w:id="23">
    <w:p w14:paraId="77182B70" w14:textId="357DFD86" w:rsidR="000C7D50" w:rsidRDefault="000C7D50" w:rsidP="000C7D50">
      <w:pPr>
        <w:pStyle w:val="FootnoteText"/>
        <w:bidi w:val="0"/>
      </w:pPr>
      <w:r>
        <w:rPr>
          <w:rStyle w:val="FootnoteReference"/>
        </w:rPr>
        <w:footnoteRef/>
      </w:r>
      <w:r>
        <w:rPr>
          <w:rtl/>
        </w:rPr>
        <w:t xml:space="preserve"> </w:t>
      </w:r>
      <w:r w:rsidRPr="00BA7661">
        <w:rPr>
          <w:rFonts w:asciiTheme="majorBidi" w:hAnsiTheme="majorBidi" w:cstheme="majorBidi"/>
        </w:rPr>
        <w:t>Amital, "The Religious Meaning of Israel."</w:t>
      </w:r>
    </w:p>
  </w:footnote>
  <w:footnote w:id="24">
    <w:p w14:paraId="1C5DE65F" w14:textId="3776D11C" w:rsidR="000C7D50" w:rsidRPr="000C7D50" w:rsidRDefault="000C7D50" w:rsidP="000C7D50">
      <w:pPr>
        <w:pStyle w:val="FootnoteText"/>
        <w:bidi w:val="0"/>
      </w:pPr>
      <w:r>
        <w:rPr>
          <w:rStyle w:val="FootnoteReference"/>
        </w:rPr>
        <w:footnoteRef/>
      </w:r>
      <w:r>
        <w:rPr>
          <w:rtl/>
        </w:rPr>
        <w:t xml:space="preserve"> </w:t>
      </w:r>
      <w:r w:rsidR="00BC1BCF" w:rsidRPr="00BA7661">
        <w:rPr>
          <w:rFonts w:asciiTheme="majorBidi" w:hAnsiTheme="majorBidi" w:cstheme="majorBidi"/>
        </w:rPr>
        <w:t>"Minister Rabbi Yehuda Amital - Speeches", pp. 3-14, 93;</w:t>
      </w:r>
      <w:r w:rsidR="00BC1BCF">
        <w:rPr>
          <w:rFonts w:asciiTheme="majorBidi" w:hAnsiTheme="majorBidi" w:cstheme="majorBidi"/>
        </w:rPr>
        <w:t xml:space="preserve"> </w:t>
      </w:r>
      <w:r w:rsidRPr="00BA7661">
        <w:rPr>
          <w:rFonts w:asciiTheme="majorBidi" w:hAnsiTheme="majorBidi" w:cstheme="majorBidi"/>
        </w:rPr>
        <w:t xml:space="preserve">Inbari, </w:t>
      </w:r>
      <w:r w:rsidRPr="000C7D50">
        <w:rPr>
          <w:rFonts w:asciiTheme="majorBidi" w:hAnsiTheme="majorBidi" w:cstheme="majorBidi"/>
          <w:i/>
          <w:iCs/>
        </w:rPr>
        <w:t>Messianic Religious Zionism</w:t>
      </w:r>
      <w:r w:rsidRPr="00BA7661">
        <w:rPr>
          <w:rFonts w:asciiTheme="majorBidi" w:hAnsiTheme="majorBidi" w:cstheme="majorBidi"/>
        </w:rPr>
        <w:t>, pp. 75-79;</w:t>
      </w:r>
      <w:r>
        <w:rPr>
          <w:rFonts w:asciiTheme="majorBidi" w:hAnsiTheme="majorBidi" w:cstheme="majorBidi"/>
        </w:rPr>
        <w:t xml:space="preserve"> </w:t>
      </w:r>
      <w:r w:rsidRPr="00BA7661">
        <w:rPr>
          <w:rFonts w:asciiTheme="majorBidi" w:hAnsiTheme="majorBidi" w:cstheme="majorBidi"/>
        </w:rPr>
        <w:t xml:space="preserve">Reichner, </w:t>
      </w:r>
      <w:r w:rsidRPr="000C7D50">
        <w:rPr>
          <w:rFonts w:asciiTheme="majorBidi" w:hAnsiTheme="majorBidi" w:cstheme="majorBidi"/>
          <w:i/>
          <w:iCs/>
        </w:rPr>
        <w:t>Be'emunato</w:t>
      </w:r>
      <w:r w:rsidRPr="00BA7661">
        <w:rPr>
          <w:rFonts w:asciiTheme="majorBidi" w:hAnsiTheme="majorBidi" w:cstheme="majorBidi"/>
        </w:rPr>
        <w:t xml:space="preserve">, pp. 143-174; Bazak, </w:t>
      </w:r>
      <w:r w:rsidRPr="000C7D50">
        <w:rPr>
          <w:rFonts w:asciiTheme="majorBidi" w:hAnsiTheme="majorBidi" w:cstheme="majorBidi"/>
          <w:i/>
          <w:iCs/>
        </w:rPr>
        <w:t>Ve</w:t>
      </w:r>
      <w:r w:rsidR="009F4A56">
        <w:rPr>
          <w:rFonts w:asciiTheme="majorBidi" w:hAnsiTheme="majorBidi" w:cstheme="majorBidi"/>
          <w:i/>
          <w:iCs/>
        </w:rPr>
        <w:t>H</w:t>
      </w:r>
      <w:r w:rsidRPr="000C7D50">
        <w:rPr>
          <w:rFonts w:asciiTheme="majorBidi" w:hAnsiTheme="majorBidi" w:cstheme="majorBidi"/>
          <w:i/>
          <w:iCs/>
        </w:rPr>
        <w:t>ay Bahem</w:t>
      </w:r>
      <w:r w:rsidRPr="00BA7661">
        <w:rPr>
          <w:rFonts w:asciiTheme="majorBidi" w:hAnsiTheme="majorBidi" w:cstheme="majorBidi"/>
        </w:rPr>
        <w:t>; Inbari, "When Prophecy Fails?", pp. 303-325</w:t>
      </w:r>
      <w:r>
        <w:rPr>
          <w:rFonts w:asciiTheme="majorBidi" w:hAnsiTheme="majorBidi" w:cstheme="majorBidi"/>
        </w:rPr>
        <w:t>.</w:t>
      </w:r>
    </w:p>
  </w:footnote>
  <w:footnote w:id="25">
    <w:p w14:paraId="29FF6E4E" w14:textId="707DD900" w:rsidR="009F4A56" w:rsidRDefault="009F4A56" w:rsidP="009F4A56">
      <w:pPr>
        <w:pStyle w:val="FootnoteText"/>
        <w:bidi w:val="0"/>
      </w:pPr>
      <w:r>
        <w:rPr>
          <w:rStyle w:val="FootnoteReference"/>
        </w:rPr>
        <w:footnoteRef/>
      </w:r>
      <w:r>
        <w:rPr>
          <w:rtl/>
        </w:rPr>
        <w:t xml:space="preserve"> </w:t>
      </w:r>
      <w:r w:rsidRPr="00BA7661">
        <w:rPr>
          <w:rFonts w:asciiTheme="majorBidi" w:hAnsiTheme="majorBidi" w:cstheme="majorBidi"/>
        </w:rPr>
        <w:t xml:space="preserve">Reichner, </w:t>
      </w:r>
      <w:r w:rsidRPr="009F4A56">
        <w:rPr>
          <w:rFonts w:asciiTheme="majorBidi" w:hAnsiTheme="majorBidi" w:cstheme="majorBidi"/>
          <w:i/>
          <w:iCs/>
        </w:rPr>
        <w:t>Be'emunato</w:t>
      </w:r>
      <w:r w:rsidRPr="00BA7661">
        <w:rPr>
          <w:rFonts w:asciiTheme="majorBidi" w:hAnsiTheme="majorBidi" w:cstheme="majorBidi"/>
        </w:rPr>
        <w:t>, p. 145.</w:t>
      </w:r>
    </w:p>
  </w:footnote>
  <w:footnote w:id="26">
    <w:p w14:paraId="1581F3AB" w14:textId="2A3CB7BB" w:rsidR="00410FBC" w:rsidRDefault="00410FBC" w:rsidP="00410FBC">
      <w:pPr>
        <w:pStyle w:val="FootnoteText"/>
        <w:bidi w:val="0"/>
      </w:pPr>
      <w:r>
        <w:rPr>
          <w:rStyle w:val="FootnoteReference"/>
        </w:rPr>
        <w:footnoteRef/>
      </w:r>
      <w:r>
        <w:rPr>
          <w:rtl/>
        </w:rPr>
        <w:t xml:space="preserve"> </w:t>
      </w:r>
      <w:r w:rsidRPr="00BA7661">
        <w:rPr>
          <w:rFonts w:asciiTheme="majorBidi" w:hAnsiTheme="majorBidi" w:cstheme="majorBidi"/>
        </w:rPr>
        <w:t>Amital, "A Political Message or an Educational Message."</w:t>
      </w:r>
    </w:p>
  </w:footnote>
  <w:footnote w:id="27">
    <w:p w14:paraId="411C60EF" w14:textId="042BEF87" w:rsidR="00410FBC" w:rsidRDefault="00410FBC" w:rsidP="00410FBC">
      <w:pPr>
        <w:pStyle w:val="FootnoteText"/>
        <w:bidi w:val="0"/>
      </w:pPr>
      <w:r>
        <w:rPr>
          <w:rStyle w:val="FootnoteReference"/>
        </w:rPr>
        <w:footnoteRef/>
      </w:r>
      <w:r>
        <w:rPr>
          <w:rtl/>
        </w:rPr>
        <w:t xml:space="preserve"> </w:t>
      </w:r>
      <w:r w:rsidRPr="00BA7661">
        <w:rPr>
          <w:rFonts w:asciiTheme="majorBidi" w:hAnsiTheme="majorBidi" w:cstheme="majorBidi"/>
        </w:rPr>
        <w:t xml:space="preserve">Amital, "To Heed the Cry of </w:t>
      </w:r>
      <w:r w:rsidR="00ED20BE">
        <w:rPr>
          <w:rFonts w:asciiTheme="majorBidi" w:hAnsiTheme="majorBidi" w:cstheme="majorBidi"/>
        </w:rPr>
        <w:t>a</w:t>
      </w:r>
      <w:r w:rsidRPr="00BA7661">
        <w:rPr>
          <w:rFonts w:asciiTheme="majorBidi" w:hAnsiTheme="majorBidi" w:cstheme="majorBidi"/>
        </w:rPr>
        <w:t xml:space="preserve"> Child."  </w:t>
      </w:r>
    </w:p>
  </w:footnote>
  <w:footnote w:id="28">
    <w:p w14:paraId="3E32B47A" w14:textId="4A302FDD" w:rsidR="00410FBC" w:rsidRPr="00410FBC" w:rsidRDefault="00410FBC" w:rsidP="00410FBC">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BA7661">
        <w:rPr>
          <w:rFonts w:asciiTheme="majorBidi" w:hAnsiTheme="majorBidi" w:cstheme="majorBidi"/>
          <w:sz w:val="20"/>
          <w:szCs w:val="20"/>
        </w:rPr>
        <w:t xml:space="preserve">Bazak, </w:t>
      </w:r>
      <w:r w:rsidRPr="009F4A56">
        <w:rPr>
          <w:rFonts w:asciiTheme="majorBidi" w:hAnsiTheme="majorBidi" w:cstheme="majorBidi"/>
          <w:i/>
          <w:iCs/>
          <w:sz w:val="20"/>
          <w:szCs w:val="20"/>
        </w:rPr>
        <w:t>VeHay Bahem</w:t>
      </w:r>
      <w:r w:rsidRPr="00BA7661">
        <w:rPr>
          <w:rFonts w:asciiTheme="majorBidi" w:hAnsiTheme="majorBidi" w:cstheme="majorBidi"/>
          <w:sz w:val="20"/>
          <w:szCs w:val="20"/>
        </w:rPr>
        <w:t>, pp. 56-58.</w:t>
      </w:r>
    </w:p>
  </w:footnote>
  <w:footnote w:id="29">
    <w:p w14:paraId="41E76DBA" w14:textId="2CE51A08" w:rsidR="00A87C78" w:rsidRDefault="00A87C78" w:rsidP="00A87C78">
      <w:pPr>
        <w:pStyle w:val="FootnoteText"/>
        <w:bidi w:val="0"/>
      </w:pPr>
      <w:r>
        <w:rPr>
          <w:rStyle w:val="FootnoteReference"/>
        </w:rPr>
        <w:footnoteRef/>
      </w:r>
      <w:r>
        <w:rPr>
          <w:rtl/>
        </w:rPr>
        <w:t xml:space="preserve"> </w:t>
      </w:r>
      <w:r w:rsidRPr="00DB4BAD">
        <w:rPr>
          <w:rFonts w:asciiTheme="majorBidi" w:hAnsiTheme="majorBidi" w:cstheme="majorBidi"/>
        </w:rPr>
        <w:t xml:space="preserve">Goren, </w:t>
      </w:r>
      <w:r w:rsidR="00095B62" w:rsidRPr="00095B62">
        <w:rPr>
          <w:rFonts w:asciiTheme="majorBidi" w:hAnsiTheme="majorBidi" w:cstheme="majorBidi"/>
          <w:i/>
          <w:iCs/>
          <w:szCs w:val="16"/>
        </w:rPr>
        <w:t>With Might and Power</w:t>
      </w:r>
      <w:r w:rsidRPr="00DB4BAD">
        <w:rPr>
          <w:rFonts w:asciiTheme="majorBidi" w:hAnsiTheme="majorBidi" w:cstheme="majorBidi"/>
        </w:rPr>
        <w:t xml:space="preserve">, pp. 21-114; Mishlov, </w:t>
      </w:r>
      <w:r w:rsidR="00F76B41" w:rsidRPr="00F76B41">
        <w:rPr>
          <w:rFonts w:asciiTheme="majorBidi" w:hAnsiTheme="majorBidi" w:cstheme="majorBidi"/>
          <w:i/>
          <w:iCs/>
          <w:szCs w:val="16"/>
        </w:rPr>
        <w:t>In the Eye of the Storm</w:t>
      </w:r>
      <w:r w:rsidRPr="00DB4BAD">
        <w:rPr>
          <w:rFonts w:asciiTheme="majorBidi" w:hAnsiTheme="majorBidi" w:cstheme="majorBidi"/>
        </w:rPr>
        <w:t xml:space="preserve">, pp. 4-12; Hollander, "Dual Loyalty to Halakha and State and Its Solution," pp. v-vii.  </w:t>
      </w:r>
    </w:p>
  </w:footnote>
  <w:footnote w:id="30">
    <w:p w14:paraId="2C41DFBB" w14:textId="6AD14BB8" w:rsidR="00A87C78" w:rsidRPr="00A87C78" w:rsidRDefault="00A87C78" w:rsidP="005B7F90">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DB4BAD">
        <w:rPr>
          <w:rFonts w:asciiTheme="majorBidi" w:hAnsiTheme="majorBidi" w:cstheme="majorBidi"/>
          <w:sz w:val="20"/>
          <w:szCs w:val="20"/>
        </w:rPr>
        <w:t xml:space="preserve">Goren, </w:t>
      </w:r>
      <w:r w:rsidRPr="00321BF8">
        <w:rPr>
          <w:rFonts w:asciiTheme="majorBidi" w:hAnsiTheme="majorBidi" w:cstheme="majorBidi"/>
          <w:i/>
          <w:iCs/>
          <w:sz w:val="20"/>
          <w:szCs w:val="20"/>
        </w:rPr>
        <w:t>Har HaBayit: Meshiv Milchama</w:t>
      </w:r>
      <w:r w:rsidRPr="00DB4BAD">
        <w:rPr>
          <w:rFonts w:asciiTheme="majorBidi" w:hAnsiTheme="majorBidi" w:cstheme="majorBidi"/>
          <w:sz w:val="20"/>
          <w:szCs w:val="20"/>
        </w:rPr>
        <w:t>, p. 5.</w:t>
      </w:r>
    </w:p>
  </w:footnote>
  <w:footnote w:id="31">
    <w:p w14:paraId="1898D416" w14:textId="70F207A1" w:rsidR="00A87C78" w:rsidRDefault="00A87C78" w:rsidP="00A87C78">
      <w:pPr>
        <w:pStyle w:val="FootnoteText"/>
        <w:bidi w:val="0"/>
      </w:pPr>
      <w:r>
        <w:rPr>
          <w:rStyle w:val="FootnoteReference"/>
        </w:rPr>
        <w:footnoteRef/>
      </w:r>
      <w:r>
        <w:rPr>
          <w:rtl/>
        </w:rPr>
        <w:t xml:space="preserve"> </w:t>
      </w:r>
      <w:r w:rsidRPr="00DB4BAD">
        <w:rPr>
          <w:rFonts w:asciiTheme="majorBidi" w:hAnsiTheme="majorBidi" w:cstheme="majorBidi"/>
        </w:rPr>
        <w:t xml:space="preserve">Quote from Sima Kadmon, "I Believe I Have Divine Supervision," </w:t>
      </w:r>
      <w:r w:rsidRPr="00321BF8">
        <w:rPr>
          <w:rFonts w:asciiTheme="majorBidi" w:hAnsiTheme="majorBidi" w:cstheme="majorBidi"/>
          <w:i/>
          <w:iCs/>
        </w:rPr>
        <w:t>Maariv</w:t>
      </w:r>
      <w:r w:rsidRPr="00DB4BAD">
        <w:rPr>
          <w:rFonts w:asciiTheme="majorBidi" w:hAnsiTheme="majorBidi" w:cstheme="majorBidi"/>
        </w:rPr>
        <w:t xml:space="preserve"> 12</w:t>
      </w:r>
      <w:r w:rsidR="00F76B41">
        <w:rPr>
          <w:rFonts w:asciiTheme="majorBidi" w:hAnsiTheme="majorBidi" w:cstheme="majorBidi"/>
        </w:rPr>
        <w:t>.</w:t>
      </w:r>
      <w:r w:rsidRPr="00DB4BAD">
        <w:rPr>
          <w:rFonts w:asciiTheme="majorBidi" w:hAnsiTheme="majorBidi" w:cstheme="majorBidi"/>
        </w:rPr>
        <w:t>24</w:t>
      </w:r>
      <w:r w:rsidR="00F76B41">
        <w:rPr>
          <w:rFonts w:asciiTheme="majorBidi" w:hAnsiTheme="majorBidi" w:cstheme="majorBidi"/>
        </w:rPr>
        <w:t>.</w:t>
      </w:r>
      <w:r w:rsidRPr="00DB4BAD">
        <w:rPr>
          <w:rFonts w:asciiTheme="majorBidi" w:hAnsiTheme="majorBidi" w:cstheme="majorBidi"/>
        </w:rPr>
        <w:t xml:space="preserve">1993, p. 6. Mishlov, </w:t>
      </w:r>
      <w:r w:rsidR="00F76B41" w:rsidRPr="00F76B41">
        <w:rPr>
          <w:rFonts w:asciiTheme="majorBidi" w:hAnsiTheme="majorBidi" w:cstheme="majorBidi"/>
          <w:i/>
          <w:iCs/>
          <w:szCs w:val="16"/>
        </w:rPr>
        <w:t>In the Eye of the Storm</w:t>
      </w:r>
      <w:r w:rsidRPr="00DB4BAD">
        <w:rPr>
          <w:rFonts w:asciiTheme="majorBidi" w:hAnsiTheme="majorBidi" w:cstheme="majorBidi"/>
        </w:rPr>
        <w:t>, pp. 68-116; Mishlov, "Rabbi Shlomo Goren's Zionist Outlook," pp. 81-106; Hollander, "Dual Loyalty to Halakha and State," pp. v-xxxiv.</w:t>
      </w:r>
    </w:p>
  </w:footnote>
  <w:footnote w:id="32">
    <w:p w14:paraId="6C77DDEC" w14:textId="58E480A8" w:rsidR="00A87C78" w:rsidRDefault="00A87C78" w:rsidP="00A87C78">
      <w:pPr>
        <w:pStyle w:val="FootnoteText"/>
        <w:bidi w:val="0"/>
      </w:pPr>
      <w:r>
        <w:rPr>
          <w:rStyle w:val="FootnoteReference"/>
        </w:rPr>
        <w:footnoteRef/>
      </w:r>
      <w:r>
        <w:rPr>
          <w:rtl/>
        </w:rPr>
        <w:t xml:space="preserve"> </w:t>
      </w:r>
      <w:r w:rsidRPr="00DB4BAD">
        <w:rPr>
          <w:rFonts w:asciiTheme="majorBidi" w:hAnsiTheme="majorBidi" w:cstheme="majorBidi"/>
        </w:rPr>
        <w:t xml:space="preserve">Goren, </w:t>
      </w:r>
      <w:r w:rsidRPr="004D116F">
        <w:rPr>
          <w:rFonts w:asciiTheme="majorBidi" w:hAnsiTheme="majorBidi" w:cstheme="majorBidi"/>
          <w:i/>
          <w:iCs/>
        </w:rPr>
        <w:t>Torat HaMedina</w:t>
      </w:r>
      <w:r w:rsidRPr="00DB4BAD">
        <w:rPr>
          <w:rFonts w:asciiTheme="majorBidi" w:hAnsiTheme="majorBidi" w:cstheme="majorBidi"/>
        </w:rPr>
        <w:t>, pp. 130-139, 152-158; Goren, "</w:t>
      </w:r>
      <w:r w:rsidR="008047E7" w:rsidRPr="008047E7">
        <w:rPr>
          <w:rFonts w:asciiTheme="majorBidi" w:hAnsiTheme="majorBidi" w:cstheme="majorBidi"/>
          <w:szCs w:val="16"/>
        </w:rPr>
        <w:t>The Holy Land and Saving Life</w:t>
      </w:r>
      <w:r w:rsidRPr="00DB4BAD">
        <w:rPr>
          <w:rFonts w:asciiTheme="majorBidi" w:hAnsiTheme="majorBidi" w:cstheme="majorBidi"/>
        </w:rPr>
        <w:t>"</w:t>
      </w:r>
      <w:r w:rsidR="008047E7">
        <w:rPr>
          <w:rFonts w:asciiTheme="majorBidi" w:hAnsiTheme="majorBidi" w:cstheme="majorBidi"/>
        </w:rPr>
        <w:t>,</w:t>
      </w:r>
      <w:r w:rsidRPr="00DB4BAD">
        <w:rPr>
          <w:rFonts w:asciiTheme="majorBidi" w:hAnsiTheme="majorBidi" w:cstheme="majorBidi"/>
        </w:rPr>
        <w:t xml:space="preserve"> pp. 11-22; "Halakhic Respons</w:t>
      </w:r>
      <w:r w:rsidR="003C1C89">
        <w:rPr>
          <w:rFonts w:asciiTheme="majorBidi" w:hAnsiTheme="majorBidi" w:cstheme="majorBidi"/>
        </w:rPr>
        <w:t>a</w:t>
      </w:r>
      <w:r w:rsidRPr="00DB4BAD">
        <w:rPr>
          <w:rFonts w:asciiTheme="majorBidi" w:hAnsiTheme="majorBidi" w:cstheme="majorBidi"/>
        </w:rPr>
        <w:t xml:space="preserve"> of Rabbi Shlomo Goren," pp. 58-60, 68-70.</w:t>
      </w:r>
    </w:p>
  </w:footnote>
  <w:footnote w:id="33">
    <w:p w14:paraId="7B574D70" w14:textId="597450C9" w:rsidR="00A87C78" w:rsidRDefault="00A87C78" w:rsidP="00A87C78">
      <w:pPr>
        <w:pStyle w:val="FootnoteText"/>
        <w:bidi w:val="0"/>
      </w:pPr>
      <w:r>
        <w:rPr>
          <w:rStyle w:val="FootnoteReference"/>
        </w:rPr>
        <w:footnoteRef/>
      </w:r>
      <w:r>
        <w:rPr>
          <w:rtl/>
        </w:rPr>
        <w:t xml:space="preserve"> </w:t>
      </w:r>
      <w:r w:rsidRPr="00DB4BAD">
        <w:rPr>
          <w:rFonts w:asciiTheme="majorBidi" w:hAnsiTheme="majorBidi" w:cstheme="majorBidi"/>
        </w:rPr>
        <w:t>Goren, "Between a Peace Agreement and True Peace," pp. 144-147</w:t>
      </w:r>
      <w:r>
        <w:rPr>
          <w:rFonts w:asciiTheme="majorBidi" w:hAnsiTheme="majorBidi" w:cstheme="majorBidi"/>
        </w:rPr>
        <w:t xml:space="preserve">; </w:t>
      </w:r>
      <w:r w:rsidRPr="00DB4BAD">
        <w:rPr>
          <w:rFonts w:asciiTheme="majorBidi" w:hAnsiTheme="majorBidi" w:cstheme="majorBidi"/>
        </w:rPr>
        <w:t xml:space="preserve">Goren, </w:t>
      </w:r>
      <w:r w:rsidRPr="004B18B4">
        <w:rPr>
          <w:rFonts w:asciiTheme="majorBidi" w:hAnsiTheme="majorBidi" w:cstheme="majorBidi"/>
          <w:i/>
          <w:iCs/>
        </w:rPr>
        <w:t>Torat HaMedina</w:t>
      </w:r>
      <w:r w:rsidRPr="00DB4BAD">
        <w:rPr>
          <w:rFonts w:asciiTheme="majorBidi" w:hAnsiTheme="majorBidi" w:cstheme="majorBidi"/>
        </w:rPr>
        <w:t xml:space="preserve">, pp. 130-139, 152-158.  Interestingly, despite this, Rabbi Goren supported peace with Syria in exchange for parts of the Golan Heights, which in his view were not part of the Land of Israel, subject to stringent security guarantees, </w:t>
      </w:r>
      <w:proofErr w:type="gramStart"/>
      <w:r w:rsidRPr="00DB4BAD">
        <w:rPr>
          <w:rFonts w:asciiTheme="majorBidi" w:hAnsiTheme="majorBidi" w:cstheme="majorBidi"/>
        </w:rPr>
        <w:t>in order to</w:t>
      </w:r>
      <w:proofErr w:type="gramEnd"/>
      <w:r w:rsidRPr="00DB4BAD">
        <w:rPr>
          <w:rFonts w:asciiTheme="majorBidi" w:hAnsiTheme="majorBidi" w:cstheme="majorBidi"/>
        </w:rPr>
        <w:t xml:space="preserve"> remove the main security threat </w:t>
      </w:r>
      <w:r>
        <w:rPr>
          <w:rFonts w:asciiTheme="majorBidi" w:hAnsiTheme="majorBidi" w:cstheme="majorBidi"/>
        </w:rPr>
        <w:t>Israel</w:t>
      </w:r>
      <w:r w:rsidRPr="00DB4BAD">
        <w:rPr>
          <w:rFonts w:asciiTheme="majorBidi" w:hAnsiTheme="majorBidi" w:cstheme="majorBidi"/>
        </w:rPr>
        <w:t xml:space="preserve"> faced in its early days. For more see - Goren, "Between Judea, Samaria and the Golan from a Halakhic Perspective," HaTzofeh, 4/26/1991, p. 4; Mishlov, </w:t>
      </w:r>
      <w:r w:rsidR="008047E7" w:rsidRPr="00F76B41">
        <w:rPr>
          <w:rFonts w:asciiTheme="majorBidi" w:hAnsiTheme="majorBidi" w:cstheme="majorBidi"/>
          <w:i/>
          <w:iCs/>
          <w:szCs w:val="16"/>
        </w:rPr>
        <w:t>In the Eye of the Storm</w:t>
      </w:r>
      <w:r w:rsidRPr="00DB4BAD">
        <w:rPr>
          <w:rFonts w:asciiTheme="majorBidi" w:hAnsiTheme="majorBidi" w:cstheme="majorBidi"/>
        </w:rPr>
        <w:t xml:space="preserve">, pp. 114-116; Mishlov, "Rabbi Goren's Position on </w:t>
      </w:r>
      <w:r w:rsidR="00306DEC" w:rsidRPr="00306DEC">
        <w:rPr>
          <w:rFonts w:asciiTheme="majorBidi" w:hAnsiTheme="majorBidi" w:cstheme="majorBidi"/>
        </w:rPr>
        <w:t>Transferring Territories for Peace</w:t>
      </w:r>
      <w:r w:rsidRPr="00306DEC">
        <w:rPr>
          <w:rFonts w:asciiTheme="majorBidi" w:hAnsiTheme="majorBidi" w:cstheme="majorBidi"/>
        </w:rPr>
        <w:t>"</w:t>
      </w:r>
      <w:r w:rsidR="00306DEC">
        <w:rPr>
          <w:rFonts w:asciiTheme="majorBidi" w:hAnsiTheme="majorBidi" w:cstheme="majorBidi"/>
        </w:rPr>
        <w:t>,</w:t>
      </w:r>
      <w:r w:rsidRPr="00DB4BAD">
        <w:rPr>
          <w:rFonts w:asciiTheme="majorBidi" w:hAnsiTheme="majorBidi" w:cstheme="majorBidi"/>
        </w:rPr>
        <w:t xml:space="preserve"> pp. 254-255.</w:t>
      </w:r>
    </w:p>
  </w:footnote>
  <w:footnote w:id="34">
    <w:p w14:paraId="0C082EEE" w14:textId="64EACC87" w:rsidR="003C1C89" w:rsidRDefault="003C1C89" w:rsidP="003C1C89">
      <w:pPr>
        <w:pStyle w:val="FootnoteText"/>
        <w:bidi w:val="0"/>
      </w:pPr>
      <w:r>
        <w:rPr>
          <w:rStyle w:val="FootnoteReference"/>
        </w:rPr>
        <w:footnoteRef/>
      </w:r>
      <w:r>
        <w:rPr>
          <w:rtl/>
        </w:rPr>
        <w:t xml:space="preserve"> </w:t>
      </w:r>
      <w:r w:rsidRPr="001B7C9F">
        <w:rPr>
          <w:rFonts w:asciiTheme="majorBidi" w:hAnsiTheme="majorBidi" w:cstheme="majorBidi"/>
        </w:rPr>
        <w:t>"Halachic Issues Related to the Peace Process"</w:t>
      </w:r>
      <w:r w:rsidR="00CD3093">
        <w:rPr>
          <w:rFonts w:asciiTheme="majorBidi" w:hAnsiTheme="majorBidi" w:cstheme="majorBidi"/>
        </w:rPr>
        <w:t>,</w:t>
      </w:r>
      <w:r w:rsidRPr="001B7C9F">
        <w:rPr>
          <w:rFonts w:asciiTheme="majorBidi" w:hAnsiTheme="majorBidi" w:cstheme="majorBidi"/>
        </w:rPr>
        <w:t xml:space="preserve"> p. 27.</w:t>
      </w:r>
    </w:p>
  </w:footnote>
  <w:footnote w:id="35">
    <w:p w14:paraId="2960E350" w14:textId="6AA72E89" w:rsidR="00AA18DD" w:rsidRDefault="00AA18DD" w:rsidP="00AA18DD">
      <w:pPr>
        <w:pStyle w:val="FootnoteText"/>
        <w:bidi w:val="0"/>
      </w:pPr>
      <w:r>
        <w:rPr>
          <w:rStyle w:val="FootnoteReference"/>
        </w:rPr>
        <w:footnoteRef/>
      </w:r>
      <w:r>
        <w:rPr>
          <w:rtl/>
        </w:rPr>
        <w:t xml:space="preserve"> </w:t>
      </w:r>
      <w:r w:rsidRPr="001B7C9F">
        <w:rPr>
          <w:rFonts w:asciiTheme="majorBidi" w:hAnsiTheme="majorBidi" w:cstheme="majorBidi"/>
        </w:rPr>
        <w:t xml:space="preserve">Goren, </w:t>
      </w:r>
      <w:r w:rsidRPr="001B7C9F">
        <w:rPr>
          <w:rFonts w:asciiTheme="majorBidi" w:hAnsiTheme="majorBidi" w:cstheme="majorBidi"/>
          <w:i/>
          <w:iCs/>
        </w:rPr>
        <w:t>Torat HaMedinah</w:t>
      </w:r>
      <w:r w:rsidRPr="001B7C9F">
        <w:rPr>
          <w:rFonts w:asciiTheme="majorBidi" w:hAnsiTheme="majorBidi" w:cstheme="majorBidi"/>
        </w:rPr>
        <w:t>, p. 134.</w:t>
      </w:r>
    </w:p>
  </w:footnote>
  <w:footnote w:id="36">
    <w:p w14:paraId="0486CB70" w14:textId="08AEAA21" w:rsidR="008F7072" w:rsidRPr="008F7072" w:rsidRDefault="008F7072" w:rsidP="008F7072">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1B7C9F">
        <w:rPr>
          <w:rFonts w:asciiTheme="majorBidi" w:hAnsiTheme="majorBidi" w:cstheme="majorBidi"/>
          <w:sz w:val="20"/>
          <w:szCs w:val="20"/>
        </w:rPr>
        <w:t>Goren, "Between a Peace Agreement and True Peace," p. 147; Goren, "The Holy Land and Saving Lives," p. 17.</w:t>
      </w:r>
    </w:p>
  </w:footnote>
  <w:footnote w:id="37">
    <w:p w14:paraId="6DCB2EC7" w14:textId="15710EEA" w:rsidR="00F072BC" w:rsidRDefault="00F072BC" w:rsidP="00F072BC">
      <w:pPr>
        <w:pStyle w:val="FootnoteText"/>
        <w:bidi w:val="0"/>
      </w:pPr>
      <w:r>
        <w:rPr>
          <w:rStyle w:val="FootnoteReference"/>
        </w:rPr>
        <w:footnoteRef/>
      </w:r>
      <w:r>
        <w:rPr>
          <w:rtl/>
        </w:rPr>
        <w:t xml:space="preserve"> </w:t>
      </w:r>
      <w:r w:rsidRPr="001B7C9F">
        <w:rPr>
          <w:rFonts w:asciiTheme="majorBidi" w:hAnsiTheme="majorBidi" w:cstheme="majorBidi"/>
        </w:rPr>
        <w:t>"Halachic Issues Related to the Peace Process"</w:t>
      </w:r>
      <w:r w:rsidR="00854BFA">
        <w:rPr>
          <w:rFonts w:asciiTheme="majorBidi" w:hAnsiTheme="majorBidi" w:cstheme="majorBidi"/>
        </w:rPr>
        <w:t>,</w:t>
      </w:r>
      <w:r w:rsidRPr="001B7C9F">
        <w:rPr>
          <w:rFonts w:asciiTheme="majorBidi" w:hAnsiTheme="majorBidi" w:cstheme="majorBidi"/>
        </w:rPr>
        <w:t xml:space="preserve"> p. 26. </w:t>
      </w:r>
      <w:r>
        <w:rPr>
          <w:rFonts w:asciiTheme="majorBidi" w:hAnsiTheme="majorBidi" w:cstheme="majorBidi"/>
        </w:rPr>
        <w:t>A</w:t>
      </w:r>
      <w:r w:rsidRPr="001B7C9F">
        <w:rPr>
          <w:rFonts w:asciiTheme="majorBidi" w:hAnsiTheme="majorBidi" w:cstheme="majorBidi"/>
        </w:rPr>
        <w:t xml:space="preserve">lso "Rabbi Shlomo Goren - Articles: Does a Palestinian People with National Rights Exist?", pp. 1-10; Goren, </w:t>
      </w:r>
      <w:r w:rsidRPr="001B7C9F">
        <w:rPr>
          <w:rFonts w:asciiTheme="majorBidi" w:hAnsiTheme="majorBidi" w:cstheme="majorBidi"/>
          <w:i/>
          <w:iCs/>
        </w:rPr>
        <w:t>Torat HaMedinah</w:t>
      </w:r>
      <w:r w:rsidRPr="001B7C9F">
        <w:rPr>
          <w:rFonts w:asciiTheme="majorBidi" w:hAnsiTheme="majorBidi" w:cstheme="majorBidi"/>
        </w:rPr>
        <w:t>, pp. 150-158.</w:t>
      </w:r>
    </w:p>
  </w:footnote>
  <w:footnote w:id="38">
    <w:p w14:paraId="3AF10614" w14:textId="69139A87" w:rsidR="007D45F2" w:rsidRDefault="007D45F2" w:rsidP="007D45F2">
      <w:pPr>
        <w:pStyle w:val="FootnoteText"/>
        <w:bidi w:val="0"/>
      </w:pPr>
      <w:r>
        <w:rPr>
          <w:rStyle w:val="FootnoteReference"/>
        </w:rPr>
        <w:footnoteRef/>
      </w:r>
      <w:r>
        <w:rPr>
          <w:rtl/>
        </w:rPr>
        <w:t xml:space="preserve"> </w:t>
      </w:r>
      <w:r w:rsidRPr="001B7C9F">
        <w:rPr>
          <w:rFonts w:asciiTheme="majorBidi" w:hAnsiTheme="majorBidi" w:cstheme="majorBidi"/>
        </w:rPr>
        <w:t>"Halachic Respons</w:t>
      </w:r>
      <w:r>
        <w:rPr>
          <w:rFonts w:asciiTheme="majorBidi" w:hAnsiTheme="majorBidi" w:cstheme="majorBidi"/>
        </w:rPr>
        <w:t>a</w:t>
      </w:r>
      <w:r w:rsidRPr="001B7C9F">
        <w:rPr>
          <w:rFonts w:asciiTheme="majorBidi" w:hAnsiTheme="majorBidi" w:cstheme="majorBidi"/>
        </w:rPr>
        <w:t xml:space="preserve"> of Rabbi Shlomo Goren," pp. 53-58. Also "Halachic Responsa of Rabbi Shlomo Goren," p. 70.</w:t>
      </w:r>
    </w:p>
  </w:footnote>
  <w:footnote w:id="39">
    <w:p w14:paraId="611E2D2E" w14:textId="2AAE8DDE" w:rsidR="007D45F2" w:rsidRPr="007D45F2" w:rsidRDefault="007D45F2" w:rsidP="007D45F2">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1B7C9F">
        <w:rPr>
          <w:rFonts w:asciiTheme="majorBidi" w:hAnsiTheme="majorBidi" w:cstheme="majorBidi"/>
          <w:sz w:val="20"/>
          <w:szCs w:val="20"/>
        </w:rPr>
        <w:t>"Halachic Responsa of Rabbi Shlomo Goren," p. 70.</w:t>
      </w:r>
    </w:p>
  </w:footnote>
  <w:footnote w:id="40">
    <w:p w14:paraId="1A5D8E8C" w14:textId="548B779C" w:rsidR="00C823DC" w:rsidRPr="00C823DC" w:rsidRDefault="00C823DC" w:rsidP="00C823DC">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1B7C9F">
        <w:rPr>
          <w:rFonts w:asciiTheme="majorBidi" w:hAnsiTheme="majorBidi" w:cstheme="majorBidi"/>
          <w:sz w:val="20"/>
          <w:szCs w:val="20"/>
        </w:rPr>
        <w:t>"Halachic Issues Related to the Peace Process"</w:t>
      </w:r>
      <w:r w:rsidR="00854BFA">
        <w:rPr>
          <w:rFonts w:asciiTheme="majorBidi" w:hAnsiTheme="majorBidi" w:cstheme="majorBidi"/>
          <w:sz w:val="20"/>
          <w:szCs w:val="20"/>
        </w:rPr>
        <w:t>,</w:t>
      </w:r>
      <w:r w:rsidRPr="001B7C9F">
        <w:rPr>
          <w:rFonts w:asciiTheme="majorBidi" w:hAnsiTheme="majorBidi" w:cstheme="majorBidi"/>
          <w:sz w:val="20"/>
          <w:szCs w:val="20"/>
        </w:rPr>
        <w:t xml:space="preserve"> p. 26.</w:t>
      </w:r>
    </w:p>
  </w:footnote>
  <w:footnote w:id="41">
    <w:p w14:paraId="4EAFDD98" w14:textId="03D0C428" w:rsidR="00C823DC" w:rsidRPr="00C823DC" w:rsidRDefault="00C823DC" w:rsidP="00C823DC">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1B7C9F">
        <w:rPr>
          <w:rFonts w:asciiTheme="majorBidi" w:hAnsiTheme="majorBidi" w:cstheme="majorBidi"/>
          <w:sz w:val="20"/>
          <w:szCs w:val="20"/>
        </w:rPr>
        <w:t>"Halachic Issues Related to the Peace Process"</w:t>
      </w:r>
      <w:r w:rsidR="00854BFA">
        <w:rPr>
          <w:rFonts w:asciiTheme="majorBidi" w:hAnsiTheme="majorBidi" w:cstheme="majorBidi"/>
          <w:sz w:val="20"/>
          <w:szCs w:val="20"/>
        </w:rPr>
        <w:t>,</w:t>
      </w:r>
      <w:r w:rsidRPr="001B7C9F">
        <w:rPr>
          <w:rFonts w:asciiTheme="majorBidi" w:hAnsiTheme="majorBidi" w:cstheme="majorBidi"/>
          <w:sz w:val="20"/>
          <w:szCs w:val="20"/>
        </w:rPr>
        <w:t xml:space="preserve"> pp. 50-51.</w:t>
      </w:r>
    </w:p>
  </w:footnote>
  <w:footnote w:id="42">
    <w:p w14:paraId="4814EB55" w14:textId="1463A54C" w:rsidR="00AF78A3" w:rsidRPr="00AF78A3" w:rsidRDefault="00AF78A3" w:rsidP="00AF78A3">
      <w:pPr>
        <w:bidi w:val="0"/>
        <w:spacing w:after="0" w:line="240" w:lineRule="auto"/>
        <w:jc w:val="both"/>
        <w:rPr>
          <w:rFonts w:asciiTheme="majorBidi" w:hAnsiTheme="majorBidi" w:cstheme="majorBidi"/>
          <w:szCs w:val="22"/>
        </w:rPr>
      </w:pPr>
      <w:r w:rsidRPr="00AF78A3">
        <w:rPr>
          <w:rStyle w:val="FootnoteReference"/>
          <w:rFonts w:asciiTheme="majorBidi" w:hAnsiTheme="majorBidi" w:cstheme="majorBidi"/>
          <w:sz w:val="20"/>
          <w:szCs w:val="20"/>
        </w:rPr>
        <w:footnoteRef/>
      </w:r>
      <w:r w:rsidRPr="00AF78A3">
        <w:rPr>
          <w:rFonts w:asciiTheme="majorBidi" w:hAnsiTheme="majorBidi" w:cstheme="majorBidi"/>
          <w:sz w:val="20"/>
          <w:szCs w:val="20"/>
          <w:rtl/>
        </w:rPr>
        <w:t xml:space="preserve"> </w:t>
      </w:r>
      <w:r w:rsidRPr="00AF78A3">
        <w:rPr>
          <w:rFonts w:asciiTheme="majorBidi" w:hAnsiTheme="majorBidi" w:cstheme="majorBidi"/>
          <w:sz w:val="20"/>
          <w:szCs w:val="20"/>
        </w:rPr>
        <w:t>A quote by Ibrahim Sarsour, in "al-Janubiati tarajue hisabatiha wa-Tuhaqiq fi natayij alfushal (The Southern Reviews Its Accounts and Investigates the Results of Failure</w:t>
      </w:r>
      <w:r w:rsidR="00286784">
        <w:rPr>
          <w:rFonts w:asciiTheme="majorBidi" w:hAnsiTheme="majorBidi" w:cstheme="majorBidi"/>
          <w:sz w:val="20"/>
          <w:szCs w:val="20"/>
        </w:rPr>
        <w:t>)"</w:t>
      </w:r>
      <w:r w:rsidRPr="00AF78A3">
        <w:rPr>
          <w:rFonts w:asciiTheme="majorBidi" w:hAnsiTheme="majorBidi" w:cstheme="majorBidi"/>
          <w:sz w:val="20"/>
          <w:szCs w:val="20"/>
          <w:rtl/>
        </w:rPr>
        <w:t>.</w:t>
      </w:r>
    </w:p>
  </w:footnote>
  <w:footnote w:id="43">
    <w:p w14:paraId="74B8A112" w14:textId="7DCB4F15" w:rsidR="0097051C" w:rsidRPr="0097051C" w:rsidRDefault="0097051C" w:rsidP="0097051C">
      <w:pPr>
        <w:bidi w:val="0"/>
        <w:spacing w:after="0" w:line="240" w:lineRule="auto"/>
        <w:jc w:val="both"/>
        <w:rPr>
          <w:rFonts w:asciiTheme="majorBidi" w:hAnsiTheme="majorBidi" w:cstheme="majorBidi"/>
          <w:sz w:val="20"/>
          <w:szCs w:val="20"/>
        </w:rPr>
      </w:pPr>
      <w:r w:rsidRPr="0097051C">
        <w:rPr>
          <w:rStyle w:val="FootnoteReference"/>
          <w:rFonts w:asciiTheme="majorBidi" w:hAnsiTheme="majorBidi" w:cstheme="majorBidi"/>
          <w:sz w:val="20"/>
          <w:szCs w:val="20"/>
        </w:rPr>
        <w:footnoteRef/>
      </w:r>
      <w:r w:rsidRPr="0097051C">
        <w:rPr>
          <w:rFonts w:asciiTheme="majorBidi" w:hAnsiTheme="majorBidi" w:cstheme="majorBidi"/>
          <w:sz w:val="20"/>
          <w:szCs w:val="20"/>
          <w:rtl/>
        </w:rPr>
        <w:t xml:space="preserve"> </w:t>
      </w:r>
      <w:r w:rsidRPr="0097051C">
        <w:rPr>
          <w:rFonts w:asciiTheme="majorBidi" w:hAnsiTheme="majorBidi" w:cstheme="majorBidi"/>
          <w:sz w:val="20"/>
          <w:szCs w:val="20"/>
        </w:rPr>
        <w:t>To facilitate the discussion, the terms 'Southern Faction' and 'Northern Faction' will be used throughout this chapter, even though some of the issues discussed occurred before the official split, since the streams began to emerge even earlier.</w:t>
      </w:r>
    </w:p>
  </w:footnote>
  <w:footnote w:id="44">
    <w:p w14:paraId="6B93BB3C" w14:textId="16364808" w:rsidR="0028582E" w:rsidRPr="0028582E" w:rsidRDefault="0028582E" w:rsidP="0028582E">
      <w:pPr>
        <w:bidi w:val="0"/>
        <w:spacing w:after="0" w:line="240" w:lineRule="auto"/>
        <w:jc w:val="both"/>
        <w:rPr>
          <w:rFonts w:asciiTheme="majorBidi" w:hAnsiTheme="majorBidi" w:cstheme="majorBidi"/>
          <w:sz w:val="20"/>
          <w:szCs w:val="20"/>
          <w:rtl/>
        </w:rPr>
      </w:pPr>
      <w:r>
        <w:rPr>
          <w:rStyle w:val="FootnoteReference"/>
        </w:rPr>
        <w:footnoteRef/>
      </w:r>
      <w:r>
        <w:rPr>
          <w:rtl/>
        </w:rPr>
        <w:t xml:space="preserve"> </w:t>
      </w:r>
      <w:r w:rsidRPr="00D5160B">
        <w:rPr>
          <w:rFonts w:asciiTheme="majorBidi" w:hAnsiTheme="majorBidi" w:cstheme="majorBidi"/>
          <w:sz w:val="20"/>
          <w:szCs w:val="20"/>
        </w:rPr>
        <w:t xml:space="preserve">Ali, </w:t>
      </w:r>
      <w:r w:rsidRPr="00B509B3">
        <w:rPr>
          <w:rFonts w:asciiTheme="majorBidi" w:hAnsiTheme="majorBidi" w:cstheme="majorBidi"/>
          <w:i/>
          <w:iCs/>
          <w:sz w:val="20"/>
          <w:szCs w:val="20"/>
        </w:rPr>
        <w:t>Religious Fundamentalism as Ideology and Practice</w:t>
      </w:r>
      <w:r w:rsidRPr="00D5160B">
        <w:rPr>
          <w:rFonts w:asciiTheme="majorBidi" w:hAnsiTheme="majorBidi" w:cstheme="majorBidi"/>
          <w:sz w:val="20"/>
          <w:szCs w:val="20"/>
        </w:rPr>
        <w:t>, pp. 18-21</w:t>
      </w:r>
      <w:r>
        <w:rPr>
          <w:rFonts w:asciiTheme="majorBidi" w:hAnsiTheme="majorBidi" w:cstheme="majorBidi"/>
          <w:sz w:val="20"/>
          <w:szCs w:val="20"/>
        </w:rPr>
        <w:t xml:space="preserve">; </w:t>
      </w:r>
      <w:r w:rsidRPr="00D5160B">
        <w:rPr>
          <w:rFonts w:asciiTheme="majorBidi" w:hAnsiTheme="majorBidi" w:cstheme="majorBidi"/>
          <w:sz w:val="20"/>
          <w:szCs w:val="20"/>
        </w:rPr>
        <w:t xml:space="preserve">Darwish, </w:t>
      </w:r>
      <w:r w:rsidRPr="00B509B3">
        <w:rPr>
          <w:rFonts w:asciiTheme="majorBidi" w:hAnsiTheme="majorBidi" w:cstheme="majorBidi"/>
          <w:i/>
          <w:iCs/>
          <w:sz w:val="20"/>
          <w:szCs w:val="20"/>
        </w:rPr>
        <w:t>Islam is the Solution</w:t>
      </w:r>
      <w:r w:rsidRPr="00D5160B">
        <w:rPr>
          <w:rFonts w:asciiTheme="majorBidi" w:hAnsiTheme="majorBidi" w:cstheme="majorBidi"/>
          <w:sz w:val="20"/>
          <w:szCs w:val="20"/>
        </w:rPr>
        <w:t xml:space="preserve">, pp. 117-135; Hatina and Al-Atawneh, </w:t>
      </w:r>
      <w:r w:rsidRPr="00B509B3">
        <w:rPr>
          <w:rFonts w:asciiTheme="majorBidi" w:hAnsiTheme="majorBidi" w:cstheme="majorBidi"/>
          <w:i/>
          <w:iCs/>
          <w:sz w:val="20"/>
          <w:szCs w:val="20"/>
        </w:rPr>
        <w:t>Muslims in the Jewish State</w:t>
      </w:r>
      <w:r w:rsidRPr="00D5160B">
        <w:rPr>
          <w:rFonts w:asciiTheme="majorBidi" w:hAnsiTheme="majorBidi" w:cstheme="majorBidi"/>
          <w:sz w:val="20"/>
          <w:szCs w:val="20"/>
        </w:rPr>
        <w:t>, pp. 18-24;</w:t>
      </w:r>
      <w:r>
        <w:rPr>
          <w:rFonts w:asciiTheme="majorBidi" w:hAnsiTheme="majorBidi" w:cstheme="majorBidi"/>
          <w:sz w:val="20"/>
          <w:szCs w:val="20"/>
        </w:rPr>
        <w:t xml:space="preserve"> </w:t>
      </w:r>
      <w:r w:rsidRPr="008A4F4C">
        <w:rPr>
          <w:rFonts w:asciiTheme="majorBidi" w:hAnsiTheme="majorBidi" w:cstheme="majorBidi"/>
          <w:sz w:val="20"/>
          <w:szCs w:val="20"/>
        </w:rPr>
        <w:t>Rudnitzky</w:t>
      </w:r>
      <w:r>
        <w:rPr>
          <w:rFonts w:asciiTheme="majorBidi" w:hAnsiTheme="majorBidi" w:cstheme="majorBidi"/>
          <w:sz w:val="20"/>
          <w:szCs w:val="20"/>
        </w:rPr>
        <w:t>,</w:t>
      </w:r>
      <w:r w:rsidRPr="008A4F4C">
        <w:rPr>
          <w:rFonts w:asciiTheme="majorBidi" w:hAnsiTheme="majorBidi" w:cstheme="majorBidi"/>
          <w:sz w:val="20"/>
          <w:szCs w:val="20"/>
        </w:rPr>
        <w:t xml:space="preserve"> </w:t>
      </w:r>
      <w:r w:rsidRPr="008A4F4C">
        <w:rPr>
          <w:rFonts w:asciiTheme="majorBidi" w:hAnsiTheme="majorBidi" w:cstheme="majorBidi"/>
          <w:i/>
          <w:iCs/>
          <w:sz w:val="20"/>
          <w:szCs w:val="20"/>
        </w:rPr>
        <w:t>The Arab Minority in Israel</w:t>
      </w:r>
      <w:r>
        <w:rPr>
          <w:rFonts w:asciiTheme="majorBidi" w:hAnsiTheme="majorBidi" w:cstheme="majorBidi"/>
          <w:sz w:val="20"/>
          <w:szCs w:val="20"/>
        </w:rPr>
        <w:t>,</w:t>
      </w:r>
      <w:r>
        <w:rPr>
          <w:rFonts w:asciiTheme="majorBidi" w:hAnsiTheme="majorBidi" w:cstheme="majorBidi" w:hint="cs"/>
          <w:sz w:val="20"/>
          <w:szCs w:val="20"/>
          <w:rtl/>
        </w:rPr>
        <w:t xml:space="preserve"> </w:t>
      </w:r>
      <w:r w:rsidRPr="00D5160B">
        <w:rPr>
          <w:rFonts w:asciiTheme="majorBidi" w:hAnsiTheme="majorBidi" w:cstheme="majorBidi"/>
          <w:sz w:val="20"/>
          <w:szCs w:val="20"/>
        </w:rPr>
        <w:t>64-80;</w:t>
      </w:r>
      <w:r>
        <w:rPr>
          <w:rFonts w:asciiTheme="majorBidi" w:hAnsiTheme="majorBidi" w:cstheme="majorBidi"/>
          <w:sz w:val="20"/>
          <w:szCs w:val="20"/>
        </w:rPr>
        <w:t xml:space="preserve"> </w:t>
      </w:r>
      <w:r w:rsidR="009F4C2F" w:rsidRPr="0066437D">
        <w:rPr>
          <w:rFonts w:asciiTheme="majorBidi" w:hAnsiTheme="majorBidi" w:cstheme="majorBidi"/>
          <w:sz w:val="20"/>
          <w:szCs w:val="20"/>
        </w:rPr>
        <w:t>Aburiya</w:t>
      </w:r>
      <w:r w:rsidR="009F4C2F" w:rsidRPr="00D5160B">
        <w:rPr>
          <w:rFonts w:asciiTheme="majorBidi" w:hAnsiTheme="majorBidi" w:cstheme="majorBidi"/>
          <w:sz w:val="20"/>
          <w:szCs w:val="20"/>
        </w:rPr>
        <w:t xml:space="preserve">, "Concrete Religiosity vs. Abstract Religiosity", pp. 684-686; </w:t>
      </w:r>
      <w:r w:rsidRPr="00D5160B">
        <w:rPr>
          <w:rFonts w:asciiTheme="majorBidi" w:hAnsiTheme="majorBidi" w:cstheme="majorBidi"/>
          <w:sz w:val="20"/>
          <w:szCs w:val="20"/>
        </w:rPr>
        <w:t>Ali, "The Islamic Movement's Coping with the Minority Status", pp. 62-78; Ali, "The Islamic Movement in Israel: Between Religion, Nationalism and Modernity", pp. 132-164; Kedar, "The Future Vision of the Islamic Movement", pp. 117-123; Mustafa and Ghanem, "The Islamic Movement in Israel - Political Islam in a Jewish State", pp. 49-60; Rekhess, "The Islamization of the Arab Identity in Israel", pp. 63-73;</w:t>
      </w:r>
      <w:r>
        <w:rPr>
          <w:rFonts w:asciiTheme="majorBidi" w:hAnsiTheme="majorBidi" w:cstheme="majorBidi"/>
          <w:sz w:val="20"/>
          <w:szCs w:val="20"/>
        </w:rPr>
        <w:t xml:space="preserve"> </w:t>
      </w:r>
      <w:r w:rsidRPr="00D5160B">
        <w:rPr>
          <w:rFonts w:asciiTheme="majorBidi" w:hAnsiTheme="majorBidi" w:cstheme="majorBidi"/>
          <w:sz w:val="20"/>
          <w:szCs w:val="20"/>
        </w:rPr>
        <w:t>Sarsour, "The Islamic Movement and the State", pp. 242-249</w:t>
      </w:r>
      <w:r>
        <w:rPr>
          <w:rFonts w:asciiTheme="majorBidi" w:hAnsiTheme="majorBidi" w:cstheme="majorBidi"/>
          <w:sz w:val="20"/>
          <w:szCs w:val="20"/>
        </w:rPr>
        <w:t>;</w:t>
      </w:r>
      <w:r w:rsidRPr="00D5160B">
        <w:rPr>
          <w:rFonts w:asciiTheme="majorBidi" w:hAnsiTheme="majorBidi" w:cstheme="majorBidi"/>
          <w:sz w:val="20"/>
          <w:szCs w:val="20"/>
        </w:rPr>
        <w:t xml:space="preserve"> Darwish, "</w:t>
      </w:r>
      <w:r>
        <w:rPr>
          <w:rFonts w:asciiTheme="majorBidi" w:hAnsiTheme="majorBidi" w:cstheme="majorBidi"/>
          <w:sz w:val="20"/>
          <w:szCs w:val="20"/>
          <w:shd w:val="clear" w:color="auto" w:fill="FFFFFF"/>
        </w:rPr>
        <w:t>M</w:t>
      </w:r>
      <w:r w:rsidRPr="00FA0323">
        <w:rPr>
          <w:rFonts w:asciiTheme="majorBidi" w:hAnsiTheme="majorBidi" w:cstheme="majorBidi"/>
          <w:sz w:val="20"/>
          <w:szCs w:val="20"/>
          <w:shd w:val="clear" w:color="auto" w:fill="FFFFFF"/>
        </w:rPr>
        <w:t>ustaqbal al</w:t>
      </w:r>
      <w:r>
        <w:rPr>
          <w:rFonts w:asciiTheme="majorBidi" w:hAnsiTheme="majorBidi" w:cstheme="majorBidi"/>
          <w:sz w:val="20"/>
          <w:szCs w:val="20"/>
          <w:shd w:val="clear" w:color="auto" w:fill="FFFFFF"/>
        </w:rPr>
        <w:t>-U</w:t>
      </w:r>
      <w:r w:rsidRPr="00FA0323">
        <w:rPr>
          <w:rFonts w:asciiTheme="majorBidi" w:hAnsiTheme="majorBidi" w:cstheme="majorBidi"/>
          <w:sz w:val="20"/>
          <w:szCs w:val="20"/>
          <w:shd w:val="clear" w:color="auto" w:fill="FFFFFF"/>
        </w:rPr>
        <w:t>ma wa</w:t>
      </w:r>
      <w:r>
        <w:rPr>
          <w:rFonts w:asciiTheme="majorBidi" w:hAnsiTheme="majorBidi" w:cstheme="majorBidi"/>
          <w:sz w:val="20"/>
          <w:szCs w:val="20"/>
          <w:shd w:val="clear" w:color="auto" w:fill="FFFFFF"/>
        </w:rPr>
        <w:t>-N</w:t>
      </w:r>
      <w:r w:rsidRPr="00FA0323">
        <w:rPr>
          <w:rFonts w:asciiTheme="majorBidi" w:hAnsiTheme="majorBidi" w:cstheme="majorBidi"/>
          <w:sz w:val="20"/>
          <w:szCs w:val="20"/>
          <w:shd w:val="clear" w:color="auto" w:fill="FFFFFF"/>
        </w:rPr>
        <w:t>ahdatuha bayn al</w:t>
      </w:r>
      <w:r>
        <w:rPr>
          <w:rFonts w:asciiTheme="majorBidi" w:hAnsiTheme="majorBidi" w:cstheme="majorBidi"/>
          <w:sz w:val="20"/>
          <w:szCs w:val="20"/>
          <w:shd w:val="clear" w:color="auto" w:fill="FFFFFF"/>
        </w:rPr>
        <w:t>-H</w:t>
      </w:r>
      <w:r w:rsidRPr="00FA0323">
        <w:rPr>
          <w:rFonts w:asciiTheme="majorBidi" w:hAnsiTheme="majorBidi" w:cstheme="majorBidi"/>
          <w:sz w:val="20"/>
          <w:szCs w:val="20"/>
          <w:shd w:val="clear" w:color="auto" w:fill="FFFFFF"/>
        </w:rPr>
        <w:t>ukuma wa</w:t>
      </w:r>
      <w:r>
        <w:rPr>
          <w:rFonts w:asciiTheme="majorBidi" w:hAnsiTheme="majorBidi" w:cstheme="majorBidi"/>
          <w:sz w:val="20"/>
          <w:szCs w:val="20"/>
          <w:shd w:val="clear" w:color="auto" w:fill="FFFFFF"/>
        </w:rPr>
        <w:t>-a</w:t>
      </w:r>
      <w:r w:rsidRPr="00FA0323">
        <w:rPr>
          <w:rFonts w:asciiTheme="majorBidi" w:hAnsiTheme="majorBidi" w:cstheme="majorBidi"/>
          <w:sz w:val="20"/>
          <w:szCs w:val="20"/>
          <w:shd w:val="clear" w:color="auto" w:fill="FFFFFF"/>
        </w:rPr>
        <w:t>l</w:t>
      </w:r>
      <w:r>
        <w:rPr>
          <w:rFonts w:asciiTheme="majorBidi" w:hAnsiTheme="majorBidi" w:cstheme="majorBidi"/>
          <w:sz w:val="20"/>
          <w:szCs w:val="20"/>
          <w:shd w:val="clear" w:color="auto" w:fill="FFFFFF"/>
        </w:rPr>
        <w:t>-H</w:t>
      </w:r>
      <w:r w:rsidRPr="00FA0323">
        <w:rPr>
          <w:rFonts w:asciiTheme="majorBidi" w:hAnsiTheme="majorBidi" w:cstheme="majorBidi"/>
          <w:sz w:val="20"/>
          <w:szCs w:val="20"/>
          <w:shd w:val="clear" w:color="auto" w:fill="FFFFFF"/>
        </w:rPr>
        <w:t>araka</w:t>
      </w:r>
      <w:r w:rsidRPr="00FA0323">
        <w:rPr>
          <w:rFonts w:asciiTheme="majorBidi" w:hAnsiTheme="majorBidi" w:cstheme="majorBidi"/>
          <w:sz w:val="18"/>
          <w:szCs w:val="18"/>
        </w:rPr>
        <w:t xml:space="preserve"> </w:t>
      </w:r>
      <w:r>
        <w:rPr>
          <w:rFonts w:asciiTheme="majorBidi" w:hAnsiTheme="majorBidi" w:cstheme="majorBidi"/>
          <w:sz w:val="20"/>
          <w:szCs w:val="20"/>
        </w:rPr>
        <w:t>(</w:t>
      </w:r>
      <w:r w:rsidRPr="00D5160B">
        <w:rPr>
          <w:rFonts w:asciiTheme="majorBidi" w:hAnsiTheme="majorBidi" w:cstheme="majorBidi"/>
          <w:sz w:val="20"/>
          <w:szCs w:val="20"/>
        </w:rPr>
        <w:t>The Future of the Nation and its Renaissance between Governments and Movements</w:t>
      </w:r>
      <w:r>
        <w:rPr>
          <w:rFonts w:asciiTheme="majorBidi" w:hAnsiTheme="majorBidi" w:cstheme="majorBidi"/>
          <w:sz w:val="20"/>
          <w:szCs w:val="20"/>
        </w:rPr>
        <w:t>)</w:t>
      </w:r>
      <w:r w:rsidRPr="00D5160B">
        <w:rPr>
          <w:rFonts w:asciiTheme="majorBidi" w:hAnsiTheme="majorBidi" w:cstheme="majorBidi"/>
          <w:sz w:val="20"/>
          <w:szCs w:val="20"/>
        </w:rPr>
        <w:t xml:space="preserve">", </w:t>
      </w:r>
      <w:r w:rsidRPr="007C21E8">
        <w:rPr>
          <w:rFonts w:asciiTheme="majorBidi" w:hAnsiTheme="majorBidi" w:cstheme="majorBidi"/>
          <w:i/>
          <w:iCs/>
          <w:sz w:val="20"/>
          <w:szCs w:val="20"/>
        </w:rPr>
        <w:t>S</w:t>
      </w:r>
      <w:r>
        <w:rPr>
          <w:rFonts w:asciiTheme="majorBidi" w:hAnsiTheme="majorBidi" w:cstheme="majorBidi"/>
          <w:i/>
          <w:iCs/>
          <w:sz w:val="20"/>
          <w:szCs w:val="20"/>
        </w:rPr>
        <w:t>u</w:t>
      </w:r>
      <w:r w:rsidRPr="007C21E8">
        <w:rPr>
          <w:rFonts w:asciiTheme="majorBidi" w:hAnsiTheme="majorBidi" w:cstheme="majorBidi"/>
          <w:i/>
          <w:iCs/>
          <w:sz w:val="20"/>
          <w:szCs w:val="20"/>
        </w:rPr>
        <w:t>w</w:t>
      </w:r>
      <w:r>
        <w:rPr>
          <w:rFonts w:asciiTheme="majorBidi" w:hAnsiTheme="majorBidi" w:cstheme="majorBidi"/>
          <w:i/>
          <w:iCs/>
          <w:sz w:val="20"/>
          <w:szCs w:val="20"/>
        </w:rPr>
        <w:t>a</w:t>
      </w:r>
      <w:r w:rsidRPr="007C21E8">
        <w:rPr>
          <w:rFonts w:asciiTheme="majorBidi" w:hAnsiTheme="majorBidi" w:cstheme="majorBidi"/>
          <w:i/>
          <w:iCs/>
          <w:sz w:val="20"/>
          <w:szCs w:val="20"/>
        </w:rPr>
        <w:t>t al-Haq wa</w:t>
      </w:r>
      <w:r>
        <w:rPr>
          <w:rFonts w:asciiTheme="majorBidi" w:hAnsiTheme="majorBidi" w:cstheme="majorBidi"/>
          <w:i/>
          <w:iCs/>
          <w:sz w:val="20"/>
          <w:szCs w:val="20"/>
        </w:rPr>
        <w:t>-</w:t>
      </w:r>
      <w:r w:rsidRPr="007C21E8">
        <w:rPr>
          <w:rFonts w:asciiTheme="majorBidi" w:hAnsiTheme="majorBidi" w:cstheme="majorBidi"/>
          <w:i/>
          <w:iCs/>
          <w:sz w:val="20"/>
          <w:szCs w:val="20"/>
        </w:rPr>
        <w:t>al-Hurriya</w:t>
      </w:r>
      <w:r w:rsidRPr="00D5160B">
        <w:rPr>
          <w:rFonts w:asciiTheme="majorBidi" w:hAnsiTheme="majorBidi" w:cstheme="majorBidi"/>
          <w:sz w:val="20"/>
          <w:szCs w:val="20"/>
        </w:rPr>
        <w:t>, 31.12.1993, p. 10; "</w:t>
      </w:r>
      <w:r>
        <w:rPr>
          <w:rFonts w:asciiTheme="majorBidi" w:hAnsiTheme="majorBidi" w:cstheme="majorBidi"/>
          <w:sz w:val="20"/>
          <w:szCs w:val="20"/>
        </w:rPr>
        <w:t>Min Huwa Darwish, M</w:t>
      </w:r>
      <w:r w:rsidRPr="00FA0323">
        <w:rPr>
          <w:rFonts w:asciiTheme="majorBidi" w:hAnsiTheme="majorBidi" w:cstheme="majorBidi"/>
          <w:sz w:val="20"/>
          <w:szCs w:val="20"/>
        </w:rPr>
        <w:t>uasis al</w:t>
      </w:r>
      <w:r>
        <w:rPr>
          <w:rFonts w:asciiTheme="majorBidi" w:hAnsiTheme="majorBidi" w:cstheme="majorBidi"/>
          <w:sz w:val="20"/>
          <w:szCs w:val="20"/>
        </w:rPr>
        <w:t>-H</w:t>
      </w:r>
      <w:r w:rsidRPr="00FA0323">
        <w:rPr>
          <w:rFonts w:asciiTheme="majorBidi" w:hAnsiTheme="majorBidi" w:cstheme="majorBidi"/>
          <w:sz w:val="20"/>
          <w:szCs w:val="20"/>
        </w:rPr>
        <w:t>arakat al</w:t>
      </w:r>
      <w:r>
        <w:rPr>
          <w:rFonts w:asciiTheme="majorBidi" w:hAnsiTheme="majorBidi" w:cstheme="majorBidi"/>
          <w:sz w:val="20"/>
          <w:szCs w:val="20"/>
        </w:rPr>
        <w:t>-I</w:t>
      </w:r>
      <w:r w:rsidRPr="00FA0323">
        <w:rPr>
          <w:rFonts w:asciiTheme="majorBidi" w:hAnsiTheme="majorBidi" w:cstheme="majorBidi"/>
          <w:sz w:val="20"/>
          <w:szCs w:val="20"/>
        </w:rPr>
        <w:t>islamia bi</w:t>
      </w:r>
      <w:r>
        <w:rPr>
          <w:rFonts w:asciiTheme="majorBidi" w:hAnsiTheme="majorBidi" w:cstheme="majorBidi"/>
          <w:sz w:val="20"/>
          <w:szCs w:val="20"/>
        </w:rPr>
        <w:t>-</w:t>
      </w:r>
      <w:r w:rsidRPr="00FA0323">
        <w:rPr>
          <w:rFonts w:asciiTheme="majorBidi" w:hAnsiTheme="majorBidi" w:cstheme="majorBidi"/>
          <w:sz w:val="20"/>
          <w:szCs w:val="20"/>
        </w:rPr>
        <w:t>al</w:t>
      </w:r>
      <w:r>
        <w:rPr>
          <w:rFonts w:asciiTheme="majorBidi" w:hAnsiTheme="majorBidi" w:cstheme="majorBidi"/>
          <w:sz w:val="20"/>
          <w:szCs w:val="20"/>
        </w:rPr>
        <w:t>-D</w:t>
      </w:r>
      <w:r w:rsidRPr="00FA0323">
        <w:rPr>
          <w:rFonts w:asciiTheme="majorBidi" w:hAnsiTheme="majorBidi" w:cstheme="majorBidi"/>
          <w:sz w:val="20"/>
          <w:szCs w:val="20"/>
        </w:rPr>
        <w:t>aakhil al</w:t>
      </w:r>
      <w:r>
        <w:rPr>
          <w:rFonts w:asciiTheme="majorBidi" w:hAnsiTheme="majorBidi" w:cstheme="majorBidi"/>
          <w:sz w:val="20"/>
          <w:szCs w:val="20"/>
        </w:rPr>
        <w:t>-F</w:t>
      </w:r>
      <w:r w:rsidRPr="00FA0323">
        <w:rPr>
          <w:rFonts w:asciiTheme="majorBidi" w:hAnsiTheme="majorBidi" w:cstheme="majorBidi"/>
          <w:sz w:val="20"/>
          <w:szCs w:val="20"/>
        </w:rPr>
        <w:t>ilastinii</w:t>
      </w:r>
      <w:r>
        <w:rPr>
          <w:rFonts w:asciiTheme="majorBidi" w:hAnsiTheme="majorBidi" w:cstheme="majorBidi"/>
          <w:sz w:val="20"/>
          <w:szCs w:val="20"/>
        </w:rPr>
        <w:t xml:space="preserve"> (</w:t>
      </w:r>
      <w:r w:rsidRPr="00D5160B">
        <w:rPr>
          <w:rFonts w:asciiTheme="majorBidi" w:hAnsiTheme="majorBidi" w:cstheme="majorBidi"/>
          <w:sz w:val="20"/>
          <w:szCs w:val="20"/>
        </w:rPr>
        <w:t>Who is Darwish</w:t>
      </w:r>
      <w:r>
        <w:rPr>
          <w:rFonts w:asciiTheme="majorBidi" w:hAnsiTheme="majorBidi" w:cstheme="majorBidi"/>
          <w:sz w:val="20"/>
          <w:szCs w:val="20"/>
        </w:rPr>
        <w:t>,</w:t>
      </w:r>
      <w:r w:rsidRPr="00D5160B">
        <w:rPr>
          <w:rFonts w:asciiTheme="majorBidi" w:hAnsiTheme="majorBidi" w:cstheme="majorBidi"/>
          <w:sz w:val="20"/>
          <w:szCs w:val="20"/>
        </w:rPr>
        <w:t xml:space="preserve"> The Founder of the Islamic Movement in the Palestinian Interior?</w:t>
      </w:r>
      <w:r>
        <w:rPr>
          <w:rFonts w:asciiTheme="majorBidi" w:hAnsiTheme="majorBidi" w:cstheme="majorBidi"/>
          <w:sz w:val="20"/>
          <w:szCs w:val="20"/>
        </w:rPr>
        <w:t>)</w:t>
      </w:r>
      <w:r w:rsidRPr="00D5160B">
        <w:rPr>
          <w:rFonts w:asciiTheme="majorBidi" w:hAnsiTheme="majorBidi" w:cstheme="majorBidi"/>
          <w:sz w:val="20"/>
          <w:szCs w:val="20"/>
        </w:rPr>
        <w:t xml:space="preserve">", </w:t>
      </w:r>
      <w:r w:rsidRPr="00820571">
        <w:rPr>
          <w:rFonts w:asciiTheme="majorBidi" w:hAnsiTheme="majorBidi" w:cstheme="majorBidi"/>
          <w:i/>
          <w:iCs/>
          <w:sz w:val="20"/>
          <w:szCs w:val="20"/>
        </w:rPr>
        <w:t>Al-Jazeera</w:t>
      </w:r>
      <w:r w:rsidRPr="00D5160B">
        <w:rPr>
          <w:rFonts w:asciiTheme="majorBidi" w:hAnsiTheme="majorBidi" w:cstheme="majorBidi"/>
          <w:sz w:val="20"/>
          <w:szCs w:val="20"/>
        </w:rPr>
        <w:t xml:space="preserve">, 12.1.2017, </w:t>
      </w:r>
      <w:hyperlink r:id="rId2" w:history="1">
        <w:r w:rsidRPr="00A645C6">
          <w:rPr>
            <w:rStyle w:val="Hyperlink"/>
            <w:rFonts w:asciiTheme="majorBidi" w:hAnsiTheme="majorBidi" w:cstheme="majorBidi"/>
            <w:sz w:val="20"/>
            <w:szCs w:val="20"/>
          </w:rPr>
          <w:t>https://bit.ly/3Cq3KCi</w:t>
        </w:r>
      </w:hyperlink>
      <w:r>
        <w:rPr>
          <w:rFonts w:asciiTheme="majorBidi" w:hAnsiTheme="majorBidi" w:cstheme="majorBidi"/>
          <w:sz w:val="20"/>
          <w:szCs w:val="20"/>
        </w:rPr>
        <w:t xml:space="preserve">; </w:t>
      </w:r>
      <w:r w:rsidRPr="00D5160B">
        <w:rPr>
          <w:rFonts w:asciiTheme="majorBidi" w:hAnsiTheme="majorBidi" w:cstheme="majorBidi"/>
          <w:sz w:val="20"/>
          <w:szCs w:val="20"/>
        </w:rPr>
        <w:t>Awwad, "</w:t>
      </w:r>
      <w:r w:rsidRPr="00E63F15">
        <w:rPr>
          <w:rFonts w:asciiTheme="majorBidi" w:hAnsiTheme="majorBidi" w:cstheme="majorBidi"/>
          <w:sz w:val="20"/>
          <w:szCs w:val="20"/>
        </w:rPr>
        <w:t xml:space="preserve"> </w:t>
      </w:r>
      <w:r w:rsidRPr="00D5160B">
        <w:rPr>
          <w:rFonts w:asciiTheme="majorBidi" w:hAnsiTheme="majorBidi" w:cstheme="majorBidi"/>
          <w:sz w:val="20"/>
          <w:szCs w:val="20"/>
        </w:rPr>
        <w:t>Raed Salah</w:t>
      </w:r>
      <w:r>
        <w:rPr>
          <w:rFonts w:asciiTheme="majorBidi" w:hAnsiTheme="majorBidi" w:cstheme="majorBidi"/>
          <w:sz w:val="20"/>
          <w:szCs w:val="20"/>
        </w:rPr>
        <w:t>, M</w:t>
      </w:r>
      <w:r w:rsidRPr="00E63F15">
        <w:rPr>
          <w:rFonts w:asciiTheme="majorBidi" w:hAnsiTheme="majorBidi" w:cstheme="majorBidi"/>
          <w:sz w:val="20"/>
          <w:szCs w:val="20"/>
        </w:rPr>
        <w:t>uqawim fi al</w:t>
      </w:r>
      <w:r>
        <w:rPr>
          <w:rFonts w:asciiTheme="majorBidi" w:hAnsiTheme="majorBidi" w:cstheme="majorBidi"/>
          <w:sz w:val="20"/>
          <w:szCs w:val="20"/>
        </w:rPr>
        <w:t>-D</w:t>
      </w:r>
      <w:r w:rsidRPr="00E63F15">
        <w:rPr>
          <w:rFonts w:asciiTheme="majorBidi" w:hAnsiTheme="majorBidi" w:cstheme="majorBidi"/>
          <w:sz w:val="20"/>
          <w:szCs w:val="20"/>
        </w:rPr>
        <w:t xml:space="preserve">aakhil </w:t>
      </w:r>
      <w:r>
        <w:rPr>
          <w:rFonts w:asciiTheme="majorBidi" w:hAnsiTheme="majorBidi" w:cstheme="majorBidi"/>
          <w:sz w:val="20"/>
          <w:szCs w:val="20"/>
        </w:rPr>
        <w:t>(</w:t>
      </w:r>
      <w:r w:rsidRPr="00D5160B">
        <w:rPr>
          <w:rFonts w:asciiTheme="majorBidi" w:hAnsiTheme="majorBidi" w:cstheme="majorBidi"/>
          <w:sz w:val="20"/>
          <w:szCs w:val="20"/>
        </w:rPr>
        <w:t>Raed Salah</w:t>
      </w:r>
      <w:r>
        <w:rPr>
          <w:rFonts w:asciiTheme="majorBidi" w:hAnsiTheme="majorBidi" w:cstheme="majorBidi"/>
          <w:sz w:val="20"/>
          <w:szCs w:val="20"/>
        </w:rPr>
        <w:t>,</w:t>
      </w:r>
      <w:r w:rsidRPr="00D5160B">
        <w:rPr>
          <w:rFonts w:asciiTheme="majorBidi" w:hAnsiTheme="majorBidi" w:cstheme="majorBidi"/>
          <w:sz w:val="20"/>
          <w:szCs w:val="20"/>
        </w:rPr>
        <w:t xml:space="preserve"> A Resistant in the Interior</w:t>
      </w:r>
      <w:r>
        <w:rPr>
          <w:rFonts w:asciiTheme="majorBidi" w:hAnsiTheme="majorBidi" w:cstheme="majorBidi"/>
          <w:sz w:val="20"/>
          <w:szCs w:val="20"/>
        </w:rPr>
        <w:t>)</w:t>
      </w:r>
      <w:r w:rsidRPr="00D5160B">
        <w:rPr>
          <w:rFonts w:asciiTheme="majorBidi" w:hAnsiTheme="majorBidi" w:cstheme="majorBidi"/>
          <w:sz w:val="20"/>
          <w:szCs w:val="20"/>
        </w:rPr>
        <w:t xml:space="preserve">", </w:t>
      </w:r>
      <w:r w:rsidRPr="00FA0323">
        <w:rPr>
          <w:rFonts w:asciiTheme="majorBidi" w:hAnsiTheme="majorBidi" w:cstheme="majorBidi"/>
          <w:i/>
          <w:iCs/>
          <w:sz w:val="20"/>
          <w:szCs w:val="20"/>
        </w:rPr>
        <w:t>Al-Jazeera</w:t>
      </w:r>
      <w:r w:rsidRPr="00D5160B">
        <w:rPr>
          <w:rFonts w:asciiTheme="majorBidi" w:hAnsiTheme="majorBidi" w:cstheme="majorBidi"/>
          <w:sz w:val="20"/>
          <w:szCs w:val="20"/>
        </w:rPr>
        <w:t xml:space="preserve">, 13.5.2010, </w:t>
      </w:r>
      <w:hyperlink r:id="rId3" w:history="1">
        <w:r w:rsidRPr="00A645C6">
          <w:rPr>
            <w:rStyle w:val="Hyperlink"/>
            <w:rFonts w:asciiTheme="majorBidi" w:hAnsiTheme="majorBidi" w:cstheme="majorBidi"/>
            <w:sz w:val="20"/>
            <w:szCs w:val="20"/>
          </w:rPr>
          <w:t>https://bit.ly/2VATff4</w:t>
        </w:r>
      </w:hyperlink>
      <w:r>
        <w:rPr>
          <w:rFonts w:asciiTheme="majorBidi" w:hAnsiTheme="majorBidi" w:cstheme="majorBidi"/>
          <w:sz w:val="20"/>
          <w:szCs w:val="20"/>
        </w:rPr>
        <w:t>.</w:t>
      </w:r>
    </w:p>
  </w:footnote>
  <w:footnote w:id="45">
    <w:p w14:paraId="50881A6C" w14:textId="6C150765" w:rsidR="00106636" w:rsidRPr="00106636" w:rsidRDefault="00106636" w:rsidP="00106636">
      <w:pPr>
        <w:bidi w:val="0"/>
        <w:spacing w:after="0" w:line="240" w:lineRule="auto"/>
        <w:jc w:val="both"/>
        <w:rPr>
          <w:rFonts w:asciiTheme="majorBidi" w:hAnsiTheme="majorBidi" w:cstheme="majorBidi"/>
          <w:sz w:val="20"/>
          <w:szCs w:val="20"/>
        </w:rPr>
      </w:pPr>
      <w:r w:rsidRPr="00106636">
        <w:rPr>
          <w:rStyle w:val="FootnoteReference"/>
          <w:rFonts w:asciiTheme="majorBidi" w:hAnsiTheme="majorBidi" w:cstheme="majorBidi"/>
          <w:sz w:val="20"/>
          <w:szCs w:val="20"/>
        </w:rPr>
        <w:footnoteRef/>
      </w:r>
      <w:r w:rsidRPr="00106636">
        <w:rPr>
          <w:rFonts w:asciiTheme="majorBidi" w:hAnsiTheme="majorBidi" w:cstheme="majorBidi"/>
          <w:sz w:val="20"/>
          <w:szCs w:val="20"/>
          <w:rtl/>
        </w:rPr>
        <w:t xml:space="preserve"> </w:t>
      </w:r>
      <w:r w:rsidRPr="00106636">
        <w:rPr>
          <w:rFonts w:asciiTheme="majorBidi" w:hAnsiTheme="majorBidi" w:cstheme="majorBidi"/>
          <w:sz w:val="20"/>
          <w:szCs w:val="20"/>
        </w:rPr>
        <w:t>Badir, "Wujudna fi al-Barlaman al-Suhyuni wa-Tahalufuna fi al-Qayima al-Mushtaraka (Our Presence in the Zionist Parliament and Our Alliance in the Joint List)".</w:t>
      </w:r>
    </w:p>
  </w:footnote>
  <w:footnote w:id="46">
    <w:p w14:paraId="4C0A725E" w14:textId="6CEFFCB9" w:rsidR="00FF3C12" w:rsidRPr="00FF3C12" w:rsidRDefault="00FF3C12" w:rsidP="00FF3C12">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C10205">
        <w:rPr>
          <w:rFonts w:asciiTheme="majorBidi" w:hAnsiTheme="majorBidi" w:cstheme="majorBidi"/>
          <w:sz w:val="20"/>
          <w:szCs w:val="20"/>
        </w:rPr>
        <w:t xml:space="preserve">"We are not Islamic Jihad", Koteret Rashit, 23.3.1988, p. 23. </w:t>
      </w:r>
    </w:p>
  </w:footnote>
  <w:footnote w:id="47">
    <w:p w14:paraId="3AE25D5C" w14:textId="6794BF16" w:rsidR="00FF3C12" w:rsidRDefault="00FF3C12" w:rsidP="00FF3C12">
      <w:pPr>
        <w:pStyle w:val="FootnoteText"/>
        <w:bidi w:val="0"/>
      </w:pPr>
      <w:r>
        <w:rPr>
          <w:rStyle w:val="FootnoteReference"/>
        </w:rPr>
        <w:footnoteRef/>
      </w:r>
      <w:r>
        <w:rPr>
          <w:rtl/>
        </w:rPr>
        <w:t xml:space="preserve"> </w:t>
      </w:r>
      <w:r w:rsidRPr="00C10205">
        <w:rPr>
          <w:rFonts w:asciiTheme="majorBidi" w:hAnsiTheme="majorBidi" w:cstheme="majorBidi"/>
        </w:rPr>
        <w:t>Abramov, "In the Name of the Quran"</w:t>
      </w:r>
      <w:r w:rsidR="002460D2">
        <w:rPr>
          <w:rFonts w:asciiTheme="majorBidi" w:hAnsiTheme="majorBidi" w:cstheme="majorBidi"/>
        </w:rPr>
        <w:t xml:space="preserve">, </w:t>
      </w:r>
      <w:r w:rsidR="002460D2" w:rsidRPr="00D5160B">
        <w:rPr>
          <w:rFonts w:asciiTheme="majorBidi" w:hAnsiTheme="majorBidi" w:cstheme="majorBidi"/>
        </w:rPr>
        <w:t>Tel Aviv, 23.11.2001, pp. 34-37</w:t>
      </w:r>
      <w:r w:rsidR="002460D2">
        <w:rPr>
          <w:rFonts w:asciiTheme="majorBidi" w:hAnsiTheme="majorBidi" w:cstheme="majorBidi"/>
        </w:rPr>
        <w:t>.</w:t>
      </w:r>
    </w:p>
  </w:footnote>
  <w:footnote w:id="48">
    <w:p w14:paraId="4B1CE212" w14:textId="5BC8BCD0" w:rsidR="007837AD" w:rsidRPr="007837AD" w:rsidRDefault="007837AD" w:rsidP="002460D2">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337573">
        <w:rPr>
          <w:rFonts w:asciiTheme="majorBidi" w:hAnsiTheme="majorBidi" w:cstheme="majorBidi"/>
          <w:sz w:val="20"/>
          <w:szCs w:val="20"/>
        </w:rPr>
        <w:t>Jaber, "</w:t>
      </w:r>
      <w:r>
        <w:rPr>
          <w:rFonts w:asciiTheme="majorBidi" w:hAnsiTheme="majorBidi" w:cstheme="majorBidi"/>
          <w:sz w:val="20"/>
          <w:szCs w:val="20"/>
        </w:rPr>
        <w:t xml:space="preserve">Zaeim al-Haraka al-Islamiya fi Israyil… </w:t>
      </w:r>
      <w:r w:rsidRPr="007837AD">
        <w:rPr>
          <w:rFonts w:asciiTheme="majorBidi" w:hAnsiTheme="majorBidi" w:cstheme="majorBidi"/>
          <w:sz w:val="20"/>
          <w:szCs w:val="20"/>
        </w:rPr>
        <w:t xml:space="preserve">fi </w:t>
      </w:r>
      <w:r>
        <w:rPr>
          <w:rFonts w:asciiTheme="majorBidi" w:hAnsiTheme="majorBidi" w:cstheme="majorBidi"/>
          <w:sz w:val="20"/>
          <w:szCs w:val="20"/>
        </w:rPr>
        <w:t>H</w:t>
      </w:r>
      <w:r w:rsidRPr="007837AD">
        <w:rPr>
          <w:rFonts w:asciiTheme="majorBidi" w:hAnsiTheme="majorBidi" w:cstheme="majorBidi"/>
          <w:sz w:val="20"/>
          <w:szCs w:val="20"/>
        </w:rPr>
        <w:t xml:space="preserve">adith </w:t>
      </w:r>
      <w:r>
        <w:rPr>
          <w:rFonts w:asciiTheme="majorBidi" w:hAnsiTheme="majorBidi" w:cstheme="majorBidi"/>
          <w:sz w:val="20"/>
          <w:szCs w:val="20"/>
        </w:rPr>
        <w:t>K</w:t>
      </w:r>
      <w:r w:rsidRPr="007837AD">
        <w:rPr>
          <w:rFonts w:asciiTheme="majorBidi" w:hAnsiTheme="majorBidi" w:cstheme="majorBidi"/>
          <w:sz w:val="20"/>
          <w:szCs w:val="20"/>
        </w:rPr>
        <w:t xml:space="preserve">hasin </w:t>
      </w:r>
      <w:r>
        <w:rPr>
          <w:rFonts w:asciiTheme="majorBidi" w:hAnsiTheme="majorBidi" w:cstheme="majorBidi"/>
          <w:sz w:val="20"/>
          <w:szCs w:val="20"/>
        </w:rPr>
        <w:t>M</w:t>
      </w:r>
      <w:r w:rsidRPr="007837AD">
        <w:rPr>
          <w:rFonts w:asciiTheme="majorBidi" w:hAnsiTheme="majorBidi" w:cstheme="majorBidi"/>
          <w:sz w:val="20"/>
          <w:szCs w:val="20"/>
        </w:rPr>
        <w:t>ashab</w:t>
      </w:r>
      <w:r>
        <w:rPr>
          <w:rFonts w:asciiTheme="majorBidi" w:hAnsiTheme="majorBidi" w:cstheme="majorBidi"/>
          <w:sz w:val="20"/>
          <w:szCs w:val="20"/>
        </w:rPr>
        <w:t xml:space="preserve"> (</w:t>
      </w:r>
      <w:r w:rsidRPr="00337573">
        <w:rPr>
          <w:rFonts w:asciiTheme="majorBidi" w:hAnsiTheme="majorBidi" w:cstheme="majorBidi"/>
          <w:sz w:val="20"/>
          <w:szCs w:val="20"/>
        </w:rPr>
        <w:t>The leader of the Islamic Movement in Israel</w:t>
      </w:r>
      <w:r>
        <w:rPr>
          <w:rFonts w:asciiTheme="majorBidi" w:hAnsiTheme="majorBidi" w:cstheme="majorBidi"/>
          <w:sz w:val="20"/>
          <w:szCs w:val="20"/>
        </w:rPr>
        <w:t xml:space="preserve">… </w:t>
      </w:r>
      <w:r w:rsidRPr="00337573">
        <w:rPr>
          <w:rFonts w:asciiTheme="majorBidi" w:hAnsiTheme="majorBidi" w:cstheme="majorBidi"/>
          <w:sz w:val="20"/>
          <w:szCs w:val="20"/>
        </w:rPr>
        <w:t>in an extensive special interview</w:t>
      </w:r>
      <w:r>
        <w:rPr>
          <w:rFonts w:asciiTheme="majorBidi" w:hAnsiTheme="majorBidi" w:cstheme="majorBidi"/>
          <w:sz w:val="20"/>
          <w:szCs w:val="20"/>
        </w:rPr>
        <w:t xml:space="preserve">)", </w:t>
      </w:r>
      <w:r w:rsidRPr="00FB4D65">
        <w:rPr>
          <w:rFonts w:asciiTheme="majorBidi" w:hAnsiTheme="majorBidi" w:cstheme="majorBidi"/>
          <w:i/>
          <w:iCs/>
          <w:sz w:val="20"/>
          <w:szCs w:val="20"/>
        </w:rPr>
        <w:t>Panorama</w:t>
      </w:r>
      <w:r w:rsidRPr="00337573">
        <w:rPr>
          <w:rFonts w:asciiTheme="majorBidi" w:hAnsiTheme="majorBidi" w:cstheme="majorBidi"/>
          <w:sz w:val="20"/>
          <w:szCs w:val="20"/>
        </w:rPr>
        <w:t>, 8.4.1994, pp. 14-18.</w:t>
      </w:r>
    </w:p>
  </w:footnote>
  <w:footnote w:id="49">
    <w:p w14:paraId="63147341" w14:textId="7DB4792A" w:rsidR="00FB4D65" w:rsidRPr="00FB4D65" w:rsidRDefault="00FB4D65" w:rsidP="00FB4D6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337573">
        <w:rPr>
          <w:rFonts w:asciiTheme="majorBidi" w:hAnsiTheme="majorBidi" w:cstheme="majorBidi"/>
          <w:sz w:val="20"/>
          <w:szCs w:val="20"/>
        </w:rPr>
        <w:t>Ali, "The Islamic Movement in Israel: Between Religion, Nationalism and Modernity", p. 137.</w:t>
      </w:r>
    </w:p>
  </w:footnote>
  <w:footnote w:id="50">
    <w:p w14:paraId="70F0F355" w14:textId="18A65A50" w:rsidR="007837AD" w:rsidRPr="00FA4EAF" w:rsidRDefault="007837AD" w:rsidP="00FA4EAF">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337573">
        <w:rPr>
          <w:rFonts w:asciiTheme="majorBidi" w:hAnsiTheme="majorBidi" w:cstheme="majorBidi"/>
          <w:sz w:val="20"/>
          <w:szCs w:val="20"/>
        </w:rPr>
        <w:t xml:space="preserve">Quote from Landress, "I am not a Monkey, I am your Brother", </w:t>
      </w:r>
      <w:r w:rsidR="00FA4EAF" w:rsidRPr="00D5160B">
        <w:rPr>
          <w:rFonts w:asciiTheme="majorBidi" w:hAnsiTheme="majorBidi" w:cstheme="majorBidi"/>
          <w:sz w:val="20"/>
          <w:szCs w:val="20"/>
        </w:rPr>
        <w:t xml:space="preserve">", Davar HaShavua, 6.11.1987, </w:t>
      </w:r>
      <w:r w:rsidRPr="00337573">
        <w:rPr>
          <w:rFonts w:asciiTheme="majorBidi" w:hAnsiTheme="majorBidi" w:cstheme="majorBidi"/>
          <w:sz w:val="20"/>
          <w:szCs w:val="20"/>
        </w:rPr>
        <w:t xml:space="preserve">p. 12. </w:t>
      </w:r>
      <w:r>
        <w:rPr>
          <w:rFonts w:asciiTheme="majorBidi" w:hAnsiTheme="majorBidi" w:cstheme="majorBidi"/>
          <w:sz w:val="20"/>
          <w:szCs w:val="20"/>
        </w:rPr>
        <w:t xml:space="preserve">See also - </w:t>
      </w:r>
      <w:r w:rsidRPr="00337573">
        <w:rPr>
          <w:rFonts w:asciiTheme="majorBidi" w:hAnsiTheme="majorBidi" w:cstheme="majorBidi"/>
          <w:sz w:val="20"/>
          <w:szCs w:val="20"/>
        </w:rPr>
        <w:t xml:space="preserve">Rekhess, </w:t>
      </w:r>
      <w:r w:rsidRPr="00FB4D65">
        <w:rPr>
          <w:rFonts w:asciiTheme="majorBidi" w:hAnsiTheme="majorBidi" w:cstheme="majorBidi"/>
          <w:i/>
          <w:iCs/>
          <w:sz w:val="20"/>
          <w:szCs w:val="20"/>
        </w:rPr>
        <w:t>Islamism across the Green Line</w:t>
      </w:r>
      <w:r w:rsidRPr="00337573">
        <w:rPr>
          <w:rFonts w:asciiTheme="majorBidi" w:hAnsiTheme="majorBidi" w:cstheme="majorBidi"/>
          <w:sz w:val="20"/>
          <w:szCs w:val="20"/>
        </w:rPr>
        <w:t xml:space="preserve">, pp. 9-21; </w:t>
      </w:r>
      <w:r w:rsidR="0066437D" w:rsidRPr="0066437D">
        <w:rPr>
          <w:rFonts w:asciiTheme="majorBidi" w:hAnsiTheme="majorBidi" w:cstheme="majorBidi"/>
          <w:sz w:val="20"/>
          <w:szCs w:val="20"/>
        </w:rPr>
        <w:t>Aburiya</w:t>
      </w:r>
      <w:r w:rsidRPr="00337573">
        <w:rPr>
          <w:rFonts w:asciiTheme="majorBidi" w:hAnsiTheme="majorBidi" w:cstheme="majorBidi"/>
          <w:sz w:val="20"/>
          <w:szCs w:val="20"/>
        </w:rPr>
        <w:t>, "Concrete Religiosity vs. Abstract Religiosity", pp. 690-692; Ali, "The Islamic Movement in Israel between Religion, Nationalism and Modernity", pp. 150-157; Daoud, "Islamism, Nationalism and Modernization", pp. 20-32; Mustafa, "The Political Participation of the Islamic Movement in Israel", p. 54; Rekhess, "The Islamic Movement in Israel and its Linkage to Political Islam in the Territories", pp. 185-290;</w:t>
      </w:r>
      <w:r>
        <w:rPr>
          <w:rFonts w:asciiTheme="majorBidi" w:hAnsiTheme="majorBidi" w:cstheme="majorBidi"/>
          <w:sz w:val="20"/>
          <w:szCs w:val="20"/>
        </w:rPr>
        <w:t xml:space="preserve"> </w:t>
      </w:r>
      <w:r w:rsidRPr="00337573">
        <w:rPr>
          <w:rFonts w:asciiTheme="majorBidi" w:hAnsiTheme="majorBidi" w:cstheme="majorBidi"/>
          <w:sz w:val="20"/>
          <w:szCs w:val="20"/>
        </w:rPr>
        <w:t>Roth, "Insider Religious Mediators advancing religious peace", pp. 43-83; Rubin, "Islamic Political Activism in Israel</w:t>
      </w:r>
      <w:r w:rsidR="00FA4EAF">
        <w:rPr>
          <w:rFonts w:asciiTheme="majorBidi" w:hAnsiTheme="majorBidi" w:cstheme="majorBidi"/>
          <w:sz w:val="20"/>
          <w:szCs w:val="20"/>
        </w:rPr>
        <w:t>".</w:t>
      </w:r>
      <w:r>
        <w:rPr>
          <w:rFonts w:asciiTheme="majorBidi" w:hAnsiTheme="majorBidi" w:cstheme="majorBidi"/>
          <w:sz w:val="20"/>
          <w:szCs w:val="20"/>
        </w:rPr>
        <w:t xml:space="preserve"> </w:t>
      </w:r>
    </w:p>
  </w:footnote>
  <w:footnote w:id="51">
    <w:p w14:paraId="7D98ADA6" w14:textId="1BFE466B" w:rsidR="00AD5AE1" w:rsidRDefault="00AD5AE1" w:rsidP="00AD5AE1">
      <w:pPr>
        <w:pStyle w:val="FootnoteText"/>
        <w:bidi w:val="0"/>
      </w:pPr>
      <w:r>
        <w:rPr>
          <w:rStyle w:val="FootnoteReference"/>
        </w:rPr>
        <w:footnoteRef/>
      </w:r>
      <w:r>
        <w:rPr>
          <w:rtl/>
        </w:rPr>
        <w:t xml:space="preserve"> </w:t>
      </w:r>
      <w:r w:rsidRPr="00337573">
        <w:rPr>
          <w:rFonts w:asciiTheme="majorBidi" w:hAnsiTheme="majorBidi" w:cstheme="majorBidi"/>
        </w:rPr>
        <w:t>Badir, "</w:t>
      </w:r>
      <w:r>
        <w:rPr>
          <w:rFonts w:asciiTheme="majorBidi" w:hAnsiTheme="majorBidi" w:cstheme="majorBidi"/>
        </w:rPr>
        <w:t>Daa</w:t>
      </w:r>
      <w:r w:rsidRPr="00535581">
        <w:rPr>
          <w:rFonts w:asciiTheme="majorBidi" w:hAnsiTheme="majorBidi" w:cstheme="majorBidi"/>
        </w:rPr>
        <w:t xml:space="preserve"> aintibaq wasf </w:t>
      </w:r>
      <w:r>
        <w:rPr>
          <w:rFonts w:asciiTheme="majorBidi" w:hAnsiTheme="majorBidi" w:cstheme="majorBidi"/>
        </w:rPr>
        <w:t>D</w:t>
      </w:r>
      <w:r w:rsidRPr="00535581">
        <w:rPr>
          <w:rFonts w:asciiTheme="majorBidi" w:hAnsiTheme="majorBidi" w:cstheme="majorBidi"/>
        </w:rPr>
        <w:t>ar</w:t>
      </w:r>
      <w:r>
        <w:rPr>
          <w:rFonts w:asciiTheme="majorBidi" w:hAnsiTheme="majorBidi" w:cstheme="majorBidi"/>
        </w:rPr>
        <w:t xml:space="preserve"> al-H</w:t>
      </w:r>
      <w:r w:rsidRPr="00535581">
        <w:rPr>
          <w:rFonts w:asciiTheme="majorBidi" w:hAnsiTheme="majorBidi" w:cstheme="majorBidi"/>
        </w:rPr>
        <w:t xml:space="preserve">arb ealaa </w:t>
      </w:r>
      <w:r>
        <w:rPr>
          <w:rFonts w:asciiTheme="majorBidi" w:hAnsiTheme="majorBidi" w:cstheme="majorBidi"/>
        </w:rPr>
        <w:t>F</w:t>
      </w:r>
      <w:r w:rsidRPr="00535581">
        <w:rPr>
          <w:rFonts w:asciiTheme="majorBidi" w:hAnsiTheme="majorBidi" w:cstheme="majorBidi"/>
        </w:rPr>
        <w:t>ilastin al</w:t>
      </w:r>
      <w:r>
        <w:rPr>
          <w:rFonts w:asciiTheme="majorBidi" w:hAnsiTheme="majorBidi" w:cstheme="majorBidi"/>
        </w:rPr>
        <w:t>-T</w:t>
      </w:r>
      <w:r w:rsidRPr="00535581">
        <w:rPr>
          <w:rFonts w:asciiTheme="majorBidi" w:hAnsiTheme="majorBidi" w:cstheme="majorBidi"/>
        </w:rPr>
        <w:t>aarikhia</w:t>
      </w:r>
      <w:r>
        <w:rPr>
          <w:rFonts w:asciiTheme="majorBidi" w:hAnsiTheme="majorBidi" w:cstheme="majorBidi"/>
        </w:rPr>
        <w:t xml:space="preserve"> (</w:t>
      </w:r>
      <w:r w:rsidR="00EB03FE" w:rsidRPr="00EB03FE">
        <w:rPr>
          <w:rFonts w:asciiTheme="majorBidi" w:hAnsiTheme="majorBidi" w:cstheme="majorBidi"/>
        </w:rPr>
        <w:t>Th</w:t>
      </w:r>
      <w:r w:rsidR="00EB03FE">
        <w:rPr>
          <w:rFonts w:asciiTheme="majorBidi" w:hAnsiTheme="majorBidi" w:cstheme="majorBidi"/>
        </w:rPr>
        <w:t>e</w:t>
      </w:r>
      <w:r w:rsidR="00EB03FE" w:rsidRPr="00EB03FE">
        <w:rPr>
          <w:rFonts w:asciiTheme="majorBidi" w:hAnsiTheme="majorBidi" w:cstheme="majorBidi"/>
        </w:rPr>
        <w:t xml:space="preserve"> description of Dar Harb applies to historical Palestine</w:t>
      </w:r>
      <w:r>
        <w:rPr>
          <w:rFonts w:asciiTheme="majorBidi" w:hAnsiTheme="majorBidi" w:cstheme="majorBidi"/>
        </w:rPr>
        <w:t>)</w:t>
      </w:r>
      <w:r w:rsidRPr="00337573">
        <w:rPr>
          <w:rFonts w:asciiTheme="majorBidi" w:hAnsiTheme="majorBidi" w:cstheme="majorBidi"/>
        </w:rPr>
        <w:t>"</w:t>
      </w:r>
      <w:r>
        <w:rPr>
          <w:rFonts w:asciiTheme="majorBidi" w:hAnsiTheme="majorBidi" w:cstheme="majorBidi"/>
        </w:rPr>
        <w:t>.</w:t>
      </w:r>
    </w:p>
  </w:footnote>
  <w:footnote w:id="52">
    <w:p w14:paraId="0D233DB5" w14:textId="0C219436" w:rsidR="00685945" w:rsidRPr="00685945" w:rsidRDefault="00685945" w:rsidP="0068594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337573">
        <w:rPr>
          <w:rFonts w:asciiTheme="majorBidi" w:hAnsiTheme="majorBidi" w:cstheme="majorBidi"/>
          <w:sz w:val="20"/>
          <w:szCs w:val="20"/>
        </w:rPr>
        <w:t xml:space="preserve">Al-Qaradawi, </w:t>
      </w:r>
      <w:r w:rsidRPr="00D61F41">
        <w:rPr>
          <w:rFonts w:asciiTheme="majorBidi" w:hAnsiTheme="majorBidi" w:cstheme="majorBidi"/>
          <w:i/>
          <w:iCs/>
          <w:sz w:val="20"/>
          <w:szCs w:val="20"/>
        </w:rPr>
        <w:t>Fi Fiqh al-Aqalliyyat al-Muslima</w:t>
      </w:r>
      <w:r>
        <w:rPr>
          <w:rFonts w:asciiTheme="majorBidi" w:hAnsiTheme="majorBidi" w:cstheme="majorBidi"/>
          <w:sz w:val="20"/>
          <w:szCs w:val="20"/>
        </w:rPr>
        <w:t xml:space="preserve"> (</w:t>
      </w:r>
      <w:r w:rsidRPr="00D61F41">
        <w:rPr>
          <w:rFonts w:asciiTheme="majorBidi" w:hAnsiTheme="majorBidi" w:cstheme="majorBidi"/>
          <w:sz w:val="20"/>
          <w:szCs w:val="20"/>
        </w:rPr>
        <w:t>In the jurisprudence of Muslim minorities</w:t>
      </w:r>
      <w:r>
        <w:rPr>
          <w:rFonts w:asciiTheme="majorBidi" w:hAnsiTheme="majorBidi" w:cstheme="majorBidi"/>
          <w:sz w:val="20"/>
          <w:szCs w:val="20"/>
        </w:rPr>
        <w:t>)</w:t>
      </w:r>
      <w:r w:rsidRPr="00337573">
        <w:rPr>
          <w:rFonts w:asciiTheme="majorBidi" w:hAnsiTheme="majorBidi" w:cstheme="majorBidi"/>
          <w:sz w:val="20"/>
          <w:szCs w:val="20"/>
        </w:rPr>
        <w:t>, pp. 5-8,</w:t>
      </w:r>
      <w:r>
        <w:rPr>
          <w:rFonts w:asciiTheme="majorBidi" w:hAnsiTheme="majorBidi" w:cstheme="majorBidi"/>
          <w:sz w:val="20"/>
          <w:szCs w:val="20"/>
        </w:rPr>
        <w:t xml:space="preserve"> </w:t>
      </w:r>
      <w:r w:rsidRPr="00337573">
        <w:rPr>
          <w:rFonts w:asciiTheme="majorBidi" w:hAnsiTheme="majorBidi" w:cstheme="majorBidi"/>
          <w:sz w:val="20"/>
          <w:szCs w:val="20"/>
        </w:rPr>
        <w:t xml:space="preserve">Al-Qaradawi, </w:t>
      </w:r>
      <w:r w:rsidRPr="00D61F41">
        <w:rPr>
          <w:rFonts w:asciiTheme="majorBidi" w:hAnsiTheme="majorBidi" w:cstheme="majorBidi"/>
          <w:i/>
          <w:iCs/>
          <w:sz w:val="20"/>
          <w:szCs w:val="20"/>
        </w:rPr>
        <w:t>Fatawi Mu'asira</w:t>
      </w:r>
      <w:r>
        <w:rPr>
          <w:rFonts w:asciiTheme="majorBidi" w:hAnsiTheme="majorBidi" w:cstheme="majorBidi"/>
          <w:sz w:val="20"/>
          <w:szCs w:val="20"/>
        </w:rPr>
        <w:t xml:space="preserve"> (</w:t>
      </w:r>
      <w:r w:rsidR="00F56CAF">
        <w:rPr>
          <w:rFonts w:asciiTheme="majorBidi" w:hAnsiTheme="majorBidi" w:cstheme="majorBidi"/>
          <w:sz w:val="20"/>
          <w:szCs w:val="20"/>
        </w:rPr>
        <w:t>C</w:t>
      </w:r>
      <w:r w:rsidRPr="00D61F41">
        <w:rPr>
          <w:rFonts w:asciiTheme="majorBidi" w:hAnsiTheme="majorBidi" w:cstheme="majorBidi"/>
          <w:sz w:val="20"/>
          <w:szCs w:val="20"/>
        </w:rPr>
        <w:t xml:space="preserve">ontemporary </w:t>
      </w:r>
      <w:r w:rsidR="00F56CAF">
        <w:rPr>
          <w:rFonts w:asciiTheme="majorBidi" w:hAnsiTheme="majorBidi" w:cstheme="majorBidi"/>
          <w:sz w:val="20"/>
          <w:szCs w:val="20"/>
        </w:rPr>
        <w:t>F</w:t>
      </w:r>
      <w:r w:rsidRPr="00D61F41">
        <w:rPr>
          <w:rFonts w:asciiTheme="majorBidi" w:hAnsiTheme="majorBidi" w:cstheme="majorBidi"/>
          <w:sz w:val="20"/>
          <w:szCs w:val="20"/>
        </w:rPr>
        <w:t>atwas</w:t>
      </w:r>
      <w:r>
        <w:rPr>
          <w:rFonts w:asciiTheme="majorBidi" w:hAnsiTheme="majorBidi" w:cstheme="majorBidi"/>
          <w:sz w:val="20"/>
          <w:szCs w:val="20"/>
        </w:rPr>
        <w:t>)</w:t>
      </w:r>
      <w:r w:rsidRPr="00337573">
        <w:rPr>
          <w:rFonts w:asciiTheme="majorBidi" w:hAnsiTheme="majorBidi" w:cstheme="majorBidi"/>
          <w:sz w:val="20"/>
          <w:szCs w:val="20"/>
        </w:rPr>
        <w:t>, pp. 492-495;</w:t>
      </w:r>
      <w:r>
        <w:rPr>
          <w:rFonts w:asciiTheme="majorBidi" w:hAnsiTheme="majorBidi" w:cstheme="majorBidi"/>
          <w:sz w:val="20"/>
          <w:szCs w:val="20"/>
        </w:rPr>
        <w:t xml:space="preserve"> </w:t>
      </w:r>
      <w:r w:rsidRPr="00337573">
        <w:rPr>
          <w:rFonts w:asciiTheme="majorBidi" w:hAnsiTheme="majorBidi" w:cstheme="majorBidi"/>
          <w:sz w:val="20"/>
          <w:szCs w:val="20"/>
        </w:rPr>
        <w:t xml:space="preserve">Ali, </w:t>
      </w:r>
      <w:r w:rsidRPr="009E1F46">
        <w:rPr>
          <w:rFonts w:asciiTheme="majorBidi" w:hAnsiTheme="majorBidi" w:cstheme="majorBidi"/>
          <w:i/>
          <w:iCs/>
          <w:sz w:val="20"/>
          <w:szCs w:val="20"/>
        </w:rPr>
        <w:t>Religious Fundamentalism as Ideology and Practice</w:t>
      </w:r>
      <w:r w:rsidRPr="00337573">
        <w:rPr>
          <w:rFonts w:asciiTheme="majorBidi" w:hAnsiTheme="majorBidi" w:cstheme="majorBidi"/>
          <w:sz w:val="20"/>
          <w:szCs w:val="20"/>
        </w:rPr>
        <w:t xml:space="preserve">, pp. 19-20; Bartal and Rubinsten-Shemer, </w:t>
      </w:r>
      <w:r w:rsidRPr="00343017">
        <w:rPr>
          <w:rFonts w:asciiTheme="majorBidi" w:hAnsiTheme="majorBidi" w:cstheme="majorBidi"/>
          <w:i/>
          <w:iCs/>
          <w:sz w:val="20"/>
          <w:szCs w:val="20"/>
        </w:rPr>
        <w:t>Hamas and ideology</w:t>
      </w:r>
      <w:r w:rsidRPr="00337573">
        <w:rPr>
          <w:rFonts w:asciiTheme="majorBidi" w:hAnsiTheme="majorBidi" w:cstheme="majorBidi"/>
          <w:sz w:val="20"/>
          <w:szCs w:val="20"/>
        </w:rPr>
        <w:t>, pp. 128-130;</w:t>
      </w:r>
      <w:r>
        <w:rPr>
          <w:rFonts w:asciiTheme="majorBidi" w:hAnsiTheme="majorBidi" w:cstheme="majorBidi"/>
          <w:sz w:val="20"/>
          <w:szCs w:val="20"/>
        </w:rPr>
        <w:t xml:space="preserve"> </w:t>
      </w:r>
      <w:r w:rsidRPr="008A4F4C">
        <w:rPr>
          <w:rFonts w:asciiTheme="majorBidi" w:hAnsiTheme="majorBidi" w:cstheme="majorBidi"/>
          <w:sz w:val="20"/>
          <w:szCs w:val="20"/>
        </w:rPr>
        <w:t>Rudnitzky</w:t>
      </w:r>
      <w:r>
        <w:rPr>
          <w:rFonts w:asciiTheme="majorBidi" w:hAnsiTheme="majorBidi" w:cstheme="majorBidi"/>
          <w:sz w:val="20"/>
          <w:szCs w:val="20"/>
        </w:rPr>
        <w:t>,</w:t>
      </w:r>
      <w:r w:rsidRPr="008A4F4C">
        <w:rPr>
          <w:rFonts w:asciiTheme="majorBidi" w:hAnsiTheme="majorBidi" w:cstheme="majorBidi"/>
          <w:sz w:val="20"/>
          <w:szCs w:val="20"/>
        </w:rPr>
        <w:t xml:space="preserve"> </w:t>
      </w:r>
      <w:r w:rsidRPr="008A4F4C">
        <w:rPr>
          <w:rFonts w:asciiTheme="majorBidi" w:hAnsiTheme="majorBidi" w:cstheme="majorBidi"/>
          <w:i/>
          <w:iCs/>
          <w:sz w:val="20"/>
          <w:szCs w:val="20"/>
        </w:rPr>
        <w:t>The Arab Minority in Israel</w:t>
      </w:r>
      <w:r>
        <w:rPr>
          <w:rFonts w:asciiTheme="majorBidi" w:hAnsiTheme="majorBidi" w:cstheme="majorBidi"/>
          <w:sz w:val="20"/>
          <w:szCs w:val="20"/>
        </w:rPr>
        <w:t>,</w:t>
      </w:r>
      <w:r>
        <w:rPr>
          <w:rFonts w:asciiTheme="majorBidi" w:hAnsiTheme="majorBidi" w:cstheme="majorBidi" w:hint="cs"/>
          <w:sz w:val="20"/>
          <w:szCs w:val="20"/>
          <w:rtl/>
        </w:rPr>
        <w:t xml:space="preserve"> </w:t>
      </w:r>
      <w:r w:rsidRPr="00D5160B">
        <w:rPr>
          <w:rFonts w:asciiTheme="majorBidi" w:hAnsiTheme="majorBidi" w:cstheme="majorBidi"/>
          <w:sz w:val="20"/>
          <w:szCs w:val="20"/>
        </w:rPr>
        <w:t>64-80;</w:t>
      </w:r>
      <w:r>
        <w:rPr>
          <w:rFonts w:asciiTheme="majorBidi" w:hAnsiTheme="majorBidi" w:cstheme="majorBidi"/>
          <w:sz w:val="20"/>
          <w:szCs w:val="20"/>
        </w:rPr>
        <w:t xml:space="preserve"> </w:t>
      </w:r>
      <w:r w:rsidRPr="00337573">
        <w:rPr>
          <w:rFonts w:asciiTheme="majorBidi" w:hAnsiTheme="majorBidi" w:cstheme="majorBidi"/>
          <w:sz w:val="20"/>
          <w:szCs w:val="20"/>
        </w:rPr>
        <w:t xml:space="preserve">Zahalka, </w:t>
      </w:r>
      <w:r w:rsidRPr="00343017">
        <w:rPr>
          <w:rFonts w:asciiTheme="majorBidi" w:hAnsiTheme="majorBidi" w:cstheme="majorBidi"/>
          <w:i/>
          <w:iCs/>
          <w:sz w:val="20"/>
          <w:szCs w:val="20"/>
        </w:rPr>
        <w:t>Shari'a in the Modern Era</w:t>
      </w:r>
      <w:r w:rsidRPr="00337573">
        <w:rPr>
          <w:rFonts w:asciiTheme="majorBidi" w:hAnsiTheme="majorBidi" w:cstheme="majorBidi"/>
          <w:sz w:val="20"/>
          <w:szCs w:val="20"/>
        </w:rPr>
        <w:t xml:space="preserve">, pp. 173-188; </w:t>
      </w:r>
      <w:r w:rsidR="0066437D" w:rsidRPr="0066437D">
        <w:rPr>
          <w:rFonts w:asciiTheme="majorBidi" w:hAnsiTheme="majorBidi" w:cstheme="majorBidi"/>
          <w:sz w:val="20"/>
          <w:szCs w:val="20"/>
        </w:rPr>
        <w:t>Aburiya</w:t>
      </w:r>
      <w:r w:rsidRPr="00337573">
        <w:rPr>
          <w:rFonts w:asciiTheme="majorBidi" w:hAnsiTheme="majorBidi" w:cstheme="majorBidi"/>
          <w:sz w:val="20"/>
          <w:szCs w:val="20"/>
        </w:rPr>
        <w:t xml:space="preserve">, "Concrete Religiosity and Abstract Religiosity", pp. 682-197; Al-Atawneh and Hatina, "The Study of Islam and Muslims in Israel", pp. 115-118; Ghanem and Ozacky-Lazar, "The Status of the Palestinians in Israel in an Era of Peace", pp. 268-272; Mustafa, "The Political Participation of the Islamic Movement in Israel", pp. 99-115; Mustafa and Ghanem, "The Islamic Movement in Israel - Political Islam in a Jewish State", p. 59; </w:t>
      </w:r>
      <w:r w:rsidRPr="008A4F4C">
        <w:rPr>
          <w:rFonts w:asciiTheme="majorBidi" w:hAnsiTheme="majorBidi" w:cstheme="majorBidi"/>
          <w:sz w:val="20"/>
          <w:szCs w:val="20"/>
        </w:rPr>
        <w:t>Rudnitzky</w:t>
      </w:r>
      <w:r w:rsidRPr="00337573">
        <w:rPr>
          <w:rFonts w:asciiTheme="majorBidi" w:hAnsiTheme="majorBidi" w:cstheme="majorBidi"/>
          <w:sz w:val="20"/>
          <w:szCs w:val="20"/>
        </w:rPr>
        <w:t>, "Do Jews Have a Right to Self-Determination in Palestine?", p. 91; Shaham, "Legal Maxims in Yūsuf al-Qaraḍāwī's Jurisprudence and Fatwas", pp. 435-450</w:t>
      </w:r>
      <w:r>
        <w:rPr>
          <w:rFonts w:asciiTheme="majorBidi" w:hAnsiTheme="majorBidi" w:cstheme="majorBidi"/>
          <w:sz w:val="20"/>
          <w:szCs w:val="20"/>
        </w:rPr>
        <w:t xml:space="preserve">; </w:t>
      </w:r>
      <w:r w:rsidRPr="00337573">
        <w:rPr>
          <w:rFonts w:asciiTheme="majorBidi" w:hAnsiTheme="majorBidi" w:cstheme="majorBidi"/>
          <w:sz w:val="20"/>
          <w:szCs w:val="20"/>
        </w:rPr>
        <w:t>Sh</w:t>
      </w:r>
      <w:r>
        <w:rPr>
          <w:rFonts w:asciiTheme="majorBidi" w:hAnsiTheme="majorBidi" w:cstheme="majorBidi"/>
          <w:sz w:val="20"/>
          <w:szCs w:val="20"/>
        </w:rPr>
        <w:t>av</w:t>
      </w:r>
      <w:r w:rsidRPr="00337573">
        <w:rPr>
          <w:rFonts w:asciiTheme="majorBidi" w:hAnsiTheme="majorBidi" w:cstheme="majorBidi"/>
          <w:sz w:val="20"/>
          <w:szCs w:val="20"/>
        </w:rPr>
        <w:t>it, "Being a Muslim Minority", pp. 127-129; Sh</w:t>
      </w:r>
      <w:r>
        <w:rPr>
          <w:rFonts w:asciiTheme="majorBidi" w:hAnsiTheme="majorBidi" w:cstheme="majorBidi"/>
          <w:sz w:val="20"/>
          <w:szCs w:val="20"/>
        </w:rPr>
        <w:t>a</w:t>
      </w:r>
      <w:r w:rsidR="00183BCB">
        <w:rPr>
          <w:rFonts w:asciiTheme="majorBidi" w:hAnsiTheme="majorBidi" w:cstheme="majorBidi"/>
          <w:sz w:val="20"/>
          <w:szCs w:val="20"/>
        </w:rPr>
        <w:t>v</w:t>
      </w:r>
      <w:r w:rsidRPr="00337573">
        <w:rPr>
          <w:rFonts w:asciiTheme="majorBidi" w:hAnsiTheme="majorBidi" w:cstheme="majorBidi"/>
          <w:sz w:val="20"/>
          <w:szCs w:val="20"/>
        </w:rPr>
        <w:t xml:space="preserve">it, "Muslim Identity in Europe and Israel", pp. 26-21; Zahalka, "The Development of Islamic Law in Israel and its Relation to the Laws of Minorities", pp. 197-201; </w:t>
      </w:r>
      <w:r w:rsidR="00B43255">
        <w:rPr>
          <w:rFonts w:asciiTheme="majorBidi" w:hAnsiTheme="majorBidi" w:cstheme="majorBidi"/>
          <w:sz w:val="20"/>
          <w:szCs w:val="20"/>
        </w:rPr>
        <w:t>"Al</w:t>
      </w:r>
      <w:r w:rsidRPr="00337573">
        <w:rPr>
          <w:rFonts w:asciiTheme="majorBidi" w:hAnsiTheme="majorBidi" w:cstheme="majorBidi"/>
          <w:sz w:val="20"/>
          <w:szCs w:val="20"/>
        </w:rPr>
        <w:t>-Shari'ah wa-</w:t>
      </w:r>
      <w:r>
        <w:rPr>
          <w:rFonts w:asciiTheme="majorBidi" w:hAnsiTheme="majorBidi" w:cstheme="majorBidi"/>
          <w:sz w:val="20"/>
          <w:szCs w:val="20"/>
        </w:rPr>
        <w:t>a</w:t>
      </w:r>
      <w:r w:rsidRPr="00337573">
        <w:rPr>
          <w:rFonts w:asciiTheme="majorBidi" w:hAnsiTheme="majorBidi" w:cstheme="majorBidi"/>
          <w:sz w:val="20"/>
          <w:szCs w:val="20"/>
        </w:rPr>
        <w:t>l-Hayat - Fiqh al-Aqalliyyat al-Muslimah</w:t>
      </w:r>
      <w:r>
        <w:rPr>
          <w:rFonts w:asciiTheme="majorBidi" w:hAnsiTheme="majorBidi" w:cstheme="majorBidi"/>
          <w:sz w:val="20"/>
          <w:szCs w:val="20"/>
        </w:rPr>
        <w:t xml:space="preserve"> (Sharia and Life - </w:t>
      </w:r>
      <w:r w:rsidRPr="00D61F41">
        <w:rPr>
          <w:rFonts w:asciiTheme="majorBidi" w:hAnsiTheme="majorBidi" w:cstheme="majorBidi"/>
          <w:sz w:val="20"/>
          <w:szCs w:val="20"/>
        </w:rPr>
        <w:t>jurisprudence of Muslim minorities</w:t>
      </w:r>
      <w:r>
        <w:rPr>
          <w:rFonts w:asciiTheme="majorBidi" w:hAnsiTheme="majorBidi" w:cstheme="majorBidi"/>
          <w:sz w:val="20"/>
          <w:szCs w:val="20"/>
        </w:rPr>
        <w:t>)"</w:t>
      </w:r>
      <w:r w:rsidRPr="00337573">
        <w:rPr>
          <w:rFonts w:asciiTheme="majorBidi" w:hAnsiTheme="majorBidi" w:cstheme="majorBidi"/>
          <w:sz w:val="20"/>
          <w:szCs w:val="20"/>
        </w:rPr>
        <w:t xml:space="preserve">, </w:t>
      </w:r>
      <w:r w:rsidRPr="00343017">
        <w:rPr>
          <w:rFonts w:asciiTheme="majorBidi" w:hAnsiTheme="majorBidi" w:cstheme="majorBidi"/>
          <w:i/>
          <w:iCs/>
          <w:sz w:val="20"/>
          <w:szCs w:val="20"/>
        </w:rPr>
        <w:t>YouTube</w:t>
      </w:r>
      <w:r w:rsidRPr="00337573">
        <w:rPr>
          <w:rFonts w:asciiTheme="majorBidi" w:hAnsiTheme="majorBidi" w:cstheme="majorBidi"/>
          <w:sz w:val="20"/>
          <w:szCs w:val="20"/>
        </w:rPr>
        <w:t xml:space="preserve">, </w:t>
      </w:r>
      <w:hyperlink r:id="rId4" w:history="1">
        <w:r w:rsidRPr="00A645C6">
          <w:rPr>
            <w:rStyle w:val="Hyperlink"/>
            <w:rFonts w:asciiTheme="majorBidi" w:hAnsiTheme="majorBidi" w:cstheme="majorBidi"/>
            <w:sz w:val="20"/>
            <w:szCs w:val="20"/>
          </w:rPr>
          <w:t>https://www.youtube.com/watch?v=4HY3PQnAcOU</w:t>
        </w:r>
      </w:hyperlink>
      <w:r>
        <w:rPr>
          <w:rFonts w:asciiTheme="majorBidi" w:hAnsiTheme="majorBidi" w:cstheme="majorBidi"/>
          <w:sz w:val="20"/>
          <w:szCs w:val="20"/>
        </w:rPr>
        <w:t xml:space="preserve">; </w:t>
      </w:r>
      <w:r w:rsidRPr="00337573">
        <w:rPr>
          <w:rFonts w:asciiTheme="majorBidi" w:hAnsiTheme="majorBidi" w:cstheme="majorBidi"/>
          <w:sz w:val="20"/>
          <w:szCs w:val="20"/>
        </w:rPr>
        <w:t xml:space="preserve"> Badir, "</w:t>
      </w:r>
      <w:r w:rsidR="00D54946">
        <w:rPr>
          <w:rFonts w:asciiTheme="majorBidi" w:hAnsiTheme="majorBidi" w:cstheme="majorBidi"/>
          <w:sz w:val="20"/>
          <w:szCs w:val="20"/>
        </w:rPr>
        <w:t>T</w:t>
      </w:r>
      <w:r w:rsidR="00D54946" w:rsidRPr="00930CAF">
        <w:rPr>
          <w:rFonts w:asciiTheme="majorBidi" w:hAnsiTheme="majorBidi" w:cstheme="majorBidi"/>
          <w:sz w:val="20"/>
          <w:szCs w:val="20"/>
        </w:rPr>
        <w:t>aealamna min al</w:t>
      </w:r>
      <w:r w:rsidR="00D54946">
        <w:rPr>
          <w:rFonts w:asciiTheme="majorBidi" w:hAnsiTheme="majorBidi" w:cstheme="majorBidi"/>
          <w:sz w:val="20"/>
          <w:szCs w:val="20"/>
        </w:rPr>
        <w:t>-S</w:t>
      </w:r>
      <w:r w:rsidR="00D54946" w:rsidRPr="00930CAF">
        <w:rPr>
          <w:rFonts w:asciiTheme="majorBidi" w:hAnsiTheme="majorBidi" w:cstheme="majorBidi"/>
          <w:sz w:val="20"/>
          <w:szCs w:val="20"/>
        </w:rPr>
        <w:t>h</w:t>
      </w:r>
      <w:r w:rsidR="00D54946">
        <w:rPr>
          <w:rFonts w:asciiTheme="majorBidi" w:hAnsiTheme="majorBidi" w:cstheme="majorBidi"/>
          <w:sz w:val="20"/>
          <w:szCs w:val="20"/>
        </w:rPr>
        <w:t>ei</w:t>
      </w:r>
      <w:r w:rsidR="00D54946" w:rsidRPr="00930CAF">
        <w:rPr>
          <w:rFonts w:asciiTheme="majorBidi" w:hAnsiTheme="majorBidi" w:cstheme="majorBidi"/>
          <w:sz w:val="20"/>
          <w:szCs w:val="20"/>
        </w:rPr>
        <w:t xml:space="preserve">kh </w:t>
      </w:r>
      <w:r w:rsidR="00D54946">
        <w:rPr>
          <w:rFonts w:asciiTheme="majorBidi" w:hAnsiTheme="majorBidi" w:cstheme="majorBidi"/>
          <w:sz w:val="20"/>
          <w:szCs w:val="20"/>
        </w:rPr>
        <w:t>Y</w:t>
      </w:r>
      <w:r w:rsidR="00D54946" w:rsidRPr="00930CAF">
        <w:rPr>
          <w:rFonts w:asciiTheme="majorBidi" w:hAnsiTheme="majorBidi" w:cstheme="majorBidi"/>
          <w:sz w:val="20"/>
          <w:szCs w:val="20"/>
        </w:rPr>
        <w:t>usuf al</w:t>
      </w:r>
      <w:r w:rsidR="00D54946">
        <w:rPr>
          <w:rFonts w:asciiTheme="majorBidi" w:hAnsiTheme="majorBidi" w:cstheme="majorBidi"/>
          <w:sz w:val="20"/>
          <w:szCs w:val="20"/>
        </w:rPr>
        <w:t>-Q</w:t>
      </w:r>
      <w:r w:rsidR="00D54946" w:rsidRPr="00930CAF">
        <w:rPr>
          <w:rFonts w:asciiTheme="majorBidi" w:hAnsiTheme="majorBidi" w:cstheme="majorBidi"/>
          <w:sz w:val="20"/>
          <w:szCs w:val="20"/>
        </w:rPr>
        <w:t>aradawi</w:t>
      </w:r>
      <w:r w:rsidR="00D54946">
        <w:rPr>
          <w:rFonts w:asciiTheme="majorBidi" w:hAnsiTheme="majorBidi" w:cstheme="majorBidi"/>
          <w:sz w:val="20"/>
          <w:szCs w:val="20"/>
        </w:rPr>
        <w:t xml:space="preserve"> (</w:t>
      </w:r>
      <w:r w:rsidRPr="00337573">
        <w:rPr>
          <w:rFonts w:asciiTheme="majorBidi" w:hAnsiTheme="majorBidi" w:cstheme="majorBidi"/>
          <w:sz w:val="20"/>
          <w:szCs w:val="20"/>
        </w:rPr>
        <w:t>We Learned from Sheikh Yusuf al-Qaradawi</w:t>
      </w:r>
      <w:r w:rsidR="00D54946">
        <w:rPr>
          <w:rFonts w:asciiTheme="majorBidi" w:hAnsiTheme="majorBidi" w:cstheme="majorBidi"/>
          <w:sz w:val="20"/>
          <w:szCs w:val="20"/>
        </w:rPr>
        <w:t>)</w:t>
      </w:r>
      <w:r w:rsidRPr="00337573">
        <w:rPr>
          <w:rFonts w:asciiTheme="majorBidi" w:hAnsiTheme="majorBidi" w:cstheme="majorBidi"/>
          <w:sz w:val="20"/>
          <w:szCs w:val="20"/>
        </w:rPr>
        <w:t>"; Badir, "</w:t>
      </w:r>
      <w:r w:rsidR="007814D4">
        <w:rPr>
          <w:rFonts w:asciiTheme="majorBidi" w:hAnsiTheme="majorBidi" w:cstheme="majorBidi"/>
          <w:sz w:val="20"/>
          <w:szCs w:val="20"/>
        </w:rPr>
        <w:t>R</w:t>
      </w:r>
      <w:r w:rsidR="007814D4" w:rsidRPr="007814D4">
        <w:rPr>
          <w:rFonts w:asciiTheme="majorBidi" w:hAnsiTheme="majorBidi" w:cstheme="majorBidi"/>
          <w:sz w:val="20"/>
          <w:szCs w:val="20"/>
        </w:rPr>
        <w:t>isala ala</w:t>
      </w:r>
      <w:r w:rsidR="007814D4">
        <w:rPr>
          <w:rFonts w:asciiTheme="majorBidi" w:hAnsiTheme="majorBidi" w:cstheme="majorBidi"/>
          <w:sz w:val="20"/>
          <w:szCs w:val="20"/>
        </w:rPr>
        <w:t>'</w:t>
      </w:r>
      <w:r w:rsidR="007814D4" w:rsidRPr="007814D4">
        <w:rPr>
          <w:rFonts w:asciiTheme="majorBidi" w:hAnsiTheme="majorBidi" w:cstheme="majorBidi"/>
          <w:sz w:val="20"/>
          <w:szCs w:val="20"/>
        </w:rPr>
        <w:t>a '</w:t>
      </w:r>
      <w:r w:rsidR="007814D4">
        <w:rPr>
          <w:rFonts w:asciiTheme="majorBidi" w:hAnsiTheme="majorBidi" w:cstheme="majorBidi"/>
          <w:sz w:val="20"/>
          <w:szCs w:val="20"/>
        </w:rPr>
        <w:t>A</w:t>
      </w:r>
      <w:r w:rsidR="007814D4" w:rsidRPr="007814D4">
        <w:rPr>
          <w:rFonts w:asciiTheme="majorBidi" w:hAnsiTheme="majorBidi" w:cstheme="majorBidi"/>
          <w:sz w:val="20"/>
          <w:szCs w:val="20"/>
        </w:rPr>
        <w:t>eda al</w:t>
      </w:r>
      <w:r w:rsidR="007814D4">
        <w:rPr>
          <w:rFonts w:asciiTheme="majorBidi" w:hAnsiTheme="majorBidi" w:cstheme="majorBidi"/>
          <w:sz w:val="20"/>
          <w:szCs w:val="20"/>
        </w:rPr>
        <w:t>-H</w:t>
      </w:r>
      <w:r w:rsidR="007814D4" w:rsidRPr="007814D4">
        <w:rPr>
          <w:rFonts w:asciiTheme="majorBidi" w:hAnsiTheme="majorBidi" w:cstheme="majorBidi"/>
          <w:sz w:val="20"/>
          <w:szCs w:val="20"/>
        </w:rPr>
        <w:t>araka a</w:t>
      </w:r>
      <w:r w:rsidR="007814D4">
        <w:rPr>
          <w:rFonts w:asciiTheme="majorBidi" w:hAnsiTheme="majorBidi" w:cstheme="majorBidi"/>
          <w:sz w:val="20"/>
          <w:szCs w:val="20"/>
        </w:rPr>
        <w:t>l-I</w:t>
      </w:r>
      <w:r w:rsidR="007814D4" w:rsidRPr="007814D4">
        <w:rPr>
          <w:rFonts w:asciiTheme="majorBidi" w:hAnsiTheme="majorBidi" w:cstheme="majorBidi"/>
          <w:sz w:val="20"/>
          <w:szCs w:val="20"/>
        </w:rPr>
        <w:t xml:space="preserve">slamia </w:t>
      </w:r>
      <w:r w:rsidR="007814D4">
        <w:rPr>
          <w:rFonts w:asciiTheme="majorBidi" w:hAnsiTheme="majorBidi" w:cstheme="majorBidi"/>
          <w:sz w:val="20"/>
          <w:szCs w:val="20"/>
        </w:rPr>
        <w:t>(</w:t>
      </w:r>
      <w:r w:rsidRPr="00337573">
        <w:rPr>
          <w:rFonts w:asciiTheme="majorBidi" w:hAnsiTheme="majorBidi" w:cstheme="majorBidi"/>
          <w:sz w:val="20"/>
          <w:szCs w:val="20"/>
        </w:rPr>
        <w:t>A Message to Members of the Islamic Movement</w:t>
      </w:r>
      <w:r w:rsidR="007814D4">
        <w:rPr>
          <w:rFonts w:asciiTheme="majorBidi" w:hAnsiTheme="majorBidi" w:cstheme="majorBidi"/>
          <w:sz w:val="20"/>
          <w:szCs w:val="20"/>
        </w:rPr>
        <w:t>)</w:t>
      </w:r>
      <w:r w:rsidRPr="00337573">
        <w:rPr>
          <w:rFonts w:asciiTheme="majorBidi" w:hAnsiTheme="majorBidi" w:cstheme="majorBidi"/>
          <w:sz w:val="20"/>
          <w:szCs w:val="20"/>
        </w:rPr>
        <w:t>"</w:t>
      </w:r>
      <w:r>
        <w:rPr>
          <w:rFonts w:asciiTheme="majorBidi" w:hAnsiTheme="majorBidi" w:cstheme="majorBidi"/>
          <w:sz w:val="20"/>
          <w:szCs w:val="20"/>
        </w:rPr>
        <w:t>.</w:t>
      </w:r>
    </w:p>
  </w:footnote>
  <w:footnote w:id="53">
    <w:p w14:paraId="7E181AC1" w14:textId="2DBBF977" w:rsidR="003130C0" w:rsidRPr="003130C0" w:rsidRDefault="003130C0" w:rsidP="00930CAF">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B37395">
        <w:rPr>
          <w:rFonts w:asciiTheme="majorBidi" w:hAnsiTheme="majorBidi" w:cstheme="majorBidi"/>
          <w:sz w:val="20"/>
          <w:szCs w:val="20"/>
        </w:rPr>
        <w:t>Darwish, "</w:t>
      </w:r>
      <w:r>
        <w:rPr>
          <w:rFonts w:asciiTheme="majorBidi" w:hAnsiTheme="majorBidi" w:cstheme="majorBidi"/>
          <w:sz w:val="20"/>
          <w:szCs w:val="20"/>
        </w:rPr>
        <w:t xml:space="preserve">al-Hiwar </w:t>
      </w:r>
      <w:r w:rsidRPr="003130C0">
        <w:rPr>
          <w:rFonts w:asciiTheme="majorBidi" w:hAnsiTheme="majorBidi" w:cstheme="majorBidi"/>
          <w:sz w:val="20"/>
          <w:szCs w:val="20"/>
        </w:rPr>
        <w:t>al</w:t>
      </w:r>
      <w:r>
        <w:rPr>
          <w:rFonts w:asciiTheme="majorBidi" w:hAnsiTheme="majorBidi" w:cstheme="majorBidi"/>
          <w:sz w:val="20"/>
          <w:szCs w:val="20"/>
        </w:rPr>
        <w:t>-H</w:t>
      </w:r>
      <w:r w:rsidRPr="003130C0">
        <w:rPr>
          <w:rFonts w:asciiTheme="majorBidi" w:hAnsiTheme="majorBidi" w:cstheme="majorBidi"/>
          <w:sz w:val="20"/>
          <w:szCs w:val="20"/>
        </w:rPr>
        <w:t xml:space="preserve">adari hu </w:t>
      </w:r>
      <w:r>
        <w:rPr>
          <w:rFonts w:asciiTheme="majorBidi" w:hAnsiTheme="majorBidi" w:cstheme="majorBidi"/>
          <w:sz w:val="20"/>
          <w:szCs w:val="20"/>
        </w:rPr>
        <w:t>N</w:t>
      </w:r>
      <w:r w:rsidRPr="003130C0">
        <w:rPr>
          <w:rFonts w:asciiTheme="majorBidi" w:hAnsiTheme="majorBidi" w:cstheme="majorBidi"/>
          <w:sz w:val="20"/>
          <w:szCs w:val="20"/>
        </w:rPr>
        <w:t>ahj li</w:t>
      </w:r>
      <w:r>
        <w:rPr>
          <w:rFonts w:asciiTheme="majorBidi" w:hAnsiTheme="majorBidi" w:cstheme="majorBidi"/>
          <w:sz w:val="20"/>
          <w:szCs w:val="20"/>
        </w:rPr>
        <w:t>-</w:t>
      </w:r>
      <w:r w:rsidRPr="003130C0">
        <w:rPr>
          <w:rFonts w:asciiTheme="majorBidi" w:hAnsiTheme="majorBidi" w:cstheme="majorBidi"/>
          <w:sz w:val="20"/>
          <w:szCs w:val="20"/>
        </w:rPr>
        <w:t>l'</w:t>
      </w:r>
      <w:r>
        <w:rPr>
          <w:rFonts w:asciiTheme="majorBidi" w:hAnsiTheme="majorBidi" w:cstheme="majorBidi"/>
          <w:sz w:val="20"/>
          <w:szCs w:val="20"/>
        </w:rPr>
        <w:t>A</w:t>
      </w:r>
      <w:r w:rsidRPr="003130C0">
        <w:rPr>
          <w:rFonts w:asciiTheme="majorBidi" w:hAnsiTheme="majorBidi" w:cstheme="majorBidi"/>
          <w:sz w:val="20"/>
          <w:szCs w:val="20"/>
        </w:rPr>
        <w:t>qwia</w:t>
      </w:r>
      <w:r>
        <w:rPr>
          <w:rFonts w:asciiTheme="majorBidi" w:hAnsiTheme="majorBidi" w:cstheme="majorBidi"/>
          <w:sz w:val="20"/>
          <w:szCs w:val="20"/>
        </w:rPr>
        <w:t xml:space="preserve"> (</w:t>
      </w:r>
      <w:r w:rsidRPr="00B37395">
        <w:rPr>
          <w:rFonts w:asciiTheme="majorBidi" w:hAnsiTheme="majorBidi" w:cstheme="majorBidi"/>
          <w:sz w:val="20"/>
          <w:szCs w:val="20"/>
        </w:rPr>
        <w:t>Cultural Dialogue is the Approach of the Strong</w:t>
      </w:r>
      <w:r>
        <w:rPr>
          <w:rFonts w:asciiTheme="majorBidi" w:hAnsiTheme="majorBidi" w:cstheme="majorBidi"/>
          <w:sz w:val="20"/>
          <w:szCs w:val="20"/>
        </w:rPr>
        <w:t>)</w:t>
      </w:r>
      <w:r w:rsidRPr="00B37395">
        <w:rPr>
          <w:rFonts w:asciiTheme="majorBidi" w:hAnsiTheme="majorBidi" w:cstheme="majorBidi"/>
          <w:sz w:val="20"/>
          <w:szCs w:val="20"/>
        </w:rPr>
        <w:t xml:space="preserve">", </w:t>
      </w:r>
      <w:r w:rsidRPr="00836005">
        <w:rPr>
          <w:rFonts w:asciiTheme="majorBidi" w:hAnsiTheme="majorBidi" w:cstheme="majorBidi"/>
          <w:i/>
          <w:iCs/>
          <w:sz w:val="20"/>
          <w:szCs w:val="20"/>
        </w:rPr>
        <w:t>Sawt al-Haqq w</w:t>
      </w:r>
      <w:r w:rsidR="00E90913">
        <w:rPr>
          <w:rFonts w:asciiTheme="majorBidi" w:hAnsiTheme="majorBidi" w:cstheme="majorBidi"/>
          <w:i/>
          <w:iCs/>
          <w:sz w:val="20"/>
          <w:szCs w:val="20"/>
        </w:rPr>
        <w:t>a</w:t>
      </w:r>
      <w:r w:rsidRPr="00836005">
        <w:rPr>
          <w:rFonts w:asciiTheme="majorBidi" w:hAnsiTheme="majorBidi" w:cstheme="majorBidi"/>
          <w:i/>
          <w:iCs/>
          <w:sz w:val="20"/>
          <w:szCs w:val="20"/>
        </w:rPr>
        <w:t>-al-Hurriyah,</w:t>
      </w:r>
      <w:r w:rsidRPr="00B37395">
        <w:rPr>
          <w:rFonts w:asciiTheme="majorBidi" w:hAnsiTheme="majorBidi" w:cstheme="majorBidi"/>
          <w:sz w:val="20"/>
          <w:szCs w:val="20"/>
        </w:rPr>
        <w:t xml:space="preserve"> 13.03.1992.</w:t>
      </w:r>
    </w:p>
  </w:footnote>
  <w:footnote w:id="54">
    <w:p w14:paraId="450C788D" w14:textId="719344F8" w:rsidR="00103715" w:rsidRDefault="00103715" w:rsidP="00103715">
      <w:pPr>
        <w:pStyle w:val="FootnoteText"/>
        <w:bidi w:val="0"/>
      </w:pPr>
      <w:r>
        <w:rPr>
          <w:rStyle w:val="FootnoteReference"/>
        </w:rPr>
        <w:footnoteRef/>
      </w:r>
      <w:r>
        <w:rPr>
          <w:rtl/>
        </w:rPr>
        <w:t xml:space="preserve"> </w:t>
      </w:r>
      <w:r w:rsidRPr="00B37395">
        <w:rPr>
          <w:rFonts w:asciiTheme="majorBidi" w:hAnsiTheme="majorBidi" w:cstheme="majorBidi"/>
        </w:rPr>
        <w:t>Badir, "</w:t>
      </w:r>
      <w:r w:rsidRPr="00EA5B38">
        <w:rPr>
          <w:rFonts w:asciiTheme="majorBidi" w:hAnsiTheme="majorBidi" w:cstheme="majorBidi"/>
        </w:rPr>
        <w:t>al</w:t>
      </w:r>
      <w:r>
        <w:rPr>
          <w:rFonts w:asciiTheme="majorBidi" w:hAnsiTheme="majorBidi" w:cstheme="majorBidi"/>
        </w:rPr>
        <w:t>-J</w:t>
      </w:r>
      <w:r w:rsidRPr="00EA5B38">
        <w:rPr>
          <w:rFonts w:asciiTheme="majorBidi" w:hAnsiTheme="majorBidi" w:cstheme="majorBidi"/>
        </w:rPr>
        <w:t>uz' al</w:t>
      </w:r>
      <w:r>
        <w:rPr>
          <w:rFonts w:asciiTheme="majorBidi" w:hAnsiTheme="majorBidi" w:cstheme="majorBidi"/>
        </w:rPr>
        <w:t>-T</w:t>
      </w:r>
      <w:r w:rsidRPr="00EA5B38">
        <w:rPr>
          <w:rFonts w:asciiTheme="majorBidi" w:hAnsiTheme="majorBidi" w:cstheme="majorBidi"/>
        </w:rPr>
        <w:t>hani: al</w:t>
      </w:r>
      <w:r>
        <w:rPr>
          <w:rFonts w:asciiTheme="majorBidi" w:hAnsiTheme="majorBidi" w:cstheme="majorBidi"/>
        </w:rPr>
        <w:t>-M</w:t>
      </w:r>
      <w:r w:rsidRPr="00EA5B38">
        <w:rPr>
          <w:rFonts w:asciiTheme="majorBidi" w:hAnsiTheme="majorBidi" w:cstheme="majorBidi"/>
        </w:rPr>
        <w:t>ubadarat al</w:t>
      </w:r>
      <w:r>
        <w:rPr>
          <w:rFonts w:asciiTheme="majorBidi" w:hAnsiTheme="majorBidi" w:cstheme="majorBidi"/>
        </w:rPr>
        <w:t>-D</w:t>
      </w:r>
      <w:r w:rsidRPr="00EA5B38">
        <w:rPr>
          <w:rFonts w:asciiTheme="majorBidi" w:hAnsiTheme="majorBidi" w:cstheme="majorBidi"/>
        </w:rPr>
        <w:t>iyniat</w:t>
      </w:r>
      <w:r>
        <w:rPr>
          <w:rFonts w:asciiTheme="majorBidi" w:hAnsiTheme="majorBidi" w:cstheme="majorBidi"/>
        </w:rPr>
        <w:t>i</w:t>
      </w:r>
      <w:r w:rsidRPr="00EA5B38">
        <w:rPr>
          <w:rFonts w:asciiTheme="majorBidi" w:hAnsiTheme="majorBidi" w:cstheme="majorBidi"/>
        </w:rPr>
        <w:t xml:space="preserve"> li</w:t>
      </w:r>
      <w:r>
        <w:rPr>
          <w:rFonts w:asciiTheme="majorBidi" w:hAnsiTheme="majorBidi" w:cstheme="majorBidi"/>
        </w:rPr>
        <w:t>-</w:t>
      </w:r>
      <w:r w:rsidRPr="00EA5B38">
        <w:rPr>
          <w:rFonts w:asciiTheme="majorBidi" w:hAnsiTheme="majorBidi" w:cstheme="majorBidi"/>
        </w:rPr>
        <w:t>l</w:t>
      </w:r>
      <w:r>
        <w:rPr>
          <w:rFonts w:asciiTheme="majorBidi" w:hAnsiTheme="majorBidi" w:cstheme="majorBidi"/>
        </w:rPr>
        <w:t>'S</w:t>
      </w:r>
      <w:r w:rsidRPr="00EA5B38">
        <w:rPr>
          <w:rFonts w:asciiTheme="majorBidi" w:hAnsiTheme="majorBidi" w:cstheme="majorBidi"/>
        </w:rPr>
        <w:t>alam</w:t>
      </w:r>
      <w:r>
        <w:rPr>
          <w:rFonts w:asciiTheme="majorBidi" w:hAnsiTheme="majorBidi" w:cstheme="majorBidi"/>
        </w:rPr>
        <w:t xml:space="preserve"> (</w:t>
      </w:r>
      <w:r w:rsidRPr="00B37395">
        <w:rPr>
          <w:rFonts w:asciiTheme="majorBidi" w:hAnsiTheme="majorBidi" w:cstheme="majorBidi"/>
        </w:rPr>
        <w:t>Part Two: The Religious Initiative for Peace</w:t>
      </w:r>
      <w:r>
        <w:rPr>
          <w:rFonts w:asciiTheme="majorBidi" w:hAnsiTheme="majorBidi" w:cstheme="majorBidi"/>
        </w:rPr>
        <w:t>)</w:t>
      </w:r>
      <w:r w:rsidRPr="00B37395">
        <w:rPr>
          <w:rFonts w:asciiTheme="majorBidi" w:hAnsiTheme="majorBidi" w:cstheme="majorBidi"/>
        </w:rPr>
        <w:t>".</w:t>
      </w:r>
    </w:p>
  </w:footnote>
  <w:footnote w:id="55">
    <w:p w14:paraId="77B2A990" w14:textId="36548CF0" w:rsidR="003F0F2E" w:rsidRDefault="003F0F2E" w:rsidP="003F0F2E">
      <w:pPr>
        <w:pStyle w:val="FootnoteText"/>
        <w:bidi w:val="0"/>
      </w:pPr>
      <w:r>
        <w:rPr>
          <w:rStyle w:val="FootnoteReference"/>
        </w:rPr>
        <w:footnoteRef/>
      </w:r>
      <w:r>
        <w:rPr>
          <w:rtl/>
        </w:rPr>
        <w:t xml:space="preserve"> </w:t>
      </w:r>
      <w:r w:rsidRPr="00B37395">
        <w:rPr>
          <w:rFonts w:asciiTheme="majorBidi" w:hAnsiTheme="majorBidi" w:cstheme="majorBidi"/>
        </w:rPr>
        <w:t>For more on the extensive activities of Sheikh Darwish and his student Sheikh Badir on interfaith peace - Roth, "Insider Religious Mediators advancing religious peace", pp. 43-83.</w:t>
      </w:r>
    </w:p>
  </w:footnote>
  <w:footnote w:id="56">
    <w:p w14:paraId="53061AFD" w14:textId="4CC8D276" w:rsidR="00836005" w:rsidRPr="00836005" w:rsidRDefault="00836005" w:rsidP="0083600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B37395">
        <w:rPr>
          <w:rFonts w:asciiTheme="majorBidi" w:hAnsiTheme="majorBidi" w:cstheme="majorBidi"/>
          <w:sz w:val="20"/>
          <w:szCs w:val="20"/>
        </w:rPr>
        <w:t>Landress, "I am not a Monkey, I am your Brother",</w:t>
      </w:r>
      <w:r w:rsidR="00183BCB">
        <w:rPr>
          <w:rFonts w:asciiTheme="majorBidi" w:hAnsiTheme="majorBidi" w:cstheme="majorBidi"/>
          <w:sz w:val="20"/>
          <w:szCs w:val="20"/>
        </w:rPr>
        <w:t xml:space="preserve"> </w:t>
      </w:r>
      <w:r w:rsidR="00183BCB" w:rsidRPr="00D5160B">
        <w:rPr>
          <w:rFonts w:asciiTheme="majorBidi" w:hAnsiTheme="majorBidi" w:cstheme="majorBidi"/>
          <w:sz w:val="20"/>
          <w:szCs w:val="20"/>
        </w:rPr>
        <w:t>Davar HaShavua, 6.11.1987,</w:t>
      </w:r>
      <w:r w:rsidRPr="00B37395">
        <w:rPr>
          <w:rFonts w:asciiTheme="majorBidi" w:hAnsiTheme="majorBidi" w:cstheme="majorBidi"/>
          <w:sz w:val="20"/>
          <w:szCs w:val="20"/>
        </w:rPr>
        <w:t xml:space="preserve"> p. 13.</w:t>
      </w:r>
    </w:p>
  </w:footnote>
  <w:footnote w:id="57">
    <w:p w14:paraId="74E6EFB9" w14:textId="08143ED1" w:rsidR="00836005" w:rsidRPr="00836005" w:rsidRDefault="00836005" w:rsidP="0083600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B37395">
        <w:rPr>
          <w:rFonts w:asciiTheme="majorBidi" w:hAnsiTheme="majorBidi" w:cstheme="majorBidi"/>
          <w:sz w:val="20"/>
          <w:szCs w:val="20"/>
        </w:rPr>
        <w:t xml:space="preserve">Darwish, </w:t>
      </w:r>
      <w:r w:rsidRPr="00836005">
        <w:rPr>
          <w:rFonts w:asciiTheme="majorBidi" w:hAnsiTheme="majorBidi" w:cstheme="majorBidi"/>
          <w:i/>
          <w:iCs/>
          <w:sz w:val="20"/>
          <w:szCs w:val="20"/>
        </w:rPr>
        <w:t>Islam is the Solution</w:t>
      </w:r>
      <w:r w:rsidRPr="00B37395">
        <w:rPr>
          <w:rFonts w:asciiTheme="majorBidi" w:hAnsiTheme="majorBidi" w:cstheme="majorBidi"/>
          <w:sz w:val="20"/>
          <w:szCs w:val="20"/>
        </w:rPr>
        <w:t>, p. 22; Ghanem, "The Islamic Movement's Perception of Peace in the Region", pp. 83-99.</w:t>
      </w:r>
    </w:p>
  </w:footnote>
  <w:footnote w:id="58">
    <w:p w14:paraId="0168D663" w14:textId="54C76B61" w:rsidR="00836005" w:rsidRDefault="00836005" w:rsidP="00836005">
      <w:pPr>
        <w:pStyle w:val="FootnoteText"/>
        <w:bidi w:val="0"/>
      </w:pPr>
      <w:r>
        <w:rPr>
          <w:rStyle w:val="FootnoteReference"/>
        </w:rPr>
        <w:footnoteRef/>
      </w:r>
      <w:r>
        <w:rPr>
          <w:rtl/>
        </w:rPr>
        <w:t xml:space="preserve"> </w:t>
      </w:r>
      <w:r w:rsidRPr="00B37395">
        <w:rPr>
          <w:rFonts w:asciiTheme="majorBidi" w:hAnsiTheme="majorBidi" w:cstheme="majorBidi"/>
        </w:rPr>
        <w:t>Ben Horin, "A Political Sheikh",</w:t>
      </w:r>
      <w:r w:rsidR="00183BCB">
        <w:rPr>
          <w:rFonts w:asciiTheme="majorBidi" w:hAnsiTheme="majorBidi" w:cstheme="majorBidi"/>
        </w:rPr>
        <w:t xml:space="preserve"> </w:t>
      </w:r>
      <w:r w:rsidR="00183BCB" w:rsidRPr="00D5160B">
        <w:rPr>
          <w:rFonts w:asciiTheme="majorBidi" w:hAnsiTheme="majorBidi" w:cstheme="majorBidi"/>
        </w:rPr>
        <w:t>Maariv Sof</w:t>
      </w:r>
      <w:r w:rsidR="00183BCB">
        <w:rPr>
          <w:rFonts w:asciiTheme="majorBidi" w:hAnsiTheme="majorBidi" w:cstheme="majorBidi"/>
        </w:rPr>
        <w:t>S</w:t>
      </w:r>
      <w:r w:rsidR="00183BCB" w:rsidRPr="00D5160B">
        <w:rPr>
          <w:rFonts w:asciiTheme="majorBidi" w:hAnsiTheme="majorBidi" w:cstheme="majorBidi"/>
        </w:rPr>
        <w:t>ha</w:t>
      </w:r>
      <w:r w:rsidR="00183BCB">
        <w:rPr>
          <w:rFonts w:asciiTheme="majorBidi" w:hAnsiTheme="majorBidi" w:cstheme="majorBidi"/>
        </w:rPr>
        <w:t>v</w:t>
      </w:r>
      <w:r w:rsidR="00183BCB" w:rsidRPr="00D5160B">
        <w:rPr>
          <w:rFonts w:asciiTheme="majorBidi" w:hAnsiTheme="majorBidi" w:cstheme="majorBidi"/>
        </w:rPr>
        <w:t>ua, 29.7.1988,</w:t>
      </w:r>
      <w:r w:rsidRPr="00B37395">
        <w:rPr>
          <w:rFonts w:asciiTheme="majorBidi" w:hAnsiTheme="majorBidi" w:cstheme="majorBidi"/>
        </w:rPr>
        <w:t xml:space="preserve"> p. 32.</w:t>
      </w:r>
    </w:p>
  </w:footnote>
  <w:footnote w:id="59">
    <w:p w14:paraId="2BB39F2B" w14:textId="5D384FC9" w:rsidR="00D75595" w:rsidRDefault="00D75595" w:rsidP="00D75595">
      <w:pPr>
        <w:pStyle w:val="FootnoteText"/>
        <w:bidi w:val="0"/>
      </w:pPr>
      <w:r>
        <w:rPr>
          <w:rStyle w:val="FootnoteReference"/>
        </w:rPr>
        <w:footnoteRef/>
      </w:r>
      <w:r>
        <w:rPr>
          <w:rtl/>
        </w:rPr>
        <w:t xml:space="preserve"> </w:t>
      </w:r>
      <w:r w:rsidRPr="008A4F4C">
        <w:rPr>
          <w:rFonts w:asciiTheme="majorBidi" w:hAnsiTheme="majorBidi" w:cstheme="majorBidi"/>
        </w:rPr>
        <w:t>Rudnitzky</w:t>
      </w:r>
      <w:r w:rsidRPr="00337573">
        <w:rPr>
          <w:rFonts w:asciiTheme="majorBidi" w:hAnsiTheme="majorBidi" w:cstheme="majorBidi"/>
        </w:rPr>
        <w:t>, "Do Jews Have a Right to Self-Determination in Palestine?"</w:t>
      </w:r>
      <w:r>
        <w:rPr>
          <w:rFonts w:asciiTheme="majorBidi" w:hAnsiTheme="majorBidi" w:cstheme="majorBidi"/>
        </w:rPr>
        <w:t xml:space="preserve">, </w:t>
      </w:r>
      <w:r w:rsidRPr="007B58D2">
        <w:rPr>
          <w:rFonts w:asciiTheme="majorBidi" w:hAnsiTheme="majorBidi" w:cstheme="majorBidi"/>
        </w:rPr>
        <w:t>pp. 8</w:t>
      </w:r>
      <w:r>
        <w:rPr>
          <w:rFonts w:asciiTheme="majorBidi" w:hAnsiTheme="majorBidi" w:cstheme="majorBidi"/>
        </w:rPr>
        <w:t>4.</w:t>
      </w:r>
    </w:p>
  </w:footnote>
  <w:footnote w:id="60">
    <w:p w14:paraId="55337FC3" w14:textId="647C5EA5" w:rsidR="00002405" w:rsidRDefault="00002405" w:rsidP="00002405">
      <w:pPr>
        <w:pStyle w:val="FootnoteText"/>
        <w:bidi w:val="0"/>
      </w:pPr>
      <w:r>
        <w:rPr>
          <w:rStyle w:val="FootnoteReference"/>
        </w:rPr>
        <w:footnoteRef/>
      </w:r>
      <w:r>
        <w:rPr>
          <w:rtl/>
        </w:rPr>
        <w:t xml:space="preserve"> </w:t>
      </w:r>
      <w:r w:rsidRPr="002818D0">
        <w:rPr>
          <w:rFonts w:asciiTheme="majorBidi" w:hAnsiTheme="majorBidi" w:cstheme="majorBidi"/>
        </w:rPr>
        <w:t>quote</w:t>
      </w:r>
      <w:r>
        <w:rPr>
          <w:rFonts w:asciiTheme="majorBidi" w:hAnsiTheme="majorBidi" w:cstheme="majorBidi"/>
        </w:rPr>
        <w:t xml:space="preserve"> - </w:t>
      </w:r>
      <w:r w:rsidRPr="008A4F4C">
        <w:rPr>
          <w:rFonts w:asciiTheme="majorBidi" w:hAnsiTheme="majorBidi" w:cstheme="majorBidi"/>
        </w:rPr>
        <w:t>Rudnitzky</w:t>
      </w:r>
      <w:r w:rsidRPr="00337573">
        <w:rPr>
          <w:rFonts w:asciiTheme="majorBidi" w:hAnsiTheme="majorBidi" w:cstheme="majorBidi"/>
        </w:rPr>
        <w:t>, "Do Jews Have a Right to Self-Determination in Palestine?"</w:t>
      </w:r>
      <w:r>
        <w:rPr>
          <w:rFonts w:asciiTheme="majorBidi" w:hAnsiTheme="majorBidi" w:cstheme="majorBidi"/>
        </w:rPr>
        <w:t>, pp. 86</w:t>
      </w:r>
      <w:r w:rsidRPr="007B58D2">
        <w:rPr>
          <w:rFonts w:asciiTheme="majorBidi" w:hAnsiTheme="majorBidi" w:cstheme="majorBidi"/>
        </w:rPr>
        <w:t>.</w:t>
      </w:r>
      <w:r>
        <w:rPr>
          <w:rFonts w:asciiTheme="majorBidi" w:hAnsiTheme="majorBidi" w:cstheme="majorBidi"/>
        </w:rPr>
        <w:br/>
      </w:r>
      <w:r w:rsidRPr="007B58D2">
        <w:rPr>
          <w:rFonts w:asciiTheme="majorBidi" w:hAnsiTheme="majorBidi" w:cstheme="majorBidi"/>
        </w:rPr>
        <w:t xml:space="preserve">Bartal and Rubinsten-Shemer, </w:t>
      </w:r>
      <w:r w:rsidRPr="002818D0">
        <w:rPr>
          <w:rFonts w:asciiTheme="majorBidi" w:hAnsiTheme="majorBidi" w:cstheme="majorBidi"/>
          <w:i/>
          <w:iCs/>
        </w:rPr>
        <w:t>Hamas and ideology</w:t>
      </w:r>
      <w:r w:rsidRPr="007B58D2">
        <w:rPr>
          <w:rFonts w:asciiTheme="majorBidi" w:hAnsiTheme="majorBidi" w:cstheme="majorBidi"/>
        </w:rPr>
        <w:t xml:space="preserve">, pp. 122-126, 128-130, 148, 151-160; Darwish, </w:t>
      </w:r>
      <w:r w:rsidRPr="002818D0">
        <w:rPr>
          <w:rFonts w:asciiTheme="majorBidi" w:hAnsiTheme="majorBidi" w:cstheme="majorBidi"/>
          <w:i/>
          <w:iCs/>
        </w:rPr>
        <w:t>Islam is the Solution</w:t>
      </w:r>
      <w:r w:rsidRPr="007B58D2">
        <w:rPr>
          <w:rFonts w:asciiTheme="majorBidi" w:hAnsiTheme="majorBidi" w:cstheme="majorBidi"/>
        </w:rPr>
        <w:t xml:space="preserve">, pp. 37-109; Ali, </w:t>
      </w:r>
      <w:r w:rsidRPr="002818D0">
        <w:rPr>
          <w:rFonts w:asciiTheme="majorBidi" w:hAnsiTheme="majorBidi" w:cstheme="majorBidi"/>
          <w:i/>
          <w:iCs/>
        </w:rPr>
        <w:t>Religious Fundamentalism as Ideology and Practice</w:t>
      </w:r>
      <w:r w:rsidRPr="007B58D2">
        <w:rPr>
          <w:rFonts w:asciiTheme="majorBidi" w:hAnsiTheme="majorBidi" w:cstheme="majorBidi"/>
        </w:rPr>
        <w:t>, pp. 18-21; Ali, "The Islamic Movement's Conception of 'al-Mujtama' al-'Usami'", pp. 100-110; Awwad, "Raed Salah</w:t>
      </w:r>
      <w:r>
        <w:rPr>
          <w:rFonts w:asciiTheme="majorBidi" w:hAnsiTheme="majorBidi" w:cstheme="majorBidi"/>
        </w:rPr>
        <w:t>,</w:t>
      </w:r>
      <w:r w:rsidRPr="007B58D2">
        <w:rPr>
          <w:rFonts w:asciiTheme="majorBidi" w:hAnsiTheme="majorBidi" w:cstheme="majorBidi"/>
        </w:rPr>
        <w:t xml:space="preserve"> A Resistant in the Interior</w:t>
      </w:r>
      <w:r>
        <w:rPr>
          <w:rFonts w:asciiTheme="majorBidi" w:hAnsiTheme="majorBidi" w:cstheme="majorBidi"/>
        </w:rPr>
        <w:t xml:space="preserve"> (</w:t>
      </w:r>
      <w:r w:rsidR="00D61F24" w:rsidRPr="007B58D2">
        <w:rPr>
          <w:rFonts w:asciiTheme="majorBidi" w:hAnsiTheme="majorBidi" w:cstheme="majorBidi"/>
        </w:rPr>
        <w:t>Raed Salah</w:t>
      </w:r>
      <w:r>
        <w:rPr>
          <w:rFonts w:asciiTheme="majorBidi" w:hAnsiTheme="majorBidi" w:cstheme="majorBidi"/>
        </w:rPr>
        <w:t>, M</w:t>
      </w:r>
      <w:r w:rsidRPr="00E63F15">
        <w:rPr>
          <w:rFonts w:asciiTheme="majorBidi" w:hAnsiTheme="majorBidi" w:cstheme="majorBidi"/>
        </w:rPr>
        <w:t>uqawim fi al</w:t>
      </w:r>
      <w:r>
        <w:rPr>
          <w:rFonts w:asciiTheme="majorBidi" w:hAnsiTheme="majorBidi" w:cstheme="majorBidi"/>
        </w:rPr>
        <w:t>-D</w:t>
      </w:r>
      <w:r w:rsidRPr="00E63F15">
        <w:rPr>
          <w:rFonts w:asciiTheme="majorBidi" w:hAnsiTheme="majorBidi" w:cstheme="majorBidi"/>
        </w:rPr>
        <w:t>aakhil</w:t>
      </w:r>
      <w:r>
        <w:rPr>
          <w:rFonts w:asciiTheme="majorBidi" w:hAnsiTheme="majorBidi" w:cstheme="majorBidi"/>
        </w:rPr>
        <w:t>)</w:t>
      </w:r>
      <w:r w:rsidRPr="007B58D2">
        <w:rPr>
          <w:rFonts w:asciiTheme="majorBidi" w:hAnsiTheme="majorBidi" w:cstheme="majorBidi"/>
        </w:rPr>
        <w:t xml:space="preserve">", </w:t>
      </w:r>
      <w:r w:rsidRPr="002818D0">
        <w:rPr>
          <w:rFonts w:asciiTheme="majorBidi" w:hAnsiTheme="majorBidi" w:cstheme="majorBidi"/>
          <w:i/>
          <w:iCs/>
        </w:rPr>
        <w:t>Al-Jazeera</w:t>
      </w:r>
      <w:r w:rsidRPr="007B58D2">
        <w:rPr>
          <w:rFonts w:asciiTheme="majorBidi" w:hAnsiTheme="majorBidi" w:cstheme="majorBidi"/>
        </w:rPr>
        <w:t xml:space="preserve">, 13.5.2010, </w:t>
      </w:r>
      <w:hyperlink r:id="rId5" w:history="1">
        <w:r w:rsidRPr="00A645C6">
          <w:rPr>
            <w:rStyle w:val="Hyperlink"/>
            <w:rFonts w:asciiTheme="majorBidi" w:hAnsiTheme="majorBidi" w:cstheme="majorBidi"/>
          </w:rPr>
          <w:t>https://bit.ly/2VATff4</w:t>
        </w:r>
      </w:hyperlink>
      <w:r w:rsidRPr="007B58D2">
        <w:rPr>
          <w:rFonts w:asciiTheme="majorBidi" w:hAnsiTheme="majorBidi" w:cstheme="majorBidi"/>
        </w:rPr>
        <w:t>;</w:t>
      </w:r>
      <w:r>
        <w:rPr>
          <w:rFonts w:asciiTheme="majorBidi" w:hAnsiTheme="majorBidi" w:cstheme="majorBidi"/>
        </w:rPr>
        <w:t xml:space="preserve"> </w:t>
      </w:r>
      <w:r w:rsidRPr="007B58D2">
        <w:rPr>
          <w:rFonts w:asciiTheme="majorBidi" w:hAnsiTheme="majorBidi" w:cstheme="majorBidi"/>
        </w:rPr>
        <w:t>Daoud, "Islamism, Nationalism and Modernization", pp. 20-32; Mustafa, "The Political Participation of the Islamic Movement in Israel", pp. 99-115; Nasasra, "The Politics of Exclusion and Localization", pp. 1-23; Reiter, "Religion as an Obstacle to Compromise in the Israeli-Palestinian Conflict", pp. 294-324; Rekhess, "The Islamization of the Arab Identity in Israel", pp. 63-73; Rekhess, "The Islamic Movement in Israel and its Linkage to Political Islam in the Territories",</w:t>
      </w:r>
      <w:r w:rsidR="00D61F24">
        <w:rPr>
          <w:rFonts w:asciiTheme="majorBidi" w:hAnsiTheme="majorBidi" w:cstheme="majorBidi"/>
        </w:rPr>
        <w:t xml:space="preserve"> </w:t>
      </w:r>
      <w:r>
        <w:rPr>
          <w:rFonts w:asciiTheme="majorBidi" w:hAnsiTheme="majorBidi" w:cstheme="majorBidi"/>
        </w:rPr>
        <w:t xml:space="preserve">pp. 279-281; </w:t>
      </w:r>
      <w:r w:rsidRPr="007B58D2">
        <w:rPr>
          <w:rFonts w:asciiTheme="majorBidi" w:hAnsiTheme="majorBidi" w:cstheme="majorBidi"/>
        </w:rPr>
        <w:t>Rubin, "Islamic Political Activism in Israel", pp. 1-20.</w:t>
      </w:r>
    </w:p>
  </w:footnote>
  <w:footnote w:id="61">
    <w:p w14:paraId="49CB37F3" w14:textId="37979DA1" w:rsidR="00332C0A" w:rsidRDefault="00332C0A" w:rsidP="00332C0A">
      <w:pPr>
        <w:pStyle w:val="FootnoteText"/>
        <w:bidi w:val="0"/>
      </w:pPr>
      <w:r>
        <w:rPr>
          <w:rStyle w:val="FootnoteReference"/>
        </w:rPr>
        <w:footnoteRef/>
      </w:r>
      <w:r>
        <w:rPr>
          <w:rtl/>
        </w:rPr>
        <w:t xml:space="preserve"> </w:t>
      </w:r>
      <w:r w:rsidRPr="007B58D2">
        <w:rPr>
          <w:rFonts w:asciiTheme="majorBidi" w:hAnsiTheme="majorBidi" w:cstheme="majorBidi"/>
        </w:rPr>
        <w:t xml:space="preserve">Rekhess, </w:t>
      </w:r>
      <w:r w:rsidRPr="009E4B51">
        <w:rPr>
          <w:rFonts w:asciiTheme="majorBidi" w:hAnsiTheme="majorBidi" w:cstheme="majorBidi"/>
          <w:i/>
          <w:iCs/>
        </w:rPr>
        <w:t>Islamism across the Green Line</w:t>
      </w:r>
      <w:r w:rsidRPr="007B58D2">
        <w:rPr>
          <w:rFonts w:asciiTheme="majorBidi" w:hAnsiTheme="majorBidi" w:cstheme="majorBidi"/>
        </w:rPr>
        <w:t>, pp. 9-21;</w:t>
      </w:r>
      <w:r>
        <w:rPr>
          <w:rFonts w:asciiTheme="majorBidi" w:hAnsiTheme="majorBidi" w:cstheme="majorBidi"/>
        </w:rPr>
        <w:t xml:space="preserve"> </w:t>
      </w:r>
      <w:bookmarkStart w:id="0" w:name="_Hlk166411990"/>
      <w:r w:rsidR="0066437D" w:rsidRPr="0066437D">
        <w:rPr>
          <w:rFonts w:asciiTheme="majorBidi" w:hAnsiTheme="majorBidi" w:cstheme="majorBidi"/>
          <w:szCs w:val="16"/>
        </w:rPr>
        <w:t>Aburiya</w:t>
      </w:r>
      <w:bookmarkEnd w:id="0"/>
      <w:r w:rsidRPr="007B58D2">
        <w:rPr>
          <w:rFonts w:asciiTheme="majorBidi" w:hAnsiTheme="majorBidi" w:cstheme="majorBidi"/>
        </w:rPr>
        <w:t>, "Concrete Religiosity vs. Abstract Religiosity", pp. 690-692; Ali, "The Islamic Movement in Israel between Religion, Nationalism and Modernity", pp. 150-157;</w:t>
      </w:r>
      <w:r>
        <w:rPr>
          <w:rFonts w:asciiTheme="majorBidi" w:hAnsiTheme="majorBidi" w:cstheme="majorBidi"/>
        </w:rPr>
        <w:t xml:space="preserve"> </w:t>
      </w:r>
      <w:r w:rsidRPr="007B58D2">
        <w:rPr>
          <w:rFonts w:asciiTheme="majorBidi" w:hAnsiTheme="majorBidi" w:cstheme="majorBidi"/>
        </w:rPr>
        <w:t>Daoud, "Islamism, Nationalism and Modernization", pp. 20-32; Mustafa, "The Political Participation of the Islamic Movement in Israel", p. 54; Mustafa and Ghanem, "The Islamic Movement in Israel - Political Islam in a Jewish State", pp. 49-60; Rekhess, "The Islamic Movement in Israel and its Linkage to Political Islam in the Territories", pp. 185-290;</w:t>
      </w:r>
      <w:r>
        <w:rPr>
          <w:rFonts w:asciiTheme="majorBidi" w:hAnsiTheme="majorBidi" w:cstheme="majorBidi" w:hint="cs"/>
          <w:rtl/>
        </w:rPr>
        <w:t xml:space="preserve"> </w:t>
      </w:r>
      <w:r w:rsidRPr="007B58D2">
        <w:rPr>
          <w:rFonts w:asciiTheme="majorBidi" w:hAnsiTheme="majorBidi" w:cstheme="majorBidi"/>
        </w:rPr>
        <w:t>Rubin, "Islamic Political Activism in Israel", pp. 1-20</w:t>
      </w:r>
      <w:r>
        <w:rPr>
          <w:rFonts w:asciiTheme="majorBidi" w:hAnsiTheme="majorBidi" w:cstheme="majorBidi"/>
        </w:rPr>
        <w:t>; "1993 – Am al-Salam al-Zayif (</w:t>
      </w:r>
      <w:r w:rsidRPr="007B58D2">
        <w:rPr>
          <w:rFonts w:asciiTheme="majorBidi" w:hAnsiTheme="majorBidi" w:cstheme="majorBidi"/>
        </w:rPr>
        <w:t>1993 - The Year of False Peace</w:t>
      </w:r>
      <w:r>
        <w:rPr>
          <w:rFonts w:asciiTheme="majorBidi" w:hAnsiTheme="majorBidi" w:cstheme="majorBidi"/>
        </w:rPr>
        <w:t>)</w:t>
      </w:r>
      <w:r w:rsidRPr="007B58D2">
        <w:rPr>
          <w:rFonts w:asciiTheme="majorBidi" w:hAnsiTheme="majorBidi" w:cstheme="majorBidi"/>
        </w:rPr>
        <w:t xml:space="preserve">", </w:t>
      </w:r>
      <w:r w:rsidRPr="005302D9">
        <w:rPr>
          <w:rFonts w:asciiTheme="majorBidi" w:hAnsiTheme="majorBidi" w:cstheme="majorBidi"/>
          <w:i/>
          <w:iCs/>
        </w:rPr>
        <w:t>Sawt al-Haqq wa</w:t>
      </w:r>
      <w:r w:rsidR="00E90913">
        <w:rPr>
          <w:rFonts w:asciiTheme="majorBidi" w:hAnsiTheme="majorBidi" w:cstheme="majorBidi"/>
          <w:i/>
          <w:iCs/>
        </w:rPr>
        <w:t>-</w:t>
      </w:r>
      <w:r w:rsidRPr="005302D9">
        <w:rPr>
          <w:rFonts w:asciiTheme="majorBidi" w:hAnsiTheme="majorBidi" w:cstheme="majorBidi"/>
          <w:i/>
          <w:iCs/>
        </w:rPr>
        <w:t>al-Hurriyah</w:t>
      </w:r>
      <w:r w:rsidRPr="007B58D2">
        <w:rPr>
          <w:rFonts w:asciiTheme="majorBidi" w:hAnsiTheme="majorBidi" w:cstheme="majorBidi"/>
        </w:rPr>
        <w:t>, 31.12.1993, p. 12.</w:t>
      </w:r>
    </w:p>
  </w:footnote>
  <w:footnote w:id="62">
    <w:p w14:paraId="0683C716" w14:textId="14440387" w:rsidR="00B55DE2" w:rsidRDefault="00B55DE2" w:rsidP="00B55DE2">
      <w:pPr>
        <w:pStyle w:val="FootnoteText"/>
        <w:bidi w:val="0"/>
      </w:pPr>
      <w:r>
        <w:rPr>
          <w:rStyle w:val="FootnoteReference"/>
        </w:rPr>
        <w:footnoteRef/>
      </w:r>
      <w:r>
        <w:rPr>
          <w:rtl/>
        </w:rPr>
        <w:t xml:space="preserve"> </w:t>
      </w:r>
      <w:r w:rsidRPr="007B58D2">
        <w:rPr>
          <w:rFonts w:asciiTheme="majorBidi" w:hAnsiTheme="majorBidi" w:cstheme="majorBidi"/>
        </w:rPr>
        <w:t xml:space="preserve">Rekhess, </w:t>
      </w:r>
      <w:r w:rsidRPr="008304C7">
        <w:rPr>
          <w:rFonts w:asciiTheme="majorBidi" w:hAnsiTheme="majorBidi" w:cstheme="majorBidi"/>
          <w:i/>
          <w:iCs/>
        </w:rPr>
        <w:t>Islamism across the Green Line</w:t>
      </w:r>
      <w:r w:rsidRPr="007B58D2">
        <w:rPr>
          <w:rFonts w:asciiTheme="majorBidi" w:hAnsiTheme="majorBidi" w:cstheme="majorBidi"/>
        </w:rPr>
        <w:t>, pp. 9-21;</w:t>
      </w:r>
      <w:r>
        <w:rPr>
          <w:rFonts w:asciiTheme="majorBidi" w:hAnsiTheme="majorBidi" w:cstheme="majorBidi"/>
        </w:rPr>
        <w:t xml:space="preserve"> </w:t>
      </w:r>
      <w:r w:rsidRPr="007B58D2">
        <w:rPr>
          <w:rFonts w:asciiTheme="majorBidi" w:hAnsiTheme="majorBidi" w:cstheme="majorBidi"/>
        </w:rPr>
        <w:t>Daoud, "Islamism, Nationalism and Modernization", pp. 20-32; Nasasra, "The Politics of Exclusion and Localization", pp. 1-23</w:t>
      </w:r>
      <w:r>
        <w:rPr>
          <w:rFonts w:asciiTheme="majorBidi" w:hAnsiTheme="majorBidi" w:cstheme="majorBidi"/>
        </w:rPr>
        <w:t xml:space="preserve">; </w:t>
      </w:r>
      <w:r w:rsidRPr="007B58D2">
        <w:rPr>
          <w:rFonts w:asciiTheme="majorBidi" w:hAnsiTheme="majorBidi" w:cstheme="majorBidi"/>
        </w:rPr>
        <w:t xml:space="preserve">Rekhess, "The Islamic Movement in Israel and its Linkage to Political Islam in the Territories", pp. 185-290; </w:t>
      </w:r>
      <w:r w:rsidRPr="008A4F4C">
        <w:rPr>
          <w:rFonts w:asciiTheme="majorBidi" w:hAnsiTheme="majorBidi" w:cstheme="majorBidi"/>
        </w:rPr>
        <w:t>Rudnitzky</w:t>
      </w:r>
      <w:r w:rsidRPr="00337573">
        <w:rPr>
          <w:rFonts w:asciiTheme="majorBidi" w:hAnsiTheme="majorBidi" w:cstheme="majorBidi"/>
        </w:rPr>
        <w:t>, "Do Jews Have a Right to Self-Determination in Palestine?"</w:t>
      </w:r>
      <w:r>
        <w:rPr>
          <w:rFonts w:asciiTheme="majorBidi" w:hAnsiTheme="majorBidi" w:cstheme="majorBidi"/>
        </w:rPr>
        <w:t xml:space="preserve">, </w:t>
      </w:r>
      <w:r w:rsidRPr="007B58D2">
        <w:rPr>
          <w:rFonts w:asciiTheme="majorBidi" w:hAnsiTheme="majorBidi" w:cstheme="majorBidi"/>
        </w:rPr>
        <w:t>pp. 87-90</w:t>
      </w:r>
      <w:r>
        <w:rPr>
          <w:rFonts w:asciiTheme="majorBidi" w:hAnsiTheme="majorBidi" w:cstheme="majorBidi"/>
        </w:rPr>
        <w:t>.</w:t>
      </w:r>
    </w:p>
  </w:footnote>
  <w:footnote w:id="63">
    <w:p w14:paraId="36CAB688" w14:textId="3ABBE65D" w:rsidR="006A496D" w:rsidRDefault="006A496D" w:rsidP="006A496D">
      <w:pPr>
        <w:pStyle w:val="FootnoteText"/>
        <w:bidi w:val="0"/>
      </w:pPr>
      <w:r>
        <w:rPr>
          <w:rStyle w:val="FootnoteReference"/>
        </w:rPr>
        <w:footnoteRef/>
      </w:r>
      <w:r>
        <w:rPr>
          <w:rtl/>
        </w:rPr>
        <w:t xml:space="preserve"> </w:t>
      </w:r>
      <w:r w:rsidRPr="003D7909">
        <w:rPr>
          <w:rFonts w:asciiTheme="majorBidi" w:hAnsiTheme="majorBidi" w:cstheme="majorBidi"/>
        </w:rPr>
        <w:t>Khatib, "</w:t>
      </w:r>
      <w:r>
        <w:rPr>
          <w:rFonts w:asciiTheme="majorBidi" w:hAnsiTheme="majorBidi" w:cstheme="majorBidi"/>
        </w:rPr>
        <w:t>Dikari al-Mawladi'in Salibiya (Remember the Crusaders)"</w:t>
      </w:r>
      <w:r w:rsidRPr="003D7909">
        <w:rPr>
          <w:rFonts w:asciiTheme="majorBidi" w:hAnsiTheme="majorBidi" w:cstheme="majorBidi"/>
        </w:rPr>
        <w:t xml:space="preserve">, </w:t>
      </w:r>
      <w:r w:rsidRPr="00E90913">
        <w:rPr>
          <w:rFonts w:asciiTheme="majorBidi" w:hAnsiTheme="majorBidi" w:cstheme="majorBidi"/>
          <w:i/>
          <w:iCs/>
        </w:rPr>
        <w:t>Sawt al-Haqq wa</w:t>
      </w:r>
      <w:r>
        <w:rPr>
          <w:rFonts w:asciiTheme="majorBidi" w:hAnsiTheme="majorBidi" w:cstheme="majorBidi"/>
          <w:i/>
          <w:iCs/>
        </w:rPr>
        <w:t>-</w:t>
      </w:r>
      <w:r w:rsidRPr="00E90913">
        <w:rPr>
          <w:rFonts w:asciiTheme="majorBidi" w:hAnsiTheme="majorBidi" w:cstheme="majorBidi"/>
          <w:i/>
          <w:iCs/>
        </w:rPr>
        <w:t>al-Hurriyah</w:t>
      </w:r>
      <w:r w:rsidRPr="003D7909">
        <w:rPr>
          <w:rFonts w:asciiTheme="majorBidi" w:hAnsiTheme="majorBidi" w:cstheme="majorBidi"/>
        </w:rPr>
        <w:t>, 11.8.1995, p. 23.</w:t>
      </w:r>
    </w:p>
  </w:footnote>
  <w:footnote w:id="64">
    <w:p w14:paraId="5C4CC50B" w14:textId="74CF6FDF" w:rsidR="00AB4FCD" w:rsidRDefault="00AB4FCD" w:rsidP="00AB4FCD">
      <w:pPr>
        <w:pStyle w:val="FootnoteText"/>
        <w:bidi w:val="0"/>
      </w:pPr>
      <w:r>
        <w:rPr>
          <w:rStyle w:val="FootnoteReference"/>
        </w:rPr>
        <w:footnoteRef/>
      </w:r>
      <w:r>
        <w:rPr>
          <w:rtl/>
        </w:rPr>
        <w:t xml:space="preserve"> </w:t>
      </w:r>
      <w:r w:rsidRPr="003D7909">
        <w:rPr>
          <w:rFonts w:asciiTheme="majorBidi" w:hAnsiTheme="majorBidi" w:cstheme="majorBidi"/>
        </w:rPr>
        <w:t xml:space="preserve">Al-Qaradawi, </w:t>
      </w:r>
      <w:r w:rsidRPr="004C4BF8">
        <w:rPr>
          <w:rFonts w:asciiTheme="majorBidi" w:hAnsiTheme="majorBidi" w:cstheme="majorBidi"/>
          <w:i/>
          <w:iCs/>
        </w:rPr>
        <w:t>Al-Quds Qadiyyat Kull Muslim</w:t>
      </w:r>
      <w:r>
        <w:rPr>
          <w:rFonts w:asciiTheme="majorBidi" w:hAnsiTheme="majorBidi" w:cstheme="majorBidi"/>
        </w:rPr>
        <w:t xml:space="preserve"> (Al-Quds </w:t>
      </w:r>
      <w:r w:rsidRPr="00CE4ADE">
        <w:rPr>
          <w:rFonts w:asciiTheme="majorBidi" w:hAnsiTheme="majorBidi" w:cstheme="majorBidi"/>
        </w:rPr>
        <w:t>is the issue of every Muslim</w:t>
      </w:r>
      <w:r>
        <w:rPr>
          <w:rFonts w:asciiTheme="majorBidi" w:hAnsiTheme="majorBidi" w:cstheme="majorBidi"/>
        </w:rPr>
        <w:t>)</w:t>
      </w:r>
      <w:r w:rsidRPr="003D7909">
        <w:rPr>
          <w:rFonts w:asciiTheme="majorBidi" w:hAnsiTheme="majorBidi" w:cstheme="majorBidi"/>
        </w:rPr>
        <w:t>, p. 63;</w:t>
      </w:r>
      <w:r w:rsidRPr="00CE4ADE">
        <w:rPr>
          <w:rFonts w:asciiTheme="majorBidi" w:hAnsiTheme="majorBidi" w:cstheme="majorBidi"/>
        </w:rPr>
        <w:t xml:space="preserve"> </w:t>
      </w:r>
      <w:r w:rsidRPr="003D7909">
        <w:rPr>
          <w:rFonts w:asciiTheme="majorBidi" w:hAnsiTheme="majorBidi" w:cstheme="majorBidi"/>
        </w:rPr>
        <w:t xml:space="preserve">Al-Qaradawi, </w:t>
      </w:r>
      <w:r w:rsidRPr="006A496D">
        <w:rPr>
          <w:rFonts w:asciiTheme="majorBidi" w:hAnsiTheme="majorBidi" w:cstheme="majorBidi"/>
          <w:i/>
          <w:iCs/>
        </w:rPr>
        <w:t>Fatawa Mu'asira</w:t>
      </w:r>
      <w:r w:rsidRPr="003D7909">
        <w:rPr>
          <w:rFonts w:asciiTheme="majorBidi" w:hAnsiTheme="majorBidi" w:cstheme="majorBidi"/>
        </w:rPr>
        <w:t>,</w:t>
      </w:r>
      <w:r>
        <w:rPr>
          <w:rFonts w:asciiTheme="majorBidi" w:hAnsiTheme="majorBidi" w:cstheme="majorBidi"/>
        </w:rPr>
        <w:t xml:space="preserve"> (C</w:t>
      </w:r>
      <w:r w:rsidRPr="00D61F41">
        <w:rPr>
          <w:rFonts w:asciiTheme="majorBidi" w:hAnsiTheme="majorBidi" w:cstheme="majorBidi"/>
        </w:rPr>
        <w:t xml:space="preserve">ontemporary </w:t>
      </w:r>
      <w:r>
        <w:rPr>
          <w:rFonts w:asciiTheme="majorBidi" w:hAnsiTheme="majorBidi" w:cstheme="majorBidi"/>
        </w:rPr>
        <w:t>F</w:t>
      </w:r>
      <w:r w:rsidRPr="00D61F41">
        <w:rPr>
          <w:rFonts w:asciiTheme="majorBidi" w:hAnsiTheme="majorBidi" w:cstheme="majorBidi"/>
        </w:rPr>
        <w:t>atwas</w:t>
      </w:r>
      <w:r>
        <w:rPr>
          <w:rFonts w:asciiTheme="majorBidi" w:hAnsiTheme="majorBidi" w:cstheme="majorBidi"/>
        </w:rPr>
        <w:t>)</w:t>
      </w:r>
      <w:r w:rsidRPr="00337573">
        <w:rPr>
          <w:rFonts w:asciiTheme="majorBidi" w:hAnsiTheme="majorBidi" w:cstheme="majorBidi"/>
        </w:rPr>
        <w:t>,</w:t>
      </w:r>
      <w:r>
        <w:rPr>
          <w:rFonts w:asciiTheme="majorBidi" w:hAnsiTheme="majorBidi" w:cstheme="majorBidi"/>
        </w:rPr>
        <w:t>)</w:t>
      </w:r>
      <w:r w:rsidRPr="003D7909">
        <w:rPr>
          <w:rFonts w:asciiTheme="majorBidi" w:hAnsiTheme="majorBidi" w:cstheme="majorBidi"/>
        </w:rPr>
        <w:t xml:space="preserve"> pp. 486-487, 489-490;</w:t>
      </w:r>
      <w:r>
        <w:rPr>
          <w:rFonts w:asciiTheme="majorBidi" w:hAnsiTheme="majorBidi" w:cstheme="majorBidi"/>
        </w:rPr>
        <w:t xml:space="preserve"> </w:t>
      </w:r>
      <w:r w:rsidRPr="003D7909">
        <w:rPr>
          <w:rFonts w:asciiTheme="majorBidi" w:hAnsiTheme="majorBidi" w:cstheme="majorBidi"/>
        </w:rPr>
        <w:t>Bartal and Rubinsten-Shemer</w:t>
      </w:r>
      <w:r w:rsidRPr="00CE4ADE">
        <w:rPr>
          <w:rFonts w:asciiTheme="majorBidi" w:hAnsiTheme="majorBidi" w:cstheme="majorBidi"/>
          <w:i/>
          <w:iCs/>
        </w:rPr>
        <w:t>, Hamas and Ideology</w:t>
      </w:r>
      <w:r w:rsidRPr="003D7909">
        <w:rPr>
          <w:rFonts w:asciiTheme="majorBidi" w:hAnsiTheme="majorBidi" w:cstheme="majorBidi"/>
        </w:rPr>
        <w:t>, p. 121;</w:t>
      </w:r>
      <w:r>
        <w:rPr>
          <w:rFonts w:asciiTheme="majorBidi" w:hAnsiTheme="majorBidi" w:cstheme="majorBidi"/>
        </w:rPr>
        <w:t xml:space="preserve"> </w:t>
      </w:r>
      <w:r w:rsidRPr="003D7909">
        <w:rPr>
          <w:rFonts w:asciiTheme="majorBidi" w:hAnsiTheme="majorBidi" w:cstheme="majorBidi"/>
        </w:rPr>
        <w:t>S</w:t>
      </w:r>
      <w:r>
        <w:rPr>
          <w:rFonts w:asciiTheme="majorBidi" w:hAnsiTheme="majorBidi" w:cstheme="majorBidi"/>
        </w:rPr>
        <w:t>chuz</w:t>
      </w:r>
      <w:r w:rsidRPr="003D7909">
        <w:rPr>
          <w:rFonts w:asciiTheme="majorBidi" w:hAnsiTheme="majorBidi" w:cstheme="majorBidi"/>
        </w:rPr>
        <w:t xml:space="preserve">, </w:t>
      </w:r>
      <w:r w:rsidRPr="006A496D">
        <w:rPr>
          <w:rFonts w:asciiTheme="majorBidi" w:hAnsiTheme="majorBidi" w:cstheme="majorBidi"/>
          <w:i/>
          <w:iCs/>
        </w:rPr>
        <w:t>Attitudes of Jewish and Muslim Religious Leaders Towards the Declaration of Princip</w:t>
      </w:r>
      <w:r w:rsidR="00D45C11" w:rsidRPr="00D45C11">
        <w:rPr>
          <w:rFonts w:asciiTheme="majorBidi" w:hAnsiTheme="majorBidi" w:cstheme="majorBidi"/>
          <w:i/>
          <w:iCs/>
        </w:rPr>
        <w:t>le</w:t>
      </w:r>
      <w:r>
        <w:rPr>
          <w:rFonts w:asciiTheme="majorBidi" w:hAnsiTheme="majorBidi" w:cstheme="majorBidi"/>
        </w:rPr>
        <w:t>.</w:t>
      </w:r>
    </w:p>
  </w:footnote>
  <w:footnote w:id="65">
    <w:p w14:paraId="3152B6D2" w14:textId="5147B2A7" w:rsidR="003B1C78" w:rsidRDefault="003B1C78" w:rsidP="003B1C78">
      <w:pPr>
        <w:pStyle w:val="FootnoteText"/>
        <w:bidi w:val="0"/>
      </w:pPr>
      <w:r>
        <w:rPr>
          <w:rStyle w:val="FootnoteReference"/>
        </w:rPr>
        <w:footnoteRef/>
      </w:r>
      <w:r>
        <w:rPr>
          <w:rtl/>
        </w:rPr>
        <w:t xml:space="preserve"> </w:t>
      </w:r>
      <w:r w:rsidRPr="003D7909">
        <w:rPr>
          <w:rFonts w:asciiTheme="majorBidi" w:hAnsiTheme="majorBidi" w:cstheme="majorBidi"/>
        </w:rPr>
        <w:t>Ghanem, "The Islamic Movement's Perception of Peace</w:t>
      </w:r>
      <w:r>
        <w:rPr>
          <w:rFonts w:asciiTheme="majorBidi" w:hAnsiTheme="majorBidi" w:cstheme="majorBidi"/>
        </w:rPr>
        <w:t xml:space="preserve"> </w:t>
      </w:r>
      <w:r w:rsidRPr="003D7909">
        <w:rPr>
          <w:rFonts w:asciiTheme="majorBidi" w:hAnsiTheme="majorBidi" w:cstheme="majorBidi"/>
        </w:rPr>
        <w:t>in the Region", pp. 83-99;</w:t>
      </w:r>
      <w:r>
        <w:rPr>
          <w:rFonts w:asciiTheme="majorBidi" w:hAnsiTheme="majorBidi" w:cstheme="majorBidi"/>
        </w:rPr>
        <w:t xml:space="preserve"> </w:t>
      </w:r>
      <w:r w:rsidRPr="003D7909">
        <w:rPr>
          <w:rFonts w:asciiTheme="majorBidi" w:hAnsiTheme="majorBidi" w:cstheme="majorBidi"/>
        </w:rPr>
        <w:t xml:space="preserve">Nasasra, "The Politics of Exclusion and Localization", pp. 1-23.  For more on Qaradawi's total distancing from anything that could be interpreted as recognition of Israel - Bartal and Rubinsten-Shemer, </w:t>
      </w:r>
      <w:r w:rsidRPr="003B1C78">
        <w:rPr>
          <w:rFonts w:asciiTheme="majorBidi" w:hAnsiTheme="majorBidi" w:cstheme="majorBidi"/>
          <w:i/>
          <w:iCs/>
        </w:rPr>
        <w:t>Hamas and Ideology</w:t>
      </w:r>
      <w:r w:rsidRPr="003D7909">
        <w:rPr>
          <w:rFonts w:asciiTheme="majorBidi" w:hAnsiTheme="majorBidi" w:cstheme="majorBidi"/>
        </w:rPr>
        <w:t>, pp. 126-128, 151-160.</w:t>
      </w:r>
    </w:p>
  </w:footnote>
  <w:footnote w:id="66">
    <w:p w14:paraId="6E9B525D" w14:textId="251E6BE3" w:rsidR="00E670A8" w:rsidRDefault="00E670A8" w:rsidP="00E670A8">
      <w:pPr>
        <w:pStyle w:val="FootnoteText"/>
        <w:bidi w:val="0"/>
      </w:pPr>
      <w:r>
        <w:rPr>
          <w:rStyle w:val="FootnoteReference"/>
        </w:rPr>
        <w:footnoteRef/>
      </w:r>
      <w:r>
        <w:rPr>
          <w:rtl/>
        </w:rPr>
        <w:t xml:space="preserve"> </w:t>
      </w:r>
      <w:r w:rsidR="008B3E8F">
        <w:rPr>
          <w:rFonts w:asciiTheme="majorBidi" w:hAnsiTheme="majorBidi" w:cstheme="majorBidi"/>
        </w:rPr>
        <w:t>H</w:t>
      </w:r>
      <w:r>
        <w:rPr>
          <w:rFonts w:asciiTheme="majorBidi" w:hAnsiTheme="majorBidi" w:cstheme="majorBidi"/>
        </w:rPr>
        <w:t>a</w:t>
      </w:r>
      <w:r w:rsidR="008B3E8F">
        <w:rPr>
          <w:rFonts w:asciiTheme="majorBidi" w:hAnsiTheme="majorBidi" w:cstheme="majorBidi"/>
        </w:rPr>
        <w:t>k</w:t>
      </w:r>
      <w:r>
        <w:rPr>
          <w:rFonts w:asciiTheme="majorBidi" w:hAnsiTheme="majorBidi" w:cstheme="majorBidi"/>
        </w:rPr>
        <w:t>ham</w:t>
      </w:r>
      <w:r w:rsidRPr="00EF3C28">
        <w:rPr>
          <w:rFonts w:asciiTheme="majorBidi" w:hAnsiTheme="majorBidi" w:cstheme="majorBidi"/>
        </w:rPr>
        <w:t>,</w:t>
      </w:r>
      <w:r>
        <w:rPr>
          <w:rFonts w:asciiTheme="majorBidi" w:hAnsiTheme="majorBidi" w:cstheme="majorBidi"/>
        </w:rPr>
        <w:t xml:space="preserve"> </w:t>
      </w:r>
      <w:r w:rsidR="008B3E8F" w:rsidRPr="008B3E8F">
        <w:rPr>
          <w:rFonts w:asciiTheme="majorBidi" w:hAnsiTheme="majorBidi" w:cstheme="majorBidi"/>
          <w:i/>
          <w:iCs/>
        </w:rPr>
        <w:t>And the Land Shall Be Filled with Hamas</w:t>
      </w:r>
      <w:r>
        <w:rPr>
          <w:rFonts w:asciiTheme="majorBidi" w:hAnsiTheme="majorBidi" w:cstheme="majorBidi"/>
        </w:rPr>
        <w:t>,</w:t>
      </w:r>
      <w:r w:rsidRPr="00EF3C28">
        <w:rPr>
          <w:rFonts w:asciiTheme="majorBidi" w:hAnsiTheme="majorBidi" w:cstheme="majorBidi"/>
        </w:rPr>
        <w:t xml:space="preserve"> pp. 7-24;</w:t>
      </w:r>
      <w:r>
        <w:rPr>
          <w:rFonts w:asciiTheme="majorBidi" w:hAnsiTheme="majorBidi" w:cstheme="majorBidi"/>
        </w:rPr>
        <w:t xml:space="preserve"> </w:t>
      </w:r>
      <w:r w:rsidRPr="00EF3C28">
        <w:rPr>
          <w:rFonts w:asciiTheme="majorBidi" w:hAnsiTheme="majorBidi" w:cstheme="majorBidi"/>
        </w:rPr>
        <w:t xml:space="preserve">Hroub, </w:t>
      </w:r>
      <w:r w:rsidRPr="00E670A8">
        <w:rPr>
          <w:rFonts w:asciiTheme="majorBidi" w:hAnsiTheme="majorBidi" w:cstheme="majorBidi"/>
          <w:i/>
          <w:iCs/>
        </w:rPr>
        <w:t>Hamas: Political Thought and Practice</w:t>
      </w:r>
      <w:r w:rsidRPr="00EF3C28">
        <w:rPr>
          <w:rFonts w:asciiTheme="majorBidi" w:hAnsiTheme="majorBidi" w:cstheme="majorBidi"/>
        </w:rPr>
        <w:t>, pp. 139-143;</w:t>
      </w:r>
      <w:r>
        <w:rPr>
          <w:rFonts w:asciiTheme="majorBidi" w:hAnsiTheme="majorBidi" w:cstheme="majorBidi"/>
        </w:rPr>
        <w:t xml:space="preserve"> </w:t>
      </w:r>
      <w:r w:rsidRPr="00EF3C28">
        <w:rPr>
          <w:rFonts w:asciiTheme="majorBidi" w:hAnsiTheme="majorBidi" w:cstheme="majorBidi"/>
        </w:rPr>
        <w:t xml:space="preserve">Janssen, </w:t>
      </w:r>
      <w:r w:rsidRPr="00E670A8">
        <w:rPr>
          <w:rFonts w:asciiTheme="majorBidi" w:hAnsiTheme="majorBidi" w:cstheme="majorBidi"/>
          <w:i/>
          <w:iCs/>
        </w:rPr>
        <w:t>Hamas and its Positions Towards Israel</w:t>
      </w:r>
      <w:r w:rsidRPr="00EF3C28">
        <w:rPr>
          <w:rFonts w:asciiTheme="majorBidi" w:hAnsiTheme="majorBidi" w:cstheme="majorBidi"/>
        </w:rPr>
        <w:t>, pp 13-21;</w:t>
      </w:r>
      <w:r>
        <w:rPr>
          <w:rFonts w:asciiTheme="majorBidi" w:hAnsiTheme="majorBidi" w:cstheme="majorBidi"/>
        </w:rPr>
        <w:t xml:space="preserve"> </w:t>
      </w:r>
      <w:r w:rsidRPr="00EF3C28">
        <w:rPr>
          <w:rFonts w:asciiTheme="majorBidi" w:hAnsiTheme="majorBidi" w:cstheme="majorBidi"/>
        </w:rPr>
        <w:t xml:space="preserve">Jensen, </w:t>
      </w:r>
      <w:r w:rsidRPr="00E670A8">
        <w:rPr>
          <w:rFonts w:asciiTheme="majorBidi" w:hAnsiTheme="majorBidi" w:cstheme="majorBidi"/>
          <w:i/>
          <w:iCs/>
        </w:rPr>
        <w:t>The Political Ideology of Hamas</w:t>
      </w:r>
      <w:r w:rsidRPr="00EF3C28">
        <w:rPr>
          <w:rFonts w:asciiTheme="majorBidi" w:hAnsiTheme="majorBidi" w:cstheme="majorBidi"/>
        </w:rPr>
        <w:t xml:space="preserve">, pp. 11-30; Mishal and Sela, </w:t>
      </w:r>
      <w:r w:rsidRPr="00E670A8">
        <w:rPr>
          <w:rFonts w:asciiTheme="majorBidi" w:hAnsiTheme="majorBidi" w:cstheme="majorBidi"/>
          <w:i/>
          <w:iCs/>
        </w:rPr>
        <w:t>The Palestinian Hamas</w:t>
      </w:r>
      <w:r w:rsidRPr="00EF3C28">
        <w:rPr>
          <w:rFonts w:asciiTheme="majorBidi" w:hAnsiTheme="majorBidi" w:cstheme="majorBidi"/>
        </w:rPr>
        <w:t>, pp. 3-67; Abu-Amr, "Hamas: A Historical and Political Background", pp. 5-19; Hatina, "Hamas and the Oslo Accords", pp. 37-55; Litvak, "The Islamization of the Palestinian-Israeli Conflict", pp. 148-160; Scham and Abu-Irshaid, "Hamas Ideological Rigidity and Political Flexibility", pp. 4-7.</w:t>
      </w:r>
    </w:p>
  </w:footnote>
  <w:footnote w:id="67">
    <w:p w14:paraId="6F14E15D" w14:textId="429CEE99" w:rsidR="00E400D4" w:rsidRPr="00E400D4" w:rsidRDefault="00E400D4" w:rsidP="00E400D4">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008B3E8F">
        <w:rPr>
          <w:rFonts w:asciiTheme="majorBidi" w:hAnsiTheme="majorBidi" w:cstheme="majorBidi"/>
          <w:sz w:val="20"/>
          <w:szCs w:val="20"/>
        </w:rPr>
        <w:t>H</w:t>
      </w:r>
      <w:r>
        <w:rPr>
          <w:rFonts w:asciiTheme="majorBidi" w:hAnsiTheme="majorBidi" w:cstheme="majorBidi"/>
          <w:sz w:val="20"/>
          <w:szCs w:val="20"/>
        </w:rPr>
        <w:t>a</w:t>
      </w:r>
      <w:r w:rsidR="008B3E8F">
        <w:rPr>
          <w:rFonts w:asciiTheme="majorBidi" w:hAnsiTheme="majorBidi" w:cstheme="majorBidi"/>
          <w:sz w:val="20"/>
          <w:szCs w:val="20"/>
        </w:rPr>
        <w:t>k</w:t>
      </w:r>
      <w:r>
        <w:rPr>
          <w:rFonts w:asciiTheme="majorBidi" w:hAnsiTheme="majorBidi" w:cstheme="majorBidi"/>
          <w:sz w:val="20"/>
          <w:szCs w:val="20"/>
        </w:rPr>
        <w:t>ham</w:t>
      </w:r>
      <w:r w:rsidRPr="00EF3C28">
        <w:rPr>
          <w:rFonts w:asciiTheme="majorBidi" w:hAnsiTheme="majorBidi" w:cstheme="majorBidi"/>
          <w:sz w:val="20"/>
          <w:szCs w:val="20"/>
        </w:rPr>
        <w:t>,</w:t>
      </w:r>
      <w:r>
        <w:rPr>
          <w:rFonts w:asciiTheme="majorBidi" w:hAnsiTheme="majorBidi" w:cstheme="majorBidi"/>
          <w:sz w:val="20"/>
          <w:szCs w:val="20"/>
        </w:rPr>
        <w:t xml:space="preserve"> </w:t>
      </w:r>
      <w:r w:rsidR="008B3E8F" w:rsidRPr="008B3E8F">
        <w:rPr>
          <w:rFonts w:asciiTheme="majorBidi" w:hAnsiTheme="majorBidi" w:cstheme="majorBidi"/>
          <w:i/>
          <w:iCs/>
          <w:sz w:val="20"/>
          <w:szCs w:val="20"/>
        </w:rPr>
        <w:t>And the Land Shall Be Filled with Hamas</w:t>
      </w:r>
      <w:r w:rsidRPr="00EF3C28">
        <w:rPr>
          <w:rFonts w:asciiTheme="majorBidi" w:hAnsiTheme="majorBidi" w:cstheme="majorBidi"/>
          <w:sz w:val="20"/>
          <w:szCs w:val="20"/>
        </w:rPr>
        <w:t>, pp. 7-24;</w:t>
      </w:r>
      <w:r>
        <w:rPr>
          <w:rFonts w:asciiTheme="majorBidi" w:hAnsiTheme="majorBidi" w:cstheme="majorBidi"/>
          <w:sz w:val="20"/>
          <w:szCs w:val="20"/>
        </w:rPr>
        <w:t xml:space="preserve"> </w:t>
      </w:r>
      <w:r w:rsidRPr="00EF3C28">
        <w:rPr>
          <w:rFonts w:asciiTheme="majorBidi" w:hAnsiTheme="majorBidi" w:cstheme="majorBidi"/>
          <w:sz w:val="20"/>
          <w:szCs w:val="20"/>
        </w:rPr>
        <w:t xml:space="preserve">Usher, </w:t>
      </w:r>
      <w:r w:rsidRPr="00F114EB">
        <w:rPr>
          <w:rFonts w:asciiTheme="majorBidi" w:hAnsiTheme="majorBidi" w:cstheme="majorBidi"/>
          <w:i/>
          <w:iCs/>
          <w:sz w:val="20"/>
          <w:szCs w:val="20"/>
        </w:rPr>
        <w:t>Dispatches from Palestine</w:t>
      </w:r>
      <w:r w:rsidRPr="00EF3C28">
        <w:rPr>
          <w:rFonts w:asciiTheme="majorBidi" w:hAnsiTheme="majorBidi" w:cstheme="majorBidi"/>
          <w:sz w:val="20"/>
          <w:szCs w:val="20"/>
        </w:rPr>
        <w:t>, pp. 166-169</w:t>
      </w:r>
      <w:r>
        <w:rPr>
          <w:rFonts w:asciiTheme="majorBidi" w:hAnsiTheme="majorBidi" w:cstheme="majorBidi"/>
          <w:sz w:val="20"/>
          <w:szCs w:val="20"/>
        </w:rPr>
        <w:t xml:space="preserve">; </w:t>
      </w:r>
      <w:r w:rsidRPr="00EF3C28">
        <w:rPr>
          <w:rFonts w:asciiTheme="majorBidi" w:hAnsiTheme="majorBidi" w:cstheme="majorBidi"/>
          <w:sz w:val="20"/>
          <w:szCs w:val="20"/>
        </w:rPr>
        <w:t>"</w:t>
      </w:r>
      <w:r>
        <w:rPr>
          <w:rFonts w:asciiTheme="majorBidi" w:hAnsiTheme="majorBidi" w:cstheme="majorBidi"/>
          <w:sz w:val="20"/>
          <w:szCs w:val="20"/>
        </w:rPr>
        <w:t>al-</w:t>
      </w:r>
      <w:r w:rsidRPr="00EF3C28">
        <w:rPr>
          <w:rFonts w:asciiTheme="majorBidi" w:hAnsiTheme="majorBidi" w:cstheme="majorBidi"/>
          <w:sz w:val="20"/>
          <w:szCs w:val="20"/>
        </w:rPr>
        <w:t>Sheikh Ahmed Yassin</w:t>
      </w:r>
      <w:r>
        <w:rPr>
          <w:rFonts w:asciiTheme="majorBidi" w:hAnsiTheme="majorBidi" w:cstheme="majorBidi"/>
          <w:sz w:val="20"/>
          <w:szCs w:val="20"/>
        </w:rPr>
        <w:t>, W</w:t>
      </w:r>
      <w:r w:rsidRPr="00E400D4">
        <w:rPr>
          <w:rFonts w:asciiTheme="majorBidi" w:hAnsiTheme="majorBidi" w:cstheme="majorBidi"/>
          <w:sz w:val="20"/>
          <w:szCs w:val="20"/>
        </w:rPr>
        <w:t xml:space="preserve">ulid mae </w:t>
      </w:r>
      <w:r>
        <w:rPr>
          <w:rFonts w:asciiTheme="majorBidi" w:hAnsiTheme="majorBidi" w:cstheme="majorBidi"/>
          <w:sz w:val="20"/>
          <w:szCs w:val="20"/>
        </w:rPr>
        <w:t>T</w:t>
      </w:r>
      <w:r w:rsidRPr="00E400D4">
        <w:rPr>
          <w:rFonts w:asciiTheme="majorBidi" w:hAnsiTheme="majorBidi" w:cstheme="majorBidi"/>
          <w:sz w:val="20"/>
          <w:szCs w:val="20"/>
        </w:rPr>
        <w:t>hawrat wa</w:t>
      </w:r>
      <w:r>
        <w:rPr>
          <w:rFonts w:asciiTheme="majorBidi" w:hAnsiTheme="majorBidi" w:cstheme="majorBidi"/>
          <w:sz w:val="20"/>
          <w:szCs w:val="20"/>
        </w:rPr>
        <w:t>-A</w:t>
      </w:r>
      <w:r w:rsidRPr="00E400D4">
        <w:rPr>
          <w:rFonts w:asciiTheme="majorBidi" w:hAnsiTheme="majorBidi" w:cstheme="majorBidi"/>
          <w:sz w:val="20"/>
          <w:szCs w:val="20"/>
        </w:rPr>
        <w:t>a</w:t>
      </w:r>
      <w:r>
        <w:rPr>
          <w:rFonts w:asciiTheme="majorBidi" w:hAnsiTheme="majorBidi" w:cstheme="majorBidi"/>
          <w:sz w:val="20"/>
          <w:szCs w:val="20"/>
        </w:rPr>
        <w:t>'a</w:t>
      </w:r>
      <w:r w:rsidRPr="00E400D4">
        <w:rPr>
          <w:rFonts w:asciiTheme="majorBidi" w:hAnsiTheme="majorBidi" w:cstheme="majorBidi"/>
          <w:sz w:val="20"/>
          <w:szCs w:val="20"/>
        </w:rPr>
        <w:t>d '</w:t>
      </w:r>
      <w:r>
        <w:rPr>
          <w:rFonts w:asciiTheme="majorBidi" w:hAnsiTheme="majorBidi" w:cstheme="majorBidi"/>
          <w:sz w:val="20"/>
          <w:szCs w:val="20"/>
        </w:rPr>
        <w:t>U</w:t>
      </w:r>
      <w:r w:rsidRPr="00E400D4">
        <w:rPr>
          <w:rFonts w:asciiTheme="majorBidi" w:hAnsiTheme="majorBidi" w:cstheme="majorBidi"/>
          <w:sz w:val="20"/>
          <w:szCs w:val="20"/>
        </w:rPr>
        <w:t>khraa</w:t>
      </w:r>
      <w:r w:rsidRPr="00EF3C28">
        <w:rPr>
          <w:rFonts w:asciiTheme="majorBidi" w:hAnsiTheme="majorBidi" w:cstheme="majorBidi"/>
          <w:sz w:val="20"/>
          <w:szCs w:val="20"/>
        </w:rPr>
        <w:t xml:space="preserve"> </w:t>
      </w:r>
      <w:r>
        <w:rPr>
          <w:rFonts w:asciiTheme="majorBidi" w:hAnsiTheme="majorBidi" w:cstheme="majorBidi"/>
          <w:sz w:val="20"/>
          <w:szCs w:val="20"/>
        </w:rPr>
        <w:t>(</w:t>
      </w:r>
      <w:r w:rsidRPr="00EF3C28">
        <w:rPr>
          <w:rFonts w:asciiTheme="majorBidi" w:hAnsiTheme="majorBidi" w:cstheme="majorBidi"/>
          <w:sz w:val="20"/>
          <w:szCs w:val="20"/>
        </w:rPr>
        <w:t>Sheikh Ahmed Yassin</w:t>
      </w:r>
      <w:r>
        <w:rPr>
          <w:rFonts w:asciiTheme="majorBidi" w:hAnsiTheme="majorBidi" w:cstheme="majorBidi"/>
          <w:sz w:val="20"/>
          <w:szCs w:val="20"/>
        </w:rPr>
        <w:t>,</w:t>
      </w:r>
      <w:r w:rsidRPr="00EF3C28">
        <w:rPr>
          <w:rFonts w:asciiTheme="majorBidi" w:hAnsiTheme="majorBidi" w:cstheme="majorBidi"/>
          <w:sz w:val="20"/>
          <w:szCs w:val="20"/>
        </w:rPr>
        <w:t xml:space="preserve"> Born with a Revolution and Led Another</w:t>
      </w:r>
      <w:r>
        <w:rPr>
          <w:rFonts w:asciiTheme="majorBidi" w:hAnsiTheme="majorBidi" w:cstheme="majorBidi"/>
          <w:sz w:val="20"/>
          <w:szCs w:val="20"/>
        </w:rPr>
        <w:t>)</w:t>
      </w:r>
      <w:r w:rsidRPr="00EF3C28">
        <w:rPr>
          <w:rFonts w:asciiTheme="majorBidi" w:hAnsiTheme="majorBidi" w:cstheme="majorBidi"/>
          <w:sz w:val="20"/>
          <w:szCs w:val="20"/>
        </w:rPr>
        <w:t xml:space="preserve">", </w:t>
      </w:r>
      <w:r w:rsidRPr="00F114EB">
        <w:rPr>
          <w:rFonts w:asciiTheme="majorBidi" w:hAnsiTheme="majorBidi" w:cstheme="majorBidi"/>
          <w:i/>
          <w:iCs/>
          <w:sz w:val="20"/>
          <w:szCs w:val="20"/>
        </w:rPr>
        <w:t>Al-Jazeera</w:t>
      </w:r>
      <w:r w:rsidRPr="00EF3C28">
        <w:rPr>
          <w:rFonts w:asciiTheme="majorBidi" w:hAnsiTheme="majorBidi" w:cstheme="majorBidi"/>
          <w:sz w:val="20"/>
          <w:szCs w:val="20"/>
        </w:rPr>
        <w:t xml:space="preserve">, 27.12.2023, </w:t>
      </w:r>
      <w:hyperlink r:id="rId6" w:history="1">
        <w:r w:rsidRPr="00EF3C28">
          <w:rPr>
            <w:rStyle w:val="Hyperlink"/>
            <w:rFonts w:asciiTheme="majorBidi" w:hAnsiTheme="majorBidi" w:cstheme="majorBidi"/>
            <w:sz w:val="20"/>
            <w:szCs w:val="20"/>
          </w:rPr>
          <w:t>https://www.aljazeera.net/encyclopedia/2010/12/8/%D8%A3%D8%AD%D9%85%D8%AF-%D9%8A%D8%A7%D8%B3%D9%8A%D9%86</w:t>
        </w:r>
      </w:hyperlink>
      <w:r w:rsidRPr="00EF3C28">
        <w:rPr>
          <w:rFonts w:asciiTheme="majorBidi" w:hAnsiTheme="majorBidi" w:cstheme="majorBidi"/>
          <w:sz w:val="20"/>
          <w:szCs w:val="20"/>
        </w:rPr>
        <w:t xml:space="preserve">; </w:t>
      </w:r>
    </w:p>
  </w:footnote>
  <w:footnote w:id="68">
    <w:p w14:paraId="0CB16DB9" w14:textId="7290FAA9" w:rsidR="0024564E" w:rsidRPr="0024564E" w:rsidRDefault="0024564E" w:rsidP="0024564E">
      <w:pPr>
        <w:pStyle w:val="FootnoteText"/>
        <w:bidi w:val="0"/>
      </w:pPr>
      <w:r>
        <w:rPr>
          <w:rStyle w:val="FootnoteReference"/>
        </w:rPr>
        <w:footnoteRef/>
      </w:r>
      <w:r>
        <w:rPr>
          <w:rtl/>
        </w:rPr>
        <w:t xml:space="preserve"> </w:t>
      </w:r>
      <w:r w:rsidRPr="003D7909">
        <w:rPr>
          <w:rFonts w:asciiTheme="majorBidi" w:hAnsiTheme="majorBidi" w:cstheme="majorBidi"/>
        </w:rPr>
        <w:t>"</w:t>
      </w:r>
      <w:r>
        <w:rPr>
          <w:rFonts w:asciiTheme="majorBidi" w:hAnsiTheme="majorBidi" w:cstheme="majorBidi"/>
        </w:rPr>
        <w:t xml:space="preserve">Hamas fi Bayanuha rakm 102: Mashru </w:t>
      </w:r>
      <w:r w:rsidR="00D877B3">
        <w:rPr>
          <w:rFonts w:asciiTheme="majorBidi" w:hAnsiTheme="majorBidi" w:cstheme="majorBidi"/>
        </w:rPr>
        <w:t>Gh</w:t>
      </w:r>
      <w:r>
        <w:rPr>
          <w:rFonts w:asciiTheme="majorBidi" w:hAnsiTheme="majorBidi" w:cstheme="majorBidi"/>
        </w:rPr>
        <w:t>aza-Aricha – Te'ana Radara fi al-Thuhr (</w:t>
      </w:r>
      <w:r w:rsidRPr="003D7909">
        <w:rPr>
          <w:rFonts w:asciiTheme="majorBidi" w:hAnsiTheme="majorBidi" w:cstheme="majorBidi"/>
        </w:rPr>
        <w:t>Hamas in Statement No. 102: The Gaza-Jericho Project - A Treacherous Stab in the Back</w:t>
      </w:r>
      <w:r>
        <w:rPr>
          <w:rFonts w:asciiTheme="majorBidi" w:hAnsiTheme="majorBidi" w:cstheme="majorBidi"/>
        </w:rPr>
        <w:t>)</w:t>
      </w:r>
      <w:r w:rsidRPr="003D7909">
        <w:rPr>
          <w:rFonts w:asciiTheme="majorBidi" w:hAnsiTheme="majorBidi" w:cstheme="majorBidi"/>
        </w:rPr>
        <w:t xml:space="preserve">", </w:t>
      </w:r>
      <w:r w:rsidRPr="006A496D">
        <w:rPr>
          <w:rFonts w:asciiTheme="majorBidi" w:hAnsiTheme="majorBidi" w:cstheme="majorBidi"/>
          <w:i/>
          <w:iCs/>
        </w:rPr>
        <w:t>Filastin al-Muslima</w:t>
      </w:r>
      <w:r w:rsidRPr="003D7909">
        <w:rPr>
          <w:rFonts w:asciiTheme="majorBidi" w:hAnsiTheme="majorBidi" w:cstheme="majorBidi"/>
        </w:rPr>
        <w:t>, 10.1993, p. 28</w:t>
      </w:r>
      <w:r>
        <w:rPr>
          <w:rFonts w:asciiTheme="majorBidi" w:hAnsiTheme="majorBidi" w:cstheme="majorBidi"/>
        </w:rPr>
        <w:t>.</w:t>
      </w:r>
    </w:p>
  </w:footnote>
  <w:footnote w:id="69">
    <w:p w14:paraId="08387D46" w14:textId="3D53D250" w:rsidR="00E848C2" w:rsidRPr="00E848C2" w:rsidRDefault="00E848C2" w:rsidP="00E848C2">
      <w:pPr>
        <w:bidi w:val="0"/>
        <w:spacing w:before="240" w:after="0" w:line="240" w:lineRule="auto"/>
        <w:jc w:val="both"/>
        <w:rPr>
          <w:rFonts w:asciiTheme="majorBidi" w:hAnsiTheme="majorBidi" w:cstheme="majorBidi"/>
          <w:sz w:val="20"/>
          <w:szCs w:val="20"/>
        </w:rPr>
      </w:pPr>
      <w:r>
        <w:rPr>
          <w:rStyle w:val="FootnoteReference"/>
        </w:rPr>
        <w:footnoteRef/>
      </w:r>
      <w:r>
        <w:rPr>
          <w:rtl/>
        </w:rPr>
        <w:t xml:space="preserve"> </w:t>
      </w:r>
      <w:r w:rsidR="008B3E8F">
        <w:rPr>
          <w:rFonts w:asciiTheme="majorBidi" w:hAnsiTheme="majorBidi" w:cstheme="majorBidi"/>
          <w:sz w:val="20"/>
          <w:szCs w:val="20"/>
        </w:rPr>
        <w:t>H</w:t>
      </w:r>
      <w:r>
        <w:rPr>
          <w:rFonts w:asciiTheme="majorBidi" w:hAnsiTheme="majorBidi" w:cstheme="majorBidi"/>
          <w:sz w:val="20"/>
          <w:szCs w:val="20"/>
        </w:rPr>
        <w:t>a</w:t>
      </w:r>
      <w:r w:rsidR="008B3E8F">
        <w:rPr>
          <w:rFonts w:asciiTheme="majorBidi" w:hAnsiTheme="majorBidi" w:cstheme="majorBidi"/>
          <w:sz w:val="20"/>
          <w:szCs w:val="20"/>
        </w:rPr>
        <w:t>k</w:t>
      </w:r>
      <w:r>
        <w:rPr>
          <w:rFonts w:asciiTheme="majorBidi" w:hAnsiTheme="majorBidi" w:cstheme="majorBidi"/>
          <w:sz w:val="20"/>
          <w:szCs w:val="20"/>
        </w:rPr>
        <w:t>ham</w:t>
      </w:r>
      <w:r w:rsidRPr="00EF3C28">
        <w:rPr>
          <w:rFonts w:asciiTheme="majorBidi" w:hAnsiTheme="majorBidi" w:cstheme="majorBidi"/>
          <w:sz w:val="20"/>
          <w:szCs w:val="20"/>
        </w:rPr>
        <w:t>,</w:t>
      </w:r>
      <w:r>
        <w:rPr>
          <w:rFonts w:asciiTheme="majorBidi" w:hAnsiTheme="majorBidi" w:cstheme="majorBidi"/>
          <w:sz w:val="20"/>
          <w:szCs w:val="20"/>
        </w:rPr>
        <w:t xml:space="preserve"> </w:t>
      </w:r>
      <w:r w:rsidR="008B3E8F" w:rsidRPr="008B3E8F">
        <w:rPr>
          <w:rFonts w:asciiTheme="majorBidi" w:hAnsiTheme="majorBidi" w:cstheme="majorBidi"/>
          <w:i/>
          <w:iCs/>
          <w:sz w:val="20"/>
          <w:szCs w:val="20"/>
        </w:rPr>
        <w:t>And the Land Shall Be Filled with Hamas</w:t>
      </w:r>
      <w:r w:rsidRPr="00EF3C28">
        <w:rPr>
          <w:rFonts w:asciiTheme="majorBidi" w:hAnsiTheme="majorBidi" w:cstheme="majorBidi"/>
          <w:sz w:val="20"/>
          <w:szCs w:val="20"/>
        </w:rPr>
        <w:t>,</w:t>
      </w:r>
      <w:r w:rsidRPr="00B94089">
        <w:rPr>
          <w:rFonts w:asciiTheme="majorBidi" w:hAnsiTheme="majorBidi" w:cstheme="majorBidi"/>
          <w:sz w:val="20"/>
          <w:szCs w:val="20"/>
        </w:rPr>
        <w:t xml:space="preserve"> p. 29; </w:t>
      </w:r>
      <w:r w:rsidRPr="00FE0E6D">
        <w:rPr>
          <w:rFonts w:asciiTheme="majorBidi" w:hAnsiTheme="majorBidi" w:cstheme="majorBidi"/>
          <w:sz w:val="20"/>
          <w:szCs w:val="20"/>
        </w:rPr>
        <w:t xml:space="preserve">Fritzen Buan, </w:t>
      </w:r>
      <w:r w:rsidRPr="00CE7D69">
        <w:rPr>
          <w:rFonts w:asciiTheme="majorBidi" w:hAnsiTheme="majorBidi" w:cstheme="majorBidi"/>
          <w:i/>
          <w:iCs/>
          <w:sz w:val="20"/>
          <w:szCs w:val="20"/>
        </w:rPr>
        <w:t>Hamas’s Resistance to the Oslo Agreement</w:t>
      </w:r>
      <w:r w:rsidRPr="00FE0E6D">
        <w:rPr>
          <w:rFonts w:asciiTheme="majorBidi" w:hAnsiTheme="majorBidi" w:cstheme="majorBidi"/>
          <w:sz w:val="20"/>
          <w:szCs w:val="20"/>
        </w:rPr>
        <w:t xml:space="preserve">; Hroub, </w:t>
      </w:r>
      <w:r w:rsidRPr="00CE7D69">
        <w:rPr>
          <w:rFonts w:asciiTheme="majorBidi" w:hAnsiTheme="majorBidi" w:cstheme="majorBidi"/>
          <w:i/>
          <w:iCs/>
          <w:sz w:val="20"/>
          <w:szCs w:val="20"/>
        </w:rPr>
        <w:t>Hamas: Political Thought and Practice</w:t>
      </w:r>
      <w:r w:rsidRPr="00FE0E6D">
        <w:rPr>
          <w:rFonts w:asciiTheme="majorBidi" w:hAnsiTheme="majorBidi" w:cstheme="majorBidi"/>
          <w:sz w:val="20"/>
          <w:szCs w:val="20"/>
        </w:rPr>
        <w:t>, pp. 61-65, 8</w:t>
      </w:r>
      <w:r w:rsidRPr="00FE0E6D">
        <w:rPr>
          <w:rFonts w:asciiTheme="majorBidi" w:hAnsiTheme="majorBidi" w:cstheme="majorBidi"/>
          <w:sz w:val="20"/>
          <w:szCs w:val="20"/>
          <w:rtl/>
        </w:rPr>
        <w:t>0</w:t>
      </w:r>
      <w:r w:rsidRPr="00FE0E6D">
        <w:rPr>
          <w:rFonts w:asciiTheme="majorBidi" w:hAnsiTheme="majorBidi" w:cstheme="majorBidi"/>
          <w:sz w:val="20"/>
          <w:szCs w:val="20"/>
        </w:rPr>
        <w:t xml:space="preserve">-91; Janssen, </w:t>
      </w:r>
      <w:r w:rsidRPr="00CE7D69">
        <w:rPr>
          <w:rFonts w:asciiTheme="majorBidi" w:hAnsiTheme="majorBidi" w:cstheme="majorBidi"/>
          <w:i/>
          <w:iCs/>
          <w:sz w:val="20"/>
          <w:szCs w:val="20"/>
        </w:rPr>
        <w:t>Hamas and its Positions Towards Israel</w:t>
      </w:r>
      <w:r w:rsidRPr="005C72CC">
        <w:rPr>
          <w:rFonts w:asciiTheme="majorBidi" w:hAnsiTheme="majorBidi" w:cstheme="majorBidi"/>
          <w:sz w:val="20"/>
          <w:szCs w:val="20"/>
        </w:rPr>
        <w:t>, pp.</w:t>
      </w:r>
      <w:r>
        <w:rPr>
          <w:rFonts w:asciiTheme="majorBidi" w:hAnsiTheme="majorBidi" w:cstheme="majorBidi"/>
          <w:sz w:val="20"/>
          <w:szCs w:val="20"/>
        </w:rPr>
        <w:t xml:space="preserve">13-41; </w:t>
      </w:r>
      <w:r w:rsidRPr="00FE0E6D">
        <w:rPr>
          <w:rFonts w:asciiTheme="majorBidi" w:hAnsiTheme="majorBidi" w:cstheme="majorBidi"/>
          <w:sz w:val="20"/>
          <w:szCs w:val="20"/>
        </w:rPr>
        <w:t xml:space="preserve">Nusse, </w:t>
      </w:r>
      <w:r w:rsidRPr="005065D9">
        <w:rPr>
          <w:rFonts w:asciiTheme="majorBidi" w:hAnsiTheme="majorBidi" w:cstheme="majorBidi"/>
          <w:i/>
          <w:iCs/>
          <w:sz w:val="20"/>
          <w:szCs w:val="20"/>
        </w:rPr>
        <w:t>Muslim Palestine</w:t>
      </w:r>
      <w:r w:rsidRPr="00FE0E6D">
        <w:rPr>
          <w:rFonts w:asciiTheme="majorBidi" w:hAnsiTheme="majorBidi" w:cstheme="majorBidi"/>
          <w:sz w:val="20"/>
          <w:szCs w:val="20"/>
        </w:rPr>
        <w:t xml:space="preserve">, pp. </w:t>
      </w:r>
      <w:r w:rsidRPr="00FE0E6D">
        <w:rPr>
          <w:rFonts w:asciiTheme="majorBidi" w:hAnsiTheme="majorBidi" w:cstheme="majorBidi"/>
          <w:sz w:val="20"/>
          <w:szCs w:val="20"/>
          <w:rtl/>
        </w:rPr>
        <w:t>109-117</w:t>
      </w:r>
      <w:r w:rsidRPr="00FE0E6D">
        <w:rPr>
          <w:rFonts w:asciiTheme="majorBidi" w:hAnsiTheme="majorBidi" w:cstheme="majorBidi"/>
          <w:sz w:val="20"/>
          <w:szCs w:val="20"/>
        </w:rPr>
        <w:t xml:space="preserve">; </w:t>
      </w:r>
      <w:r w:rsidRPr="00B94089">
        <w:rPr>
          <w:rFonts w:asciiTheme="majorBidi" w:hAnsiTheme="majorBidi" w:cstheme="majorBidi"/>
          <w:sz w:val="20"/>
          <w:szCs w:val="20"/>
        </w:rPr>
        <w:t xml:space="preserve">Shabbat, </w:t>
      </w:r>
      <w:r w:rsidRPr="004F3FDD">
        <w:rPr>
          <w:rFonts w:asciiTheme="majorBidi" w:hAnsiTheme="majorBidi" w:cstheme="majorBidi"/>
          <w:i/>
          <w:iCs/>
          <w:sz w:val="20"/>
          <w:szCs w:val="20"/>
        </w:rPr>
        <w:t>Hamas and the Peace Process</w:t>
      </w:r>
      <w:r w:rsidRPr="00B94089">
        <w:rPr>
          <w:rFonts w:asciiTheme="majorBidi" w:hAnsiTheme="majorBidi" w:cstheme="majorBidi"/>
          <w:sz w:val="20"/>
          <w:szCs w:val="20"/>
        </w:rPr>
        <w:t>;</w:t>
      </w:r>
      <w:r>
        <w:rPr>
          <w:rFonts w:asciiTheme="majorBidi" w:hAnsiTheme="majorBidi" w:cstheme="majorBidi"/>
          <w:sz w:val="20"/>
          <w:szCs w:val="20"/>
        </w:rPr>
        <w:t xml:space="preserve"> </w:t>
      </w:r>
      <w:r w:rsidRPr="00FE0E6D">
        <w:rPr>
          <w:rFonts w:asciiTheme="majorBidi" w:hAnsiTheme="majorBidi" w:cstheme="majorBidi"/>
          <w:sz w:val="20"/>
          <w:szCs w:val="20"/>
        </w:rPr>
        <w:t>Al-Jarbawi, "The Position of Palestinian Islamists on the Palestine-Israel Accords", pp. 127-154; Baconi, "The demise of Oslo and Hamas’s political engagement", pp. 503-520; Hatina, "Hamas and the Oslo accords"; Hroub, "Hamas and Oslo: Rejection, Confusion and De Facto Adoption"</w:t>
      </w:r>
      <w:r w:rsidRPr="00FE0E6D">
        <w:rPr>
          <w:rFonts w:asciiTheme="majorBidi" w:eastAsia="Times New Roman" w:hAnsiTheme="majorBidi" w:cstheme="majorBidi"/>
          <w:sz w:val="20"/>
          <w:szCs w:val="20"/>
        </w:rPr>
        <w:t xml:space="preserve">, </w:t>
      </w:r>
      <w:r w:rsidRPr="00FE0E6D">
        <w:rPr>
          <w:rFonts w:asciiTheme="majorBidi" w:hAnsiTheme="majorBidi" w:cstheme="majorBidi"/>
          <w:sz w:val="20"/>
          <w:szCs w:val="20"/>
        </w:rPr>
        <w:t>pp. 80-85</w:t>
      </w:r>
      <w:r>
        <w:rPr>
          <w:rFonts w:asciiTheme="majorBidi" w:eastAsia="Times New Roman" w:hAnsiTheme="majorBidi" w:cstheme="majorBidi"/>
          <w:sz w:val="20"/>
          <w:szCs w:val="20"/>
        </w:rPr>
        <w:t>;</w:t>
      </w:r>
      <w:r>
        <w:rPr>
          <w:rFonts w:asciiTheme="majorBidi" w:hAnsiTheme="majorBidi" w:cstheme="majorBidi"/>
          <w:sz w:val="20"/>
          <w:szCs w:val="20"/>
        </w:rPr>
        <w:t xml:space="preserve"> </w:t>
      </w:r>
      <w:r w:rsidRPr="00B94089">
        <w:rPr>
          <w:rFonts w:asciiTheme="majorBidi" w:hAnsiTheme="majorBidi" w:cstheme="majorBidi"/>
          <w:sz w:val="20"/>
          <w:szCs w:val="20"/>
        </w:rPr>
        <w:t xml:space="preserve">Al-Khalidi, </w:t>
      </w:r>
      <w:r w:rsidRPr="002B194B">
        <w:rPr>
          <w:rFonts w:asciiTheme="majorBidi" w:hAnsiTheme="majorBidi" w:cstheme="majorBidi"/>
          <w:sz w:val="20"/>
          <w:szCs w:val="20"/>
        </w:rPr>
        <w:t>"Nahw al-Dawla al-Filastiniat ealaa al-Raghm min Aitifaq Uwslu (Towards a Palestinian State Despite the Oslo Accords)</w:t>
      </w:r>
      <w:r w:rsidRPr="00B94089">
        <w:rPr>
          <w:rFonts w:asciiTheme="majorBidi" w:hAnsiTheme="majorBidi" w:cstheme="majorBidi"/>
          <w:sz w:val="20"/>
          <w:szCs w:val="20"/>
        </w:rPr>
        <w:t>";</w:t>
      </w:r>
      <w:r>
        <w:rPr>
          <w:rFonts w:asciiTheme="majorBidi" w:hAnsiTheme="majorBidi" w:cstheme="majorBidi"/>
          <w:sz w:val="20"/>
          <w:szCs w:val="20"/>
        </w:rPr>
        <w:t xml:space="preserve"> </w:t>
      </w:r>
      <w:r w:rsidRPr="00B94089">
        <w:rPr>
          <w:rFonts w:asciiTheme="majorBidi" w:hAnsiTheme="majorBidi" w:cstheme="majorBidi"/>
          <w:sz w:val="20"/>
          <w:szCs w:val="20"/>
        </w:rPr>
        <w:t>Mansour, "</w:t>
      </w:r>
      <w:r w:rsidRPr="00523E82">
        <w:t xml:space="preserve"> </w:t>
      </w:r>
      <w:r>
        <w:rPr>
          <w:rFonts w:asciiTheme="majorBidi" w:hAnsiTheme="majorBidi" w:cstheme="majorBidi"/>
          <w:sz w:val="20"/>
          <w:szCs w:val="20"/>
        </w:rPr>
        <w:t>H</w:t>
      </w:r>
      <w:r w:rsidRPr="00523E82">
        <w:rPr>
          <w:rFonts w:asciiTheme="majorBidi" w:hAnsiTheme="majorBidi" w:cstheme="majorBidi"/>
          <w:sz w:val="20"/>
          <w:szCs w:val="20"/>
        </w:rPr>
        <w:t xml:space="preserve">arakat </w:t>
      </w:r>
      <w:r>
        <w:rPr>
          <w:rFonts w:asciiTheme="majorBidi" w:hAnsiTheme="majorBidi" w:cstheme="majorBidi"/>
          <w:sz w:val="20"/>
          <w:szCs w:val="20"/>
        </w:rPr>
        <w:t>H</w:t>
      </w:r>
      <w:r w:rsidRPr="00523E82">
        <w:rPr>
          <w:rFonts w:asciiTheme="majorBidi" w:hAnsiTheme="majorBidi" w:cstheme="majorBidi"/>
          <w:sz w:val="20"/>
          <w:szCs w:val="20"/>
        </w:rPr>
        <w:t xml:space="preserve">amas </w:t>
      </w:r>
      <w:r>
        <w:rPr>
          <w:rFonts w:asciiTheme="majorBidi" w:hAnsiTheme="majorBidi" w:cstheme="majorBidi"/>
          <w:sz w:val="20"/>
          <w:szCs w:val="20"/>
        </w:rPr>
        <w:t>K</w:t>
      </w:r>
      <w:r w:rsidRPr="00523E82">
        <w:rPr>
          <w:rFonts w:asciiTheme="majorBidi" w:hAnsiTheme="majorBidi" w:cstheme="majorBidi"/>
          <w:sz w:val="20"/>
          <w:szCs w:val="20"/>
        </w:rPr>
        <w:t xml:space="preserve">ama </w:t>
      </w:r>
      <w:r>
        <w:rPr>
          <w:rFonts w:asciiTheme="majorBidi" w:hAnsiTheme="majorBidi" w:cstheme="majorBidi"/>
          <w:sz w:val="20"/>
          <w:szCs w:val="20"/>
        </w:rPr>
        <w:t>Y</w:t>
      </w:r>
      <w:r w:rsidRPr="00523E82">
        <w:rPr>
          <w:rFonts w:asciiTheme="majorBidi" w:hAnsiTheme="majorBidi" w:cstheme="majorBidi"/>
          <w:sz w:val="20"/>
          <w:szCs w:val="20"/>
        </w:rPr>
        <w:t>araha al</w:t>
      </w:r>
      <w:r>
        <w:rPr>
          <w:rFonts w:asciiTheme="majorBidi" w:hAnsiTheme="majorBidi" w:cstheme="majorBidi"/>
          <w:sz w:val="20"/>
          <w:szCs w:val="20"/>
        </w:rPr>
        <w:t>-S</w:t>
      </w:r>
      <w:r w:rsidRPr="00523E82">
        <w:rPr>
          <w:rFonts w:asciiTheme="majorBidi" w:hAnsiTheme="majorBidi" w:cstheme="majorBidi"/>
          <w:sz w:val="20"/>
          <w:szCs w:val="20"/>
        </w:rPr>
        <w:t>h</w:t>
      </w:r>
      <w:r>
        <w:rPr>
          <w:rFonts w:asciiTheme="majorBidi" w:hAnsiTheme="majorBidi" w:cstheme="majorBidi"/>
          <w:sz w:val="20"/>
          <w:szCs w:val="20"/>
        </w:rPr>
        <w:t>ei</w:t>
      </w:r>
      <w:r w:rsidRPr="00523E82">
        <w:rPr>
          <w:rFonts w:asciiTheme="majorBidi" w:hAnsiTheme="majorBidi" w:cstheme="majorBidi"/>
          <w:sz w:val="20"/>
          <w:szCs w:val="20"/>
        </w:rPr>
        <w:t xml:space="preserve">kh </w:t>
      </w:r>
      <w:r>
        <w:rPr>
          <w:rFonts w:asciiTheme="majorBidi" w:hAnsiTheme="majorBidi" w:cstheme="majorBidi"/>
          <w:sz w:val="20"/>
          <w:szCs w:val="20"/>
        </w:rPr>
        <w:t>A</w:t>
      </w:r>
      <w:r w:rsidRPr="00523E82">
        <w:rPr>
          <w:rFonts w:asciiTheme="majorBidi" w:hAnsiTheme="majorBidi" w:cstheme="majorBidi"/>
          <w:sz w:val="20"/>
          <w:szCs w:val="20"/>
        </w:rPr>
        <w:t xml:space="preserve">hmad </w:t>
      </w:r>
      <w:r>
        <w:rPr>
          <w:rFonts w:asciiTheme="majorBidi" w:hAnsiTheme="majorBidi" w:cstheme="majorBidi"/>
          <w:sz w:val="20"/>
          <w:szCs w:val="20"/>
        </w:rPr>
        <w:t>Y</w:t>
      </w:r>
      <w:r w:rsidRPr="00523E82">
        <w:rPr>
          <w:rFonts w:asciiTheme="majorBidi" w:hAnsiTheme="majorBidi" w:cstheme="majorBidi"/>
          <w:sz w:val="20"/>
          <w:szCs w:val="20"/>
        </w:rPr>
        <w:t xml:space="preserve">asin </w:t>
      </w:r>
      <w:r>
        <w:rPr>
          <w:rFonts w:asciiTheme="majorBidi" w:hAnsiTheme="majorBidi" w:cstheme="majorBidi"/>
          <w:sz w:val="20"/>
          <w:szCs w:val="20"/>
        </w:rPr>
        <w:t>(</w:t>
      </w:r>
      <w:r w:rsidRPr="00B94089">
        <w:rPr>
          <w:rFonts w:asciiTheme="majorBidi" w:hAnsiTheme="majorBidi" w:cstheme="majorBidi"/>
          <w:sz w:val="20"/>
          <w:szCs w:val="20"/>
        </w:rPr>
        <w:t>The Hamas movement as seen by Sheikh Ahmed Yassin</w:t>
      </w:r>
      <w:r>
        <w:rPr>
          <w:rFonts w:asciiTheme="majorBidi" w:hAnsiTheme="majorBidi" w:cstheme="majorBidi"/>
          <w:sz w:val="20"/>
          <w:szCs w:val="20"/>
        </w:rPr>
        <w:t>)</w:t>
      </w:r>
      <w:r w:rsidRPr="00B94089">
        <w:rPr>
          <w:rFonts w:asciiTheme="majorBidi" w:hAnsiTheme="majorBidi" w:cstheme="majorBidi"/>
          <w:sz w:val="20"/>
          <w:szCs w:val="20"/>
        </w:rPr>
        <w:t>", Al-Jazeera, 6</w:t>
      </w:r>
      <w:r w:rsidR="002F2479">
        <w:rPr>
          <w:rFonts w:asciiTheme="majorBidi" w:hAnsiTheme="majorBidi" w:cstheme="majorBidi"/>
          <w:sz w:val="20"/>
          <w:szCs w:val="20"/>
        </w:rPr>
        <w:t>.</w:t>
      </w:r>
      <w:r w:rsidRPr="00B94089">
        <w:rPr>
          <w:rFonts w:asciiTheme="majorBidi" w:hAnsiTheme="majorBidi" w:cstheme="majorBidi"/>
          <w:sz w:val="20"/>
          <w:szCs w:val="20"/>
        </w:rPr>
        <w:t>5</w:t>
      </w:r>
      <w:r w:rsidR="002F2479">
        <w:rPr>
          <w:rFonts w:asciiTheme="majorBidi" w:hAnsiTheme="majorBidi" w:cstheme="majorBidi"/>
          <w:sz w:val="20"/>
          <w:szCs w:val="20"/>
        </w:rPr>
        <w:t>.</w:t>
      </w:r>
      <w:r w:rsidRPr="00B94089">
        <w:rPr>
          <w:rFonts w:asciiTheme="majorBidi" w:hAnsiTheme="majorBidi" w:cstheme="majorBidi"/>
          <w:sz w:val="20"/>
          <w:szCs w:val="20"/>
        </w:rPr>
        <w:t xml:space="preserve">1999, </w:t>
      </w:r>
      <w:hyperlink r:id="rId7" w:history="1">
        <w:r w:rsidRPr="00A645C6">
          <w:rPr>
            <w:rStyle w:val="Hyperlink"/>
            <w:rFonts w:asciiTheme="majorBidi" w:hAnsiTheme="majorBidi" w:cstheme="majorBidi"/>
            <w:sz w:val="20"/>
            <w:szCs w:val="20"/>
          </w:rPr>
          <w:t>https://www.aljazeera.net/programs/centurywitness/2005/1/10/movement-Hamas-as-seen-by-Sheikh-Ahmed-Yassin-p8</w:t>
        </w:r>
      </w:hyperlink>
      <w:r>
        <w:rPr>
          <w:rFonts w:asciiTheme="majorBidi" w:hAnsiTheme="majorBidi" w:cstheme="majorBidi"/>
          <w:sz w:val="20"/>
          <w:szCs w:val="20"/>
        </w:rPr>
        <w:t xml:space="preserve">; </w:t>
      </w:r>
      <w:r w:rsidRPr="00B94089">
        <w:rPr>
          <w:rFonts w:asciiTheme="majorBidi" w:hAnsiTheme="majorBidi" w:cstheme="majorBidi"/>
          <w:sz w:val="20"/>
          <w:szCs w:val="20"/>
        </w:rPr>
        <w:t xml:space="preserve">Al-Na'ami, </w:t>
      </w:r>
      <w:r>
        <w:rPr>
          <w:rFonts w:asciiTheme="majorBidi" w:hAnsiTheme="majorBidi" w:cstheme="majorBidi"/>
          <w:sz w:val="20"/>
          <w:szCs w:val="20"/>
        </w:rPr>
        <w:t>"Ha</w:t>
      </w:r>
      <w:r w:rsidRPr="00193DB9">
        <w:rPr>
          <w:rFonts w:asciiTheme="majorBidi" w:hAnsiTheme="majorBidi" w:cstheme="majorBidi"/>
          <w:sz w:val="20"/>
          <w:szCs w:val="20"/>
        </w:rPr>
        <w:t>war al</w:t>
      </w:r>
      <w:r>
        <w:rPr>
          <w:rFonts w:asciiTheme="majorBidi" w:hAnsiTheme="majorBidi" w:cstheme="majorBidi"/>
          <w:sz w:val="20"/>
          <w:szCs w:val="20"/>
        </w:rPr>
        <w:t>-K</w:t>
      </w:r>
      <w:r w:rsidRPr="00193DB9">
        <w:rPr>
          <w:rFonts w:asciiTheme="majorBidi" w:hAnsiTheme="majorBidi" w:cstheme="majorBidi"/>
          <w:sz w:val="20"/>
          <w:szCs w:val="20"/>
        </w:rPr>
        <w:t>has bi</w:t>
      </w:r>
      <w:r>
        <w:rPr>
          <w:rFonts w:asciiTheme="majorBidi" w:hAnsiTheme="majorBidi" w:cstheme="majorBidi"/>
          <w:sz w:val="20"/>
          <w:szCs w:val="20"/>
        </w:rPr>
        <w:t>-A</w:t>
      </w:r>
      <w:r w:rsidRPr="00193DB9">
        <w:rPr>
          <w:rFonts w:asciiTheme="majorBidi" w:hAnsiTheme="majorBidi" w:cstheme="majorBidi"/>
          <w:sz w:val="20"/>
          <w:szCs w:val="20"/>
        </w:rPr>
        <w:t>l</w:t>
      </w:r>
      <w:r>
        <w:rPr>
          <w:rFonts w:asciiTheme="majorBidi" w:hAnsiTheme="majorBidi" w:cstheme="majorBidi"/>
          <w:sz w:val="20"/>
          <w:szCs w:val="20"/>
        </w:rPr>
        <w:t>-Y</w:t>
      </w:r>
      <w:r w:rsidRPr="00193DB9">
        <w:rPr>
          <w:rFonts w:asciiTheme="majorBidi" w:hAnsiTheme="majorBidi" w:cstheme="majorBidi"/>
          <w:sz w:val="20"/>
          <w:szCs w:val="20"/>
        </w:rPr>
        <w:t xml:space="preserve">asin 1998 </w:t>
      </w:r>
      <w:r>
        <w:rPr>
          <w:rFonts w:asciiTheme="majorBidi" w:hAnsiTheme="majorBidi" w:cstheme="majorBidi"/>
          <w:sz w:val="20"/>
          <w:szCs w:val="20"/>
        </w:rPr>
        <w:t>(</w:t>
      </w:r>
      <w:r w:rsidRPr="00B94089">
        <w:rPr>
          <w:rFonts w:asciiTheme="majorBidi" w:hAnsiTheme="majorBidi" w:cstheme="majorBidi"/>
          <w:sz w:val="20"/>
          <w:szCs w:val="20"/>
        </w:rPr>
        <w:t>special interview with Yassin 1998</w:t>
      </w:r>
      <w:r>
        <w:rPr>
          <w:rFonts w:asciiTheme="majorBidi" w:hAnsiTheme="majorBidi" w:cstheme="majorBidi"/>
          <w:sz w:val="20"/>
          <w:szCs w:val="20"/>
        </w:rPr>
        <w:t>")</w:t>
      </w:r>
      <w:r w:rsidRPr="00B94089">
        <w:rPr>
          <w:rFonts w:asciiTheme="majorBidi" w:hAnsiTheme="majorBidi" w:cstheme="majorBidi"/>
          <w:sz w:val="20"/>
          <w:szCs w:val="20"/>
        </w:rPr>
        <w:t>, Al-Resalah Net, 3</w:t>
      </w:r>
      <w:r w:rsidR="002F2479">
        <w:rPr>
          <w:rFonts w:asciiTheme="majorBidi" w:hAnsiTheme="majorBidi" w:cstheme="majorBidi"/>
          <w:sz w:val="20"/>
          <w:szCs w:val="20"/>
        </w:rPr>
        <w:t>.</w:t>
      </w:r>
      <w:r w:rsidRPr="00B94089">
        <w:rPr>
          <w:rFonts w:asciiTheme="majorBidi" w:hAnsiTheme="majorBidi" w:cstheme="majorBidi"/>
          <w:sz w:val="20"/>
          <w:szCs w:val="20"/>
        </w:rPr>
        <w:t>22</w:t>
      </w:r>
      <w:r w:rsidR="002F2479">
        <w:rPr>
          <w:rFonts w:asciiTheme="majorBidi" w:hAnsiTheme="majorBidi" w:cstheme="majorBidi"/>
          <w:sz w:val="20"/>
          <w:szCs w:val="20"/>
        </w:rPr>
        <w:t>.</w:t>
      </w:r>
      <w:r w:rsidRPr="00B94089">
        <w:rPr>
          <w:rFonts w:asciiTheme="majorBidi" w:hAnsiTheme="majorBidi" w:cstheme="majorBidi"/>
          <w:sz w:val="20"/>
          <w:szCs w:val="20"/>
        </w:rPr>
        <w:t xml:space="preserve">2022, </w:t>
      </w:r>
      <w:hyperlink r:id="rId8" w:history="1">
        <w:r w:rsidRPr="00A645C6">
          <w:rPr>
            <w:rStyle w:val="Hyperlink"/>
            <w:rFonts w:asciiTheme="majorBidi" w:hAnsiTheme="majorBidi" w:cstheme="majorBidi"/>
            <w:sz w:val="20"/>
            <w:szCs w:val="20"/>
          </w:rPr>
          <w:t>https://alresalah.ps/p/257524</w:t>
        </w:r>
      </w:hyperlink>
      <w:r w:rsidRPr="00B94089">
        <w:rPr>
          <w:rFonts w:asciiTheme="majorBidi" w:hAnsiTheme="majorBidi" w:cstheme="majorBidi"/>
          <w:sz w:val="20"/>
          <w:szCs w:val="20"/>
        </w:rPr>
        <w:t>;</w:t>
      </w:r>
      <w:r>
        <w:rPr>
          <w:rFonts w:asciiTheme="majorBidi" w:hAnsiTheme="majorBidi" w:cstheme="majorBidi"/>
          <w:sz w:val="20"/>
          <w:szCs w:val="20"/>
        </w:rPr>
        <w:t xml:space="preserve"> </w:t>
      </w:r>
      <w:r w:rsidRPr="00B94089">
        <w:rPr>
          <w:rFonts w:asciiTheme="majorBidi" w:hAnsiTheme="majorBidi" w:cstheme="majorBidi"/>
          <w:sz w:val="20"/>
          <w:szCs w:val="20"/>
        </w:rPr>
        <w:t>Al</w:t>
      </w:r>
      <w:r>
        <w:rPr>
          <w:rFonts w:asciiTheme="majorBidi" w:hAnsiTheme="majorBidi" w:cstheme="majorBidi"/>
          <w:sz w:val="20"/>
          <w:szCs w:val="20"/>
        </w:rPr>
        <w:t>-</w:t>
      </w:r>
      <w:r w:rsidRPr="00B94089">
        <w:rPr>
          <w:rFonts w:asciiTheme="majorBidi" w:hAnsiTheme="majorBidi" w:cstheme="majorBidi"/>
          <w:sz w:val="20"/>
          <w:szCs w:val="20"/>
        </w:rPr>
        <w:t>Rahman, "</w:t>
      </w:r>
      <w:r w:rsidRPr="00804803">
        <w:rPr>
          <w:rFonts w:asciiTheme="majorBidi" w:hAnsiTheme="majorBidi" w:cstheme="majorBidi"/>
          <w:sz w:val="20"/>
          <w:szCs w:val="20"/>
        </w:rPr>
        <w:t>a</w:t>
      </w:r>
      <w:r>
        <w:rPr>
          <w:rFonts w:asciiTheme="majorBidi" w:hAnsiTheme="majorBidi" w:cstheme="majorBidi"/>
          <w:sz w:val="20"/>
          <w:szCs w:val="20"/>
        </w:rPr>
        <w:t>l-I</w:t>
      </w:r>
      <w:r w:rsidRPr="00804803">
        <w:rPr>
          <w:rFonts w:asciiTheme="majorBidi" w:hAnsiTheme="majorBidi" w:cstheme="majorBidi"/>
          <w:sz w:val="20"/>
          <w:szCs w:val="20"/>
        </w:rPr>
        <w:t>ntifadatuna al</w:t>
      </w:r>
      <w:r>
        <w:rPr>
          <w:rFonts w:asciiTheme="majorBidi" w:hAnsiTheme="majorBidi" w:cstheme="majorBidi"/>
          <w:sz w:val="20"/>
          <w:szCs w:val="20"/>
        </w:rPr>
        <w:t>-</w:t>
      </w:r>
      <w:r w:rsidRPr="00804803">
        <w:rPr>
          <w:rFonts w:asciiTheme="majorBidi" w:hAnsiTheme="majorBidi" w:cstheme="majorBidi"/>
          <w:sz w:val="20"/>
          <w:szCs w:val="20"/>
        </w:rPr>
        <w:t xml:space="preserve">an </w:t>
      </w:r>
      <w:r>
        <w:rPr>
          <w:rFonts w:asciiTheme="majorBidi" w:hAnsiTheme="majorBidi" w:cstheme="majorBidi"/>
          <w:sz w:val="20"/>
          <w:szCs w:val="20"/>
        </w:rPr>
        <w:t>T</w:t>
      </w:r>
      <w:r w:rsidRPr="00804803">
        <w:rPr>
          <w:rFonts w:asciiTheme="majorBidi" w:hAnsiTheme="majorBidi" w:cstheme="majorBidi"/>
          <w:sz w:val="20"/>
          <w:szCs w:val="20"/>
        </w:rPr>
        <w:t>atahawal 'iilaa a</w:t>
      </w:r>
      <w:r>
        <w:rPr>
          <w:rFonts w:asciiTheme="majorBidi" w:hAnsiTheme="majorBidi" w:cstheme="majorBidi"/>
          <w:sz w:val="20"/>
          <w:szCs w:val="20"/>
        </w:rPr>
        <w:t>l-I</w:t>
      </w:r>
      <w:r w:rsidRPr="00804803">
        <w:rPr>
          <w:rFonts w:asciiTheme="majorBidi" w:hAnsiTheme="majorBidi" w:cstheme="majorBidi"/>
          <w:sz w:val="20"/>
          <w:szCs w:val="20"/>
        </w:rPr>
        <w:t>ntifadat</w:t>
      </w:r>
      <w:r>
        <w:rPr>
          <w:rFonts w:asciiTheme="majorBidi" w:hAnsiTheme="majorBidi" w:cstheme="majorBidi"/>
          <w:sz w:val="20"/>
          <w:szCs w:val="20"/>
        </w:rPr>
        <w:t>a</w:t>
      </w:r>
      <w:r w:rsidRPr="00804803">
        <w:rPr>
          <w:rFonts w:asciiTheme="majorBidi" w:hAnsiTheme="majorBidi" w:cstheme="majorBidi"/>
          <w:sz w:val="20"/>
          <w:szCs w:val="20"/>
        </w:rPr>
        <w:t xml:space="preserve"> </w:t>
      </w:r>
      <w:r>
        <w:rPr>
          <w:rFonts w:asciiTheme="majorBidi" w:hAnsiTheme="majorBidi" w:cstheme="majorBidi"/>
          <w:sz w:val="20"/>
          <w:szCs w:val="20"/>
        </w:rPr>
        <w:t>M</w:t>
      </w:r>
      <w:r w:rsidRPr="00804803">
        <w:rPr>
          <w:rFonts w:asciiTheme="majorBidi" w:hAnsiTheme="majorBidi" w:cstheme="majorBidi"/>
          <w:sz w:val="20"/>
          <w:szCs w:val="20"/>
        </w:rPr>
        <w:t xml:space="preserve">usalaha </w:t>
      </w:r>
      <w:r>
        <w:rPr>
          <w:rFonts w:asciiTheme="majorBidi" w:hAnsiTheme="majorBidi" w:cstheme="majorBidi"/>
          <w:sz w:val="20"/>
          <w:szCs w:val="20"/>
        </w:rPr>
        <w:t>(</w:t>
      </w:r>
      <w:r w:rsidRPr="00B94089">
        <w:rPr>
          <w:rFonts w:asciiTheme="majorBidi" w:hAnsiTheme="majorBidi" w:cstheme="majorBidi"/>
          <w:sz w:val="20"/>
          <w:szCs w:val="20"/>
        </w:rPr>
        <w:t>Our Intifada is Now Turning into an Armed Intifada</w:t>
      </w:r>
      <w:r>
        <w:rPr>
          <w:rFonts w:asciiTheme="majorBidi" w:hAnsiTheme="majorBidi" w:cstheme="majorBidi"/>
          <w:sz w:val="20"/>
          <w:szCs w:val="20"/>
        </w:rPr>
        <w:t>)</w:t>
      </w:r>
      <w:r w:rsidRPr="00B94089">
        <w:rPr>
          <w:rFonts w:asciiTheme="majorBidi" w:hAnsiTheme="majorBidi" w:cstheme="majorBidi"/>
          <w:sz w:val="20"/>
          <w:szCs w:val="20"/>
        </w:rPr>
        <w:t>";</w:t>
      </w:r>
      <w:r>
        <w:rPr>
          <w:rFonts w:asciiTheme="majorBidi" w:hAnsiTheme="majorBidi" w:cstheme="majorBidi"/>
          <w:sz w:val="20"/>
          <w:szCs w:val="20"/>
        </w:rPr>
        <w:t xml:space="preserve"> </w:t>
      </w:r>
      <w:r w:rsidRPr="00B94089">
        <w:rPr>
          <w:rFonts w:asciiTheme="majorBidi" w:hAnsiTheme="majorBidi" w:cstheme="majorBidi"/>
          <w:sz w:val="20"/>
          <w:szCs w:val="20"/>
        </w:rPr>
        <w:t>Shalhoub, "</w:t>
      </w:r>
      <w:r w:rsidR="00D877B3">
        <w:rPr>
          <w:rFonts w:asciiTheme="majorBidi" w:hAnsiTheme="majorBidi" w:cstheme="majorBidi"/>
          <w:sz w:val="20"/>
          <w:szCs w:val="20"/>
        </w:rPr>
        <w:t>Gh</w:t>
      </w:r>
      <w:r>
        <w:rPr>
          <w:rFonts w:asciiTheme="majorBidi" w:hAnsiTheme="majorBidi" w:cstheme="majorBidi"/>
          <w:sz w:val="20"/>
          <w:szCs w:val="20"/>
        </w:rPr>
        <w:t>aza wa-Aricha (</w:t>
      </w:r>
      <w:r w:rsidRPr="00B94089">
        <w:rPr>
          <w:rFonts w:asciiTheme="majorBidi" w:hAnsiTheme="majorBidi" w:cstheme="majorBidi"/>
          <w:sz w:val="20"/>
          <w:szCs w:val="20"/>
        </w:rPr>
        <w:t>Gaza and Jericho</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10.1993, p. 13;</w:t>
      </w:r>
      <w:r>
        <w:rPr>
          <w:rFonts w:asciiTheme="majorBidi" w:hAnsiTheme="majorBidi" w:cstheme="majorBidi"/>
          <w:sz w:val="20"/>
          <w:szCs w:val="20"/>
        </w:rPr>
        <w:t xml:space="preserve"> </w:t>
      </w:r>
      <w:r w:rsidRPr="00B94089">
        <w:rPr>
          <w:rFonts w:asciiTheme="majorBidi" w:hAnsiTheme="majorBidi" w:cstheme="majorBidi"/>
          <w:sz w:val="20"/>
          <w:szCs w:val="20"/>
        </w:rPr>
        <w:t>Al-</w:t>
      </w:r>
      <w:r>
        <w:rPr>
          <w:rFonts w:asciiTheme="majorBidi" w:hAnsiTheme="majorBidi" w:cstheme="majorBidi"/>
          <w:sz w:val="20"/>
          <w:szCs w:val="20"/>
        </w:rPr>
        <w:t>U</w:t>
      </w:r>
      <w:r w:rsidRPr="00B94089">
        <w:rPr>
          <w:rFonts w:asciiTheme="majorBidi" w:hAnsiTheme="majorBidi" w:cstheme="majorBidi"/>
          <w:sz w:val="20"/>
          <w:szCs w:val="20"/>
        </w:rPr>
        <w:t>mari, "</w:t>
      </w:r>
      <w:r w:rsidRPr="00BC6B70">
        <w:rPr>
          <w:rFonts w:asciiTheme="majorBidi" w:hAnsiTheme="majorBidi" w:cstheme="majorBidi"/>
          <w:sz w:val="20"/>
          <w:szCs w:val="20"/>
        </w:rPr>
        <w:t>al</w:t>
      </w:r>
      <w:r>
        <w:rPr>
          <w:rFonts w:asciiTheme="majorBidi" w:hAnsiTheme="majorBidi" w:cstheme="majorBidi"/>
          <w:sz w:val="20"/>
          <w:szCs w:val="20"/>
        </w:rPr>
        <w:t>-I</w:t>
      </w:r>
      <w:r w:rsidRPr="00BC6B70">
        <w:rPr>
          <w:rFonts w:asciiTheme="majorBidi" w:hAnsiTheme="majorBidi" w:cstheme="majorBidi"/>
          <w:sz w:val="20"/>
          <w:szCs w:val="20"/>
        </w:rPr>
        <w:t>irth al</w:t>
      </w:r>
      <w:r>
        <w:rPr>
          <w:rFonts w:asciiTheme="majorBidi" w:hAnsiTheme="majorBidi" w:cstheme="majorBidi"/>
          <w:sz w:val="20"/>
          <w:szCs w:val="20"/>
        </w:rPr>
        <w:t>-M</w:t>
      </w:r>
      <w:r w:rsidRPr="00BC6B70">
        <w:rPr>
          <w:rFonts w:asciiTheme="majorBidi" w:hAnsiTheme="majorBidi" w:cstheme="majorBidi"/>
          <w:sz w:val="20"/>
          <w:szCs w:val="20"/>
        </w:rPr>
        <w:t>ushawah li</w:t>
      </w:r>
      <w:r>
        <w:rPr>
          <w:rFonts w:asciiTheme="majorBidi" w:hAnsiTheme="majorBidi" w:cstheme="majorBidi"/>
          <w:sz w:val="20"/>
          <w:szCs w:val="20"/>
        </w:rPr>
        <w:t>-Ai</w:t>
      </w:r>
      <w:r w:rsidRPr="00BC6B70">
        <w:rPr>
          <w:rFonts w:asciiTheme="majorBidi" w:hAnsiTheme="majorBidi" w:cstheme="majorBidi"/>
          <w:sz w:val="20"/>
          <w:szCs w:val="20"/>
        </w:rPr>
        <w:t xml:space="preserve">tifaqiaat </w:t>
      </w:r>
      <w:r>
        <w:rPr>
          <w:rFonts w:asciiTheme="majorBidi" w:hAnsiTheme="majorBidi" w:cstheme="majorBidi"/>
          <w:sz w:val="20"/>
          <w:szCs w:val="20"/>
        </w:rPr>
        <w:t>U</w:t>
      </w:r>
      <w:r w:rsidRPr="00BC6B70">
        <w:rPr>
          <w:rFonts w:asciiTheme="majorBidi" w:hAnsiTheme="majorBidi" w:cstheme="majorBidi"/>
          <w:sz w:val="20"/>
          <w:szCs w:val="20"/>
        </w:rPr>
        <w:t>wslu</w:t>
      </w:r>
      <w:r>
        <w:rPr>
          <w:rFonts w:asciiTheme="majorBidi" w:hAnsiTheme="majorBidi" w:cstheme="majorBidi"/>
          <w:sz w:val="20"/>
          <w:szCs w:val="20"/>
        </w:rPr>
        <w:t xml:space="preserve"> (</w:t>
      </w:r>
      <w:r w:rsidRPr="00B94089">
        <w:rPr>
          <w:rFonts w:asciiTheme="majorBidi" w:hAnsiTheme="majorBidi" w:cstheme="majorBidi"/>
          <w:sz w:val="20"/>
          <w:szCs w:val="20"/>
        </w:rPr>
        <w:t>The Distorted Legacy of the Oslo Accords</w:t>
      </w:r>
      <w:r>
        <w:rPr>
          <w:rFonts w:asciiTheme="majorBidi" w:hAnsiTheme="majorBidi" w:cstheme="majorBidi"/>
          <w:sz w:val="20"/>
          <w:szCs w:val="20"/>
        </w:rPr>
        <w:t>)</w:t>
      </w:r>
      <w:r w:rsidRPr="00B94089">
        <w:rPr>
          <w:rFonts w:asciiTheme="majorBidi" w:hAnsiTheme="majorBidi" w:cstheme="majorBidi"/>
          <w:sz w:val="20"/>
          <w:szCs w:val="20"/>
        </w:rPr>
        <w:t>";</w:t>
      </w:r>
      <w:r>
        <w:rPr>
          <w:rFonts w:asciiTheme="majorBidi" w:hAnsiTheme="majorBidi" w:cstheme="majorBidi"/>
          <w:sz w:val="20"/>
          <w:szCs w:val="20"/>
        </w:rPr>
        <w:t xml:space="preserve"> </w:t>
      </w:r>
      <w:r w:rsidRPr="00B94089">
        <w:rPr>
          <w:rFonts w:asciiTheme="majorBidi" w:hAnsiTheme="majorBidi" w:cstheme="majorBidi"/>
          <w:sz w:val="20"/>
          <w:szCs w:val="20"/>
        </w:rPr>
        <w:t>"</w:t>
      </w:r>
      <w:r>
        <w:rPr>
          <w:rFonts w:asciiTheme="majorBidi" w:hAnsiTheme="majorBidi" w:cstheme="majorBidi"/>
          <w:sz w:val="20"/>
          <w:szCs w:val="20"/>
        </w:rPr>
        <w:t xml:space="preserve">Hamas: </w:t>
      </w:r>
      <w:r w:rsidRPr="005A1F00">
        <w:rPr>
          <w:rFonts w:asciiTheme="majorBidi" w:hAnsiTheme="majorBidi" w:cstheme="majorBidi"/>
          <w:sz w:val="20"/>
          <w:szCs w:val="20"/>
        </w:rPr>
        <w:t>kafaa astslamaan w</w:t>
      </w:r>
      <w:r>
        <w:rPr>
          <w:rFonts w:asciiTheme="majorBidi" w:hAnsiTheme="majorBidi" w:cstheme="majorBidi"/>
          <w:sz w:val="20"/>
          <w:szCs w:val="20"/>
        </w:rPr>
        <w:t>a-</w:t>
      </w:r>
      <w:r w:rsidRPr="005A1F00">
        <w:rPr>
          <w:rFonts w:asciiTheme="majorBidi" w:hAnsiTheme="majorBidi" w:cstheme="majorBidi"/>
          <w:sz w:val="20"/>
          <w:szCs w:val="20"/>
        </w:rPr>
        <w:t xml:space="preserve">ttlyalan </w:t>
      </w:r>
      <w:r>
        <w:rPr>
          <w:rFonts w:asciiTheme="majorBidi" w:hAnsiTheme="majorBidi" w:cstheme="majorBidi"/>
          <w:sz w:val="20"/>
          <w:szCs w:val="20"/>
        </w:rPr>
        <w:t>(</w:t>
      </w:r>
      <w:r w:rsidRPr="00B94089">
        <w:rPr>
          <w:rFonts w:asciiTheme="majorBidi" w:hAnsiTheme="majorBidi" w:cstheme="majorBidi"/>
          <w:sz w:val="20"/>
          <w:szCs w:val="20"/>
        </w:rPr>
        <w:t>Hamas: Enough surrender and excuses</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9.1993, p. 5;</w:t>
      </w:r>
      <w:r>
        <w:rPr>
          <w:rFonts w:asciiTheme="majorBidi" w:hAnsiTheme="majorBidi" w:cstheme="majorBidi"/>
          <w:sz w:val="20"/>
          <w:szCs w:val="20"/>
        </w:rPr>
        <w:t xml:space="preserve"> </w:t>
      </w:r>
      <w:r w:rsidRPr="00B94089">
        <w:rPr>
          <w:rFonts w:asciiTheme="majorBidi" w:hAnsiTheme="majorBidi" w:cstheme="majorBidi"/>
          <w:sz w:val="20"/>
          <w:szCs w:val="20"/>
        </w:rPr>
        <w:t>"</w:t>
      </w:r>
      <w:r w:rsidRPr="00CC5635">
        <w:rPr>
          <w:rFonts w:asciiTheme="majorBidi" w:hAnsiTheme="majorBidi" w:cstheme="majorBidi"/>
          <w:sz w:val="20"/>
          <w:szCs w:val="20"/>
        </w:rPr>
        <w:t xml:space="preserve">hamas fi bayaniha raqm 101: shaebuna lan yarkae liltajwih waltahdidi </w:t>
      </w:r>
      <w:r>
        <w:rPr>
          <w:rFonts w:asciiTheme="majorBidi" w:hAnsiTheme="majorBidi" w:cstheme="majorBidi"/>
          <w:sz w:val="20"/>
          <w:szCs w:val="20"/>
        </w:rPr>
        <w:t>(</w:t>
      </w:r>
      <w:r w:rsidRPr="00B94089">
        <w:rPr>
          <w:rFonts w:asciiTheme="majorBidi" w:hAnsiTheme="majorBidi" w:cstheme="majorBidi"/>
          <w:sz w:val="20"/>
          <w:szCs w:val="20"/>
        </w:rPr>
        <w:t>Hamas in its statement no. 101: Our people will not kneel to distortion and threats</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9.1993, p. 7;</w:t>
      </w:r>
      <w:r>
        <w:rPr>
          <w:rFonts w:asciiTheme="majorBidi" w:hAnsiTheme="majorBidi" w:cstheme="majorBidi"/>
          <w:sz w:val="20"/>
          <w:szCs w:val="20"/>
        </w:rPr>
        <w:t xml:space="preserve"> </w:t>
      </w:r>
      <w:r w:rsidRPr="003D7909">
        <w:rPr>
          <w:rFonts w:asciiTheme="majorBidi" w:hAnsiTheme="majorBidi" w:cstheme="majorBidi"/>
          <w:sz w:val="20"/>
          <w:szCs w:val="20"/>
        </w:rPr>
        <w:t>"</w:t>
      </w:r>
      <w:r>
        <w:rPr>
          <w:rFonts w:asciiTheme="majorBidi" w:hAnsiTheme="majorBidi" w:cstheme="majorBidi"/>
          <w:sz w:val="20"/>
          <w:szCs w:val="20"/>
        </w:rPr>
        <w:t xml:space="preserve">Hamas fi Bayanuha rakm 102: Mashru </w:t>
      </w:r>
      <w:r w:rsidR="00D877B3">
        <w:rPr>
          <w:rFonts w:asciiTheme="majorBidi" w:hAnsiTheme="majorBidi" w:cstheme="majorBidi"/>
          <w:sz w:val="20"/>
          <w:szCs w:val="20"/>
        </w:rPr>
        <w:t>Gh</w:t>
      </w:r>
      <w:r>
        <w:rPr>
          <w:rFonts w:asciiTheme="majorBidi" w:hAnsiTheme="majorBidi" w:cstheme="majorBidi"/>
          <w:sz w:val="20"/>
          <w:szCs w:val="20"/>
        </w:rPr>
        <w:t>aza-Aricha – Te'ana Radara fi al-Thuhr (</w:t>
      </w:r>
      <w:r w:rsidRPr="003D7909">
        <w:rPr>
          <w:rFonts w:asciiTheme="majorBidi" w:hAnsiTheme="majorBidi" w:cstheme="majorBidi"/>
          <w:sz w:val="20"/>
          <w:szCs w:val="20"/>
        </w:rPr>
        <w:t>Hamas in Statement No. 102: The Gaza-Jericho Project - A Treacherous Stab in the Back</w:t>
      </w:r>
      <w:r>
        <w:rPr>
          <w:rFonts w:asciiTheme="majorBidi" w:hAnsiTheme="majorBidi" w:cstheme="majorBidi"/>
          <w:sz w:val="20"/>
          <w:szCs w:val="20"/>
        </w:rPr>
        <w:t>)</w:t>
      </w:r>
      <w:r w:rsidRPr="003D7909">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3D7909">
        <w:rPr>
          <w:rFonts w:asciiTheme="majorBidi" w:hAnsiTheme="majorBidi" w:cstheme="majorBidi"/>
          <w:sz w:val="20"/>
          <w:szCs w:val="20"/>
        </w:rPr>
        <w:t>, 10.1993, p. 28</w:t>
      </w:r>
      <w:r>
        <w:rPr>
          <w:rFonts w:asciiTheme="majorBidi" w:hAnsiTheme="majorBidi" w:cstheme="majorBidi"/>
          <w:sz w:val="20"/>
          <w:szCs w:val="20"/>
        </w:rPr>
        <w:t xml:space="preserve">; </w:t>
      </w:r>
      <w:r w:rsidRPr="00B94089">
        <w:rPr>
          <w:rFonts w:asciiTheme="majorBidi" w:hAnsiTheme="majorBidi" w:cstheme="majorBidi"/>
          <w:sz w:val="20"/>
          <w:szCs w:val="20"/>
        </w:rPr>
        <w:t>"</w:t>
      </w:r>
      <w:r>
        <w:rPr>
          <w:rFonts w:asciiTheme="majorBidi" w:hAnsiTheme="majorBidi" w:cstheme="majorBidi"/>
          <w:sz w:val="20"/>
          <w:szCs w:val="20"/>
        </w:rPr>
        <w:t>Bayan Mu'atamar al-suchufi li-Hamas (</w:t>
      </w:r>
      <w:r w:rsidRPr="00B94089">
        <w:rPr>
          <w:rFonts w:asciiTheme="majorBidi" w:hAnsiTheme="majorBidi" w:cstheme="majorBidi"/>
          <w:sz w:val="20"/>
          <w:szCs w:val="20"/>
        </w:rPr>
        <w:t>Statement of the press conference of Hamas</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10.1993, p. 29</w:t>
      </w:r>
      <w:r>
        <w:rPr>
          <w:rFonts w:asciiTheme="majorBidi" w:hAnsiTheme="majorBidi" w:cstheme="majorBidi"/>
          <w:sz w:val="20"/>
          <w:szCs w:val="20"/>
        </w:rPr>
        <w:t>.</w:t>
      </w:r>
    </w:p>
  </w:footnote>
  <w:footnote w:id="70">
    <w:p w14:paraId="48D2C11E" w14:textId="2287138C" w:rsidR="00E848C2" w:rsidRDefault="00E848C2" w:rsidP="00E848C2">
      <w:pPr>
        <w:pStyle w:val="FootnoteText"/>
        <w:bidi w:val="0"/>
      </w:pPr>
      <w:r>
        <w:rPr>
          <w:rStyle w:val="FootnoteReference"/>
        </w:rPr>
        <w:footnoteRef/>
      </w:r>
      <w:r>
        <w:rPr>
          <w:rtl/>
        </w:rPr>
        <w:t xml:space="preserve"> </w:t>
      </w:r>
      <w:r w:rsidRPr="00B94089">
        <w:rPr>
          <w:rFonts w:asciiTheme="majorBidi" w:hAnsiTheme="majorBidi" w:cstheme="majorBidi"/>
        </w:rPr>
        <w:t>"</w:t>
      </w:r>
      <w:r w:rsidRPr="00CC5635">
        <w:rPr>
          <w:rFonts w:asciiTheme="majorBidi" w:hAnsiTheme="majorBidi" w:cstheme="majorBidi"/>
        </w:rPr>
        <w:t xml:space="preserve">hamas fi bayaniha raqm 101: shaebuna lan yarkae liltajwih waltahdidi </w:t>
      </w:r>
      <w:r>
        <w:rPr>
          <w:rFonts w:asciiTheme="majorBidi" w:hAnsiTheme="majorBidi" w:cstheme="majorBidi"/>
        </w:rPr>
        <w:t>(</w:t>
      </w:r>
      <w:r w:rsidRPr="00B94089">
        <w:rPr>
          <w:rFonts w:asciiTheme="majorBidi" w:hAnsiTheme="majorBidi" w:cstheme="majorBidi"/>
        </w:rPr>
        <w:t>Hamas in its statement no. 101: Our people will not kneel to distortion and threats</w:t>
      </w:r>
      <w:r>
        <w:rPr>
          <w:rFonts w:asciiTheme="majorBidi" w:hAnsiTheme="majorBidi" w:cstheme="majorBidi"/>
        </w:rPr>
        <w:t>)</w:t>
      </w:r>
      <w:r w:rsidRPr="00B94089">
        <w:rPr>
          <w:rFonts w:asciiTheme="majorBidi" w:hAnsiTheme="majorBidi" w:cstheme="majorBidi"/>
        </w:rPr>
        <w:t xml:space="preserve">", </w:t>
      </w:r>
      <w:r w:rsidRPr="00932C60">
        <w:rPr>
          <w:rFonts w:asciiTheme="majorBidi" w:hAnsiTheme="majorBidi" w:cstheme="majorBidi"/>
          <w:i/>
          <w:iCs/>
        </w:rPr>
        <w:t>Filastin al-Muslima</w:t>
      </w:r>
      <w:r w:rsidRPr="00B94089">
        <w:rPr>
          <w:rFonts w:asciiTheme="majorBidi" w:hAnsiTheme="majorBidi" w:cstheme="majorBidi"/>
        </w:rPr>
        <w:t>, 9.1993, p. 7</w:t>
      </w:r>
      <w:r>
        <w:rPr>
          <w:rFonts w:asciiTheme="majorBidi" w:hAnsiTheme="majorBidi" w:cstheme="majorBidi"/>
        </w:rPr>
        <w:t>.</w:t>
      </w:r>
    </w:p>
  </w:footnote>
  <w:footnote w:id="71">
    <w:p w14:paraId="01F1D9D0" w14:textId="222CCBAC" w:rsidR="003B7050" w:rsidRPr="003B7050" w:rsidRDefault="003B7050" w:rsidP="003B7050">
      <w:pPr>
        <w:bidi w:val="0"/>
        <w:spacing w:before="240" w:after="0" w:line="240" w:lineRule="auto"/>
        <w:jc w:val="both"/>
        <w:rPr>
          <w:rFonts w:asciiTheme="majorBidi" w:hAnsiTheme="majorBidi" w:cstheme="majorBidi"/>
          <w:sz w:val="20"/>
          <w:szCs w:val="20"/>
        </w:rPr>
      </w:pPr>
      <w:r>
        <w:rPr>
          <w:rStyle w:val="FootnoteReference"/>
        </w:rPr>
        <w:footnoteRef/>
      </w:r>
      <w:r>
        <w:rPr>
          <w:rtl/>
        </w:rPr>
        <w:t xml:space="preserve"> </w:t>
      </w:r>
      <w:r>
        <w:rPr>
          <w:rFonts w:asciiTheme="majorBidi" w:hAnsiTheme="majorBidi" w:cstheme="majorBidi"/>
          <w:sz w:val="20"/>
          <w:szCs w:val="20"/>
        </w:rPr>
        <w:t xml:space="preserve">; </w:t>
      </w:r>
      <w:r w:rsidRPr="00B94089">
        <w:rPr>
          <w:rFonts w:asciiTheme="majorBidi" w:hAnsiTheme="majorBidi" w:cstheme="majorBidi"/>
          <w:sz w:val="20"/>
          <w:szCs w:val="20"/>
        </w:rPr>
        <w:t>"</w:t>
      </w:r>
      <w:r>
        <w:rPr>
          <w:rFonts w:asciiTheme="majorBidi" w:hAnsiTheme="majorBidi" w:cstheme="majorBidi"/>
          <w:sz w:val="20"/>
          <w:szCs w:val="20"/>
        </w:rPr>
        <w:t>Bayan Mu'atamar al-suchufi li-Hamas (</w:t>
      </w:r>
      <w:r w:rsidRPr="00B94089">
        <w:rPr>
          <w:rFonts w:asciiTheme="majorBidi" w:hAnsiTheme="majorBidi" w:cstheme="majorBidi"/>
          <w:sz w:val="20"/>
          <w:szCs w:val="20"/>
        </w:rPr>
        <w:t>Statement of the press conference of Hamas</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10.1993, p. 29</w:t>
      </w:r>
      <w:r>
        <w:rPr>
          <w:rFonts w:asciiTheme="majorBidi" w:hAnsiTheme="majorBidi" w:cstheme="majorBidi"/>
          <w:sz w:val="20"/>
          <w:szCs w:val="20"/>
        </w:rPr>
        <w:t>.</w:t>
      </w:r>
    </w:p>
  </w:footnote>
  <w:footnote w:id="72">
    <w:p w14:paraId="5E0B5D82" w14:textId="1531D9C0" w:rsidR="003B7050" w:rsidRDefault="003B7050" w:rsidP="003B7050">
      <w:pPr>
        <w:pStyle w:val="FootnoteText"/>
        <w:bidi w:val="0"/>
      </w:pPr>
      <w:r>
        <w:rPr>
          <w:rStyle w:val="FootnoteReference"/>
        </w:rPr>
        <w:footnoteRef/>
      </w:r>
      <w:r>
        <w:rPr>
          <w:rtl/>
        </w:rPr>
        <w:t xml:space="preserve"> </w:t>
      </w:r>
      <w:r>
        <w:rPr>
          <w:rFonts w:asciiTheme="majorBidi" w:hAnsiTheme="majorBidi" w:cstheme="majorBidi"/>
        </w:rPr>
        <w:t xml:space="preserve">Hamas: </w:t>
      </w:r>
      <w:r w:rsidRPr="005A1F00">
        <w:rPr>
          <w:rFonts w:asciiTheme="majorBidi" w:hAnsiTheme="majorBidi" w:cstheme="majorBidi"/>
        </w:rPr>
        <w:t>kafaa astslamaan w</w:t>
      </w:r>
      <w:r>
        <w:rPr>
          <w:rFonts w:asciiTheme="majorBidi" w:hAnsiTheme="majorBidi" w:cstheme="majorBidi"/>
        </w:rPr>
        <w:t>a-</w:t>
      </w:r>
      <w:r w:rsidRPr="005A1F00">
        <w:rPr>
          <w:rFonts w:asciiTheme="majorBidi" w:hAnsiTheme="majorBidi" w:cstheme="majorBidi"/>
        </w:rPr>
        <w:t xml:space="preserve">ttlyalan </w:t>
      </w:r>
      <w:r>
        <w:rPr>
          <w:rFonts w:asciiTheme="majorBidi" w:hAnsiTheme="majorBidi" w:cstheme="majorBidi"/>
        </w:rPr>
        <w:t>(</w:t>
      </w:r>
      <w:r w:rsidRPr="00B94089">
        <w:rPr>
          <w:rFonts w:asciiTheme="majorBidi" w:hAnsiTheme="majorBidi" w:cstheme="majorBidi"/>
        </w:rPr>
        <w:t>Hamas: Enough surrender and excuses</w:t>
      </w:r>
      <w:r>
        <w:rPr>
          <w:rFonts w:asciiTheme="majorBidi" w:hAnsiTheme="majorBidi" w:cstheme="majorBidi"/>
        </w:rPr>
        <w:t>)</w:t>
      </w:r>
      <w:r w:rsidRPr="00B94089">
        <w:rPr>
          <w:rFonts w:asciiTheme="majorBidi" w:hAnsiTheme="majorBidi" w:cstheme="majorBidi"/>
        </w:rPr>
        <w:t xml:space="preserve">", </w:t>
      </w:r>
      <w:r w:rsidRPr="00932C60">
        <w:rPr>
          <w:rFonts w:asciiTheme="majorBidi" w:hAnsiTheme="majorBidi" w:cstheme="majorBidi"/>
          <w:i/>
          <w:iCs/>
        </w:rPr>
        <w:t>Filastin al-Muslima</w:t>
      </w:r>
      <w:r w:rsidRPr="00B94089">
        <w:rPr>
          <w:rFonts w:asciiTheme="majorBidi" w:hAnsiTheme="majorBidi" w:cstheme="majorBidi"/>
        </w:rPr>
        <w:t>, 9.1993, p. 5</w:t>
      </w:r>
      <w:r>
        <w:rPr>
          <w:rFonts w:asciiTheme="majorBidi" w:hAnsiTheme="majorBidi" w:cstheme="majorBidi"/>
        </w:rPr>
        <w:t>.</w:t>
      </w:r>
    </w:p>
  </w:footnote>
  <w:footnote w:id="73">
    <w:p w14:paraId="5E39BD4E" w14:textId="5BEA9385" w:rsidR="00581B78" w:rsidRDefault="00581B78" w:rsidP="00581B78">
      <w:pPr>
        <w:pStyle w:val="FootnoteText"/>
        <w:bidi w:val="0"/>
      </w:pPr>
      <w:r>
        <w:rPr>
          <w:rStyle w:val="FootnoteReference"/>
        </w:rPr>
        <w:footnoteRef/>
      </w:r>
      <w:r>
        <w:rPr>
          <w:rtl/>
        </w:rPr>
        <w:t xml:space="preserve"> </w:t>
      </w:r>
      <w:r w:rsidRPr="005C7A65">
        <w:rPr>
          <w:rFonts w:asciiTheme="majorBidi" w:hAnsiTheme="majorBidi" w:cstheme="majorBidi"/>
        </w:rPr>
        <w:t>Scham and Abu-Irshaid "Hamas Ideological Rigidity and Political Flexibility", p. 11.</w:t>
      </w:r>
    </w:p>
  </w:footnote>
  <w:footnote w:id="74">
    <w:p w14:paraId="0DCCA5D7" w14:textId="246AB039" w:rsidR="00CC3232" w:rsidRDefault="00CC3232" w:rsidP="00A5332C">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5C7A65">
        <w:rPr>
          <w:rFonts w:asciiTheme="majorBidi" w:hAnsiTheme="majorBidi" w:cstheme="majorBidi"/>
          <w:sz w:val="20"/>
          <w:szCs w:val="20"/>
        </w:rPr>
        <w:t>A letter by Sheikh Yassin was published in the London</w:t>
      </w:r>
      <w:r w:rsidR="0021464F">
        <w:rPr>
          <w:rFonts w:asciiTheme="majorBidi" w:hAnsiTheme="majorBidi" w:cstheme="majorBidi"/>
          <w:sz w:val="20"/>
          <w:szCs w:val="20"/>
        </w:rPr>
        <w:t>ic</w:t>
      </w:r>
      <w:r w:rsidRPr="005C7A65">
        <w:rPr>
          <w:rFonts w:asciiTheme="majorBidi" w:hAnsiTheme="majorBidi" w:cstheme="majorBidi"/>
          <w:sz w:val="20"/>
          <w:szCs w:val="20"/>
        </w:rPr>
        <w:t xml:space="preserve"> newspaper 'Al-Wast', </w:t>
      </w:r>
      <w:r>
        <w:rPr>
          <w:rFonts w:asciiTheme="majorBidi" w:hAnsiTheme="majorBidi" w:cstheme="majorBidi" w:hint="cs"/>
          <w:sz w:val="20"/>
          <w:szCs w:val="20"/>
          <w:rtl/>
        </w:rPr>
        <w:t>1.11</w:t>
      </w:r>
      <w:r>
        <w:rPr>
          <w:rFonts w:asciiTheme="majorBidi" w:hAnsiTheme="majorBidi" w:cstheme="majorBidi"/>
          <w:sz w:val="20"/>
          <w:szCs w:val="20"/>
        </w:rPr>
        <w:t>.</w:t>
      </w:r>
      <w:r w:rsidRPr="005C7A65">
        <w:rPr>
          <w:rFonts w:asciiTheme="majorBidi" w:hAnsiTheme="majorBidi" w:cstheme="majorBidi"/>
          <w:sz w:val="20"/>
          <w:szCs w:val="20"/>
        </w:rPr>
        <w:t>1993. An article by Mousa Abu Marzouq was published in the Jordanian daily 'Al-S</w:t>
      </w:r>
      <w:r>
        <w:rPr>
          <w:rFonts w:asciiTheme="majorBidi" w:hAnsiTheme="majorBidi" w:cstheme="majorBidi"/>
          <w:sz w:val="20"/>
          <w:szCs w:val="20"/>
        </w:rPr>
        <w:t>e</w:t>
      </w:r>
      <w:r w:rsidRPr="005C7A65">
        <w:rPr>
          <w:rFonts w:asciiTheme="majorBidi" w:hAnsiTheme="majorBidi" w:cstheme="majorBidi"/>
          <w:sz w:val="20"/>
          <w:szCs w:val="20"/>
        </w:rPr>
        <w:t xml:space="preserve">beel', </w:t>
      </w:r>
      <w:r>
        <w:rPr>
          <w:rFonts w:asciiTheme="majorBidi" w:hAnsiTheme="majorBidi" w:cstheme="majorBidi" w:hint="cs"/>
          <w:sz w:val="20"/>
          <w:szCs w:val="20"/>
          <w:rtl/>
        </w:rPr>
        <w:t>19.4</w:t>
      </w:r>
      <w:r>
        <w:rPr>
          <w:rFonts w:asciiTheme="majorBidi" w:hAnsiTheme="majorBidi" w:cstheme="majorBidi"/>
          <w:sz w:val="20"/>
          <w:szCs w:val="20"/>
        </w:rPr>
        <w:t>.</w:t>
      </w:r>
      <w:r w:rsidRPr="005C7A65">
        <w:rPr>
          <w:rFonts w:asciiTheme="majorBidi" w:hAnsiTheme="majorBidi" w:cstheme="majorBidi"/>
          <w:sz w:val="20"/>
          <w:szCs w:val="20"/>
        </w:rPr>
        <w:t>1994, and more.</w:t>
      </w:r>
    </w:p>
    <w:p w14:paraId="67B34C14" w14:textId="32EAE767" w:rsidR="00CC3232" w:rsidRPr="00CC3232" w:rsidRDefault="00CC3232" w:rsidP="00CC3232">
      <w:pPr>
        <w:bidi w:val="0"/>
        <w:spacing w:after="0" w:line="240" w:lineRule="auto"/>
        <w:jc w:val="both"/>
        <w:rPr>
          <w:rFonts w:asciiTheme="majorBidi" w:hAnsiTheme="majorBidi" w:cstheme="majorBidi"/>
          <w:sz w:val="20"/>
          <w:szCs w:val="20"/>
        </w:rPr>
      </w:pPr>
      <w:r w:rsidRPr="008D342B">
        <w:rPr>
          <w:rFonts w:asciiTheme="majorBidi" w:hAnsiTheme="majorBidi" w:cstheme="majorBidi"/>
          <w:sz w:val="20"/>
          <w:szCs w:val="20"/>
        </w:rPr>
        <w:t xml:space="preserve">Bartal and Rubinsten-Shemer, </w:t>
      </w:r>
      <w:r w:rsidRPr="008D342B">
        <w:rPr>
          <w:rFonts w:asciiTheme="majorBidi" w:hAnsiTheme="majorBidi" w:cstheme="majorBidi"/>
          <w:i/>
          <w:iCs/>
          <w:sz w:val="20"/>
          <w:szCs w:val="20"/>
        </w:rPr>
        <w:t>Hamas and ideology</w:t>
      </w:r>
      <w:r w:rsidRPr="008D342B">
        <w:rPr>
          <w:rFonts w:asciiTheme="majorBidi" w:hAnsiTheme="majorBidi" w:cstheme="majorBidi"/>
          <w:sz w:val="20"/>
          <w:szCs w:val="20"/>
        </w:rPr>
        <w:t xml:space="preserve">, pp. 140-147; Fritzen Buan, </w:t>
      </w:r>
      <w:r w:rsidRPr="008D342B">
        <w:rPr>
          <w:rFonts w:asciiTheme="majorBidi" w:hAnsiTheme="majorBidi" w:cstheme="majorBidi"/>
          <w:i/>
          <w:iCs/>
          <w:sz w:val="20"/>
          <w:szCs w:val="20"/>
        </w:rPr>
        <w:t>Hamas’s Resistance to the Oslo Agreement</w:t>
      </w:r>
      <w:r w:rsidRPr="008D342B">
        <w:rPr>
          <w:rFonts w:asciiTheme="majorBidi" w:hAnsiTheme="majorBidi" w:cstheme="majorBidi"/>
          <w:sz w:val="20"/>
          <w:szCs w:val="20"/>
        </w:rPr>
        <w:t>, pp. 33-</w:t>
      </w:r>
      <w:r w:rsidRPr="008D342B">
        <w:rPr>
          <w:rFonts w:asciiTheme="majorBidi" w:hAnsiTheme="majorBidi" w:cstheme="majorBidi" w:hint="cs"/>
          <w:sz w:val="20"/>
          <w:szCs w:val="20"/>
          <w:rtl/>
        </w:rPr>
        <w:t>85</w:t>
      </w:r>
      <w:r w:rsidRPr="008D342B">
        <w:rPr>
          <w:rFonts w:asciiTheme="majorBidi" w:hAnsiTheme="majorBidi" w:cstheme="majorBidi"/>
          <w:sz w:val="20"/>
          <w:szCs w:val="20"/>
        </w:rPr>
        <w:t xml:space="preserve">; Hroub, </w:t>
      </w:r>
      <w:r w:rsidRPr="008D342B">
        <w:rPr>
          <w:rFonts w:asciiTheme="majorBidi" w:hAnsiTheme="majorBidi" w:cstheme="majorBidi"/>
          <w:i/>
          <w:iCs/>
          <w:sz w:val="20"/>
          <w:szCs w:val="20"/>
        </w:rPr>
        <w:t>Hamas: political thought and practice</w:t>
      </w:r>
      <w:r w:rsidRPr="008D342B">
        <w:rPr>
          <w:rFonts w:asciiTheme="majorBidi" w:hAnsiTheme="majorBidi" w:cstheme="majorBidi"/>
          <w:sz w:val="20"/>
          <w:szCs w:val="20"/>
        </w:rPr>
        <w:t xml:space="preserve">, pp. 65-72; Janssen, </w:t>
      </w:r>
      <w:r w:rsidRPr="008D342B">
        <w:rPr>
          <w:rFonts w:asciiTheme="majorBidi" w:hAnsiTheme="majorBidi" w:cstheme="majorBidi"/>
          <w:i/>
          <w:iCs/>
          <w:sz w:val="20"/>
          <w:szCs w:val="20"/>
        </w:rPr>
        <w:t>Hamas and its Positions Towards Israel</w:t>
      </w:r>
      <w:r w:rsidRPr="008D342B">
        <w:rPr>
          <w:rFonts w:asciiTheme="majorBidi" w:hAnsiTheme="majorBidi" w:cstheme="majorBidi"/>
          <w:sz w:val="20"/>
          <w:szCs w:val="20"/>
        </w:rPr>
        <w:t>, pp. 13-95; Mishal and Sela,</w:t>
      </w:r>
      <w:r w:rsidRPr="008D342B">
        <w:rPr>
          <w:rFonts w:asciiTheme="majorBidi" w:hAnsiTheme="majorBidi" w:cstheme="majorBidi"/>
          <w:b/>
          <w:bCs/>
          <w:sz w:val="20"/>
          <w:szCs w:val="20"/>
        </w:rPr>
        <w:t xml:space="preserve"> </w:t>
      </w:r>
      <w:r w:rsidRPr="008D342B">
        <w:rPr>
          <w:rFonts w:asciiTheme="majorBidi" w:hAnsiTheme="majorBidi" w:cstheme="majorBidi"/>
          <w:i/>
          <w:iCs/>
          <w:sz w:val="20"/>
          <w:szCs w:val="20"/>
        </w:rPr>
        <w:t>The Palestinian Hamas</w:t>
      </w:r>
      <w:r w:rsidRPr="008D342B">
        <w:rPr>
          <w:rFonts w:asciiTheme="majorBidi" w:hAnsiTheme="majorBidi" w:cstheme="majorBidi"/>
          <w:sz w:val="20"/>
          <w:szCs w:val="20"/>
        </w:rPr>
        <w:t xml:space="preserve">, pp. 65-72, 108-111; Nüsse, </w:t>
      </w:r>
      <w:r w:rsidRPr="008D342B">
        <w:rPr>
          <w:rFonts w:asciiTheme="majorBidi" w:hAnsiTheme="majorBidi" w:cstheme="majorBidi"/>
          <w:i/>
          <w:iCs/>
          <w:sz w:val="20"/>
          <w:szCs w:val="20"/>
        </w:rPr>
        <w:t>Muslim Palestine</w:t>
      </w:r>
      <w:r w:rsidRPr="008D342B">
        <w:rPr>
          <w:rFonts w:asciiTheme="majorBidi" w:hAnsiTheme="majorBidi" w:cstheme="majorBidi"/>
          <w:b/>
          <w:bCs/>
          <w:sz w:val="20"/>
          <w:szCs w:val="20"/>
        </w:rPr>
        <w:t xml:space="preserve">, </w:t>
      </w:r>
      <w:r w:rsidRPr="008D342B">
        <w:rPr>
          <w:rFonts w:asciiTheme="majorBidi" w:hAnsiTheme="majorBidi" w:cstheme="majorBidi"/>
          <w:sz w:val="20"/>
          <w:szCs w:val="20"/>
        </w:rPr>
        <w:t xml:space="preserve">pp. 109-117; </w:t>
      </w:r>
      <w:r w:rsidRPr="005C7A65">
        <w:rPr>
          <w:rFonts w:asciiTheme="majorBidi" w:hAnsiTheme="majorBidi" w:cstheme="majorBidi"/>
          <w:sz w:val="20"/>
          <w:szCs w:val="20"/>
        </w:rPr>
        <w:t xml:space="preserve">Shabbat, </w:t>
      </w:r>
      <w:r w:rsidRPr="00581B78">
        <w:rPr>
          <w:rFonts w:asciiTheme="majorBidi" w:hAnsiTheme="majorBidi" w:cstheme="majorBidi"/>
          <w:i/>
          <w:iCs/>
          <w:sz w:val="20"/>
          <w:szCs w:val="20"/>
        </w:rPr>
        <w:t>Hamas and the Peace Process</w:t>
      </w:r>
      <w:r w:rsidRPr="005C7A65">
        <w:rPr>
          <w:rFonts w:asciiTheme="majorBidi" w:hAnsiTheme="majorBidi" w:cstheme="majorBidi"/>
          <w:sz w:val="20"/>
          <w:szCs w:val="20"/>
        </w:rPr>
        <w:t>, pp. 73-80</w:t>
      </w:r>
      <w:r>
        <w:rPr>
          <w:rFonts w:asciiTheme="majorBidi" w:hAnsiTheme="majorBidi" w:cstheme="majorBidi"/>
          <w:sz w:val="20"/>
          <w:szCs w:val="20"/>
        </w:rPr>
        <w:t xml:space="preserve">; </w:t>
      </w:r>
      <w:r w:rsidRPr="008D342B">
        <w:rPr>
          <w:rFonts w:asciiTheme="majorBidi" w:hAnsiTheme="majorBidi" w:cstheme="majorBidi"/>
          <w:sz w:val="20"/>
          <w:szCs w:val="20"/>
        </w:rPr>
        <w:t xml:space="preserve">Tuastad, </w:t>
      </w:r>
      <w:r w:rsidRPr="008D342B">
        <w:rPr>
          <w:rFonts w:asciiTheme="majorBidi" w:hAnsiTheme="majorBidi" w:cstheme="majorBidi"/>
          <w:i/>
          <w:iCs/>
          <w:sz w:val="20"/>
          <w:szCs w:val="20"/>
        </w:rPr>
        <w:t>Hamas’s Concept of a Long-term Ceasefire</w:t>
      </w:r>
      <w:r w:rsidRPr="008D342B">
        <w:rPr>
          <w:rFonts w:asciiTheme="majorBidi" w:hAnsiTheme="majorBidi" w:cstheme="majorBidi"/>
          <w:sz w:val="20"/>
          <w:szCs w:val="20"/>
        </w:rPr>
        <w:t xml:space="preserve">, pp. 15-42; Usher, </w:t>
      </w:r>
      <w:r w:rsidRPr="008D342B">
        <w:rPr>
          <w:rFonts w:asciiTheme="majorBidi" w:hAnsiTheme="majorBidi" w:cstheme="majorBidi"/>
          <w:i/>
          <w:iCs/>
          <w:sz w:val="20"/>
          <w:szCs w:val="20"/>
        </w:rPr>
        <w:t>Dispatches from Palestine</w:t>
      </w:r>
      <w:r w:rsidRPr="008D342B">
        <w:rPr>
          <w:rFonts w:asciiTheme="majorBidi" w:hAnsiTheme="majorBidi" w:cstheme="majorBidi"/>
          <w:sz w:val="20"/>
          <w:szCs w:val="20"/>
        </w:rPr>
        <w:t xml:space="preserve">, pp. 18-34, 166-169; </w:t>
      </w:r>
      <w:r>
        <w:rPr>
          <w:rFonts w:asciiTheme="majorBidi" w:hAnsiTheme="majorBidi" w:cstheme="majorBidi"/>
          <w:sz w:val="20"/>
          <w:szCs w:val="20"/>
        </w:rPr>
        <w:t xml:space="preserve"> </w:t>
      </w:r>
      <w:r w:rsidRPr="008D342B">
        <w:rPr>
          <w:rFonts w:asciiTheme="majorBidi" w:hAnsiTheme="majorBidi" w:cstheme="majorBidi"/>
          <w:sz w:val="20"/>
          <w:szCs w:val="20"/>
        </w:rPr>
        <w:t xml:space="preserve">Abu-Amr, "Hamas: A Historical and Political Background", pp. 5-19; </w:t>
      </w:r>
      <w:r w:rsidRPr="008D342B">
        <w:rPr>
          <w:rFonts w:asciiTheme="majorBidi" w:eastAsia="Times New Roman" w:hAnsiTheme="majorBidi" w:cstheme="majorBidi"/>
          <w:sz w:val="20"/>
          <w:szCs w:val="20"/>
        </w:rPr>
        <w:t>Al-Jarbawi, "The Position of Palestinian Islamists on the Palestine-Israel Accords", pp. 127-154;</w:t>
      </w:r>
      <w:r w:rsidRPr="008D342B">
        <w:rPr>
          <w:rFonts w:asciiTheme="majorBidi" w:hAnsiTheme="majorBidi" w:cstheme="majorBidi"/>
          <w:sz w:val="20"/>
          <w:szCs w:val="20"/>
        </w:rPr>
        <w:t xml:space="preserve"> Baconi, "The demise of Oslo and Hamas’s political engagement", pp. 503-520; </w:t>
      </w:r>
      <w:r w:rsidRPr="008D342B">
        <w:rPr>
          <w:rFonts w:asciiTheme="majorBidi" w:eastAsia="Times New Roman" w:hAnsiTheme="majorBidi" w:cstheme="majorBidi"/>
          <w:sz w:val="20"/>
          <w:szCs w:val="20"/>
        </w:rPr>
        <w:t>Bartal, "Reading the Qur’ān", pp. 392-408;</w:t>
      </w:r>
      <w:r w:rsidRPr="008D342B">
        <w:rPr>
          <w:rFonts w:asciiTheme="majorBidi" w:hAnsiTheme="majorBidi" w:cstheme="majorBidi"/>
          <w:sz w:val="20"/>
          <w:szCs w:val="20"/>
        </w:rPr>
        <w:t xml:space="preserve"> Ben-Dror and Flamer, "Missing the Spoiler", pp. 1-19; Hroub, "Hamas and Oslo", pp. 80-85; </w:t>
      </w:r>
      <w:r w:rsidRPr="005C7A65">
        <w:rPr>
          <w:rFonts w:asciiTheme="majorBidi" w:hAnsiTheme="majorBidi" w:cstheme="majorBidi"/>
          <w:sz w:val="20"/>
          <w:szCs w:val="20"/>
        </w:rPr>
        <w:t>Ibrahim, "</w:t>
      </w:r>
      <w:r>
        <w:rPr>
          <w:rFonts w:asciiTheme="majorBidi" w:hAnsiTheme="majorBidi" w:cstheme="majorBidi"/>
          <w:sz w:val="20"/>
          <w:szCs w:val="20"/>
        </w:rPr>
        <w:t>al-Muaradza al-Filastini'I (</w:t>
      </w:r>
      <w:r w:rsidRPr="005C7A65">
        <w:rPr>
          <w:rFonts w:asciiTheme="majorBidi" w:hAnsiTheme="majorBidi" w:cstheme="majorBidi"/>
          <w:sz w:val="20"/>
          <w:szCs w:val="20"/>
        </w:rPr>
        <w:t>The Palestinian Opposition</w:t>
      </w:r>
      <w:r>
        <w:rPr>
          <w:rFonts w:asciiTheme="majorBidi" w:hAnsiTheme="majorBidi" w:cstheme="majorBidi"/>
          <w:sz w:val="20"/>
          <w:szCs w:val="20"/>
        </w:rPr>
        <w:t>)</w:t>
      </w:r>
      <w:r w:rsidRPr="005C7A65">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5C7A65">
        <w:rPr>
          <w:rFonts w:asciiTheme="majorBidi" w:hAnsiTheme="majorBidi" w:cstheme="majorBidi"/>
          <w:sz w:val="20"/>
          <w:szCs w:val="20"/>
        </w:rPr>
        <w:t>, 11.1993, pp. 16-17;</w:t>
      </w:r>
      <w:r>
        <w:rPr>
          <w:rFonts w:asciiTheme="majorBidi" w:hAnsiTheme="majorBidi" w:cstheme="majorBidi"/>
          <w:sz w:val="20"/>
          <w:szCs w:val="20"/>
        </w:rPr>
        <w:t xml:space="preserve"> </w:t>
      </w:r>
      <w:r w:rsidRPr="008D342B">
        <w:rPr>
          <w:rFonts w:asciiTheme="majorBidi" w:hAnsiTheme="majorBidi" w:cstheme="majorBidi"/>
          <w:sz w:val="20"/>
          <w:szCs w:val="20"/>
        </w:rPr>
        <w:t>Kristianasen, "Challenge and Counterchallenge", pp. 19-36; Litvak, "The Islamization of the Palestinian-Israeli Conflict", pp. 148-163;</w:t>
      </w:r>
      <w:r>
        <w:rPr>
          <w:rFonts w:asciiTheme="majorBidi" w:hAnsiTheme="majorBidi" w:cstheme="majorBidi"/>
          <w:sz w:val="20"/>
          <w:szCs w:val="20"/>
        </w:rPr>
        <w:t xml:space="preserve"> </w:t>
      </w:r>
      <w:r w:rsidRPr="00B94089">
        <w:rPr>
          <w:rFonts w:asciiTheme="majorBidi" w:hAnsiTheme="majorBidi" w:cstheme="majorBidi"/>
          <w:sz w:val="20"/>
          <w:szCs w:val="20"/>
        </w:rPr>
        <w:t>Al</w:t>
      </w:r>
      <w:r>
        <w:rPr>
          <w:rFonts w:asciiTheme="majorBidi" w:hAnsiTheme="majorBidi" w:cstheme="majorBidi"/>
          <w:sz w:val="20"/>
          <w:szCs w:val="20"/>
        </w:rPr>
        <w:t>-</w:t>
      </w:r>
      <w:r w:rsidRPr="00B94089">
        <w:rPr>
          <w:rFonts w:asciiTheme="majorBidi" w:hAnsiTheme="majorBidi" w:cstheme="majorBidi"/>
          <w:sz w:val="20"/>
          <w:szCs w:val="20"/>
        </w:rPr>
        <w:t>Rahman, "</w:t>
      </w:r>
      <w:r w:rsidRPr="00804803">
        <w:rPr>
          <w:rFonts w:asciiTheme="majorBidi" w:hAnsiTheme="majorBidi" w:cstheme="majorBidi"/>
          <w:sz w:val="20"/>
          <w:szCs w:val="20"/>
        </w:rPr>
        <w:t>a</w:t>
      </w:r>
      <w:r>
        <w:rPr>
          <w:rFonts w:asciiTheme="majorBidi" w:hAnsiTheme="majorBidi" w:cstheme="majorBidi"/>
          <w:sz w:val="20"/>
          <w:szCs w:val="20"/>
        </w:rPr>
        <w:t>l-I</w:t>
      </w:r>
      <w:r w:rsidRPr="00804803">
        <w:rPr>
          <w:rFonts w:asciiTheme="majorBidi" w:hAnsiTheme="majorBidi" w:cstheme="majorBidi"/>
          <w:sz w:val="20"/>
          <w:szCs w:val="20"/>
        </w:rPr>
        <w:t>ntifadatuna al</w:t>
      </w:r>
      <w:r>
        <w:rPr>
          <w:rFonts w:asciiTheme="majorBidi" w:hAnsiTheme="majorBidi" w:cstheme="majorBidi"/>
          <w:sz w:val="20"/>
          <w:szCs w:val="20"/>
        </w:rPr>
        <w:t>-</w:t>
      </w:r>
      <w:r w:rsidRPr="00804803">
        <w:rPr>
          <w:rFonts w:asciiTheme="majorBidi" w:hAnsiTheme="majorBidi" w:cstheme="majorBidi"/>
          <w:sz w:val="20"/>
          <w:szCs w:val="20"/>
        </w:rPr>
        <w:t xml:space="preserve">an </w:t>
      </w:r>
      <w:r>
        <w:rPr>
          <w:rFonts w:asciiTheme="majorBidi" w:hAnsiTheme="majorBidi" w:cstheme="majorBidi"/>
          <w:sz w:val="20"/>
          <w:szCs w:val="20"/>
        </w:rPr>
        <w:t>T</w:t>
      </w:r>
      <w:r w:rsidRPr="00804803">
        <w:rPr>
          <w:rFonts w:asciiTheme="majorBidi" w:hAnsiTheme="majorBidi" w:cstheme="majorBidi"/>
          <w:sz w:val="20"/>
          <w:szCs w:val="20"/>
        </w:rPr>
        <w:t>atahawal 'iilaa a</w:t>
      </w:r>
      <w:r>
        <w:rPr>
          <w:rFonts w:asciiTheme="majorBidi" w:hAnsiTheme="majorBidi" w:cstheme="majorBidi"/>
          <w:sz w:val="20"/>
          <w:szCs w:val="20"/>
        </w:rPr>
        <w:t>l-I</w:t>
      </w:r>
      <w:r w:rsidRPr="00804803">
        <w:rPr>
          <w:rFonts w:asciiTheme="majorBidi" w:hAnsiTheme="majorBidi" w:cstheme="majorBidi"/>
          <w:sz w:val="20"/>
          <w:szCs w:val="20"/>
        </w:rPr>
        <w:t>ntifadat</w:t>
      </w:r>
      <w:r>
        <w:rPr>
          <w:rFonts w:asciiTheme="majorBidi" w:hAnsiTheme="majorBidi" w:cstheme="majorBidi"/>
          <w:sz w:val="20"/>
          <w:szCs w:val="20"/>
        </w:rPr>
        <w:t>a</w:t>
      </w:r>
      <w:r w:rsidRPr="00804803">
        <w:rPr>
          <w:rFonts w:asciiTheme="majorBidi" w:hAnsiTheme="majorBidi" w:cstheme="majorBidi"/>
          <w:sz w:val="20"/>
          <w:szCs w:val="20"/>
        </w:rPr>
        <w:t xml:space="preserve"> </w:t>
      </w:r>
      <w:r>
        <w:rPr>
          <w:rFonts w:asciiTheme="majorBidi" w:hAnsiTheme="majorBidi" w:cstheme="majorBidi"/>
          <w:sz w:val="20"/>
          <w:szCs w:val="20"/>
        </w:rPr>
        <w:t>M</w:t>
      </w:r>
      <w:r w:rsidRPr="00804803">
        <w:rPr>
          <w:rFonts w:asciiTheme="majorBidi" w:hAnsiTheme="majorBidi" w:cstheme="majorBidi"/>
          <w:sz w:val="20"/>
          <w:szCs w:val="20"/>
        </w:rPr>
        <w:t xml:space="preserve">usalaha </w:t>
      </w:r>
      <w:r>
        <w:rPr>
          <w:rFonts w:asciiTheme="majorBidi" w:hAnsiTheme="majorBidi" w:cstheme="majorBidi"/>
          <w:sz w:val="20"/>
          <w:szCs w:val="20"/>
        </w:rPr>
        <w:t>(</w:t>
      </w:r>
      <w:r w:rsidRPr="00B94089">
        <w:rPr>
          <w:rFonts w:asciiTheme="majorBidi" w:hAnsiTheme="majorBidi" w:cstheme="majorBidi"/>
          <w:sz w:val="20"/>
          <w:szCs w:val="20"/>
        </w:rPr>
        <w:t>Our Intifada is Now Turning into an Armed Intifada</w:t>
      </w:r>
      <w:r>
        <w:rPr>
          <w:rFonts w:asciiTheme="majorBidi" w:hAnsiTheme="majorBidi" w:cstheme="majorBidi"/>
          <w:sz w:val="20"/>
          <w:szCs w:val="20"/>
        </w:rPr>
        <w:t>)</w:t>
      </w:r>
      <w:r w:rsidRPr="00B94089">
        <w:rPr>
          <w:rFonts w:asciiTheme="majorBidi" w:hAnsiTheme="majorBidi" w:cstheme="majorBidi"/>
          <w:sz w:val="20"/>
          <w:szCs w:val="20"/>
        </w:rPr>
        <w:t>";</w:t>
      </w:r>
      <w:r>
        <w:rPr>
          <w:rFonts w:asciiTheme="majorBidi" w:hAnsiTheme="majorBidi" w:cstheme="majorBidi"/>
          <w:sz w:val="20"/>
          <w:szCs w:val="20"/>
        </w:rPr>
        <w:t xml:space="preserve"> </w:t>
      </w:r>
      <w:r w:rsidRPr="005C7A65">
        <w:rPr>
          <w:rFonts w:asciiTheme="majorBidi" w:hAnsiTheme="majorBidi" w:cstheme="majorBidi"/>
          <w:sz w:val="20"/>
          <w:szCs w:val="20"/>
        </w:rPr>
        <w:t>Ras</w:t>
      </w:r>
      <w:r>
        <w:rPr>
          <w:rFonts w:asciiTheme="majorBidi" w:hAnsiTheme="majorBidi" w:cstheme="majorBidi"/>
          <w:sz w:val="20"/>
          <w:szCs w:val="20"/>
        </w:rPr>
        <w:t>hid</w:t>
      </w:r>
      <w:r w:rsidRPr="005C7A65">
        <w:rPr>
          <w:rFonts w:asciiTheme="majorBidi" w:hAnsiTheme="majorBidi" w:cstheme="majorBidi"/>
          <w:sz w:val="20"/>
          <w:szCs w:val="20"/>
        </w:rPr>
        <w:t>, "</w:t>
      </w:r>
      <w:r>
        <w:rPr>
          <w:rFonts w:asciiTheme="majorBidi" w:hAnsiTheme="majorBidi" w:cstheme="majorBidi"/>
          <w:sz w:val="20"/>
          <w:szCs w:val="20"/>
        </w:rPr>
        <w:t>Filastin al-Jawhara wa-al-Jamra (</w:t>
      </w:r>
      <w:r w:rsidRPr="005C7A65">
        <w:rPr>
          <w:rFonts w:asciiTheme="majorBidi" w:hAnsiTheme="majorBidi" w:cstheme="majorBidi"/>
          <w:sz w:val="20"/>
          <w:szCs w:val="20"/>
        </w:rPr>
        <w:t>Palestine the Jewel and the Ember</w:t>
      </w:r>
      <w:r>
        <w:rPr>
          <w:rFonts w:asciiTheme="majorBidi" w:hAnsiTheme="majorBidi" w:cstheme="majorBidi"/>
          <w:sz w:val="20"/>
          <w:szCs w:val="20"/>
        </w:rPr>
        <w:t>)</w:t>
      </w:r>
      <w:r w:rsidRPr="005C7A65">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5C7A65">
        <w:rPr>
          <w:rFonts w:asciiTheme="majorBidi" w:hAnsiTheme="majorBidi" w:cstheme="majorBidi"/>
          <w:sz w:val="20"/>
          <w:szCs w:val="20"/>
        </w:rPr>
        <w:t>, 2.1994, p. 49</w:t>
      </w:r>
      <w:r>
        <w:rPr>
          <w:rFonts w:asciiTheme="majorBidi" w:hAnsiTheme="majorBidi" w:cstheme="majorBidi"/>
          <w:sz w:val="20"/>
          <w:szCs w:val="20"/>
        </w:rPr>
        <w:t xml:space="preserve">; </w:t>
      </w:r>
      <w:r w:rsidRPr="008D342B">
        <w:rPr>
          <w:rFonts w:asciiTheme="majorBidi" w:hAnsiTheme="majorBidi" w:cstheme="majorBidi"/>
          <w:sz w:val="20"/>
          <w:szCs w:val="20"/>
        </w:rPr>
        <w:t>Scham and Abu-Irshaid "Hamas Ideological Rigidity and Political Flexibility", pp. 4-24</w:t>
      </w:r>
      <w:r>
        <w:rPr>
          <w:rFonts w:asciiTheme="majorBidi" w:hAnsiTheme="majorBidi" w:cstheme="majorBidi"/>
          <w:sz w:val="20"/>
          <w:szCs w:val="20"/>
        </w:rPr>
        <w:t xml:space="preserve">; </w:t>
      </w:r>
      <w:r w:rsidRPr="001067E2">
        <w:rPr>
          <w:rFonts w:asciiTheme="majorBidi" w:hAnsiTheme="majorBidi" w:cstheme="majorBidi"/>
          <w:sz w:val="20"/>
          <w:szCs w:val="20"/>
        </w:rPr>
        <w:t>"Muqabala mae al-Sheikh Ahmed Yassin (Interview with Sheikh Ahmed Yassin)", Al-Quds, 10.1993, pp. 1-3;</w:t>
      </w:r>
      <w:r>
        <w:rPr>
          <w:rFonts w:asciiTheme="majorBidi" w:hAnsiTheme="majorBidi" w:cstheme="majorBidi"/>
          <w:sz w:val="20"/>
          <w:szCs w:val="20"/>
        </w:rPr>
        <w:t xml:space="preserve"> </w:t>
      </w:r>
      <w:r w:rsidRPr="003D7909">
        <w:rPr>
          <w:rFonts w:asciiTheme="majorBidi" w:hAnsiTheme="majorBidi" w:cstheme="majorBidi"/>
          <w:sz w:val="20"/>
          <w:szCs w:val="20"/>
        </w:rPr>
        <w:t>"</w:t>
      </w:r>
      <w:r>
        <w:rPr>
          <w:rFonts w:asciiTheme="majorBidi" w:hAnsiTheme="majorBidi" w:cstheme="majorBidi"/>
          <w:sz w:val="20"/>
          <w:szCs w:val="20"/>
        </w:rPr>
        <w:t xml:space="preserve">Hamas fi Bayanuha rakm 102: Mashru </w:t>
      </w:r>
      <w:r w:rsidR="00D877B3">
        <w:rPr>
          <w:rFonts w:asciiTheme="majorBidi" w:hAnsiTheme="majorBidi" w:cstheme="majorBidi"/>
          <w:sz w:val="20"/>
          <w:szCs w:val="20"/>
        </w:rPr>
        <w:t>Gh</w:t>
      </w:r>
      <w:r>
        <w:rPr>
          <w:rFonts w:asciiTheme="majorBidi" w:hAnsiTheme="majorBidi" w:cstheme="majorBidi"/>
          <w:sz w:val="20"/>
          <w:szCs w:val="20"/>
        </w:rPr>
        <w:t>aza-Aricha – Te'ana Radara fi al-Thuhr (</w:t>
      </w:r>
      <w:r w:rsidRPr="003D7909">
        <w:rPr>
          <w:rFonts w:asciiTheme="majorBidi" w:hAnsiTheme="majorBidi" w:cstheme="majorBidi"/>
          <w:sz w:val="20"/>
          <w:szCs w:val="20"/>
        </w:rPr>
        <w:t>Hamas in Statement No. 102: The Gaza-Jericho Project - A Treacherous Stab in the Back</w:t>
      </w:r>
      <w:r>
        <w:rPr>
          <w:rFonts w:asciiTheme="majorBidi" w:hAnsiTheme="majorBidi" w:cstheme="majorBidi"/>
          <w:sz w:val="20"/>
          <w:szCs w:val="20"/>
        </w:rPr>
        <w:t>)</w:t>
      </w:r>
      <w:r w:rsidRPr="003D7909">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3D7909">
        <w:rPr>
          <w:rFonts w:asciiTheme="majorBidi" w:hAnsiTheme="majorBidi" w:cstheme="majorBidi"/>
          <w:sz w:val="20"/>
          <w:szCs w:val="20"/>
        </w:rPr>
        <w:t>, 10.1993, p. 28</w:t>
      </w:r>
      <w:r>
        <w:rPr>
          <w:rFonts w:asciiTheme="majorBidi" w:hAnsiTheme="majorBidi" w:cstheme="majorBidi"/>
          <w:sz w:val="20"/>
          <w:szCs w:val="20"/>
        </w:rPr>
        <w:t xml:space="preserve">; </w:t>
      </w:r>
      <w:r w:rsidRPr="00B94089">
        <w:rPr>
          <w:rFonts w:asciiTheme="majorBidi" w:hAnsiTheme="majorBidi" w:cstheme="majorBidi"/>
          <w:sz w:val="20"/>
          <w:szCs w:val="20"/>
        </w:rPr>
        <w:t>"</w:t>
      </w:r>
      <w:r>
        <w:rPr>
          <w:rFonts w:asciiTheme="majorBidi" w:hAnsiTheme="majorBidi" w:cstheme="majorBidi"/>
          <w:sz w:val="20"/>
          <w:szCs w:val="20"/>
        </w:rPr>
        <w:t>Bayan Mu'atamar al-suchufi li-Hamas (</w:t>
      </w:r>
      <w:r w:rsidRPr="00B94089">
        <w:rPr>
          <w:rFonts w:asciiTheme="majorBidi" w:hAnsiTheme="majorBidi" w:cstheme="majorBidi"/>
          <w:sz w:val="20"/>
          <w:szCs w:val="20"/>
        </w:rPr>
        <w:t>Statement of the press conference of Hamas</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10.1993, p. 29</w:t>
      </w:r>
      <w:r>
        <w:rPr>
          <w:rFonts w:asciiTheme="majorBidi" w:hAnsiTheme="majorBidi" w:cstheme="majorBidi"/>
          <w:sz w:val="20"/>
          <w:szCs w:val="20"/>
        </w:rPr>
        <w:t xml:space="preserve">; </w:t>
      </w:r>
      <w:r w:rsidRPr="005C7A65">
        <w:rPr>
          <w:rFonts w:asciiTheme="majorBidi" w:hAnsiTheme="majorBidi" w:cstheme="majorBidi"/>
          <w:sz w:val="20"/>
          <w:szCs w:val="20"/>
        </w:rPr>
        <w:t>"</w:t>
      </w:r>
      <w:r>
        <w:rPr>
          <w:rFonts w:asciiTheme="majorBidi" w:hAnsiTheme="majorBidi" w:cstheme="majorBidi"/>
          <w:sz w:val="20"/>
          <w:szCs w:val="20"/>
        </w:rPr>
        <w:t>al-Shaeb al-Filastini'I lam yakun Y</w:t>
      </w:r>
      <w:r w:rsidRPr="007C3D81">
        <w:rPr>
          <w:rFonts w:asciiTheme="majorBidi" w:hAnsiTheme="majorBidi" w:cstheme="majorBidi"/>
          <w:sz w:val="20"/>
          <w:szCs w:val="20"/>
        </w:rPr>
        <w:t>atawaqae hadha al</w:t>
      </w:r>
      <w:r>
        <w:rPr>
          <w:rFonts w:asciiTheme="majorBidi" w:hAnsiTheme="majorBidi" w:cstheme="majorBidi"/>
          <w:sz w:val="20"/>
          <w:szCs w:val="20"/>
        </w:rPr>
        <w:t>-H</w:t>
      </w:r>
      <w:r w:rsidRPr="007C3D81">
        <w:rPr>
          <w:rFonts w:asciiTheme="majorBidi" w:hAnsiTheme="majorBidi" w:cstheme="majorBidi"/>
          <w:sz w:val="20"/>
          <w:szCs w:val="20"/>
        </w:rPr>
        <w:t>ajm min al</w:t>
      </w:r>
      <w:r>
        <w:rPr>
          <w:rFonts w:asciiTheme="majorBidi" w:hAnsiTheme="majorBidi" w:cstheme="majorBidi"/>
          <w:sz w:val="20"/>
          <w:szCs w:val="20"/>
        </w:rPr>
        <w:t>-T</w:t>
      </w:r>
      <w:r w:rsidRPr="007C3D81">
        <w:rPr>
          <w:rFonts w:asciiTheme="majorBidi" w:hAnsiTheme="majorBidi" w:cstheme="majorBidi"/>
          <w:sz w:val="20"/>
          <w:szCs w:val="20"/>
        </w:rPr>
        <w:t xml:space="preserve">anazulat </w:t>
      </w:r>
      <w:r>
        <w:rPr>
          <w:rFonts w:asciiTheme="majorBidi" w:hAnsiTheme="majorBidi" w:cstheme="majorBidi"/>
          <w:sz w:val="20"/>
          <w:szCs w:val="20"/>
        </w:rPr>
        <w:t>(</w:t>
      </w:r>
      <w:r w:rsidRPr="005C7A65">
        <w:rPr>
          <w:rFonts w:asciiTheme="majorBidi" w:hAnsiTheme="majorBidi" w:cstheme="majorBidi"/>
          <w:sz w:val="20"/>
          <w:szCs w:val="20"/>
        </w:rPr>
        <w:t>The Palestinian people did not expect this magnitude of concessions</w:t>
      </w:r>
      <w:r>
        <w:rPr>
          <w:rFonts w:asciiTheme="majorBidi" w:hAnsiTheme="majorBidi" w:cstheme="majorBidi"/>
          <w:sz w:val="20"/>
          <w:szCs w:val="20"/>
        </w:rPr>
        <w:t>)</w:t>
      </w:r>
      <w:r w:rsidRPr="005C7A65">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5C7A65">
        <w:rPr>
          <w:rFonts w:asciiTheme="majorBidi" w:hAnsiTheme="majorBidi" w:cstheme="majorBidi"/>
          <w:sz w:val="20"/>
          <w:szCs w:val="20"/>
        </w:rPr>
        <w:t>, 10.1993, p. 40;</w:t>
      </w:r>
      <w:r>
        <w:rPr>
          <w:rFonts w:asciiTheme="majorBidi" w:hAnsiTheme="majorBidi" w:cstheme="majorBidi"/>
          <w:sz w:val="20"/>
          <w:szCs w:val="20"/>
        </w:rPr>
        <w:t xml:space="preserve"> </w:t>
      </w:r>
      <w:r w:rsidRPr="005C7A65">
        <w:rPr>
          <w:rFonts w:asciiTheme="majorBidi" w:hAnsiTheme="majorBidi" w:cstheme="majorBidi"/>
          <w:sz w:val="20"/>
          <w:szCs w:val="20"/>
        </w:rPr>
        <w:t>"</w:t>
      </w:r>
      <w:r>
        <w:rPr>
          <w:rFonts w:asciiTheme="majorBidi" w:hAnsiTheme="majorBidi" w:cstheme="majorBidi"/>
          <w:sz w:val="20"/>
          <w:szCs w:val="20"/>
        </w:rPr>
        <w:t xml:space="preserve">Hamas fi Bayanuha rakm 103: </w:t>
      </w:r>
      <w:r w:rsidRPr="007C3D81">
        <w:rPr>
          <w:rFonts w:asciiTheme="majorBidi" w:hAnsiTheme="majorBidi" w:cstheme="majorBidi"/>
          <w:sz w:val="20"/>
          <w:szCs w:val="20"/>
        </w:rPr>
        <w:t>fal</w:t>
      </w:r>
      <w:r>
        <w:rPr>
          <w:rFonts w:asciiTheme="majorBidi" w:hAnsiTheme="majorBidi" w:cstheme="majorBidi"/>
          <w:sz w:val="20"/>
          <w:szCs w:val="20"/>
        </w:rPr>
        <w:t>-</w:t>
      </w:r>
      <w:r w:rsidRPr="007C3D81">
        <w:rPr>
          <w:rFonts w:asciiTheme="majorBidi" w:hAnsiTheme="majorBidi" w:cstheme="majorBidi"/>
          <w:sz w:val="20"/>
          <w:szCs w:val="20"/>
        </w:rPr>
        <w:t>tael rayat al</w:t>
      </w:r>
      <w:r>
        <w:rPr>
          <w:rFonts w:asciiTheme="majorBidi" w:hAnsiTheme="majorBidi" w:cstheme="majorBidi"/>
          <w:sz w:val="20"/>
          <w:szCs w:val="20"/>
        </w:rPr>
        <w:t>-J</w:t>
      </w:r>
      <w:r w:rsidRPr="007C3D81">
        <w:rPr>
          <w:rFonts w:asciiTheme="majorBidi" w:hAnsiTheme="majorBidi" w:cstheme="majorBidi"/>
          <w:sz w:val="20"/>
          <w:szCs w:val="20"/>
        </w:rPr>
        <w:t>ihad wa</w:t>
      </w:r>
      <w:r>
        <w:rPr>
          <w:rFonts w:asciiTheme="majorBidi" w:hAnsiTheme="majorBidi" w:cstheme="majorBidi"/>
          <w:sz w:val="20"/>
          <w:szCs w:val="20"/>
        </w:rPr>
        <w:t>-</w:t>
      </w:r>
      <w:r w:rsidRPr="007C3D81">
        <w:rPr>
          <w:rFonts w:asciiTheme="majorBidi" w:hAnsiTheme="majorBidi" w:cstheme="majorBidi"/>
          <w:sz w:val="20"/>
          <w:szCs w:val="20"/>
        </w:rPr>
        <w:t>litasqit rayat al</w:t>
      </w:r>
      <w:r>
        <w:rPr>
          <w:rFonts w:asciiTheme="majorBidi" w:hAnsiTheme="majorBidi" w:cstheme="majorBidi"/>
          <w:sz w:val="20"/>
          <w:szCs w:val="20"/>
        </w:rPr>
        <w:t>-D</w:t>
      </w:r>
      <w:r w:rsidRPr="007C3D81">
        <w:rPr>
          <w:rFonts w:asciiTheme="majorBidi" w:hAnsiTheme="majorBidi" w:cstheme="majorBidi"/>
          <w:sz w:val="20"/>
          <w:szCs w:val="20"/>
        </w:rPr>
        <w:t>huli wa</w:t>
      </w:r>
      <w:r>
        <w:rPr>
          <w:rFonts w:asciiTheme="majorBidi" w:hAnsiTheme="majorBidi" w:cstheme="majorBidi"/>
          <w:sz w:val="20"/>
          <w:szCs w:val="20"/>
        </w:rPr>
        <w:t>-a</w:t>
      </w:r>
      <w:r w:rsidRPr="007C3D81">
        <w:rPr>
          <w:rFonts w:asciiTheme="majorBidi" w:hAnsiTheme="majorBidi" w:cstheme="majorBidi"/>
          <w:sz w:val="20"/>
          <w:szCs w:val="20"/>
        </w:rPr>
        <w:t>l</w:t>
      </w:r>
      <w:r>
        <w:rPr>
          <w:rFonts w:asciiTheme="majorBidi" w:hAnsiTheme="majorBidi" w:cstheme="majorBidi"/>
          <w:sz w:val="20"/>
          <w:szCs w:val="20"/>
        </w:rPr>
        <w:t>-</w:t>
      </w:r>
      <w:r w:rsidRPr="007C3D81">
        <w:rPr>
          <w:rFonts w:asciiTheme="majorBidi" w:hAnsiTheme="majorBidi" w:cstheme="majorBidi"/>
          <w:sz w:val="20"/>
          <w:szCs w:val="20"/>
        </w:rPr>
        <w:t xml:space="preserve">ear </w:t>
      </w:r>
      <w:r>
        <w:rPr>
          <w:rFonts w:asciiTheme="majorBidi" w:hAnsiTheme="majorBidi" w:cstheme="majorBidi"/>
          <w:sz w:val="20"/>
          <w:szCs w:val="20"/>
        </w:rPr>
        <w:t>(</w:t>
      </w:r>
      <w:r w:rsidRPr="005C7A65">
        <w:rPr>
          <w:rFonts w:asciiTheme="majorBidi" w:hAnsiTheme="majorBidi" w:cstheme="majorBidi"/>
          <w:sz w:val="20"/>
          <w:szCs w:val="20"/>
        </w:rPr>
        <w:t xml:space="preserve">Hamas in its statement no. 103: Let the banner of </w:t>
      </w:r>
      <w:r>
        <w:rPr>
          <w:rFonts w:asciiTheme="majorBidi" w:hAnsiTheme="majorBidi" w:cstheme="majorBidi"/>
          <w:sz w:val="20"/>
          <w:szCs w:val="20"/>
        </w:rPr>
        <w:t>J</w:t>
      </w:r>
      <w:r w:rsidRPr="005C7A65">
        <w:rPr>
          <w:rFonts w:asciiTheme="majorBidi" w:hAnsiTheme="majorBidi" w:cstheme="majorBidi"/>
          <w:sz w:val="20"/>
          <w:szCs w:val="20"/>
        </w:rPr>
        <w:t>ihad be raised and the banner of humiliation and disgrace fall</w:t>
      </w:r>
      <w:r>
        <w:rPr>
          <w:rFonts w:asciiTheme="majorBidi" w:hAnsiTheme="majorBidi" w:cstheme="majorBidi"/>
          <w:sz w:val="20"/>
          <w:szCs w:val="20"/>
        </w:rPr>
        <w:t>)</w:t>
      </w:r>
      <w:r w:rsidRPr="005C7A65">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5C7A65">
        <w:rPr>
          <w:rFonts w:asciiTheme="majorBidi" w:hAnsiTheme="majorBidi" w:cstheme="majorBidi"/>
          <w:sz w:val="20"/>
          <w:szCs w:val="20"/>
        </w:rPr>
        <w:t>, 11.1993, p. 7;</w:t>
      </w:r>
      <w:r>
        <w:rPr>
          <w:rFonts w:asciiTheme="majorBidi" w:hAnsiTheme="majorBidi" w:cstheme="majorBidi"/>
          <w:sz w:val="20"/>
          <w:szCs w:val="20"/>
        </w:rPr>
        <w:t xml:space="preserve"> </w:t>
      </w:r>
      <w:r w:rsidRPr="005C7A65">
        <w:rPr>
          <w:rFonts w:asciiTheme="majorBidi" w:hAnsiTheme="majorBidi" w:cstheme="majorBidi"/>
          <w:sz w:val="20"/>
          <w:szCs w:val="20"/>
        </w:rPr>
        <w:t>"</w:t>
      </w:r>
      <w:r w:rsidRPr="00D9039C">
        <w:rPr>
          <w:rFonts w:asciiTheme="majorBidi" w:hAnsiTheme="majorBidi" w:cstheme="majorBidi"/>
          <w:sz w:val="20"/>
          <w:szCs w:val="20"/>
        </w:rPr>
        <w:t>al</w:t>
      </w:r>
      <w:r>
        <w:rPr>
          <w:rFonts w:asciiTheme="majorBidi" w:hAnsiTheme="majorBidi" w:cstheme="majorBidi"/>
          <w:sz w:val="20"/>
          <w:szCs w:val="20"/>
        </w:rPr>
        <w:t>-A</w:t>
      </w:r>
      <w:r w:rsidRPr="00D9039C">
        <w:rPr>
          <w:rFonts w:asciiTheme="majorBidi" w:hAnsiTheme="majorBidi" w:cstheme="majorBidi"/>
          <w:sz w:val="20"/>
          <w:szCs w:val="20"/>
        </w:rPr>
        <w:t xml:space="preserve">itifaq yaqum ealaa wueud shafawiat wafashalat mas'alat waqt faqat </w:t>
      </w:r>
      <w:r>
        <w:rPr>
          <w:rFonts w:asciiTheme="majorBidi" w:hAnsiTheme="majorBidi" w:cstheme="majorBidi"/>
          <w:sz w:val="20"/>
          <w:szCs w:val="20"/>
        </w:rPr>
        <w:t>(</w:t>
      </w:r>
      <w:r w:rsidRPr="005C7A65">
        <w:rPr>
          <w:rFonts w:asciiTheme="majorBidi" w:hAnsiTheme="majorBidi" w:cstheme="majorBidi"/>
          <w:sz w:val="20"/>
          <w:szCs w:val="20"/>
        </w:rPr>
        <w:t>The agreement is based on verbal promises and its failure is only a matter of time</w:t>
      </w:r>
      <w:r>
        <w:rPr>
          <w:rFonts w:asciiTheme="majorBidi" w:hAnsiTheme="majorBidi" w:cstheme="majorBidi"/>
          <w:sz w:val="20"/>
          <w:szCs w:val="20"/>
        </w:rPr>
        <w:t>)</w:t>
      </w:r>
      <w:r w:rsidRPr="005C7A65">
        <w:rPr>
          <w:rFonts w:asciiTheme="majorBidi" w:hAnsiTheme="majorBidi" w:cstheme="majorBidi"/>
          <w:sz w:val="20"/>
          <w:szCs w:val="20"/>
        </w:rPr>
        <w:t xml:space="preserve">", </w:t>
      </w:r>
      <w:r w:rsidRPr="006A496D">
        <w:rPr>
          <w:rFonts w:asciiTheme="majorBidi" w:hAnsiTheme="majorBidi" w:cstheme="majorBidi"/>
          <w:i/>
          <w:iCs/>
          <w:sz w:val="20"/>
          <w:szCs w:val="20"/>
        </w:rPr>
        <w:t>Filastin al-Muslima</w:t>
      </w:r>
      <w:r w:rsidRPr="005C7A65">
        <w:rPr>
          <w:rFonts w:asciiTheme="majorBidi" w:hAnsiTheme="majorBidi" w:cstheme="majorBidi"/>
          <w:sz w:val="20"/>
          <w:szCs w:val="20"/>
        </w:rPr>
        <w:t>, 11.1993, pp. 11-12</w:t>
      </w:r>
      <w:r>
        <w:rPr>
          <w:rFonts w:asciiTheme="majorBidi" w:hAnsiTheme="majorBidi" w:cstheme="majorBidi"/>
          <w:sz w:val="20"/>
          <w:szCs w:val="20"/>
        </w:rPr>
        <w:t>.</w:t>
      </w:r>
    </w:p>
  </w:footnote>
  <w:footnote w:id="75">
    <w:p w14:paraId="2164F049" w14:textId="6744AA9B" w:rsidR="00682A8B" w:rsidRPr="00682A8B" w:rsidRDefault="00682A8B" w:rsidP="00682A8B">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C95C5E">
        <w:rPr>
          <w:rFonts w:asciiTheme="majorBidi" w:hAnsiTheme="majorBidi" w:cstheme="majorBidi"/>
          <w:sz w:val="20"/>
          <w:szCs w:val="20"/>
        </w:rPr>
        <w:t xml:space="preserve">Hroub, </w:t>
      </w:r>
      <w:r w:rsidRPr="00682A8B">
        <w:rPr>
          <w:rFonts w:asciiTheme="majorBidi" w:hAnsiTheme="majorBidi" w:cstheme="majorBidi"/>
          <w:i/>
          <w:iCs/>
          <w:sz w:val="20"/>
          <w:szCs w:val="20"/>
        </w:rPr>
        <w:t>Hamas: Political Thought and Practice</w:t>
      </w:r>
      <w:r w:rsidRPr="00C95C5E">
        <w:rPr>
          <w:rFonts w:asciiTheme="majorBidi" w:hAnsiTheme="majorBidi" w:cstheme="majorBidi"/>
          <w:sz w:val="20"/>
          <w:szCs w:val="20"/>
        </w:rPr>
        <w:t>, pp. 62.</w:t>
      </w:r>
    </w:p>
  </w:footnote>
  <w:footnote w:id="76">
    <w:p w14:paraId="5C0BAC38" w14:textId="696F427E" w:rsidR="00EC37D4" w:rsidRPr="00EC37D4" w:rsidRDefault="00EC37D4" w:rsidP="00EC37D4">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C95C5E">
        <w:rPr>
          <w:rFonts w:asciiTheme="majorBidi" w:hAnsiTheme="majorBidi" w:cstheme="majorBidi"/>
          <w:sz w:val="20"/>
          <w:szCs w:val="20"/>
        </w:rPr>
        <w:t xml:space="preserve">Hroub, Hamas: </w:t>
      </w:r>
      <w:r w:rsidRPr="00D9173F">
        <w:rPr>
          <w:rFonts w:asciiTheme="majorBidi" w:hAnsiTheme="majorBidi" w:cstheme="majorBidi"/>
          <w:i/>
          <w:iCs/>
          <w:sz w:val="20"/>
          <w:szCs w:val="20"/>
        </w:rPr>
        <w:t>Political Thought and Practice</w:t>
      </w:r>
      <w:r w:rsidRPr="00C95C5E">
        <w:rPr>
          <w:rFonts w:asciiTheme="majorBidi" w:hAnsiTheme="majorBidi" w:cstheme="majorBidi"/>
          <w:sz w:val="20"/>
          <w:szCs w:val="20"/>
        </w:rPr>
        <w:t xml:space="preserve">, pp.61-68; Mishal and Sela, </w:t>
      </w:r>
      <w:r w:rsidRPr="00D9173F">
        <w:rPr>
          <w:rFonts w:asciiTheme="majorBidi" w:hAnsiTheme="majorBidi" w:cstheme="majorBidi"/>
          <w:i/>
          <w:iCs/>
          <w:sz w:val="20"/>
          <w:szCs w:val="20"/>
        </w:rPr>
        <w:t>The Palestinian Hamas</w:t>
      </w:r>
      <w:r w:rsidRPr="00C95C5E">
        <w:rPr>
          <w:rFonts w:asciiTheme="majorBidi" w:hAnsiTheme="majorBidi" w:cstheme="majorBidi"/>
          <w:sz w:val="20"/>
          <w:szCs w:val="20"/>
        </w:rPr>
        <w:t xml:space="preserve">, pp. 5-19, 101-106; Nusse, </w:t>
      </w:r>
      <w:r w:rsidRPr="00D9173F">
        <w:rPr>
          <w:rFonts w:asciiTheme="majorBidi" w:hAnsiTheme="majorBidi" w:cstheme="majorBidi"/>
          <w:i/>
          <w:iCs/>
          <w:sz w:val="20"/>
          <w:szCs w:val="20"/>
        </w:rPr>
        <w:t>Muslim Palestine</w:t>
      </w:r>
      <w:r w:rsidRPr="00C95C5E">
        <w:rPr>
          <w:rFonts w:asciiTheme="majorBidi" w:hAnsiTheme="majorBidi" w:cstheme="majorBidi"/>
          <w:sz w:val="20"/>
          <w:szCs w:val="20"/>
        </w:rPr>
        <w:t xml:space="preserve">, pp. 109-117; Usher, </w:t>
      </w:r>
      <w:r w:rsidRPr="00D9173F">
        <w:rPr>
          <w:rFonts w:asciiTheme="majorBidi" w:hAnsiTheme="majorBidi" w:cstheme="majorBidi"/>
          <w:i/>
          <w:iCs/>
          <w:sz w:val="20"/>
          <w:szCs w:val="20"/>
        </w:rPr>
        <w:t>Dispatches from Palestine</w:t>
      </w:r>
      <w:r w:rsidRPr="00C95C5E">
        <w:rPr>
          <w:rFonts w:asciiTheme="majorBidi" w:hAnsiTheme="majorBidi" w:cstheme="majorBidi"/>
          <w:sz w:val="20"/>
          <w:szCs w:val="20"/>
        </w:rPr>
        <w:t>, pp. 18-34, 166-169; Al-Jarbawi, "The Position of Palestinian Islamists on the Palestine-Israel Accords", pp. 127-154</w:t>
      </w:r>
      <w:r>
        <w:rPr>
          <w:rFonts w:asciiTheme="majorBidi" w:hAnsiTheme="majorBidi" w:cstheme="majorBidi"/>
          <w:sz w:val="20"/>
          <w:szCs w:val="20"/>
        </w:rPr>
        <w:t xml:space="preserve">; </w:t>
      </w:r>
      <w:r w:rsidRPr="00B94089">
        <w:rPr>
          <w:rFonts w:asciiTheme="majorBidi" w:hAnsiTheme="majorBidi" w:cstheme="majorBidi"/>
          <w:sz w:val="20"/>
          <w:szCs w:val="20"/>
        </w:rPr>
        <w:t>"</w:t>
      </w:r>
      <w:r>
        <w:rPr>
          <w:rFonts w:asciiTheme="majorBidi" w:hAnsiTheme="majorBidi" w:cstheme="majorBidi"/>
          <w:sz w:val="20"/>
          <w:szCs w:val="20"/>
        </w:rPr>
        <w:t>Bayan Mu'atamar al-suchufi li-Hamas (</w:t>
      </w:r>
      <w:r w:rsidRPr="00B94089">
        <w:rPr>
          <w:rFonts w:asciiTheme="majorBidi" w:hAnsiTheme="majorBidi" w:cstheme="majorBidi"/>
          <w:sz w:val="20"/>
          <w:szCs w:val="20"/>
        </w:rPr>
        <w:t>Statement of the press conference of Hamas</w:t>
      </w:r>
      <w:r>
        <w:rPr>
          <w:rFonts w:asciiTheme="majorBidi" w:hAnsiTheme="majorBidi" w:cstheme="majorBidi"/>
          <w:sz w:val="20"/>
          <w:szCs w:val="20"/>
        </w:rPr>
        <w:t>)</w:t>
      </w:r>
      <w:r w:rsidRPr="00B94089">
        <w:rPr>
          <w:rFonts w:asciiTheme="majorBidi" w:hAnsiTheme="majorBidi" w:cstheme="majorBidi"/>
          <w:sz w:val="20"/>
          <w:szCs w:val="20"/>
        </w:rPr>
        <w:t xml:space="preserve">", </w:t>
      </w:r>
      <w:r w:rsidRPr="00932C60">
        <w:rPr>
          <w:rFonts w:asciiTheme="majorBidi" w:hAnsiTheme="majorBidi" w:cstheme="majorBidi"/>
          <w:i/>
          <w:iCs/>
          <w:sz w:val="20"/>
          <w:szCs w:val="20"/>
        </w:rPr>
        <w:t>Filastin al-Muslima</w:t>
      </w:r>
      <w:r w:rsidRPr="00B94089">
        <w:rPr>
          <w:rFonts w:asciiTheme="majorBidi" w:hAnsiTheme="majorBidi" w:cstheme="majorBidi"/>
          <w:sz w:val="20"/>
          <w:szCs w:val="20"/>
        </w:rPr>
        <w:t>, 10.1993, p. 29</w:t>
      </w:r>
      <w:r>
        <w:rPr>
          <w:rFonts w:asciiTheme="majorBidi" w:hAnsiTheme="majorBidi" w:cstheme="majorBidi"/>
          <w:sz w:val="20"/>
          <w:szCs w:val="20"/>
        </w:rPr>
        <w:t xml:space="preserve">; "al-Mukawama Tatawakaf Iidha Aintahaa al-Aichtilal (The </w:t>
      </w:r>
      <w:r w:rsidRPr="00C95C5E">
        <w:rPr>
          <w:rFonts w:asciiTheme="majorBidi" w:hAnsiTheme="majorBidi" w:cstheme="majorBidi"/>
          <w:sz w:val="20"/>
          <w:szCs w:val="20"/>
        </w:rPr>
        <w:t>Resistance</w:t>
      </w:r>
      <w:r>
        <w:rPr>
          <w:rFonts w:asciiTheme="majorBidi" w:hAnsiTheme="majorBidi" w:cstheme="majorBidi"/>
          <w:sz w:val="20"/>
          <w:szCs w:val="20"/>
        </w:rPr>
        <w:t xml:space="preserve"> will</w:t>
      </w:r>
      <w:r w:rsidRPr="00C95C5E">
        <w:rPr>
          <w:rFonts w:asciiTheme="majorBidi" w:hAnsiTheme="majorBidi" w:cstheme="majorBidi"/>
          <w:sz w:val="20"/>
          <w:szCs w:val="20"/>
        </w:rPr>
        <w:t xml:space="preserve"> stops if the occupation ends</w:t>
      </w:r>
      <w:r>
        <w:rPr>
          <w:rFonts w:asciiTheme="majorBidi" w:hAnsiTheme="majorBidi" w:cstheme="majorBidi"/>
          <w:sz w:val="20"/>
          <w:szCs w:val="20"/>
        </w:rPr>
        <w:t>)"</w:t>
      </w:r>
      <w:r w:rsidRPr="00C95C5E">
        <w:rPr>
          <w:rFonts w:asciiTheme="majorBidi" w:hAnsiTheme="majorBidi" w:cstheme="majorBidi"/>
          <w:sz w:val="20"/>
          <w:szCs w:val="20"/>
        </w:rPr>
        <w:t>, Al-Sabeel, Issue 201, Tuesday, October 7-13 1997, p</w:t>
      </w:r>
      <w:r>
        <w:rPr>
          <w:rFonts w:asciiTheme="majorBidi" w:hAnsiTheme="majorBidi" w:cstheme="majorBidi"/>
          <w:sz w:val="20"/>
          <w:szCs w:val="20"/>
        </w:rPr>
        <w:t xml:space="preserve">. </w:t>
      </w:r>
      <w:r w:rsidRPr="00C95C5E">
        <w:rPr>
          <w:rFonts w:asciiTheme="majorBidi" w:hAnsiTheme="majorBidi" w:cstheme="majorBidi"/>
          <w:sz w:val="20"/>
          <w:szCs w:val="20"/>
        </w:rPr>
        <w:t xml:space="preserve">1, </w:t>
      </w:r>
      <w:hyperlink r:id="rId9" w:history="1">
        <w:r w:rsidRPr="00A645C6">
          <w:rPr>
            <w:rStyle w:val="Hyperlink"/>
            <w:rFonts w:asciiTheme="majorBidi" w:hAnsiTheme="majorBidi" w:cstheme="majorBidi"/>
            <w:sz w:val="20"/>
            <w:szCs w:val="20"/>
          </w:rPr>
          <w:t>https://ahmadyaseen.net/show-item?id=80</w:t>
        </w:r>
      </w:hyperlink>
      <w:r>
        <w:rPr>
          <w:rFonts w:asciiTheme="majorBidi" w:hAnsiTheme="majorBidi" w:cstheme="majorBidi"/>
          <w:sz w:val="20"/>
          <w:szCs w:val="20"/>
        </w:rPr>
        <w:t>.</w:t>
      </w:r>
    </w:p>
  </w:footnote>
  <w:footnote w:id="77">
    <w:p w14:paraId="0B2325B8" w14:textId="24947711" w:rsidR="00EC37D4" w:rsidRDefault="00EC37D4" w:rsidP="00EC37D4">
      <w:pPr>
        <w:pStyle w:val="FootnoteText"/>
        <w:bidi w:val="0"/>
      </w:pPr>
      <w:r>
        <w:rPr>
          <w:rStyle w:val="FootnoteReference"/>
        </w:rPr>
        <w:footnoteRef/>
      </w:r>
      <w:r>
        <w:rPr>
          <w:rtl/>
        </w:rPr>
        <w:t xml:space="preserve"> </w:t>
      </w:r>
      <w:r w:rsidRPr="00C95C5E">
        <w:rPr>
          <w:rFonts w:asciiTheme="majorBidi" w:hAnsiTheme="majorBidi" w:cstheme="majorBidi"/>
        </w:rPr>
        <w:t>Løvlie, "Explaining Hamas's Changing Electoral Strategy, 1996–2006", pp. 570–593.</w:t>
      </w:r>
    </w:p>
  </w:footnote>
  <w:footnote w:id="78">
    <w:p w14:paraId="06A01279" w14:textId="33557234" w:rsidR="00EC37D4" w:rsidRDefault="00EC37D4" w:rsidP="00EC37D4">
      <w:pPr>
        <w:pStyle w:val="FootnoteText"/>
        <w:bidi w:val="0"/>
        <w:jc w:val="both"/>
      </w:pPr>
      <w:r>
        <w:rPr>
          <w:rStyle w:val="FootnoteReference"/>
        </w:rPr>
        <w:footnoteRef/>
      </w:r>
      <w:r>
        <w:rPr>
          <w:rtl/>
        </w:rPr>
        <w:t xml:space="preserve"> </w:t>
      </w:r>
      <w:r w:rsidRPr="00C95C5E">
        <w:rPr>
          <w:rFonts w:asciiTheme="majorBidi" w:hAnsiTheme="majorBidi" w:cstheme="majorBidi"/>
        </w:rPr>
        <w:t>Hroub, Hamas: Political Thought and Practice, pp. 216-220; Mishal and Sela, The Palestinian Hamas, pp. 138-142; Nusse, Muslim Palestine, pp. 109-117; Usher, Dispatches from Palestine, pp. 18-34, 166-169; Baconi, "The demise of Oslo and Hamas's political engagement", pp. 503-520; Hroub, "Hamas and Oslo", pp. 80-85.</w:t>
      </w:r>
    </w:p>
  </w:footnote>
  <w:footnote w:id="79">
    <w:p w14:paraId="7173B27A" w14:textId="2ED684E7" w:rsidR="00D865EB" w:rsidRDefault="00D865EB" w:rsidP="00D865EB">
      <w:pPr>
        <w:pStyle w:val="FootnoteText"/>
        <w:bidi w:val="0"/>
      </w:pPr>
      <w:r>
        <w:rPr>
          <w:rStyle w:val="FootnoteReference"/>
        </w:rPr>
        <w:footnoteRef/>
      </w:r>
      <w:r>
        <w:rPr>
          <w:rtl/>
        </w:rPr>
        <w:t xml:space="preserve"> </w:t>
      </w:r>
      <w:r>
        <w:rPr>
          <w:rFonts w:asciiTheme="majorBidi" w:hAnsiTheme="majorBidi" w:cstheme="majorBidi"/>
        </w:rPr>
        <w:t xml:space="preserve">"al-Mukawama Tatawakaf Iidha Aintahaa al-Aichtilal (The </w:t>
      </w:r>
      <w:r w:rsidRPr="00C95C5E">
        <w:rPr>
          <w:rFonts w:asciiTheme="majorBidi" w:hAnsiTheme="majorBidi" w:cstheme="majorBidi"/>
        </w:rPr>
        <w:t>Resistance</w:t>
      </w:r>
      <w:r>
        <w:rPr>
          <w:rFonts w:asciiTheme="majorBidi" w:hAnsiTheme="majorBidi" w:cstheme="majorBidi"/>
        </w:rPr>
        <w:t xml:space="preserve"> will</w:t>
      </w:r>
      <w:r w:rsidRPr="00C95C5E">
        <w:rPr>
          <w:rFonts w:asciiTheme="majorBidi" w:hAnsiTheme="majorBidi" w:cstheme="majorBidi"/>
        </w:rPr>
        <w:t xml:space="preserve"> </w:t>
      </w:r>
      <w:proofErr w:type="gramStart"/>
      <w:r w:rsidRPr="00C95C5E">
        <w:rPr>
          <w:rFonts w:asciiTheme="majorBidi" w:hAnsiTheme="majorBidi" w:cstheme="majorBidi"/>
        </w:rPr>
        <w:t>stops</w:t>
      </w:r>
      <w:proofErr w:type="gramEnd"/>
      <w:r w:rsidRPr="00C95C5E">
        <w:rPr>
          <w:rFonts w:asciiTheme="majorBidi" w:hAnsiTheme="majorBidi" w:cstheme="majorBidi"/>
        </w:rPr>
        <w:t xml:space="preserve"> if the occupation ends</w:t>
      </w:r>
      <w:r>
        <w:rPr>
          <w:rFonts w:asciiTheme="majorBidi" w:hAnsiTheme="majorBidi" w:cstheme="majorBidi"/>
        </w:rPr>
        <w:t>)"</w:t>
      </w:r>
      <w:r w:rsidRPr="00C95C5E">
        <w:rPr>
          <w:rFonts w:asciiTheme="majorBidi" w:hAnsiTheme="majorBidi" w:cstheme="majorBidi"/>
        </w:rPr>
        <w:t>, Al-Sabeel, Issue 201, Tuesday, October 7-13 1997, p</w:t>
      </w:r>
      <w:r>
        <w:rPr>
          <w:rFonts w:asciiTheme="majorBidi" w:hAnsiTheme="majorBidi" w:cstheme="majorBidi"/>
        </w:rPr>
        <w:t xml:space="preserve">. </w:t>
      </w:r>
      <w:r w:rsidRPr="00C95C5E">
        <w:rPr>
          <w:rFonts w:asciiTheme="majorBidi" w:hAnsiTheme="majorBidi" w:cstheme="majorBidi"/>
        </w:rPr>
        <w:t xml:space="preserve">1, </w:t>
      </w:r>
      <w:hyperlink r:id="rId10" w:history="1">
        <w:r w:rsidRPr="00A645C6">
          <w:rPr>
            <w:rStyle w:val="Hyperlink"/>
            <w:rFonts w:asciiTheme="majorBidi" w:hAnsiTheme="majorBidi" w:cstheme="majorBidi"/>
          </w:rPr>
          <w:t>https://ahmadyaseen.net/show-item?id=80</w:t>
        </w:r>
      </w:hyperlink>
      <w:r>
        <w:rPr>
          <w:rFonts w:asciiTheme="majorBidi" w:hAnsiTheme="majorBidi" w:cstheme="majorBidi"/>
        </w:rPr>
        <w:t>.</w:t>
      </w:r>
    </w:p>
  </w:footnote>
  <w:footnote w:id="80">
    <w:p w14:paraId="62023A47" w14:textId="77777777" w:rsidR="009A3027" w:rsidRDefault="009A3027" w:rsidP="009A3027">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F075DD">
        <w:rPr>
          <w:rFonts w:asciiTheme="majorBidi" w:hAnsiTheme="majorBidi" w:cstheme="majorBidi"/>
          <w:sz w:val="20"/>
          <w:szCs w:val="20"/>
        </w:rPr>
        <w:t xml:space="preserve">Al-Falouji, </w:t>
      </w:r>
      <w:r w:rsidRPr="00DD20AB">
        <w:rPr>
          <w:rFonts w:asciiTheme="majorBidi" w:hAnsiTheme="majorBidi" w:cstheme="majorBidi"/>
          <w:i/>
          <w:iCs/>
          <w:sz w:val="20"/>
          <w:szCs w:val="20"/>
        </w:rPr>
        <w:t>Darb al-Ashwak (Path of Thorns)</w:t>
      </w:r>
      <w:r w:rsidRPr="00F075DD">
        <w:rPr>
          <w:rFonts w:asciiTheme="majorBidi" w:hAnsiTheme="majorBidi" w:cstheme="majorBidi"/>
          <w:sz w:val="20"/>
          <w:szCs w:val="20"/>
        </w:rPr>
        <w:t>, pp. 28-32, 47-52, 83-86, 190-197, 205-207; Al-Falouji, "</w:t>
      </w:r>
      <w:r>
        <w:rPr>
          <w:rFonts w:asciiTheme="majorBidi" w:hAnsiTheme="majorBidi" w:cstheme="majorBidi"/>
          <w:sz w:val="20"/>
          <w:szCs w:val="20"/>
        </w:rPr>
        <w:t>Al-Tarik al-Awchad li-l-Chal ma'a Isra'ail (</w:t>
      </w:r>
      <w:r w:rsidRPr="00F075DD">
        <w:rPr>
          <w:rFonts w:asciiTheme="majorBidi" w:hAnsiTheme="majorBidi" w:cstheme="majorBidi"/>
          <w:sz w:val="20"/>
          <w:szCs w:val="20"/>
        </w:rPr>
        <w:t>The Only Way for a Solution with Israel</w:t>
      </w:r>
      <w:r>
        <w:rPr>
          <w:rFonts w:asciiTheme="majorBidi" w:hAnsiTheme="majorBidi" w:cstheme="majorBidi"/>
          <w:sz w:val="20"/>
          <w:szCs w:val="20"/>
        </w:rPr>
        <w:t>)</w:t>
      </w:r>
      <w:r w:rsidRPr="00F075DD">
        <w:rPr>
          <w:rFonts w:asciiTheme="majorBidi" w:hAnsiTheme="majorBidi" w:cstheme="majorBidi"/>
          <w:sz w:val="20"/>
          <w:szCs w:val="20"/>
        </w:rPr>
        <w:t xml:space="preserve">", </w:t>
      </w:r>
      <w:r w:rsidRPr="00DD20AB">
        <w:rPr>
          <w:rFonts w:asciiTheme="majorBidi" w:hAnsiTheme="majorBidi" w:cstheme="majorBidi"/>
          <w:i/>
          <w:iCs/>
          <w:sz w:val="20"/>
          <w:szCs w:val="20"/>
        </w:rPr>
        <w:t>Imad Falouji's Website</w:t>
      </w:r>
      <w:r w:rsidRPr="00F075DD">
        <w:rPr>
          <w:rFonts w:asciiTheme="majorBidi" w:hAnsiTheme="majorBidi" w:cstheme="majorBidi"/>
          <w:sz w:val="20"/>
          <w:szCs w:val="20"/>
        </w:rPr>
        <w:t xml:space="preserve">, 10.3.2010, </w:t>
      </w:r>
      <w:hyperlink r:id="rId11" w:history="1">
        <w:r w:rsidRPr="00A645C6">
          <w:rPr>
            <w:rStyle w:val="Hyperlink"/>
            <w:rFonts w:asciiTheme="majorBidi" w:hAnsiTheme="majorBidi" w:cstheme="majorBidi"/>
            <w:sz w:val="20"/>
            <w:szCs w:val="20"/>
          </w:rPr>
          <w:t>http://www.imadfalouji.ps/post/523</w:t>
        </w:r>
      </w:hyperlink>
      <w:r>
        <w:rPr>
          <w:rFonts w:asciiTheme="majorBidi" w:hAnsiTheme="majorBidi" w:cstheme="majorBidi"/>
          <w:sz w:val="20"/>
          <w:szCs w:val="20"/>
        </w:rPr>
        <w:t xml:space="preserve"> </w:t>
      </w:r>
      <w:r w:rsidRPr="00F075DD">
        <w:rPr>
          <w:rFonts w:asciiTheme="majorBidi" w:hAnsiTheme="majorBidi" w:cstheme="majorBidi"/>
          <w:sz w:val="20"/>
          <w:szCs w:val="20"/>
        </w:rPr>
        <w:t>Al-Falouji,</w:t>
      </w:r>
      <w:r>
        <w:rPr>
          <w:rFonts w:asciiTheme="majorBidi" w:hAnsiTheme="majorBidi" w:cstheme="majorBidi"/>
          <w:sz w:val="20"/>
          <w:szCs w:val="20"/>
        </w:rPr>
        <w:t xml:space="preserve"> "al-Sirat al-Dha'atia (Biography)",</w:t>
      </w:r>
      <w:r w:rsidRPr="00DD20AB">
        <w:rPr>
          <w:rFonts w:asciiTheme="majorBidi" w:hAnsiTheme="majorBidi" w:cstheme="majorBidi"/>
          <w:i/>
          <w:iCs/>
          <w:sz w:val="20"/>
          <w:szCs w:val="20"/>
        </w:rPr>
        <w:t xml:space="preserve"> Imad Falouji's Website</w:t>
      </w:r>
      <w:r>
        <w:rPr>
          <w:rFonts w:asciiTheme="majorBidi" w:hAnsiTheme="majorBidi" w:cstheme="majorBidi"/>
          <w:sz w:val="20"/>
          <w:szCs w:val="20"/>
        </w:rPr>
        <w:t>,</w:t>
      </w:r>
      <w:r w:rsidRPr="00F075DD">
        <w:rPr>
          <w:rFonts w:asciiTheme="majorBidi" w:hAnsiTheme="majorBidi" w:cstheme="majorBidi"/>
          <w:sz w:val="20"/>
          <w:szCs w:val="20"/>
        </w:rPr>
        <w:t xml:space="preserve"> </w:t>
      </w:r>
      <w:hyperlink r:id="rId12" w:history="1">
        <w:r w:rsidRPr="00A645C6">
          <w:rPr>
            <w:rStyle w:val="Hyperlink"/>
            <w:rFonts w:asciiTheme="majorBidi" w:hAnsiTheme="majorBidi" w:cstheme="majorBidi"/>
            <w:sz w:val="20"/>
            <w:szCs w:val="20"/>
          </w:rPr>
          <w:t>http://www.imadfalouji.ps/main/curriculum_vitae</w:t>
        </w:r>
      </w:hyperlink>
      <w:r>
        <w:rPr>
          <w:rFonts w:asciiTheme="majorBidi" w:hAnsiTheme="majorBidi" w:cstheme="majorBidi"/>
          <w:sz w:val="20"/>
          <w:szCs w:val="20"/>
        </w:rPr>
        <w:t xml:space="preserve">; </w:t>
      </w:r>
      <w:r w:rsidRPr="00F075DD">
        <w:rPr>
          <w:rFonts w:asciiTheme="majorBidi" w:hAnsiTheme="majorBidi" w:cstheme="majorBidi"/>
          <w:sz w:val="20"/>
          <w:szCs w:val="20"/>
        </w:rPr>
        <w:t>Tapper, "Hamas Pacifists and Settler Islamophiles", pp. 56-58,</w:t>
      </w:r>
    </w:p>
    <w:p w14:paraId="47BA7C34" w14:textId="7AD83649" w:rsidR="009A3027" w:rsidRPr="009A3027" w:rsidRDefault="00000000" w:rsidP="009A3027">
      <w:pPr>
        <w:bidi w:val="0"/>
        <w:spacing w:after="0" w:line="240" w:lineRule="auto"/>
        <w:jc w:val="both"/>
        <w:rPr>
          <w:rFonts w:asciiTheme="majorBidi" w:hAnsiTheme="majorBidi" w:cstheme="majorBidi"/>
          <w:sz w:val="20"/>
          <w:szCs w:val="20"/>
        </w:rPr>
      </w:pPr>
      <w:hyperlink r:id="rId13" w:history="1">
        <w:r w:rsidR="009A3027" w:rsidRPr="00A645C6">
          <w:rPr>
            <w:rStyle w:val="Hyperlink"/>
            <w:rFonts w:asciiTheme="majorBidi" w:hAnsiTheme="majorBidi" w:cstheme="majorBidi"/>
            <w:sz w:val="20"/>
            <w:szCs w:val="20"/>
          </w:rPr>
          <w:t>https://www.proquest.com/docview/212315174?accountid=14483&amp;forcedol=true</w:t>
        </w:r>
      </w:hyperlink>
      <w:r w:rsidR="009A3027">
        <w:rPr>
          <w:rFonts w:asciiTheme="majorBidi" w:hAnsiTheme="majorBidi" w:cstheme="majorBidi"/>
          <w:sz w:val="20"/>
          <w:szCs w:val="20"/>
        </w:rPr>
        <w:t>.</w:t>
      </w:r>
    </w:p>
  </w:footnote>
  <w:footnote w:id="81">
    <w:p w14:paraId="51D38DFC" w14:textId="5ACB4C8D" w:rsidR="00DE3234" w:rsidRPr="00DE3234" w:rsidRDefault="00DE3234" w:rsidP="00B53581">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F075DD">
        <w:rPr>
          <w:rFonts w:asciiTheme="majorBidi" w:hAnsiTheme="majorBidi" w:cstheme="majorBidi"/>
          <w:sz w:val="20"/>
          <w:szCs w:val="20"/>
        </w:rPr>
        <w:t xml:space="preserve">Al-Falouji, </w:t>
      </w:r>
      <w:r w:rsidRPr="00914494">
        <w:rPr>
          <w:rFonts w:asciiTheme="majorBidi" w:hAnsiTheme="majorBidi" w:cstheme="majorBidi"/>
          <w:i/>
          <w:iCs/>
          <w:sz w:val="20"/>
          <w:szCs w:val="20"/>
        </w:rPr>
        <w:t>Ma'a l-Rais (With the President),</w:t>
      </w:r>
      <w:r w:rsidRPr="00F075DD">
        <w:rPr>
          <w:rFonts w:asciiTheme="majorBidi" w:hAnsiTheme="majorBidi" w:cstheme="majorBidi"/>
          <w:sz w:val="20"/>
          <w:szCs w:val="20"/>
        </w:rPr>
        <w:t xml:space="preserve"> pp. 25-31; Al-Falouji, </w:t>
      </w:r>
      <w:r w:rsidRPr="00914494">
        <w:rPr>
          <w:rFonts w:asciiTheme="majorBidi" w:hAnsiTheme="majorBidi" w:cstheme="majorBidi"/>
          <w:i/>
          <w:iCs/>
          <w:sz w:val="20"/>
          <w:szCs w:val="20"/>
        </w:rPr>
        <w:t>Min Kalb al-Sulta (From the Heart of Authority)</w:t>
      </w:r>
      <w:r w:rsidRPr="00F075DD">
        <w:rPr>
          <w:rFonts w:asciiTheme="majorBidi" w:hAnsiTheme="majorBidi" w:cstheme="majorBidi"/>
          <w:sz w:val="20"/>
          <w:szCs w:val="20"/>
        </w:rPr>
        <w:t>, p. 131;</w:t>
      </w:r>
      <w:r>
        <w:rPr>
          <w:rFonts w:asciiTheme="majorBidi" w:hAnsiTheme="majorBidi" w:cstheme="majorBidi"/>
          <w:sz w:val="20"/>
          <w:szCs w:val="20"/>
        </w:rPr>
        <w:t xml:space="preserve"> </w:t>
      </w:r>
      <w:r w:rsidRPr="00F075DD">
        <w:rPr>
          <w:rFonts w:asciiTheme="majorBidi" w:hAnsiTheme="majorBidi" w:cstheme="majorBidi"/>
          <w:sz w:val="20"/>
          <w:szCs w:val="20"/>
        </w:rPr>
        <w:t xml:space="preserve">Al-Falouji, </w:t>
      </w:r>
      <w:r w:rsidRPr="008D4700">
        <w:rPr>
          <w:rFonts w:asciiTheme="majorBidi" w:hAnsiTheme="majorBidi" w:cstheme="majorBidi"/>
          <w:i/>
          <w:iCs/>
          <w:sz w:val="20"/>
          <w:szCs w:val="20"/>
        </w:rPr>
        <w:t>Al-hiwar al-Filastiniyi (The Palestinian Dialogue)</w:t>
      </w:r>
      <w:r w:rsidRPr="00F075DD">
        <w:rPr>
          <w:rFonts w:asciiTheme="majorBidi" w:hAnsiTheme="majorBidi" w:cstheme="majorBidi"/>
          <w:sz w:val="20"/>
          <w:szCs w:val="20"/>
        </w:rPr>
        <w:t>;</w:t>
      </w:r>
      <w:r>
        <w:rPr>
          <w:rFonts w:asciiTheme="majorBidi" w:hAnsiTheme="majorBidi" w:cstheme="majorBidi"/>
          <w:sz w:val="20"/>
          <w:szCs w:val="20"/>
        </w:rPr>
        <w:t xml:space="preserve"> </w:t>
      </w:r>
      <w:r w:rsidRPr="00F075DD">
        <w:rPr>
          <w:rFonts w:asciiTheme="majorBidi" w:hAnsiTheme="majorBidi" w:cstheme="majorBidi"/>
          <w:sz w:val="20"/>
          <w:szCs w:val="20"/>
        </w:rPr>
        <w:t>Al-Hajm Al-Tabi'i, "</w:t>
      </w:r>
      <w:r>
        <w:rPr>
          <w:rFonts w:asciiTheme="majorBidi" w:hAnsiTheme="majorBidi" w:cstheme="majorBidi"/>
          <w:sz w:val="20"/>
          <w:szCs w:val="20"/>
        </w:rPr>
        <w:t>Falouji Yaqud Aitisalat bayn al-Sulta wa-Hamas (</w:t>
      </w:r>
      <w:r w:rsidRPr="00F075DD">
        <w:rPr>
          <w:rFonts w:asciiTheme="majorBidi" w:hAnsiTheme="majorBidi" w:cstheme="majorBidi"/>
          <w:sz w:val="20"/>
          <w:szCs w:val="20"/>
        </w:rPr>
        <w:t>Falouji Leads Contacts Between the Authority and Hamas</w:t>
      </w:r>
      <w:r>
        <w:rPr>
          <w:rFonts w:asciiTheme="majorBidi" w:hAnsiTheme="majorBidi" w:cstheme="majorBidi"/>
          <w:sz w:val="20"/>
          <w:szCs w:val="20"/>
        </w:rPr>
        <w:t>)</w:t>
      </w:r>
      <w:r w:rsidRPr="00F075DD">
        <w:rPr>
          <w:rFonts w:asciiTheme="majorBidi" w:hAnsiTheme="majorBidi" w:cstheme="majorBidi"/>
          <w:sz w:val="20"/>
          <w:szCs w:val="20"/>
        </w:rPr>
        <w:t xml:space="preserve">", </w:t>
      </w:r>
      <w:r w:rsidRPr="00914494">
        <w:rPr>
          <w:rFonts w:asciiTheme="majorBidi" w:hAnsiTheme="majorBidi" w:cstheme="majorBidi"/>
          <w:i/>
          <w:iCs/>
          <w:sz w:val="20"/>
          <w:szCs w:val="20"/>
        </w:rPr>
        <w:t>Al-Bayan</w:t>
      </w:r>
      <w:r w:rsidRPr="00F075DD">
        <w:rPr>
          <w:rFonts w:asciiTheme="majorBidi" w:hAnsiTheme="majorBidi" w:cstheme="majorBidi"/>
          <w:sz w:val="20"/>
          <w:szCs w:val="20"/>
        </w:rPr>
        <w:t xml:space="preserve">, 4.11.1998, </w:t>
      </w:r>
      <w:hyperlink r:id="rId14" w:history="1">
        <w:r w:rsidRPr="00A645C6">
          <w:rPr>
            <w:rStyle w:val="Hyperlink"/>
            <w:rFonts w:asciiTheme="majorBidi" w:hAnsiTheme="majorBidi" w:cstheme="majorBidi"/>
            <w:sz w:val="20"/>
            <w:szCs w:val="20"/>
          </w:rPr>
          <w:t>https://www.albayan.ae/one-world/1998-11-04-1.1020817</w:t>
        </w:r>
      </w:hyperlink>
      <w:r>
        <w:rPr>
          <w:rFonts w:asciiTheme="majorBidi" w:hAnsiTheme="majorBidi" w:cstheme="majorBidi"/>
          <w:sz w:val="20"/>
          <w:szCs w:val="20"/>
        </w:rPr>
        <w:t>;</w:t>
      </w:r>
      <w:r w:rsidR="00B53581">
        <w:rPr>
          <w:rFonts w:asciiTheme="majorBidi" w:hAnsiTheme="majorBidi" w:cstheme="majorBidi"/>
          <w:sz w:val="20"/>
          <w:szCs w:val="20"/>
        </w:rPr>
        <w:t xml:space="preserve"> </w:t>
      </w:r>
      <w:r w:rsidRPr="00F075DD">
        <w:rPr>
          <w:rFonts w:asciiTheme="majorBidi" w:hAnsiTheme="majorBidi" w:cstheme="majorBidi"/>
          <w:sz w:val="20"/>
          <w:szCs w:val="20"/>
        </w:rPr>
        <w:t>Al-Falouji, "</w:t>
      </w:r>
      <w:r>
        <w:rPr>
          <w:rFonts w:asciiTheme="majorBidi" w:hAnsiTheme="majorBidi" w:cstheme="majorBidi"/>
          <w:sz w:val="20"/>
          <w:szCs w:val="20"/>
        </w:rPr>
        <w:t>Q</w:t>
      </w:r>
      <w:r w:rsidRPr="00B7570B">
        <w:rPr>
          <w:rFonts w:asciiTheme="majorBidi" w:hAnsiTheme="majorBidi" w:cstheme="majorBidi"/>
          <w:sz w:val="20"/>
          <w:szCs w:val="20"/>
        </w:rPr>
        <w:t xml:space="preserve">adaya </w:t>
      </w:r>
      <w:r>
        <w:rPr>
          <w:rFonts w:asciiTheme="majorBidi" w:hAnsiTheme="majorBidi" w:cstheme="majorBidi"/>
          <w:sz w:val="20"/>
          <w:szCs w:val="20"/>
        </w:rPr>
        <w:t>A</w:t>
      </w:r>
      <w:r w:rsidRPr="00B7570B">
        <w:rPr>
          <w:rFonts w:asciiTheme="majorBidi" w:hAnsiTheme="majorBidi" w:cstheme="majorBidi"/>
          <w:sz w:val="20"/>
          <w:szCs w:val="20"/>
        </w:rPr>
        <w:t xml:space="preserve">sasia alaa </w:t>
      </w:r>
      <w:r>
        <w:rPr>
          <w:rFonts w:asciiTheme="majorBidi" w:hAnsiTheme="majorBidi" w:cstheme="majorBidi"/>
          <w:sz w:val="20"/>
          <w:szCs w:val="20"/>
        </w:rPr>
        <w:t>T</w:t>
      </w:r>
      <w:r w:rsidRPr="00B7570B">
        <w:rPr>
          <w:rFonts w:asciiTheme="majorBidi" w:hAnsiTheme="majorBidi" w:cstheme="majorBidi"/>
          <w:sz w:val="20"/>
          <w:szCs w:val="20"/>
        </w:rPr>
        <w:t>ariq al</w:t>
      </w:r>
      <w:r>
        <w:rPr>
          <w:rFonts w:asciiTheme="majorBidi" w:hAnsiTheme="majorBidi" w:cstheme="majorBidi"/>
          <w:sz w:val="20"/>
          <w:szCs w:val="20"/>
        </w:rPr>
        <w:t>-M</w:t>
      </w:r>
      <w:r w:rsidRPr="00B7570B">
        <w:rPr>
          <w:rFonts w:asciiTheme="majorBidi" w:hAnsiTheme="majorBidi" w:cstheme="majorBidi"/>
          <w:sz w:val="20"/>
          <w:szCs w:val="20"/>
        </w:rPr>
        <w:t xml:space="preserve">usalaha </w:t>
      </w:r>
      <w:r>
        <w:rPr>
          <w:rFonts w:asciiTheme="majorBidi" w:hAnsiTheme="majorBidi" w:cstheme="majorBidi"/>
          <w:sz w:val="20"/>
          <w:szCs w:val="20"/>
        </w:rPr>
        <w:t>(</w:t>
      </w:r>
      <w:r w:rsidRPr="00F075DD">
        <w:rPr>
          <w:rFonts w:asciiTheme="majorBidi" w:hAnsiTheme="majorBidi" w:cstheme="majorBidi"/>
          <w:sz w:val="20"/>
          <w:szCs w:val="20"/>
        </w:rPr>
        <w:t>Basic Issues on the Path of Reconciliation</w:t>
      </w:r>
      <w:r>
        <w:rPr>
          <w:rFonts w:asciiTheme="majorBidi" w:hAnsiTheme="majorBidi" w:cstheme="majorBidi"/>
          <w:sz w:val="20"/>
          <w:szCs w:val="20"/>
        </w:rPr>
        <w:t>)</w:t>
      </w:r>
      <w:r w:rsidRPr="00F075DD">
        <w:rPr>
          <w:rFonts w:asciiTheme="majorBidi" w:hAnsiTheme="majorBidi" w:cstheme="majorBidi"/>
          <w:sz w:val="20"/>
          <w:szCs w:val="20"/>
        </w:rPr>
        <w:t xml:space="preserve">", </w:t>
      </w:r>
      <w:r w:rsidRPr="00914494">
        <w:rPr>
          <w:rFonts w:asciiTheme="majorBidi" w:hAnsiTheme="majorBidi" w:cstheme="majorBidi"/>
          <w:i/>
          <w:iCs/>
          <w:sz w:val="20"/>
          <w:szCs w:val="20"/>
        </w:rPr>
        <w:t>Dunya Al-Watan</w:t>
      </w:r>
      <w:r w:rsidRPr="00F075DD">
        <w:rPr>
          <w:rFonts w:asciiTheme="majorBidi" w:hAnsiTheme="majorBidi" w:cstheme="majorBidi"/>
          <w:sz w:val="20"/>
          <w:szCs w:val="20"/>
        </w:rPr>
        <w:t xml:space="preserve">, 30.4.2011, </w:t>
      </w:r>
      <w:hyperlink r:id="rId15" w:history="1">
        <w:r w:rsidRPr="00A645C6">
          <w:rPr>
            <w:rStyle w:val="Hyperlink"/>
            <w:rFonts w:asciiTheme="majorBidi" w:hAnsiTheme="majorBidi" w:cstheme="majorBidi"/>
            <w:sz w:val="20"/>
            <w:szCs w:val="20"/>
          </w:rPr>
          <w:t>https://www.alwatanvoice.com/arabic/news/2011/04/30/175021.html</w:t>
        </w:r>
      </w:hyperlink>
      <w:r>
        <w:rPr>
          <w:rFonts w:asciiTheme="majorBidi" w:hAnsiTheme="majorBidi" w:cstheme="majorBidi"/>
          <w:sz w:val="20"/>
          <w:szCs w:val="20"/>
        </w:rPr>
        <w:t>;</w:t>
      </w:r>
      <w:r w:rsidR="00B53581">
        <w:rPr>
          <w:rFonts w:asciiTheme="majorBidi" w:hAnsiTheme="majorBidi" w:cstheme="majorBidi"/>
          <w:sz w:val="20"/>
          <w:szCs w:val="20"/>
        </w:rPr>
        <w:t xml:space="preserve"> </w:t>
      </w:r>
      <w:r w:rsidRPr="00F075DD">
        <w:rPr>
          <w:rFonts w:asciiTheme="majorBidi" w:hAnsiTheme="majorBidi" w:cstheme="majorBidi"/>
          <w:sz w:val="20"/>
          <w:szCs w:val="20"/>
        </w:rPr>
        <w:t>Falouji, "</w:t>
      </w:r>
      <w:r>
        <w:rPr>
          <w:rFonts w:asciiTheme="majorBidi" w:hAnsiTheme="majorBidi" w:cstheme="majorBidi"/>
          <w:sz w:val="20"/>
          <w:szCs w:val="20"/>
        </w:rPr>
        <w:t>L</w:t>
      </w:r>
      <w:r w:rsidRPr="008A3E15">
        <w:rPr>
          <w:rFonts w:asciiTheme="majorBidi" w:hAnsiTheme="majorBidi" w:cstheme="majorBidi"/>
          <w:sz w:val="20"/>
          <w:szCs w:val="20"/>
        </w:rPr>
        <w:t xml:space="preserve">imadha </w:t>
      </w:r>
      <w:r>
        <w:rPr>
          <w:rFonts w:asciiTheme="majorBidi" w:hAnsiTheme="majorBidi" w:cstheme="majorBidi"/>
          <w:sz w:val="20"/>
          <w:szCs w:val="20"/>
        </w:rPr>
        <w:t>L</w:t>
      </w:r>
      <w:r w:rsidRPr="008A3E15">
        <w:rPr>
          <w:rFonts w:asciiTheme="majorBidi" w:hAnsiTheme="majorBidi" w:cstheme="majorBidi"/>
          <w:sz w:val="20"/>
          <w:szCs w:val="20"/>
        </w:rPr>
        <w:t xml:space="preserve">a </w:t>
      </w:r>
      <w:r>
        <w:rPr>
          <w:rFonts w:asciiTheme="majorBidi" w:hAnsiTheme="majorBidi" w:cstheme="majorBidi"/>
          <w:sz w:val="20"/>
          <w:szCs w:val="20"/>
        </w:rPr>
        <w:t>Y</w:t>
      </w:r>
      <w:r w:rsidRPr="008A3E15">
        <w:rPr>
          <w:rFonts w:asciiTheme="majorBidi" w:hAnsiTheme="majorBidi" w:cstheme="majorBidi"/>
          <w:sz w:val="20"/>
          <w:szCs w:val="20"/>
        </w:rPr>
        <w:t>antahi al</w:t>
      </w:r>
      <w:r>
        <w:rPr>
          <w:rFonts w:asciiTheme="majorBidi" w:hAnsiTheme="majorBidi" w:cstheme="majorBidi"/>
          <w:sz w:val="20"/>
          <w:szCs w:val="20"/>
        </w:rPr>
        <w:t>-A</w:t>
      </w:r>
      <w:r w:rsidRPr="008A3E15">
        <w:rPr>
          <w:rFonts w:asciiTheme="majorBidi" w:hAnsiTheme="majorBidi" w:cstheme="majorBidi"/>
          <w:sz w:val="20"/>
          <w:szCs w:val="20"/>
        </w:rPr>
        <w:t>inqisam al</w:t>
      </w:r>
      <w:r>
        <w:rPr>
          <w:rFonts w:asciiTheme="majorBidi" w:hAnsiTheme="majorBidi" w:cstheme="majorBidi"/>
          <w:sz w:val="20"/>
          <w:szCs w:val="20"/>
        </w:rPr>
        <w:t>-F</w:t>
      </w:r>
      <w:r w:rsidRPr="008A3E15">
        <w:rPr>
          <w:rFonts w:asciiTheme="majorBidi" w:hAnsiTheme="majorBidi" w:cstheme="majorBidi"/>
          <w:sz w:val="20"/>
          <w:szCs w:val="20"/>
        </w:rPr>
        <w:t xml:space="preserve">ilastiniu </w:t>
      </w:r>
      <w:r>
        <w:rPr>
          <w:rFonts w:asciiTheme="majorBidi" w:hAnsiTheme="majorBidi" w:cstheme="majorBidi"/>
          <w:sz w:val="20"/>
          <w:szCs w:val="20"/>
        </w:rPr>
        <w:t>(</w:t>
      </w:r>
      <w:r w:rsidRPr="00F075DD">
        <w:rPr>
          <w:rFonts w:asciiTheme="majorBidi" w:hAnsiTheme="majorBidi" w:cstheme="majorBidi"/>
          <w:sz w:val="20"/>
          <w:szCs w:val="20"/>
        </w:rPr>
        <w:t>Why Does the Palestinian Division Not End</w:t>
      </w:r>
      <w:r>
        <w:rPr>
          <w:rFonts w:asciiTheme="majorBidi" w:hAnsiTheme="majorBidi" w:cstheme="majorBidi"/>
          <w:sz w:val="20"/>
          <w:szCs w:val="20"/>
        </w:rPr>
        <w:t>)</w:t>
      </w:r>
      <w:r w:rsidRPr="00F075DD">
        <w:rPr>
          <w:rFonts w:asciiTheme="majorBidi" w:hAnsiTheme="majorBidi" w:cstheme="majorBidi"/>
          <w:sz w:val="20"/>
          <w:szCs w:val="20"/>
        </w:rPr>
        <w:t xml:space="preserve">", </w:t>
      </w:r>
      <w:r w:rsidRPr="00914494">
        <w:rPr>
          <w:rFonts w:asciiTheme="majorBidi" w:hAnsiTheme="majorBidi" w:cstheme="majorBidi"/>
          <w:i/>
          <w:iCs/>
          <w:sz w:val="20"/>
          <w:szCs w:val="20"/>
        </w:rPr>
        <w:t>Amad</w:t>
      </w:r>
      <w:r w:rsidRPr="00F075DD">
        <w:rPr>
          <w:rFonts w:asciiTheme="majorBidi" w:hAnsiTheme="majorBidi" w:cstheme="majorBidi"/>
          <w:sz w:val="20"/>
          <w:szCs w:val="20"/>
        </w:rPr>
        <w:t xml:space="preserve">, 15.6.2016, </w:t>
      </w:r>
      <w:hyperlink r:id="rId16" w:history="1">
        <w:r w:rsidRPr="00A645C6">
          <w:rPr>
            <w:rStyle w:val="Hyperlink"/>
            <w:rFonts w:asciiTheme="majorBidi" w:hAnsiTheme="majorBidi" w:cstheme="majorBidi"/>
            <w:sz w:val="20"/>
            <w:szCs w:val="20"/>
          </w:rPr>
          <w:t>https://www.amad.ps/ar/post/126462</w:t>
        </w:r>
      </w:hyperlink>
      <w:r>
        <w:rPr>
          <w:rFonts w:asciiTheme="majorBidi" w:hAnsiTheme="majorBidi" w:cstheme="majorBidi"/>
          <w:sz w:val="20"/>
          <w:szCs w:val="20"/>
        </w:rPr>
        <w:t>;</w:t>
      </w:r>
      <w:r w:rsidR="00B53581">
        <w:rPr>
          <w:rFonts w:asciiTheme="majorBidi" w:hAnsiTheme="majorBidi" w:cstheme="majorBidi"/>
          <w:sz w:val="20"/>
          <w:szCs w:val="20"/>
        </w:rPr>
        <w:t xml:space="preserve"> </w:t>
      </w:r>
      <w:r w:rsidRPr="00F075DD">
        <w:rPr>
          <w:rFonts w:asciiTheme="majorBidi" w:hAnsiTheme="majorBidi" w:cstheme="majorBidi"/>
          <w:sz w:val="20"/>
          <w:szCs w:val="20"/>
        </w:rPr>
        <w:t>Al-Falouji</w:t>
      </w:r>
      <w:r>
        <w:rPr>
          <w:rFonts w:asciiTheme="majorBidi" w:hAnsiTheme="majorBidi" w:cstheme="majorBidi"/>
          <w:sz w:val="20"/>
          <w:szCs w:val="20"/>
        </w:rPr>
        <w:t>,</w:t>
      </w:r>
      <w:r w:rsidRPr="00F075DD">
        <w:rPr>
          <w:rFonts w:asciiTheme="majorBidi" w:hAnsiTheme="majorBidi" w:cstheme="majorBidi"/>
          <w:sz w:val="20"/>
          <w:szCs w:val="20"/>
        </w:rPr>
        <w:t xml:space="preserve"> "</w:t>
      </w:r>
      <w:r>
        <w:rPr>
          <w:rFonts w:asciiTheme="majorBidi" w:hAnsiTheme="majorBidi" w:cstheme="majorBidi"/>
          <w:sz w:val="20"/>
          <w:szCs w:val="20"/>
        </w:rPr>
        <w:t>Israil La Yuridu al-Salam (</w:t>
      </w:r>
      <w:r w:rsidRPr="00F075DD">
        <w:rPr>
          <w:rFonts w:asciiTheme="majorBidi" w:hAnsiTheme="majorBidi" w:cstheme="majorBidi"/>
          <w:sz w:val="20"/>
          <w:szCs w:val="20"/>
        </w:rPr>
        <w:t>Israel Does Not Want Peace</w:t>
      </w:r>
      <w:r>
        <w:rPr>
          <w:rFonts w:asciiTheme="majorBidi" w:hAnsiTheme="majorBidi" w:cstheme="majorBidi"/>
          <w:sz w:val="20"/>
          <w:szCs w:val="20"/>
        </w:rPr>
        <w:t>)</w:t>
      </w:r>
      <w:r w:rsidRPr="00F075DD">
        <w:rPr>
          <w:rFonts w:asciiTheme="majorBidi" w:hAnsiTheme="majorBidi" w:cstheme="majorBidi"/>
          <w:sz w:val="20"/>
          <w:szCs w:val="20"/>
        </w:rPr>
        <w:t>",</w:t>
      </w:r>
      <w:r>
        <w:rPr>
          <w:rFonts w:asciiTheme="majorBidi" w:hAnsiTheme="majorBidi" w:cstheme="majorBidi"/>
          <w:sz w:val="20"/>
          <w:szCs w:val="20"/>
        </w:rPr>
        <w:t xml:space="preserve"> </w:t>
      </w:r>
      <w:r w:rsidRPr="00DD20AB">
        <w:rPr>
          <w:rFonts w:asciiTheme="majorBidi" w:hAnsiTheme="majorBidi" w:cstheme="majorBidi"/>
          <w:i/>
          <w:iCs/>
          <w:sz w:val="20"/>
          <w:szCs w:val="20"/>
        </w:rPr>
        <w:t>Imad Falouji's Website</w:t>
      </w:r>
      <w:r>
        <w:rPr>
          <w:rFonts w:asciiTheme="majorBidi" w:hAnsiTheme="majorBidi" w:cstheme="majorBidi"/>
          <w:i/>
          <w:iCs/>
          <w:sz w:val="20"/>
          <w:szCs w:val="20"/>
        </w:rPr>
        <w:t>,</w:t>
      </w:r>
      <w:r w:rsidRPr="00F075DD">
        <w:rPr>
          <w:rFonts w:asciiTheme="majorBidi" w:hAnsiTheme="majorBidi" w:cstheme="majorBidi"/>
          <w:sz w:val="20"/>
          <w:szCs w:val="20"/>
        </w:rPr>
        <w:t xml:space="preserve"> 26.1.2010, </w:t>
      </w:r>
      <w:hyperlink r:id="rId17" w:history="1">
        <w:r w:rsidRPr="00A645C6">
          <w:rPr>
            <w:rStyle w:val="Hyperlink"/>
            <w:rFonts w:asciiTheme="majorBidi" w:hAnsiTheme="majorBidi" w:cstheme="majorBidi"/>
            <w:sz w:val="20"/>
            <w:szCs w:val="20"/>
          </w:rPr>
          <w:t>http://www.imadfalouji.ps/post/488</w:t>
        </w:r>
      </w:hyperlink>
      <w:r>
        <w:rPr>
          <w:rFonts w:asciiTheme="majorBidi" w:hAnsiTheme="majorBidi" w:cstheme="majorBidi"/>
          <w:sz w:val="20"/>
          <w:szCs w:val="20"/>
        </w:rPr>
        <w:t>;</w:t>
      </w:r>
      <w:r w:rsidR="00B53581">
        <w:rPr>
          <w:rFonts w:asciiTheme="majorBidi" w:hAnsiTheme="majorBidi" w:cstheme="majorBidi"/>
          <w:sz w:val="20"/>
          <w:szCs w:val="20"/>
        </w:rPr>
        <w:t xml:space="preserve"> </w:t>
      </w:r>
      <w:r w:rsidRPr="00F075DD">
        <w:rPr>
          <w:rFonts w:asciiTheme="majorBidi" w:hAnsiTheme="majorBidi" w:cstheme="majorBidi"/>
          <w:sz w:val="20"/>
          <w:szCs w:val="20"/>
        </w:rPr>
        <w:t>Al-Falouji</w:t>
      </w:r>
      <w:r>
        <w:rPr>
          <w:rFonts w:asciiTheme="majorBidi" w:hAnsiTheme="majorBidi" w:cstheme="majorBidi"/>
          <w:sz w:val="20"/>
          <w:szCs w:val="20"/>
        </w:rPr>
        <w:t>,</w:t>
      </w:r>
      <w:r w:rsidRPr="00F075DD">
        <w:rPr>
          <w:rFonts w:asciiTheme="majorBidi" w:hAnsiTheme="majorBidi" w:cstheme="majorBidi"/>
          <w:sz w:val="20"/>
          <w:szCs w:val="20"/>
        </w:rPr>
        <w:t xml:space="preserve"> "</w:t>
      </w:r>
      <w:r>
        <w:rPr>
          <w:rFonts w:asciiTheme="majorBidi" w:hAnsiTheme="majorBidi" w:cstheme="majorBidi"/>
          <w:sz w:val="20"/>
          <w:szCs w:val="20"/>
        </w:rPr>
        <w:t>A</w:t>
      </w:r>
      <w:r w:rsidRPr="002A63A1">
        <w:rPr>
          <w:rFonts w:asciiTheme="majorBidi" w:hAnsiTheme="majorBidi" w:cstheme="majorBidi"/>
          <w:sz w:val="20"/>
          <w:szCs w:val="20"/>
        </w:rPr>
        <w:t>ihdharuu al</w:t>
      </w:r>
      <w:r>
        <w:rPr>
          <w:rFonts w:asciiTheme="majorBidi" w:hAnsiTheme="majorBidi" w:cstheme="majorBidi"/>
          <w:sz w:val="20"/>
          <w:szCs w:val="20"/>
        </w:rPr>
        <w:t>-D</w:t>
      </w:r>
      <w:r w:rsidRPr="002A63A1">
        <w:rPr>
          <w:rFonts w:asciiTheme="majorBidi" w:hAnsiTheme="majorBidi" w:cstheme="majorBidi"/>
          <w:sz w:val="20"/>
          <w:szCs w:val="20"/>
        </w:rPr>
        <w:t>arbat al</w:t>
      </w:r>
      <w:r>
        <w:rPr>
          <w:rFonts w:asciiTheme="majorBidi" w:hAnsiTheme="majorBidi" w:cstheme="majorBidi"/>
          <w:sz w:val="20"/>
          <w:szCs w:val="20"/>
        </w:rPr>
        <w:t>-Q</w:t>
      </w:r>
      <w:r w:rsidRPr="002A63A1">
        <w:rPr>
          <w:rFonts w:asciiTheme="majorBidi" w:hAnsiTheme="majorBidi" w:cstheme="majorBidi"/>
          <w:sz w:val="20"/>
          <w:szCs w:val="20"/>
        </w:rPr>
        <w:t>adiat li</w:t>
      </w:r>
      <w:r>
        <w:rPr>
          <w:rFonts w:asciiTheme="majorBidi" w:hAnsiTheme="majorBidi" w:cstheme="majorBidi"/>
          <w:sz w:val="20"/>
          <w:szCs w:val="20"/>
        </w:rPr>
        <w:t>-</w:t>
      </w:r>
      <w:r w:rsidRPr="002A63A1">
        <w:rPr>
          <w:rFonts w:asciiTheme="majorBidi" w:hAnsiTheme="majorBidi" w:cstheme="majorBidi"/>
          <w:sz w:val="20"/>
          <w:szCs w:val="20"/>
        </w:rPr>
        <w:t>l</w:t>
      </w:r>
      <w:r>
        <w:rPr>
          <w:rFonts w:asciiTheme="majorBidi" w:hAnsiTheme="majorBidi" w:cstheme="majorBidi"/>
          <w:sz w:val="20"/>
          <w:szCs w:val="20"/>
        </w:rPr>
        <w:t>-Q</w:t>
      </w:r>
      <w:r w:rsidRPr="002A63A1">
        <w:rPr>
          <w:rFonts w:asciiTheme="majorBidi" w:hAnsiTheme="majorBidi" w:cstheme="majorBidi"/>
          <w:sz w:val="20"/>
          <w:szCs w:val="20"/>
        </w:rPr>
        <w:t>adiat al</w:t>
      </w:r>
      <w:r>
        <w:rPr>
          <w:rFonts w:asciiTheme="majorBidi" w:hAnsiTheme="majorBidi" w:cstheme="majorBidi"/>
          <w:sz w:val="20"/>
          <w:szCs w:val="20"/>
        </w:rPr>
        <w:t>-F</w:t>
      </w:r>
      <w:r w:rsidRPr="002A63A1">
        <w:rPr>
          <w:rFonts w:asciiTheme="majorBidi" w:hAnsiTheme="majorBidi" w:cstheme="majorBidi"/>
          <w:sz w:val="20"/>
          <w:szCs w:val="20"/>
        </w:rPr>
        <w:t xml:space="preserve">ilastini </w:t>
      </w:r>
      <w:r>
        <w:rPr>
          <w:rFonts w:asciiTheme="majorBidi" w:hAnsiTheme="majorBidi" w:cstheme="majorBidi"/>
          <w:sz w:val="20"/>
          <w:szCs w:val="20"/>
        </w:rPr>
        <w:t>(</w:t>
      </w:r>
      <w:r w:rsidRPr="00F075DD">
        <w:rPr>
          <w:rFonts w:asciiTheme="majorBidi" w:hAnsiTheme="majorBidi" w:cstheme="majorBidi"/>
          <w:sz w:val="20"/>
          <w:szCs w:val="20"/>
        </w:rPr>
        <w:t>Beware the Fatal Blow to the Palestinian Cause</w:t>
      </w:r>
      <w:r>
        <w:rPr>
          <w:rFonts w:asciiTheme="majorBidi" w:hAnsiTheme="majorBidi" w:cstheme="majorBidi"/>
          <w:sz w:val="20"/>
          <w:szCs w:val="20"/>
        </w:rPr>
        <w:t>)</w:t>
      </w:r>
      <w:r w:rsidRPr="00F075DD">
        <w:rPr>
          <w:rFonts w:asciiTheme="majorBidi" w:hAnsiTheme="majorBidi" w:cstheme="majorBidi"/>
          <w:sz w:val="20"/>
          <w:szCs w:val="20"/>
        </w:rPr>
        <w:t>",</w:t>
      </w:r>
      <w:r>
        <w:rPr>
          <w:rFonts w:asciiTheme="majorBidi" w:hAnsiTheme="majorBidi" w:cstheme="majorBidi"/>
          <w:sz w:val="20"/>
          <w:szCs w:val="20"/>
        </w:rPr>
        <w:t xml:space="preserve"> </w:t>
      </w:r>
      <w:r w:rsidRPr="00DD20AB">
        <w:rPr>
          <w:rFonts w:asciiTheme="majorBidi" w:hAnsiTheme="majorBidi" w:cstheme="majorBidi"/>
          <w:i/>
          <w:iCs/>
          <w:sz w:val="20"/>
          <w:szCs w:val="20"/>
        </w:rPr>
        <w:t>Imad Falouji's Website</w:t>
      </w:r>
      <w:r>
        <w:rPr>
          <w:rFonts w:asciiTheme="majorBidi" w:hAnsiTheme="majorBidi" w:cstheme="majorBidi"/>
          <w:i/>
          <w:iCs/>
          <w:sz w:val="20"/>
          <w:szCs w:val="20"/>
        </w:rPr>
        <w:t>,</w:t>
      </w:r>
      <w:r w:rsidRPr="00F075DD">
        <w:rPr>
          <w:rFonts w:asciiTheme="majorBidi" w:hAnsiTheme="majorBidi" w:cstheme="majorBidi"/>
          <w:sz w:val="20"/>
          <w:szCs w:val="20"/>
        </w:rPr>
        <w:t xml:space="preserve"> 1.7.2010, </w:t>
      </w:r>
      <w:hyperlink r:id="rId18" w:history="1">
        <w:r w:rsidRPr="00A645C6">
          <w:rPr>
            <w:rStyle w:val="Hyperlink"/>
            <w:rFonts w:asciiTheme="majorBidi" w:hAnsiTheme="majorBidi" w:cstheme="majorBidi"/>
            <w:sz w:val="20"/>
            <w:szCs w:val="20"/>
          </w:rPr>
          <w:t>http://www.imadfalouji.ps/post/629</w:t>
        </w:r>
      </w:hyperlink>
      <w:r>
        <w:rPr>
          <w:rFonts w:asciiTheme="majorBidi" w:hAnsiTheme="majorBidi" w:cstheme="majorBidi"/>
          <w:sz w:val="20"/>
          <w:szCs w:val="20"/>
        </w:rPr>
        <w:t>;</w:t>
      </w:r>
      <w:r w:rsidR="00B53581">
        <w:rPr>
          <w:rFonts w:asciiTheme="majorBidi" w:hAnsiTheme="majorBidi" w:cstheme="majorBidi"/>
          <w:sz w:val="20"/>
          <w:szCs w:val="20"/>
        </w:rPr>
        <w:t xml:space="preserve"> </w:t>
      </w:r>
      <w:r w:rsidRPr="00F075DD">
        <w:rPr>
          <w:rFonts w:asciiTheme="majorBidi" w:hAnsiTheme="majorBidi" w:cstheme="majorBidi"/>
          <w:sz w:val="20"/>
          <w:szCs w:val="20"/>
        </w:rPr>
        <w:t>Al-Falouji</w:t>
      </w:r>
      <w:r>
        <w:rPr>
          <w:rFonts w:asciiTheme="majorBidi" w:hAnsiTheme="majorBidi" w:cstheme="majorBidi"/>
          <w:sz w:val="20"/>
          <w:szCs w:val="20"/>
        </w:rPr>
        <w:t>,</w:t>
      </w:r>
      <w:r w:rsidRPr="00F075DD">
        <w:rPr>
          <w:rFonts w:asciiTheme="majorBidi" w:hAnsiTheme="majorBidi" w:cstheme="majorBidi"/>
          <w:sz w:val="20"/>
          <w:szCs w:val="20"/>
        </w:rPr>
        <w:t xml:space="preserve"> "</w:t>
      </w:r>
      <w:r>
        <w:rPr>
          <w:rFonts w:asciiTheme="majorBidi" w:hAnsiTheme="majorBidi" w:cstheme="majorBidi"/>
          <w:sz w:val="20"/>
          <w:szCs w:val="20"/>
        </w:rPr>
        <w:t>T</w:t>
      </w:r>
      <w:r w:rsidRPr="006D6EEF">
        <w:rPr>
          <w:rFonts w:asciiTheme="majorBidi" w:hAnsiTheme="majorBidi" w:cstheme="majorBidi"/>
          <w:sz w:val="20"/>
          <w:szCs w:val="20"/>
        </w:rPr>
        <w:t xml:space="preserve">akamul </w:t>
      </w:r>
      <w:r>
        <w:rPr>
          <w:rFonts w:asciiTheme="majorBidi" w:hAnsiTheme="majorBidi" w:cstheme="majorBidi"/>
          <w:sz w:val="20"/>
          <w:szCs w:val="20"/>
        </w:rPr>
        <w:t>A</w:t>
      </w:r>
      <w:r w:rsidRPr="006D6EEF">
        <w:rPr>
          <w:rFonts w:asciiTheme="majorBidi" w:hAnsiTheme="majorBidi" w:cstheme="majorBidi"/>
          <w:sz w:val="20"/>
          <w:szCs w:val="20"/>
        </w:rPr>
        <w:t>lwan al</w:t>
      </w:r>
      <w:r>
        <w:rPr>
          <w:rFonts w:asciiTheme="majorBidi" w:hAnsiTheme="majorBidi" w:cstheme="majorBidi"/>
          <w:sz w:val="20"/>
          <w:szCs w:val="20"/>
        </w:rPr>
        <w:t>-T</w:t>
      </w:r>
      <w:r w:rsidRPr="006D6EEF">
        <w:rPr>
          <w:rFonts w:asciiTheme="majorBidi" w:hAnsiTheme="majorBidi" w:cstheme="majorBidi"/>
          <w:sz w:val="20"/>
          <w:szCs w:val="20"/>
        </w:rPr>
        <w:t>ayf al</w:t>
      </w:r>
      <w:r>
        <w:rPr>
          <w:rFonts w:asciiTheme="majorBidi" w:hAnsiTheme="majorBidi" w:cstheme="majorBidi"/>
          <w:sz w:val="20"/>
          <w:szCs w:val="20"/>
        </w:rPr>
        <w:t>-M</w:t>
      </w:r>
      <w:r w:rsidRPr="006D6EEF">
        <w:rPr>
          <w:rFonts w:asciiTheme="majorBidi" w:hAnsiTheme="majorBidi" w:cstheme="majorBidi"/>
          <w:sz w:val="20"/>
          <w:szCs w:val="20"/>
        </w:rPr>
        <w:t xml:space="preserve">utanaqida </w:t>
      </w:r>
      <w:r>
        <w:rPr>
          <w:rFonts w:asciiTheme="majorBidi" w:hAnsiTheme="majorBidi" w:cstheme="majorBidi"/>
          <w:sz w:val="20"/>
          <w:szCs w:val="20"/>
        </w:rPr>
        <w:t>(</w:t>
      </w:r>
      <w:r w:rsidRPr="00F075DD">
        <w:rPr>
          <w:rFonts w:asciiTheme="majorBidi" w:hAnsiTheme="majorBidi" w:cstheme="majorBidi"/>
          <w:sz w:val="20"/>
          <w:szCs w:val="20"/>
        </w:rPr>
        <w:t>Integration of Contradictory Spectrum Colors</w:t>
      </w:r>
      <w:r>
        <w:rPr>
          <w:rFonts w:asciiTheme="majorBidi" w:hAnsiTheme="majorBidi" w:cstheme="majorBidi"/>
          <w:sz w:val="20"/>
          <w:szCs w:val="20"/>
        </w:rPr>
        <w:t>)</w:t>
      </w:r>
      <w:r w:rsidRPr="00F075DD">
        <w:rPr>
          <w:rFonts w:asciiTheme="majorBidi" w:hAnsiTheme="majorBidi" w:cstheme="majorBidi"/>
          <w:sz w:val="20"/>
          <w:szCs w:val="20"/>
        </w:rPr>
        <w:t>",</w:t>
      </w:r>
      <w:r>
        <w:rPr>
          <w:rFonts w:asciiTheme="majorBidi" w:hAnsiTheme="majorBidi" w:cstheme="majorBidi"/>
          <w:sz w:val="20"/>
          <w:szCs w:val="20"/>
        </w:rPr>
        <w:t xml:space="preserve"> </w:t>
      </w:r>
      <w:r w:rsidRPr="00DD20AB">
        <w:rPr>
          <w:rFonts w:asciiTheme="majorBidi" w:hAnsiTheme="majorBidi" w:cstheme="majorBidi"/>
          <w:i/>
          <w:iCs/>
          <w:sz w:val="20"/>
          <w:szCs w:val="20"/>
        </w:rPr>
        <w:t>Imad Falouji's Website</w:t>
      </w:r>
      <w:r>
        <w:rPr>
          <w:rFonts w:asciiTheme="majorBidi" w:hAnsiTheme="majorBidi" w:cstheme="majorBidi"/>
          <w:i/>
          <w:iCs/>
          <w:sz w:val="20"/>
          <w:szCs w:val="20"/>
        </w:rPr>
        <w:t>,</w:t>
      </w:r>
      <w:r w:rsidRPr="00F075DD">
        <w:rPr>
          <w:rFonts w:asciiTheme="majorBidi" w:hAnsiTheme="majorBidi" w:cstheme="majorBidi"/>
          <w:sz w:val="20"/>
          <w:szCs w:val="20"/>
        </w:rPr>
        <w:t xml:space="preserve"> 23-11-2003, </w:t>
      </w:r>
      <w:hyperlink r:id="rId19" w:history="1">
        <w:r w:rsidRPr="00A645C6">
          <w:rPr>
            <w:rStyle w:val="Hyperlink"/>
            <w:rFonts w:asciiTheme="majorBidi" w:hAnsiTheme="majorBidi" w:cstheme="majorBidi"/>
            <w:sz w:val="20"/>
            <w:szCs w:val="20"/>
          </w:rPr>
          <w:t>http://www.imadfalouji.ps/post/152</w:t>
        </w:r>
      </w:hyperlink>
      <w:r w:rsidRPr="00F075DD">
        <w:rPr>
          <w:rFonts w:asciiTheme="majorBidi" w:hAnsiTheme="majorBidi" w:cstheme="majorBidi"/>
          <w:sz w:val="20"/>
          <w:szCs w:val="20"/>
        </w:rPr>
        <w:t xml:space="preserve">; </w:t>
      </w:r>
      <w:hyperlink r:id="rId20" w:history="1">
        <w:r w:rsidRPr="00A645C6">
          <w:rPr>
            <w:rStyle w:val="Hyperlink"/>
            <w:rFonts w:asciiTheme="majorBidi" w:hAnsiTheme="majorBidi" w:cstheme="majorBidi"/>
            <w:sz w:val="20"/>
            <w:szCs w:val="20"/>
          </w:rPr>
          <w:t>https://www.adam.ps</w:t>
        </w:r>
      </w:hyperlink>
      <w:r>
        <w:rPr>
          <w:rFonts w:asciiTheme="majorBidi" w:hAnsiTheme="majorBidi" w:cstheme="majorBidi"/>
          <w:sz w:val="20"/>
          <w:szCs w:val="20"/>
        </w:rPr>
        <w:t xml:space="preserve">. </w:t>
      </w:r>
    </w:p>
  </w:footnote>
  <w:footnote w:id="82">
    <w:p w14:paraId="4125F4BE" w14:textId="4FBBA1D1" w:rsidR="004F2B49" w:rsidRDefault="004F2B49" w:rsidP="004F2B49">
      <w:pPr>
        <w:pStyle w:val="FootnoteText"/>
        <w:bidi w:val="0"/>
      </w:pPr>
      <w:r>
        <w:rPr>
          <w:rStyle w:val="FootnoteReference"/>
        </w:rPr>
        <w:footnoteRef/>
      </w:r>
      <w:r>
        <w:rPr>
          <w:rtl/>
        </w:rPr>
        <w:t xml:space="preserve"> </w:t>
      </w:r>
      <w:r w:rsidRPr="00F075DD">
        <w:rPr>
          <w:rFonts w:asciiTheme="majorBidi" w:hAnsiTheme="majorBidi" w:cstheme="majorBidi"/>
        </w:rPr>
        <w:t>Falouji, "</w:t>
      </w:r>
      <w:r>
        <w:rPr>
          <w:rFonts w:asciiTheme="majorBidi" w:hAnsiTheme="majorBidi" w:cstheme="majorBidi"/>
        </w:rPr>
        <w:t>Ghalabi'iat al-Yahud Mutadayinun (</w:t>
      </w:r>
      <w:r w:rsidRPr="00F075DD">
        <w:rPr>
          <w:rFonts w:asciiTheme="majorBidi" w:hAnsiTheme="majorBidi" w:cstheme="majorBidi"/>
        </w:rPr>
        <w:t>The Majority of Jews are Religious</w:t>
      </w:r>
      <w:r>
        <w:rPr>
          <w:rFonts w:asciiTheme="majorBidi" w:hAnsiTheme="majorBidi" w:cstheme="majorBidi"/>
        </w:rPr>
        <w:t>)</w:t>
      </w:r>
      <w:r w:rsidRPr="00F075DD">
        <w:rPr>
          <w:rFonts w:asciiTheme="majorBidi" w:hAnsiTheme="majorBidi" w:cstheme="majorBidi"/>
        </w:rPr>
        <w:t xml:space="preserve">", </w:t>
      </w:r>
      <w:r w:rsidRPr="000C41F4">
        <w:rPr>
          <w:rFonts w:asciiTheme="majorBidi" w:hAnsiTheme="majorBidi" w:cstheme="majorBidi"/>
          <w:i/>
          <w:iCs/>
        </w:rPr>
        <w:t>Imad Falouji's Website</w:t>
      </w:r>
      <w:r w:rsidRPr="00F075DD">
        <w:rPr>
          <w:rFonts w:asciiTheme="majorBidi" w:hAnsiTheme="majorBidi" w:cstheme="majorBidi"/>
        </w:rPr>
        <w:t xml:space="preserve">, 17.5.2010, </w:t>
      </w:r>
      <w:hyperlink r:id="rId21" w:history="1">
        <w:r w:rsidRPr="00A645C6">
          <w:rPr>
            <w:rStyle w:val="Hyperlink"/>
            <w:rFonts w:asciiTheme="majorBidi" w:hAnsiTheme="majorBidi" w:cstheme="majorBidi"/>
          </w:rPr>
          <w:t>http://www.imadfalouji.ps/post/584</w:t>
        </w:r>
      </w:hyperlink>
      <w:r>
        <w:rPr>
          <w:rFonts w:asciiTheme="majorBidi" w:hAnsiTheme="majorBidi" w:cstheme="majorBidi"/>
        </w:rPr>
        <w:t>.</w:t>
      </w:r>
    </w:p>
  </w:footnote>
  <w:footnote w:id="83">
    <w:p w14:paraId="0F720658" w14:textId="4218CD38" w:rsidR="00036E02" w:rsidRPr="00036E02" w:rsidRDefault="00036E02" w:rsidP="00036E02">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F075DD">
        <w:rPr>
          <w:rFonts w:asciiTheme="majorBidi" w:hAnsiTheme="majorBidi" w:cstheme="majorBidi"/>
          <w:sz w:val="20"/>
          <w:szCs w:val="20"/>
        </w:rPr>
        <w:t>Al-Falouji</w:t>
      </w:r>
      <w:r w:rsidRPr="000C41F4">
        <w:rPr>
          <w:rFonts w:asciiTheme="majorBidi" w:hAnsiTheme="majorBidi" w:cstheme="majorBidi"/>
          <w:i/>
          <w:iCs/>
          <w:sz w:val="20"/>
          <w:szCs w:val="20"/>
        </w:rPr>
        <w:t>, Dar al-Ashwak (Path of Thorns)</w:t>
      </w:r>
      <w:r w:rsidRPr="00F075DD">
        <w:rPr>
          <w:rFonts w:asciiTheme="majorBidi" w:hAnsiTheme="majorBidi" w:cstheme="majorBidi"/>
          <w:sz w:val="20"/>
          <w:szCs w:val="20"/>
        </w:rPr>
        <w:t>, pp. 200-201, 222-231, 346-358</w:t>
      </w:r>
      <w:r>
        <w:rPr>
          <w:rFonts w:asciiTheme="majorBidi" w:hAnsiTheme="majorBidi" w:cstheme="majorBidi"/>
          <w:sz w:val="20"/>
          <w:szCs w:val="20"/>
        </w:rPr>
        <w:t>.</w:t>
      </w:r>
    </w:p>
  </w:footnote>
  <w:footnote w:id="84">
    <w:p w14:paraId="6BF8E5E7" w14:textId="37196C09" w:rsidR="00715FD1" w:rsidRPr="00715FD1" w:rsidRDefault="00715FD1" w:rsidP="00715FD1">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EB74B6">
        <w:rPr>
          <w:rFonts w:asciiTheme="majorBidi" w:hAnsiTheme="majorBidi" w:cstheme="majorBidi"/>
          <w:sz w:val="20"/>
          <w:szCs w:val="20"/>
        </w:rPr>
        <w:t>A</w:t>
      </w:r>
      <w:r>
        <w:rPr>
          <w:rFonts w:asciiTheme="majorBidi" w:hAnsiTheme="majorBidi" w:cstheme="majorBidi"/>
          <w:sz w:val="20"/>
          <w:szCs w:val="20"/>
        </w:rPr>
        <w:t xml:space="preserve">n Institute </w:t>
      </w:r>
      <w:r w:rsidRPr="00EB74B6">
        <w:rPr>
          <w:rFonts w:asciiTheme="majorBidi" w:hAnsiTheme="majorBidi" w:cstheme="majorBidi"/>
          <w:sz w:val="20"/>
          <w:szCs w:val="20"/>
        </w:rPr>
        <w:t>with a broader consensus than the PLO.</w:t>
      </w:r>
    </w:p>
  </w:footnote>
  <w:footnote w:id="85">
    <w:p w14:paraId="54319CF5" w14:textId="32EFBED1" w:rsidR="00607788" w:rsidRDefault="00607788" w:rsidP="00607788">
      <w:pPr>
        <w:pStyle w:val="FootnoteText"/>
        <w:bidi w:val="0"/>
      </w:pPr>
      <w:r>
        <w:rPr>
          <w:rStyle w:val="FootnoteReference"/>
        </w:rPr>
        <w:footnoteRef/>
      </w:r>
      <w:r>
        <w:rPr>
          <w:rtl/>
        </w:rPr>
        <w:t xml:space="preserve"> </w:t>
      </w:r>
      <w:r w:rsidRPr="00EB74B6">
        <w:rPr>
          <w:rFonts w:asciiTheme="majorBidi" w:hAnsiTheme="majorBidi" w:cstheme="majorBidi"/>
        </w:rPr>
        <w:t>Fran,</w:t>
      </w:r>
      <w:r>
        <w:rPr>
          <w:rFonts w:asciiTheme="majorBidi" w:hAnsiTheme="majorBidi" w:cstheme="majorBidi"/>
        </w:rPr>
        <w:t xml:space="preserve"> "H</w:t>
      </w:r>
      <w:r w:rsidRPr="00780AB4">
        <w:rPr>
          <w:rFonts w:asciiTheme="majorBidi" w:hAnsiTheme="majorBidi" w:cstheme="majorBidi"/>
        </w:rPr>
        <w:t xml:space="preserve">amas </w:t>
      </w:r>
      <w:r>
        <w:rPr>
          <w:rFonts w:asciiTheme="majorBidi" w:hAnsiTheme="majorBidi" w:cstheme="majorBidi"/>
        </w:rPr>
        <w:t>M</w:t>
      </w:r>
      <w:r w:rsidRPr="00780AB4">
        <w:rPr>
          <w:rFonts w:asciiTheme="majorBidi" w:hAnsiTheme="majorBidi" w:cstheme="majorBidi"/>
        </w:rPr>
        <w:t>azalat al</w:t>
      </w:r>
      <w:r>
        <w:rPr>
          <w:rFonts w:asciiTheme="majorBidi" w:hAnsiTheme="majorBidi" w:cstheme="majorBidi"/>
        </w:rPr>
        <w:t>-Q</w:t>
      </w:r>
      <w:r w:rsidRPr="00780AB4">
        <w:rPr>
          <w:rFonts w:asciiTheme="majorBidi" w:hAnsiTheme="majorBidi" w:cstheme="majorBidi"/>
        </w:rPr>
        <w:t>uat al</w:t>
      </w:r>
      <w:r>
        <w:rPr>
          <w:rFonts w:asciiTheme="majorBidi" w:hAnsiTheme="majorBidi" w:cstheme="majorBidi"/>
        </w:rPr>
        <w:t>-R</w:t>
      </w:r>
      <w:r w:rsidRPr="00780AB4">
        <w:rPr>
          <w:rFonts w:asciiTheme="majorBidi" w:hAnsiTheme="majorBidi" w:cstheme="majorBidi"/>
        </w:rPr>
        <w:t>ayiysiat fi</w:t>
      </w:r>
      <w:r>
        <w:rPr>
          <w:rFonts w:asciiTheme="majorBidi" w:hAnsiTheme="majorBidi" w:cstheme="majorBidi"/>
        </w:rPr>
        <w:t xml:space="preserve"> G</w:t>
      </w:r>
      <w:r w:rsidRPr="00780AB4">
        <w:rPr>
          <w:rFonts w:asciiTheme="majorBidi" w:hAnsiTheme="majorBidi" w:cstheme="majorBidi"/>
        </w:rPr>
        <w:t xml:space="preserve">haza </w:t>
      </w:r>
      <w:r>
        <w:rPr>
          <w:rFonts w:asciiTheme="majorBidi" w:hAnsiTheme="majorBidi" w:cstheme="majorBidi"/>
        </w:rPr>
        <w:t>(</w:t>
      </w:r>
      <w:r w:rsidRPr="00EB74B6">
        <w:rPr>
          <w:rFonts w:asciiTheme="majorBidi" w:hAnsiTheme="majorBidi" w:cstheme="majorBidi"/>
        </w:rPr>
        <w:t>Hamas is Still the Main Force in Gaza</w:t>
      </w:r>
      <w:r>
        <w:rPr>
          <w:rFonts w:asciiTheme="majorBidi" w:hAnsiTheme="majorBidi" w:cstheme="majorBidi"/>
        </w:rPr>
        <w:t>)</w:t>
      </w:r>
      <w:r w:rsidRPr="00EB74B6">
        <w:rPr>
          <w:rFonts w:asciiTheme="majorBidi" w:hAnsiTheme="majorBidi" w:cstheme="majorBidi"/>
        </w:rPr>
        <w:t xml:space="preserve">", </w:t>
      </w:r>
      <w:r w:rsidRPr="00715FD1">
        <w:rPr>
          <w:rFonts w:asciiTheme="majorBidi" w:hAnsiTheme="majorBidi" w:cstheme="majorBidi"/>
          <w:i/>
          <w:iCs/>
        </w:rPr>
        <w:t>Imad Falouji's Website</w:t>
      </w:r>
      <w:r w:rsidRPr="00EB74B6">
        <w:rPr>
          <w:rFonts w:asciiTheme="majorBidi" w:hAnsiTheme="majorBidi" w:cstheme="majorBidi"/>
        </w:rPr>
        <w:t xml:space="preserve">, 14.9.2011, </w:t>
      </w:r>
      <w:hyperlink r:id="rId22" w:history="1">
        <w:r w:rsidRPr="00A645C6">
          <w:rPr>
            <w:rStyle w:val="Hyperlink"/>
            <w:rFonts w:asciiTheme="majorBidi" w:hAnsiTheme="majorBidi" w:cstheme="majorBidi"/>
          </w:rPr>
          <w:t>http://www.imadfalouji.ps/post/1192</w:t>
        </w:r>
      </w:hyperlink>
      <w:r>
        <w:rPr>
          <w:rFonts w:asciiTheme="majorBidi" w:hAnsiTheme="majorBidi" w:cstheme="majorBidi"/>
        </w:rPr>
        <w:t>.</w:t>
      </w:r>
    </w:p>
  </w:footnote>
  <w:footnote w:id="86">
    <w:p w14:paraId="30A3ADD7" w14:textId="7591E6C0" w:rsidR="00754D6A" w:rsidRDefault="00754D6A" w:rsidP="00754D6A">
      <w:pPr>
        <w:pStyle w:val="FootnoteText"/>
        <w:bidi w:val="0"/>
      </w:pPr>
      <w:r>
        <w:rPr>
          <w:rStyle w:val="FootnoteReference"/>
        </w:rPr>
        <w:footnoteRef/>
      </w:r>
      <w:r>
        <w:rPr>
          <w:rtl/>
        </w:rPr>
        <w:t xml:space="preserve"> </w:t>
      </w:r>
      <w:r w:rsidRPr="00EB74B6">
        <w:rPr>
          <w:rFonts w:asciiTheme="majorBidi" w:hAnsiTheme="majorBidi" w:cstheme="majorBidi"/>
        </w:rPr>
        <w:t xml:space="preserve">Al-Falouji, </w:t>
      </w:r>
      <w:r w:rsidRPr="00DD20AB">
        <w:rPr>
          <w:rFonts w:asciiTheme="majorBidi" w:hAnsiTheme="majorBidi" w:cstheme="majorBidi"/>
          <w:i/>
          <w:iCs/>
        </w:rPr>
        <w:t>Darb al-Ashwak (Path of Thorns)</w:t>
      </w:r>
      <w:r w:rsidRPr="00EB74B6">
        <w:rPr>
          <w:rFonts w:asciiTheme="majorBidi" w:hAnsiTheme="majorBidi" w:cstheme="majorBidi"/>
        </w:rPr>
        <w:t xml:space="preserve"> pp. 28-32, 47-52, 83-86, 279-293, 326-339, 390-395, 446-431; Al-Falouji, </w:t>
      </w:r>
      <w:r w:rsidRPr="00914494">
        <w:rPr>
          <w:rFonts w:asciiTheme="majorBidi" w:hAnsiTheme="majorBidi" w:cstheme="majorBidi"/>
          <w:i/>
          <w:iCs/>
        </w:rPr>
        <w:t>Ma'a l-Rais (With the President)</w:t>
      </w:r>
      <w:r w:rsidRPr="00EB74B6">
        <w:rPr>
          <w:rFonts w:asciiTheme="majorBidi" w:hAnsiTheme="majorBidi" w:cstheme="majorBidi"/>
        </w:rPr>
        <w:t xml:space="preserve">, pp. 35-56, 74-88, 197-209; Al-Falouji, </w:t>
      </w:r>
      <w:r w:rsidRPr="00914494">
        <w:rPr>
          <w:rFonts w:asciiTheme="majorBidi" w:hAnsiTheme="majorBidi" w:cstheme="majorBidi"/>
          <w:i/>
          <w:iCs/>
        </w:rPr>
        <w:t>Min Kalb al-Sulta (From the Heart of Authority)</w:t>
      </w:r>
      <w:r w:rsidRPr="00F075DD">
        <w:rPr>
          <w:rFonts w:asciiTheme="majorBidi" w:hAnsiTheme="majorBidi" w:cstheme="majorBidi"/>
        </w:rPr>
        <w:t>,</w:t>
      </w:r>
      <w:r>
        <w:rPr>
          <w:rFonts w:asciiTheme="majorBidi" w:hAnsiTheme="majorBidi" w:cstheme="majorBidi"/>
          <w:sz w:val="24"/>
          <w:lang w:bidi="ar-SA"/>
        </w:rPr>
        <w:t xml:space="preserve"> </w:t>
      </w:r>
      <w:r w:rsidRPr="00EB74B6">
        <w:rPr>
          <w:rFonts w:asciiTheme="majorBidi" w:hAnsiTheme="majorBidi" w:cstheme="majorBidi"/>
        </w:rPr>
        <w:t>pp. 13-20, 163-168, 239-241, 273-279.</w:t>
      </w:r>
    </w:p>
  </w:footnote>
  <w:footnote w:id="87">
    <w:p w14:paraId="558CDD53" w14:textId="28AD49C8" w:rsidR="00872105" w:rsidRPr="00872105" w:rsidRDefault="00872105" w:rsidP="0087210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524A66">
        <w:rPr>
          <w:rFonts w:asciiTheme="majorBidi" w:hAnsiTheme="majorBidi" w:cstheme="majorBidi"/>
          <w:sz w:val="20"/>
          <w:szCs w:val="20"/>
        </w:rPr>
        <w:t xml:space="preserve">Al-Falouji, </w:t>
      </w:r>
      <w:r w:rsidRPr="00914494">
        <w:rPr>
          <w:rFonts w:asciiTheme="majorBidi" w:hAnsiTheme="majorBidi" w:cstheme="majorBidi"/>
          <w:i/>
          <w:iCs/>
          <w:sz w:val="20"/>
          <w:szCs w:val="20"/>
        </w:rPr>
        <w:t>Ma'a l-Rais (With the President)</w:t>
      </w:r>
      <w:r w:rsidRPr="00524A66">
        <w:rPr>
          <w:rFonts w:asciiTheme="majorBidi" w:hAnsiTheme="majorBidi" w:cstheme="majorBidi"/>
          <w:sz w:val="20"/>
          <w:szCs w:val="20"/>
        </w:rPr>
        <w:t>, p. 103;</w:t>
      </w:r>
      <w:r>
        <w:rPr>
          <w:rFonts w:asciiTheme="majorBidi" w:hAnsiTheme="majorBidi" w:cstheme="majorBidi"/>
          <w:sz w:val="20"/>
          <w:szCs w:val="20"/>
        </w:rPr>
        <w:t xml:space="preserve"> </w:t>
      </w:r>
      <w:r w:rsidRPr="00524A66">
        <w:rPr>
          <w:rFonts w:asciiTheme="majorBidi" w:hAnsiTheme="majorBidi" w:cstheme="majorBidi"/>
          <w:sz w:val="20"/>
          <w:szCs w:val="20"/>
        </w:rPr>
        <w:t>Wahbeh and Nasir al-Din, "</w:t>
      </w:r>
      <w:r>
        <w:rPr>
          <w:rFonts w:asciiTheme="majorBidi" w:hAnsiTheme="majorBidi" w:cstheme="majorBidi"/>
          <w:sz w:val="20"/>
          <w:szCs w:val="20"/>
        </w:rPr>
        <w:t>A</w:t>
      </w:r>
      <w:r w:rsidRPr="000B61CD">
        <w:rPr>
          <w:rFonts w:asciiTheme="majorBidi" w:hAnsiTheme="majorBidi" w:cstheme="majorBidi"/>
          <w:sz w:val="20"/>
          <w:szCs w:val="20"/>
        </w:rPr>
        <w:t>h</w:t>
      </w:r>
      <w:r>
        <w:rPr>
          <w:rFonts w:asciiTheme="majorBidi" w:hAnsiTheme="majorBidi" w:cstheme="majorBidi"/>
          <w:sz w:val="20"/>
          <w:szCs w:val="20"/>
        </w:rPr>
        <w:t>a</w:t>
      </w:r>
      <w:r w:rsidRPr="000B61CD">
        <w:rPr>
          <w:rFonts w:asciiTheme="majorBidi" w:hAnsiTheme="majorBidi" w:cstheme="majorBidi"/>
          <w:sz w:val="20"/>
          <w:szCs w:val="20"/>
        </w:rPr>
        <w:t xml:space="preserve">d </w:t>
      </w:r>
      <w:r>
        <w:rPr>
          <w:rFonts w:asciiTheme="majorBidi" w:hAnsiTheme="majorBidi" w:cstheme="majorBidi"/>
          <w:sz w:val="20"/>
          <w:szCs w:val="20"/>
        </w:rPr>
        <w:t>Q</w:t>
      </w:r>
      <w:r w:rsidRPr="000B61CD">
        <w:rPr>
          <w:rFonts w:asciiTheme="majorBidi" w:hAnsiTheme="majorBidi" w:cstheme="majorBidi"/>
          <w:sz w:val="20"/>
          <w:szCs w:val="20"/>
        </w:rPr>
        <w:t xml:space="preserve">adat </w:t>
      </w:r>
      <w:r>
        <w:rPr>
          <w:rFonts w:asciiTheme="majorBidi" w:hAnsiTheme="majorBidi" w:cstheme="majorBidi"/>
          <w:sz w:val="20"/>
          <w:szCs w:val="20"/>
        </w:rPr>
        <w:t>H</w:t>
      </w:r>
      <w:r w:rsidRPr="000B61CD">
        <w:rPr>
          <w:rFonts w:asciiTheme="majorBidi" w:hAnsiTheme="majorBidi" w:cstheme="majorBidi"/>
          <w:sz w:val="20"/>
          <w:szCs w:val="20"/>
        </w:rPr>
        <w:t xml:space="preserve">amas </w:t>
      </w:r>
      <w:r>
        <w:rPr>
          <w:rFonts w:asciiTheme="majorBidi" w:hAnsiTheme="majorBidi" w:cstheme="majorBidi"/>
          <w:sz w:val="20"/>
          <w:szCs w:val="20"/>
        </w:rPr>
        <w:t>S</w:t>
      </w:r>
      <w:r w:rsidRPr="000B61CD">
        <w:rPr>
          <w:rFonts w:asciiTheme="majorBidi" w:hAnsiTheme="majorBidi" w:cstheme="majorBidi"/>
          <w:sz w:val="20"/>
          <w:szCs w:val="20"/>
        </w:rPr>
        <w:t xml:space="preserve">abiqan </w:t>
      </w:r>
      <w:r>
        <w:rPr>
          <w:rFonts w:asciiTheme="majorBidi" w:hAnsiTheme="majorBidi" w:cstheme="majorBidi"/>
          <w:sz w:val="20"/>
          <w:szCs w:val="20"/>
        </w:rPr>
        <w:t>(</w:t>
      </w:r>
      <w:r w:rsidRPr="00524A66">
        <w:rPr>
          <w:rFonts w:asciiTheme="majorBidi" w:hAnsiTheme="majorBidi" w:cstheme="majorBidi"/>
          <w:sz w:val="20"/>
          <w:szCs w:val="20"/>
        </w:rPr>
        <w:t>A Former Leader of Hamas</w:t>
      </w:r>
      <w:r>
        <w:rPr>
          <w:rFonts w:asciiTheme="majorBidi" w:hAnsiTheme="majorBidi" w:cstheme="majorBidi"/>
          <w:sz w:val="20"/>
          <w:szCs w:val="20"/>
        </w:rPr>
        <w:t>)</w:t>
      </w:r>
      <w:r w:rsidRPr="00524A66">
        <w:rPr>
          <w:rFonts w:asciiTheme="majorBidi" w:hAnsiTheme="majorBidi" w:cstheme="majorBidi"/>
          <w:sz w:val="20"/>
          <w:szCs w:val="20"/>
        </w:rPr>
        <w:t xml:space="preserve">", </w:t>
      </w:r>
      <w:r w:rsidRPr="008F2AB6">
        <w:rPr>
          <w:rFonts w:asciiTheme="majorBidi" w:hAnsiTheme="majorBidi" w:cstheme="majorBidi"/>
          <w:i/>
          <w:iCs/>
          <w:sz w:val="20"/>
          <w:szCs w:val="20"/>
        </w:rPr>
        <w:t>Imad Falouji's Website</w:t>
      </w:r>
      <w:r w:rsidRPr="00524A66">
        <w:rPr>
          <w:rFonts w:asciiTheme="majorBidi" w:hAnsiTheme="majorBidi" w:cstheme="majorBidi"/>
          <w:sz w:val="20"/>
          <w:szCs w:val="20"/>
        </w:rPr>
        <w:t xml:space="preserve">, 14.9.2011, </w:t>
      </w:r>
      <w:hyperlink r:id="rId23" w:history="1">
        <w:r w:rsidRPr="00A645C6">
          <w:rPr>
            <w:rStyle w:val="Hyperlink"/>
            <w:rFonts w:asciiTheme="majorBidi" w:hAnsiTheme="majorBidi" w:cstheme="majorBidi"/>
            <w:sz w:val="20"/>
            <w:szCs w:val="20"/>
          </w:rPr>
          <w:t>http://www.imadfalouji.ps/post/1196</w:t>
        </w:r>
      </w:hyperlink>
      <w:r>
        <w:rPr>
          <w:rFonts w:asciiTheme="majorBidi" w:hAnsiTheme="majorBidi" w:cstheme="majorBidi"/>
          <w:sz w:val="20"/>
          <w:szCs w:val="20"/>
        </w:rPr>
        <w:t xml:space="preserve">. </w:t>
      </w:r>
    </w:p>
  </w:footnote>
  <w:footnote w:id="88">
    <w:p w14:paraId="0F731271" w14:textId="3474B9D7" w:rsidR="00872105" w:rsidRPr="00872105" w:rsidRDefault="00872105" w:rsidP="0087210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524A66">
        <w:rPr>
          <w:rFonts w:asciiTheme="majorBidi" w:hAnsiTheme="majorBidi" w:cstheme="majorBidi"/>
          <w:sz w:val="20"/>
          <w:szCs w:val="20"/>
        </w:rPr>
        <w:t>Ghassan Wahbeh and Ibrahim Nasir al-Din,</w:t>
      </w:r>
      <w:r>
        <w:rPr>
          <w:rFonts w:asciiTheme="majorBidi" w:hAnsiTheme="majorBidi" w:cstheme="majorBidi"/>
          <w:sz w:val="20"/>
          <w:szCs w:val="20"/>
        </w:rPr>
        <w:t xml:space="preserve"> </w:t>
      </w:r>
      <w:r w:rsidRPr="00524A66">
        <w:rPr>
          <w:rFonts w:asciiTheme="majorBidi" w:hAnsiTheme="majorBidi" w:cstheme="majorBidi"/>
          <w:sz w:val="20"/>
          <w:szCs w:val="20"/>
        </w:rPr>
        <w:t>"</w:t>
      </w:r>
      <w:r>
        <w:rPr>
          <w:rFonts w:asciiTheme="majorBidi" w:hAnsiTheme="majorBidi" w:cstheme="majorBidi"/>
          <w:sz w:val="20"/>
          <w:szCs w:val="20"/>
        </w:rPr>
        <w:t>A</w:t>
      </w:r>
      <w:r w:rsidRPr="000B61CD">
        <w:rPr>
          <w:rFonts w:asciiTheme="majorBidi" w:hAnsiTheme="majorBidi" w:cstheme="majorBidi"/>
          <w:sz w:val="20"/>
          <w:szCs w:val="20"/>
        </w:rPr>
        <w:t>h</w:t>
      </w:r>
      <w:r>
        <w:rPr>
          <w:rFonts w:asciiTheme="majorBidi" w:hAnsiTheme="majorBidi" w:cstheme="majorBidi"/>
          <w:sz w:val="20"/>
          <w:szCs w:val="20"/>
        </w:rPr>
        <w:t>a</w:t>
      </w:r>
      <w:r w:rsidRPr="000B61CD">
        <w:rPr>
          <w:rFonts w:asciiTheme="majorBidi" w:hAnsiTheme="majorBidi" w:cstheme="majorBidi"/>
          <w:sz w:val="20"/>
          <w:szCs w:val="20"/>
        </w:rPr>
        <w:t xml:space="preserve">d </w:t>
      </w:r>
      <w:r>
        <w:rPr>
          <w:rFonts w:asciiTheme="majorBidi" w:hAnsiTheme="majorBidi" w:cstheme="majorBidi"/>
          <w:sz w:val="20"/>
          <w:szCs w:val="20"/>
        </w:rPr>
        <w:t>Q</w:t>
      </w:r>
      <w:r w:rsidRPr="000B61CD">
        <w:rPr>
          <w:rFonts w:asciiTheme="majorBidi" w:hAnsiTheme="majorBidi" w:cstheme="majorBidi"/>
          <w:sz w:val="20"/>
          <w:szCs w:val="20"/>
        </w:rPr>
        <w:t xml:space="preserve">adat </w:t>
      </w:r>
      <w:r>
        <w:rPr>
          <w:rFonts w:asciiTheme="majorBidi" w:hAnsiTheme="majorBidi" w:cstheme="majorBidi"/>
          <w:sz w:val="20"/>
          <w:szCs w:val="20"/>
        </w:rPr>
        <w:t>H</w:t>
      </w:r>
      <w:r w:rsidRPr="000B61CD">
        <w:rPr>
          <w:rFonts w:asciiTheme="majorBidi" w:hAnsiTheme="majorBidi" w:cstheme="majorBidi"/>
          <w:sz w:val="20"/>
          <w:szCs w:val="20"/>
        </w:rPr>
        <w:t xml:space="preserve">amas </w:t>
      </w:r>
      <w:r>
        <w:rPr>
          <w:rFonts w:asciiTheme="majorBidi" w:hAnsiTheme="majorBidi" w:cstheme="majorBidi"/>
          <w:sz w:val="20"/>
          <w:szCs w:val="20"/>
        </w:rPr>
        <w:t>S</w:t>
      </w:r>
      <w:r w:rsidRPr="000B61CD">
        <w:rPr>
          <w:rFonts w:asciiTheme="majorBidi" w:hAnsiTheme="majorBidi" w:cstheme="majorBidi"/>
          <w:sz w:val="20"/>
          <w:szCs w:val="20"/>
        </w:rPr>
        <w:t xml:space="preserve">abiqan </w:t>
      </w:r>
      <w:r>
        <w:rPr>
          <w:rFonts w:asciiTheme="majorBidi" w:hAnsiTheme="majorBidi" w:cstheme="majorBidi"/>
          <w:sz w:val="20"/>
          <w:szCs w:val="20"/>
        </w:rPr>
        <w:t>(</w:t>
      </w:r>
      <w:r w:rsidRPr="00524A66">
        <w:rPr>
          <w:rFonts w:asciiTheme="majorBidi" w:hAnsiTheme="majorBidi" w:cstheme="majorBidi"/>
          <w:sz w:val="20"/>
          <w:szCs w:val="20"/>
        </w:rPr>
        <w:t>A Former Leader of Hamas</w:t>
      </w:r>
      <w:r>
        <w:rPr>
          <w:rFonts w:asciiTheme="majorBidi" w:hAnsiTheme="majorBidi" w:cstheme="majorBidi"/>
          <w:sz w:val="20"/>
          <w:szCs w:val="20"/>
        </w:rPr>
        <w:t>)</w:t>
      </w:r>
      <w:r w:rsidRPr="00524A66">
        <w:rPr>
          <w:rFonts w:asciiTheme="majorBidi" w:hAnsiTheme="majorBidi" w:cstheme="majorBidi"/>
          <w:sz w:val="20"/>
          <w:szCs w:val="20"/>
        </w:rPr>
        <w:t>",</w:t>
      </w:r>
      <w:r>
        <w:rPr>
          <w:rFonts w:asciiTheme="majorBidi" w:hAnsiTheme="majorBidi" w:cstheme="majorBidi"/>
          <w:sz w:val="20"/>
          <w:szCs w:val="20"/>
        </w:rPr>
        <w:t xml:space="preserve"> </w:t>
      </w:r>
      <w:r w:rsidRPr="008F2AB6">
        <w:rPr>
          <w:rFonts w:asciiTheme="majorBidi" w:hAnsiTheme="majorBidi" w:cstheme="majorBidi"/>
          <w:i/>
          <w:iCs/>
          <w:sz w:val="20"/>
          <w:szCs w:val="20"/>
        </w:rPr>
        <w:t>Imad Falouji's Website</w:t>
      </w:r>
      <w:r w:rsidRPr="00524A66">
        <w:rPr>
          <w:rFonts w:asciiTheme="majorBidi" w:hAnsiTheme="majorBidi" w:cstheme="majorBidi"/>
          <w:sz w:val="20"/>
          <w:szCs w:val="20"/>
        </w:rPr>
        <w:t xml:space="preserve">, 14.9.2011, </w:t>
      </w:r>
      <w:hyperlink r:id="rId24" w:history="1">
        <w:r w:rsidRPr="00A645C6">
          <w:rPr>
            <w:rStyle w:val="Hyperlink"/>
            <w:rFonts w:asciiTheme="majorBidi" w:hAnsiTheme="majorBidi" w:cstheme="majorBidi"/>
            <w:sz w:val="20"/>
            <w:szCs w:val="20"/>
          </w:rPr>
          <w:t>http://www.imadfalouji.ps/post/1196</w:t>
        </w:r>
      </w:hyperlink>
      <w:r>
        <w:rPr>
          <w:rFonts w:asciiTheme="majorBidi" w:hAnsiTheme="majorBidi" w:cstheme="majorBidi"/>
          <w:sz w:val="20"/>
          <w:szCs w:val="20"/>
        </w:rPr>
        <w:t>;</w:t>
      </w:r>
      <w:r w:rsidRPr="00524A66">
        <w:rPr>
          <w:rFonts w:asciiTheme="majorBidi" w:hAnsiTheme="majorBidi" w:cstheme="majorBidi"/>
          <w:sz w:val="20"/>
          <w:szCs w:val="20"/>
        </w:rPr>
        <w:t xml:space="preserve"> </w:t>
      </w:r>
      <w:r>
        <w:rPr>
          <w:rFonts w:asciiTheme="majorBidi" w:hAnsiTheme="majorBidi" w:cstheme="majorBidi"/>
          <w:sz w:val="20"/>
          <w:szCs w:val="20"/>
        </w:rPr>
        <w:br/>
        <w:t>"Au</w:t>
      </w:r>
      <w:r w:rsidRPr="00C900D2">
        <w:rPr>
          <w:rFonts w:asciiTheme="majorBidi" w:hAnsiTheme="majorBidi" w:cstheme="majorBidi"/>
          <w:sz w:val="20"/>
          <w:szCs w:val="20"/>
        </w:rPr>
        <w:t xml:space="preserve">slu lam </w:t>
      </w:r>
      <w:r>
        <w:rPr>
          <w:rFonts w:asciiTheme="majorBidi" w:hAnsiTheme="majorBidi" w:cstheme="majorBidi"/>
          <w:sz w:val="20"/>
          <w:szCs w:val="20"/>
        </w:rPr>
        <w:t>T</w:t>
      </w:r>
      <w:r w:rsidRPr="00C900D2">
        <w:rPr>
          <w:rFonts w:asciiTheme="majorBidi" w:hAnsiTheme="majorBidi" w:cstheme="majorBidi"/>
          <w:sz w:val="20"/>
          <w:szCs w:val="20"/>
        </w:rPr>
        <w:t xml:space="preserve">akun </w:t>
      </w:r>
      <w:r>
        <w:rPr>
          <w:rFonts w:asciiTheme="majorBidi" w:hAnsiTheme="majorBidi" w:cstheme="majorBidi"/>
          <w:sz w:val="20"/>
          <w:szCs w:val="20"/>
        </w:rPr>
        <w:t>A</w:t>
      </w:r>
      <w:r w:rsidRPr="00C900D2">
        <w:rPr>
          <w:rFonts w:asciiTheme="majorBidi" w:hAnsiTheme="majorBidi" w:cstheme="majorBidi"/>
          <w:sz w:val="20"/>
          <w:szCs w:val="20"/>
        </w:rPr>
        <w:t xml:space="preserve">itifaqiat </w:t>
      </w:r>
      <w:r>
        <w:rPr>
          <w:rFonts w:asciiTheme="majorBidi" w:hAnsiTheme="majorBidi" w:cstheme="majorBidi"/>
          <w:sz w:val="20"/>
          <w:szCs w:val="20"/>
        </w:rPr>
        <w:t>S</w:t>
      </w:r>
      <w:r w:rsidRPr="00C900D2">
        <w:rPr>
          <w:rFonts w:asciiTheme="majorBidi" w:hAnsiTheme="majorBidi" w:cstheme="majorBidi"/>
          <w:sz w:val="20"/>
          <w:szCs w:val="20"/>
        </w:rPr>
        <w:t xml:space="preserve">alam </w:t>
      </w:r>
      <w:r>
        <w:rPr>
          <w:rFonts w:asciiTheme="majorBidi" w:hAnsiTheme="majorBidi" w:cstheme="majorBidi"/>
          <w:sz w:val="20"/>
          <w:szCs w:val="20"/>
        </w:rPr>
        <w:t>(</w:t>
      </w:r>
      <w:r w:rsidRPr="00524A66">
        <w:rPr>
          <w:rFonts w:asciiTheme="majorBidi" w:hAnsiTheme="majorBidi" w:cstheme="majorBidi"/>
          <w:sz w:val="20"/>
          <w:szCs w:val="20"/>
        </w:rPr>
        <w:t>Oslo Was Not a Peace Agreement</w:t>
      </w:r>
      <w:r>
        <w:rPr>
          <w:rFonts w:asciiTheme="majorBidi" w:hAnsiTheme="majorBidi" w:cstheme="majorBidi"/>
          <w:sz w:val="20"/>
          <w:szCs w:val="20"/>
        </w:rPr>
        <w:t>)"</w:t>
      </w:r>
      <w:r w:rsidRPr="00524A66">
        <w:rPr>
          <w:rFonts w:asciiTheme="majorBidi" w:hAnsiTheme="majorBidi" w:cstheme="majorBidi"/>
          <w:sz w:val="20"/>
          <w:szCs w:val="20"/>
        </w:rPr>
        <w:t xml:space="preserve">, </w:t>
      </w:r>
      <w:r w:rsidRPr="008F2AB6">
        <w:rPr>
          <w:rFonts w:asciiTheme="majorBidi" w:hAnsiTheme="majorBidi" w:cstheme="majorBidi"/>
          <w:i/>
          <w:iCs/>
          <w:sz w:val="20"/>
          <w:szCs w:val="20"/>
        </w:rPr>
        <w:t>Al-Ghad Channel - YouTube</w:t>
      </w:r>
      <w:r w:rsidRPr="00524A66">
        <w:rPr>
          <w:rFonts w:asciiTheme="majorBidi" w:hAnsiTheme="majorBidi" w:cstheme="majorBidi"/>
          <w:sz w:val="20"/>
          <w:szCs w:val="20"/>
        </w:rPr>
        <w:t xml:space="preserve">, 12.9.2018, </w:t>
      </w:r>
      <w:hyperlink r:id="rId25" w:history="1">
        <w:r w:rsidRPr="00A645C6">
          <w:rPr>
            <w:rStyle w:val="Hyperlink"/>
            <w:rFonts w:asciiTheme="majorBidi" w:hAnsiTheme="majorBidi" w:cstheme="majorBidi"/>
            <w:sz w:val="20"/>
            <w:szCs w:val="20"/>
          </w:rPr>
          <w:t>https://www.youtube.com/watch?v=zEkAc5sSHow</w:t>
        </w:r>
      </w:hyperlink>
      <w:r>
        <w:rPr>
          <w:rFonts w:asciiTheme="majorBidi" w:hAnsiTheme="majorBidi" w:cstheme="majorBidi"/>
          <w:sz w:val="20"/>
          <w:szCs w:val="20"/>
        </w:rPr>
        <w:t xml:space="preserve">. </w:t>
      </w:r>
    </w:p>
  </w:footnote>
  <w:footnote w:id="89">
    <w:p w14:paraId="7F544700" w14:textId="59A9CE52" w:rsidR="00872105" w:rsidRPr="00872105" w:rsidRDefault="00872105" w:rsidP="00872105">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524A66">
        <w:rPr>
          <w:rFonts w:asciiTheme="majorBidi" w:hAnsiTheme="majorBidi" w:cstheme="majorBidi"/>
          <w:sz w:val="20"/>
          <w:szCs w:val="20"/>
        </w:rPr>
        <w:t xml:space="preserve">Al-Falouji, </w:t>
      </w:r>
      <w:r w:rsidRPr="00914494">
        <w:rPr>
          <w:rFonts w:asciiTheme="majorBidi" w:hAnsiTheme="majorBidi" w:cstheme="majorBidi"/>
          <w:i/>
          <w:iCs/>
          <w:sz w:val="20"/>
          <w:szCs w:val="20"/>
        </w:rPr>
        <w:t>Ma'a l-Rais (With the President)</w:t>
      </w:r>
      <w:r w:rsidRPr="00524A66">
        <w:rPr>
          <w:rFonts w:asciiTheme="majorBidi" w:hAnsiTheme="majorBidi" w:cstheme="majorBidi"/>
          <w:sz w:val="20"/>
          <w:szCs w:val="20"/>
        </w:rPr>
        <w:t>, p. 103; "</w:t>
      </w:r>
      <w:r>
        <w:rPr>
          <w:rFonts w:asciiTheme="majorBidi" w:hAnsiTheme="majorBidi" w:cstheme="majorBidi"/>
          <w:sz w:val="20"/>
          <w:szCs w:val="20"/>
        </w:rPr>
        <w:t>A</w:t>
      </w:r>
      <w:r w:rsidRPr="000B61CD">
        <w:rPr>
          <w:rFonts w:asciiTheme="majorBidi" w:hAnsiTheme="majorBidi" w:cstheme="majorBidi"/>
          <w:sz w:val="20"/>
          <w:szCs w:val="20"/>
        </w:rPr>
        <w:t>h</w:t>
      </w:r>
      <w:r>
        <w:rPr>
          <w:rFonts w:asciiTheme="majorBidi" w:hAnsiTheme="majorBidi" w:cstheme="majorBidi"/>
          <w:sz w:val="20"/>
          <w:szCs w:val="20"/>
        </w:rPr>
        <w:t>a</w:t>
      </w:r>
      <w:r w:rsidRPr="000B61CD">
        <w:rPr>
          <w:rFonts w:asciiTheme="majorBidi" w:hAnsiTheme="majorBidi" w:cstheme="majorBidi"/>
          <w:sz w:val="20"/>
          <w:szCs w:val="20"/>
        </w:rPr>
        <w:t xml:space="preserve">d </w:t>
      </w:r>
      <w:r>
        <w:rPr>
          <w:rFonts w:asciiTheme="majorBidi" w:hAnsiTheme="majorBidi" w:cstheme="majorBidi"/>
          <w:sz w:val="20"/>
          <w:szCs w:val="20"/>
        </w:rPr>
        <w:t>Q</w:t>
      </w:r>
      <w:r w:rsidRPr="000B61CD">
        <w:rPr>
          <w:rFonts w:asciiTheme="majorBidi" w:hAnsiTheme="majorBidi" w:cstheme="majorBidi"/>
          <w:sz w:val="20"/>
          <w:szCs w:val="20"/>
        </w:rPr>
        <w:t xml:space="preserve">adat </w:t>
      </w:r>
      <w:r>
        <w:rPr>
          <w:rFonts w:asciiTheme="majorBidi" w:hAnsiTheme="majorBidi" w:cstheme="majorBidi"/>
          <w:sz w:val="20"/>
          <w:szCs w:val="20"/>
        </w:rPr>
        <w:t>H</w:t>
      </w:r>
      <w:r w:rsidRPr="000B61CD">
        <w:rPr>
          <w:rFonts w:asciiTheme="majorBidi" w:hAnsiTheme="majorBidi" w:cstheme="majorBidi"/>
          <w:sz w:val="20"/>
          <w:szCs w:val="20"/>
        </w:rPr>
        <w:t xml:space="preserve">amas </w:t>
      </w:r>
      <w:r>
        <w:rPr>
          <w:rFonts w:asciiTheme="majorBidi" w:hAnsiTheme="majorBidi" w:cstheme="majorBidi"/>
          <w:sz w:val="20"/>
          <w:szCs w:val="20"/>
        </w:rPr>
        <w:t>S</w:t>
      </w:r>
      <w:r w:rsidRPr="000B61CD">
        <w:rPr>
          <w:rFonts w:asciiTheme="majorBidi" w:hAnsiTheme="majorBidi" w:cstheme="majorBidi"/>
          <w:sz w:val="20"/>
          <w:szCs w:val="20"/>
        </w:rPr>
        <w:t xml:space="preserve">abiqan </w:t>
      </w:r>
      <w:r>
        <w:rPr>
          <w:rFonts w:asciiTheme="majorBidi" w:hAnsiTheme="majorBidi" w:cstheme="majorBidi"/>
          <w:sz w:val="20"/>
          <w:szCs w:val="20"/>
        </w:rPr>
        <w:t>(</w:t>
      </w:r>
      <w:r w:rsidRPr="00524A66">
        <w:rPr>
          <w:rFonts w:asciiTheme="majorBidi" w:hAnsiTheme="majorBidi" w:cstheme="majorBidi"/>
          <w:sz w:val="20"/>
          <w:szCs w:val="20"/>
        </w:rPr>
        <w:t>A Former Leader of Hamas</w:t>
      </w:r>
      <w:r>
        <w:rPr>
          <w:rFonts w:asciiTheme="majorBidi" w:hAnsiTheme="majorBidi" w:cstheme="majorBidi"/>
          <w:sz w:val="20"/>
          <w:szCs w:val="20"/>
        </w:rPr>
        <w:t>)</w:t>
      </w:r>
      <w:r w:rsidRPr="00524A66">
        <w:rPr>
          <w:rFonts w:asciiTheme="majorBidi" w:hAnsiTheme="majorBidi" w:cstheme="majorBidi"/>
          <w:sz w:val="20"/>
          <w:szCs w:val="20"/>
        </w:rPr>
        <w:t xml:space="preserve">", </w:t>
      </w:r>
      <w:r w:rsidRPr="008F2AB6">
        <w:rPr>
          <w:rFonts w:asciiTheme="majorBidi" w:hAnsiTheme="majorBidi" w:cstheme="majorBidi"/>
          <w:i/>
          <w:iCs/>
          <w:sz w:val="20"/>
          <w:szCs w:val="20"/>
        </w:rPr>
        <w:t>Imad Falouji's Website</w:t>
      </w:r>
      <w:r w:rsidRPr="00524A66">
        <w:rPr>
          <w:rFonts w:asciiTheme="majorBidi" w:hAnsiTheme="majorBidi" w:cstheme="majorBidi"/>
          <w:sz w:val="20"/>
          <w:szCs w:val="20"/>
        </w:rPr>
        <w:t xml:space="preserve">, 14.9.2011, </w:t>
      </w:r>
      <w:hyperlink r:id="rId26" w:history="1">
        <w:r w:rsidRPr="00A645C6">
          <w:rPr>
            <w:rStyle w:val="Hyperlink"/>
            <w:rFonts w:asciiTheme="majorBidi" w:hAnsiTheme="majorBidi" w:cstheme="majorBidi"/>
            <w:sz w:val="20"/>
            <w:szCs w:val="20"/>
          </w:rPr>
          <w:t>http://www.imadfalouji.ps/post/1196</w:t>
        </w:r>
      </w:hyperlink>
      <w:r>
        <w:rPr>
          <w:rFonts w:asciiTheme="majorBidi" w:hAnsiTheme="majorBidi" w:cstheme="majorBidi"/>
          <w:sz w:val="20"/>
          <w:szCs w:val="20"/>
        </w:rPr>
        <w:t>.</w:t>
      </w:r>
    </w:p>
  </w:footnote>
  <w:footnote w:id="90">
    <w:p w14:paraId="1D08911F" w14:textId="05F13A3F" w:rsidR="00872105" w:rsidRDefault="00872105" w:rsidP="00872105">
      <w:pPr>
        <w:pStyle w:val="FootnoteText"/>
        <w:bidi w:val="0"/>
      </w:pPr>
      <w:r>
        <w:rPr>
          <w:rStyle w:val="FootnoteReference"/>
        </w:rPr>
        <w:footnoteRef/>
      </w:r>
      <w:r>
        <w:rPr>
          <w:rtl/>
        </w:rPr>
        <w:t xml:space="preserve"> </w:t>
      </w:r>
      <w:r w:rsidRPr="00524A66">
        <w:rPr>
          <w:rFonts w:asciiTheme="majorBidi" w:hAnsiTheme="majorBidi" w:cstheme="majorBidi"/>
        </w:rPr>
        <w:t>"</w:t>
      </w:r>
      <w:r>
        <w:rPr>
          <w:rFonts w:asciiTheme="majorBidi" w:hAnsiTheme="majorBidi" w:cstheme="majorBidi"/>
        </w:rPr>
        <w:t>A</w:t>
      </w:r>
      <w:r w:rsidRPr="000B61CD">
        <w:rPr>
          <w:rFonts w:asciiTheme="majorBidi" w:hAnsiTheme="majorBidi" w:cstheme="majorBidi"/>
        </w:rPr>
        <w:t>h</w:t>
      </w:r>
      <w:r>
        <w:rPr>
          <w:rFonts w:asciiTheme="majorBidi" w:hAnsiTheme="majorBidi" w:cstheme="majorBidi"/>
        </w:rPr>
        <w:t>a</w:t>
      </w:r>
      <w:r w:rsidRPr="000B61CD">
        <w:rPr>
          <w:rFonts w:asciiTheme="majorBidi" w:hAnsiTheme="majorBidi" w:cstheme="majorBidi"/>
        </w:rPr>
        <w:t xml:space="preserve">d </w:t>
      </w:r>
      <w:r>
        <w:rPr>
          <w:rFonts w:asciiTheme="majorBidi" w:hAnsiTheme="majorBidi" w:cstheme="majorBidi"/>
        </w:rPr>
        <w:t>Q</w:t>
      </w:r>
      <w:r w:rsidRPr="000B61CD">
        <w:rPr>
          <w:rFonts w:asciiTheme="majorBidi" w:hAnsiTheme="majorBidi" w:cstheme="majorBidi"/>
        </w:rPr>
        <w:t xml:space="preserve">adat </w:t>
      </w:r>
      <w:r>
        <w:rPr>
          <w:rFonts w:asciiTheme="majorBidi" w:hAnsiTheme="majorBidi" w:cstheme="majorBidi"/>
        </w:rPr>
        <w:t>H</w:t>
      </w:r>
      <w:r w:rsidRPr="000B61CD">
        <w:rPr>
          <w:rFonts w:asciiTheme="majorBidi" w:hAnsiTheme="majorBidi" w:cstheme="majorBidi"/>
        </w:rPr>
        <w:t xml:space="preserve">amas </w:t>
      </w:r>
      <w:r>
        <w:rPr>
          <w:rFonts w:asciiTheme="majorBidi" w:hAnsiTheme="majorBidi" w:cstheme="majorBidi"/>
        </w:rPr>
        <w:t>S</w:t>
      </w:r>
      <w:r w:rsidRPr="000B61CD">
        <w:rPr>
          <w:rFonts w:asciiTheme="majorBidi" w:hAnsiTheme="majorBidi" w:cstheme="majorBidi"/>
        </w:rPr>
        <w:t xml:space="preserve">abiqan </w:t>
      </w:r>
      <w:r>
        <w:rPr>
          <w:rFonts w:asciiTheme="majorBidi" w:hAnsiTheme="majorBidi" w:cstheme="majorBidi"/>
        </w:rPr>
        <w:t>(</w:t>
      </w:r>
      <w:r w:rsidRPr="00524A66">
        <w:rPr>
          <w:rFonts w:asciiTheme="majorBidi" w:hAnsiTheme="majorBidi" w:cstheme="majorBidi"/>
        </w:rPr>
        <w:t>A Former Leader of Hamas</w:t>
      </w:r>
      <w:r>
        <w:rPr>
          <w:rFonts w:asciiTheme="majorBidi" w:hAnsiTheme="majorBidi" w:cstheme="majorBidi"/>
        </w:rPr>
        <w:t>)</w:t>
      </w:r>
      <w:r w:rsidRPr="00524A66">
        <w:rPr>
          <w:rFonts w:asciiTheme="majorBidi" w:hAnsiTheme="majorBidi" w:cstheme="majorBidi"/>
        </w:rPr>
        <w:t xml:space="preserve">", </w:t>
      </w:r>
      <w:r w:rsidRPr="008F2AB6">
        <w:rPr>
          <w:rFonts w:asciiTheme="majorBidi" w:hAnsiTheme="majorBidi" w:cstheme="majorBidi"/>
          <w:i/>
          <w:iCs/>
        </w:rPr>
        <w:t>Imad Falouji's Website</w:t>
      </w:r>
      <w:r w:rsidRPr="00524A66">
        <w:rPr>
          <w:rFonts w:asciiTheme="majorBidi" w:hAnsiTheme="majorBidi" w:cstheme="majorBidi"/>
        </w:rPr>
        <w:t xml:space="preserve">, 14.9.2011, </w:t>
      </w:r>
      <w:hyperlink r:id="rId27" w:history="1">
        <w:r w:rsidRPr="00A645C6">
          <w:rPr>
            <w:rStyle w:val="Hyperlink"/>
            <w:rFonts w:asciiTheme="majorBidi" w:hAnsiTheme="majorBidi" w:cstheme="majorBidi"/>
          </w:rPr>
          <w:t>http://www.imadfalouji.ps/post/1196</w:t>
        </w:r>
      </w:hyperlink>
      <w:r>
        <w:rPr>
          <w:rFonts w:asciiTheme="majorBidi" w:hAnsiTheme="majorBidi" w:cstheme="majorBidi"/>
        </w:rPr>
        <w:t>; "Au</w:t>
      </w:r>
      <w:r w:rsidRPr="00C900D2">
        <w:rPr>
          <w:rFonts w:asciiTheme="majorBidi" w:hAnsiTheme="majorBidi" w:cstheme="majorBidi"/>
        </w:rPr>
        <w:t xml:space="preserve">slu lam </w:t>
      </w:r>
      <w:r>
        <w:rPr>
          <w:rFonts w:asciiTheme="majorBidi" w:hAnsiTheme="majorBidi" w:cstheme="majorBidi"/>
        </w:rPr>
        <w:t>T</w:t>
      </w:r>
      <w:r w:rsidRPr="00C900D2">
        <w:rPr>
          <w:rFonts w:asciiTheme="majorBidi" w:hAnsiTheme="majorBidi" w:cstheme="majorBidi"/>
        </w:rPr>
        <w:t xml:space="preserve">akun </w:t>
      </w:r>
      <w:r>
        <w:rPr>
          <w:rFonts w:asciiTheme="majorBidi" w:hAnsiTheme="majorBidi" w:cstheme="majorBidi"/>
        </w:rPr>
        <w:t>A</w:t>
      </w:r>
      <w:r w:rsidRPr="00C900D2">
        <w:rPr>
          <w:rFonts w:asciiTheme="majorBidi" w:hAnsiTheme="majorBidi" w:cstheme="majorBidi"/>
        </w:rPr>
        <w:t xml:space="preserve">itifaqiat </w:t>
      </w:r>
      <w:r>
        <w:rPr>
          <w:rFonts w:asciiTheme="majorBidi" w:hAnsiTheme="majorBidi" w:cstheme="majorBidi"/>
        </w:rPr>
        <w:t>S</w:t>
      </w:r>
      <w:r w:rsidRPr="00C900D2">
        <w:rPr>
          <w:rFonts w:asciiTheme="majorBidi" w:hAnsiTheme="majorBidi" w:cstheme="majorBidi"/>
        </w:rPr>
        <w:t xml:space="preserve">alam </w:t>
      </w:r>
      <w:r>
        <w:rPr>
          <w:rFonts w:asciiTheme="majorBidi" w:hAnsiTheme="majorBidi" w:cstheme="majorBidi"/>
        </w:rPr>
        <w:t>(</w:t>
      </w:r>
      <w:r w:rsidRPr="00524A66">
        <w:rPr>
          <w:rFonts w:asciiTheme="majorBidi" w:hAnsiTheme="majorBidi" w:cstheme="majorBidi"/>
        </w:rPr>
        <w:t>Oslo Was Not a Peace Agreement</w:t>
      </w:r>
      <w:r>
        <w:rPr>
          <w:rFonts w:asciiTheme="majorBidi" w:hAnsiTheme="majorBidi" w:cstheme="majorBidi"/>
        </w:rPr>
        <w:t>)"</w:t>
      </w:r>
      <w:r w:rsidRPr="00524A66">
        <w:rPr>
          <w:rFonts w:asciiTheme="majorBidi" w:hAnsiTheme="majorBidi" w:cstheme="majorBidi"/>
        </w:rPr>
        <w:t xml:space="preserve">, </w:t>
      </w:r>
      <w:r w:rsidRPr="008F2AB6">
        <w:rPr>
          <w:rFonts w:asciiTheme="majorBidi" w:hAnsiTheme="majorBidi" w:cstheme="majorBidi"/>
          <w:i/>
          <w:iCs/>
        </w:rPr>
        <w:t>Al-Ghad Channel - YouTube</w:t>
      </w:r>
      <w:r w:rsidRPr="00524A66">
        <w:rPr>
          <w:rFonts w:asciiTheme="majorBidi" w:hAnsiTheme="majorBidi" w:cstheme="majorBidi"/>
        </w:rPr>
        <w:t xml:space="preserve">, 12.9.2018, </w:t>
      </w:r>
      <w:hyperlink r:id="rId28" w:history="1">
        <w:r w:rsidRPr="00A645C6">
          <w:rPr>
            <w:rStyle w:val="Hyperlink"/>
            <w:rFonts w:asciiTheme="majorBidi" w:hAnsiTheme="majorBidi" w:cstheme="majorBidi"/>
          </w:rPr>
          <w:t>https://www.youtube.com/watch?v=zEkAc5sSHow</w:t>
        </w:r>
      </w:hyperlink>
      <w:r>
        <w:rPr>
          <w:rFonts w:asciiTheme="majorBidi" w:hAnsiTheme="majorBidi" w:cstheme="majorBidi"/>
        </w:rPr>
        <w:t>.</w:t>
      </w:r>
    </w:p>
  </w:footnote>
  <w:footnote w:id="91">
    <w:p w14:paraId="3B0DD47A" w14:textId="5CFA3C70" w:rsidR="00872105" w:rsidRDefault="00872105" w:rsidP="00872105">
      <w:pPr>
        <w:pStyle w:val="FootnoteText"/>
        <w:bidi w:val="0"/>
      </w:pPr>
      <w:r>
        <w:rPr>
          <w:rStyle w:val="FootnoteReference"/>
        </w:rPr>
        <w:footnoteRef/>
      </w:r>
      <w:r>
        <w:rPr>
          <w:rtl/>
        </w:rPr>
        <w:t xml:space="preserve"> </w:t>
      </w:r>
      <w:r w:rsidRPr="00524A66">
        <w:rPr>
          <w:rFonts w:asciiTheme="majorBidi" w:hAnsiTheme="majorBidi" w:cstheme="majorBidi"/>
        </w:rPr>
        <w:t xml:space="preserve">Al-Falouji, </w:t>
      </w:r>
      <w:r>
        <w:rPr>
          <w:rFonts w:asciiTheme="majorBidi" w:hAnsiTheme="majorBidi" w:cstheme="majorBidi"/>
          <w:i/>
          <w:iCs/>
        </w:rPr>
        <w:t>Dar al-Ashwak (</w:t>
      </w:r>
      <w:r w:rsidRPr="00210EEF">
        <w:rPr>
          <w:rFonts w:asciiTheme="majorBidi" w:hAnsiTheme="majorBidi" w:cstheme="majorBidi"/>
          <w:i/>
          <w:iCs/>
        </w:rPr>
        <w:t>Path of Thorns</w:t>
      </w:r>
      <w:r>
        <w:rPr>
          <w:rFonts w:asciiTheme="majorBidi" w:hAnsiTheme="majorBidi" w:cstheme="majorBidi"/>
        </w:rPr>
        <w:t>)</w:t>
      </w:r>
      <w:r w:rsidRPr="00524A66">
        <w:rPr>
          <w:rFonts w:asciiTheme="majorBidi" w:hAnsiTheme="majorBidi" w:cstheme="majorBidi"/>
        </w:rPr>
        <w:t xml:space="preserve">, pp. 133-143, 343; Al-Falouji, </w:t>
      </w:r>
      <w:r w:rsidRPr="00914494">
        <w:rPr>
          <w:rFonts w:asciiTheme="majorBidi" w:hAnsiTheme="majorBidi" w:cstheme="majorBidi"/>
          <w:i/>
          <w:iCs/>
        </w:rPr>
        <w:t>Ma'a l-Rais (With the President)</w:t>
      </w:r>
      <w:r w:rsidRPr="00524A66">
        <w:rPr>
          <w:rFonts w:asciiTheme="majorBidi" w:hAnsiTheme="majorBidi" w:cstheme="majorBidi"/>
        </w:rPr>
        <w:t>, pp. 67-74; Wahbeh and Nasir al-Din</w:t>
      </w:r>
      <w:r>
        <w:rPr>
          <w:rFonts w:asciiTheme="majorBidi" w:hAnsiTheme="majorBidi" w:cstheme="majorBidi"/>
        </w:rPr>
        <w:t xml:space="preserve">, </w:t>
      </w:r>
      <w:r w:rsidRPr="00524A66">
        <w:rPr>
          <w:rFonts w:asciiTheme="majorBidi" w:hAnsiTheme="majorBidi" w:cstheme="majorBidi"/>
        </w:rPr>
        <w:t>"</w:t>
      </w:r>
      <w:r>
        <w:rPr>
          <w:rFonts w:asciiTheme="majorBidi" w:hAnsiTheme="majorBidi" w:cstheme="majorBidi"/>
        </w:rPr>
        <w:t>A</w:t>
      </w:r>
      <w:r w:rsidRPr="000B61CD">
        <w:rPr>
          <w:rFonts w:asciiTheme="majorBidi" w:hAnsiTheme="majorBidi" w:cstheme="majorBidi"/>
        </w:rPr>
        <w:t>h</w:t>
      </w:r>
      <w:r>
        <w:rPr>
          <w:rFonts w:asciiTheme="majorBidi" w:hAnsiTheme="majorBidi" w:cstheme="majorBidi"/>
        </w:rPr>
        <w:t>a</w:t>
      </w:r>
      <w:r w:rsidRPr="000B61CD">
        <w:rPr>
          <w:rFonts w:asciiTheme="majorBidi" w:hAnsiTheme="majorBidi" w:cstheme="majorBidi"/>
        </w:rPr>
        <w:t xml:space="preserve">d </w:t>
      </w:r>
      <w:r>
        <w:rPr>
          <w:rFonts w:asciiTheme="majorBidi" w:hAnsiTheme="majorBidi" w:cstheme="majorBidi"/>
        </w:rPr>
        <w:t>Q</w:t>
      </w:r>
      <w:r w:rsidRPr="000B61CD">
        <w:rPr>
          <w:rFonts w:asciiTheme="majorBidi" w:hAnsiTheme="majorBidi" w:cstheme="majorBidi"/>
        </w:rPr>
        <w:t xml:space="preserve">adat </w:t>
      </w:r>
      <w:r>
        <w:rPr>
          <w:rFonts w:asciiTheme="majorBidi" w:hAnsiTheme="majorBidi" w:cstheme="majorBidi"/>
        </w:rPr>
        <w:t>H</w:t>
      </w:r>
      <w:r w:rsidRPr="000B61CD">
        <w:rPr>
          <w:rFonts w:asciiTheme="majorBidi" w:hAnsiTheme="majorBidi" w:cstheme="majorBidi"/>
        </w:rPr>
        <w:t xml:space="preserve">amas </w:t>
      </w:r>
      <w:r>
        <w:rPr>
          <w:rFonts w:asciiTheme="majorBidi" w:hAnsiTheme="majorBidi" w:cstheme="majorBidi"/>
        </w:rPr>
        <w:t>S</w:t>
      </w:r>
      <w:r w:rsidRPr="000B61CD">
        <w:rPr>
          <w:rFonts w:asciiTheme="majorBidi" w:hAnsiTheme="majorBidi" w:cstheme="majorBidi"/>
        </w:rPr>
        <w:t xml:space="preserve">abiqan </w:t>
      </w:r>
      <w:r>
        <w:rPr>
          <w:rFonts w:asciiTheme="majorBidi" w:hAnsiTheme="majorBidi" w:cstheme="majorBidi"/>
        </w:rPr>
        <w:t>(</w:t>
      </w:r>
      <w:r w:rsidRPr="00524A66">
        <w:rPr>
          <w:rFonts w:asciiTheme="majorBidi" w:hAnsiTheme="majorBidi" w:cstheme="majorBidi"/>
        </w:rPr>
        <w:t>A Former Leader of Hamas</w:t>
      </w:r>
      <w:r>
        <w:rPr>
          <w:rFonts w:asciiTheme="majorBidi" w:hAnsiTheme="majorBidi" w:cstheme="majorBidi"/>
        </w:rPr>
        <w:t>)</w:t>
      </w:r>
      <w:r w:rsidRPr="00524A66">
        <w:rPr>
          <w:rFonts w:asciiTheme="majorBidi" w:hAnsiTheme="majorBidi" w:cstheme="majorBidi"/>
        </w:rPr>
        <w:t xml:space="preserve">", </w:t>
      </w:r>
      <w:r w:rsidRPr="008F2AB6">
        <w:rPr>
          <w:rFonts w:asciiTheme="majorBidi" w:hAnsiTheme="majorBidi" w:cstheme="majorBidi"/>
          <w:i/>
          <w:iCs/>
        </w:rPr>
        <w:t>Imad Falouji's Website</w:t>
      </w:r>
      <w:r w:rsidRPr="00524A66">
        <w:rPr>
          <w:rFonts w:asciiTheme="majorBidi" w:hAnsiTheme="majorBidi" w:cstheme="majorBidi"/>
        </w:rPr>
        <w:t xml:space="preserve">, 14.9.2011, </w:t>
      </w:r>
      <w:hyperlink r:id="rId29" w:history="1">
        <w:r w:rsidRPr="00A645C6">
          <w:rPr>
            <w:rStyle w:val="Hyperlink"/>
            <w:rFonts w:asciiTheme="majorBidi" w:hAnsiTheme="majorBidi" w:cstheme="majorBidi"/>
          </w:rPr>
          <w:t>http://www.imadfalouji.ps/post/1196</w:t>
        </w:r>
      </w:hyperlink>
      <w:r>
        <w:rPr>
          <w:rFonts w:asciiTheme="majorBidi" w:hAnsiTheme="majorBidi" w:cstheme="majorBidi"/>
        </w:rPr>
        <w:t>;</w:t>
      </w:r>
      <w:r w:rsidRPr="00524A66">
        <w:rPr>
          <w:rFonts w:asciiTheme="majorBidi" w:hAnsiTheme="majorBidi" w:cstheme="majorBidi"/>
        </w:rPr>
        <w:t xml:space="preserve"> </w:t>
      </w:r>
      <w:r>
        <w:rPr>
          <w:rFonts w:asciiTheme="majorBidi" w:hAnsiTheme="majorBidi" w:cstheme="majorBidi"/>
        </w:rPr>
        <w:t>"Au</w:t>
      </w:r>
      <w:r w:rsidRPr="00C900D2">
        <w:rPr>
          <w:rFonts w:asciiTheme="majorBidi" w:hAnsiTheme="majorBidi" w:cstheme="majorBidi"/>
        </w:rPr>
        <w:t xml:space="preserve">slu lam </w:t>
      </w:r>
      <w:r>
        <w:rPr>
          <w:rFonts w:asciiTheme="majorBidi" w:hAnsiTheme="majorBidi" w:cstheme="majorBidi"/>
        </w:rPr>
        <w:t>T</w:t>
      </w:r>
      <w:r w:rsidRPr="00C900D2">
        <w:rPr>
          <w:rFonts w:asciiTheme="majorBidi" w:hAnsiTheme="majorBidi" w:cstheme="majorBidi"/>
        </w:rPr>
        <w:t xml:space="preserve">akun </w:t>
      </w:r>
      <w:r>
        <w:rPr>
          <w:rFonts w:asciiTheme="majorBidi" w:hAnsiTheme="majorBidi" w:cstheme="majorBidi"/>
        </w:rPr>
        <w:t>A</w:t>
      </w:r>
      <w:r w:rsidRPr="00C900D2">
        <w:rPr>
          <w:rFonts w:asciiTheme="majorBidi" w:hAnsiTheme="majorBidi" w:cstheme="majorBidi"/>
        </w:rPr>
        <w:t xml:space="preserve">itifaqiat </w:t>
      </w:r>
      <w:r>
        <w:rPr>
          <w:rFonts w:asciiTheme="majorBidi" w:hAnsiTheme="majorBidi" w:cstheme="majorBidi"/>
        </w:rPr>
        <w:t>S</w:t>
      </w:r>
      <w:r w:rsidRPr="00C900D2">
        <w:rPr>
          <w:rFonts w:asciiTheme="majorBidi" w:hAnsiTheme="majorBidi" w:cstheme="majorBidi"/>
        </w:rPr>
        <w:t xml:space="preserve">alam </w:t>
      </w:r>
      <w:r>
        <w:rPr>
          <w:rFonts w:asciiTheme="majorBidi" w:hAnsiTheme="majorBidi" w:cstheme="majorBidi"/>
        </w:rPr>
        <w:t>(</w:t>
      </w:r>
      <w:r w:rsidRPr="00524A66">
        <w:rPr>
          <w:rFonts w:asciiTheme="majorBidi" w:hAnsiTheme="majorBidi" w:cstheme="majorBidi"/>
        </w:rPr>
        <w:t>Oslo Was Not a Peace Agreement</w:t>
      </w:r>
      <w:r>
        <w:rPr>
          <w:rFonts w:asciiTheme="majorBidi" w:hAnsiTheme="majorBidi" w:cstheme="majorBidi"/>
        </w:rPr>
        <w:t>)"</w:t>
      </w:r>
      <w:r w:rsidRPr="00524A66">
        <w:rPr>
          <w:rFonts w:asciiTheme="majorBidi" w:hAnsiTheme="majorBidi" w:cstheme="majorBidi"/>
        </w:rPr>
        <w:t xml:space="preserve">, </w:t>
      </w:r>
      <w:r w:rsidRPr="008F2AB6">
        <w:rPr>
          <w:rFonts w:asciiTheme="majorBidi" w:hAnsiTheme="majorBidi" w:cstheme="majorBidi"/>
          <w:i/>
          <w:iCs/>
        </w:rPr>
        <w:t>Al-Ghad Channel - YouTube</w:t>
      </w:r>
      <w:r w:rsidRPr="00524A66">
        <w:rPr>
          <w:rFonts w:asciiTheme="majorBidi" w:hAnsiTheme="majorBidi" w:cstheme="majorBidi"/>
        </w:rPr>
        <w:t xml:space="preserve">, 12.9.2018, </w:t>
      </w:r>
      <w:hyperlink r:id="rId30" w:history="1">
        <w:r w:rsidRPr="00A645C6">
          <w:rPr>
            <w:rStyle w:val="Hyperlink"/>
            <w:rFonts w:asciiTheme="majorBidi" w:hAnsiTheme="majorBidi" w:cstheme="majorBidi"/>
          </w:rPr>
          <w:t>https://www.youtube.com/watch?v=zEkAc5sSHow</w:t>
        </w:r>
      </w:hyperlink>
      <w:r>
        <w:rPr>
          <w:rFonts w:asciiTheme="majorBidi" w:hAnsiTheme="majorBidi" w:cstheme="majorBidi"/>
        </w:rPr>
        <w:t>.</w:t>
      </w:r>
    </w:p>
  </w:footnote>
  <w:footnote w:id="92">
    <w:p w14:paraId="6B733928" w14:textId="67CF0223" w:rsidR="00E41F9C" w:rsidRPr="00E41F9C" w:rsidRDefault="00E41F9C" w:rsidP="00E41F9C">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sidRPr="0028356B">
        <w:rPr>
          <w:rFonts w:asciiTheme="majorBidi" w:hAnsiTheme="majorBidi" w:cstheme="majorBidi"/>
          <w:sz w:val="20"/>
          <w:szCs w:val="20"/>
        </w:rPr>
        <w:t xml:space="preserve">quote </w:t>
      </w:r>
      <w:r>
        <w:rPr>
          <w:rFonts w:asciiTheme="majorBidi" w:hAnsiTheme="majorBidi" w:cstheme="majorBidi"/>
          <w:sz w:val="20"/>
          <w:szCs w:val="20"/>
        </w:rPr>
        <w:t xml:space="preserve">- </w:t>
      </w:r>
      <w:r w:rsidRPr="0028356B">
        <w:rPr>
          <w:rFonts w:asciiTheme="majorBidi" w:hAnsiTheme="majorBidi" w:cstheme="majorBidi"/>
          <w:sz w:val="20"/>
          <w:szCs w:val="20"/>
        </w:rPr>
        <w:t xml:space="preserve">Falouji, </w:t>
      </w:r>
      <w:r w:rsidRPr="001B05D9">
        <w:rPr>
          <w:rFonts w:asciiTheme="majorBidi" w:hAnsiTheme="majorBidi" w:cstheme="majorBidi"/>
          <w:i/>
          <w:iCs/>
          <w:sz w:val="20"/>
          <w:szCs w:val="20"/>
        </w:rPr>
        <w:t>Ma'a al-Rais (With the President)</w:t>
      </w:r>
      <w:r w:rsidRPr="0028356B">
        <w:rPr>
          <w:rFonts w:asciiTheme="majorBidi" w:hAnsiTheme="majorBidi" w:cstheme="majorBidi"/>
          <w:sz w:val="20"/>
          <w:szCs w:val="20"/>
        </w:rPr>
        <w:t>, p. 163</w:t>
      </w:r>
      <w:r>
        <w:rPr>
          <w:rFonts w:asciiTheme="majorBidi" w:hAnsiTheme="majorBidi" w:cstheme="majorBidi"/>
          <w:sz w:val="20"/>
          <w:szCs w:val="20"/>
        </w:rPr>
        <w:t xml:space="preserve">; </w:t>
      </w:r>
      <w:r w:rsidRPr="0028356B">
        <w:rPr>
          <w:rFonts w:asciiTheme="majorBidi" w:hAnsiTheme="majorBidi" w:cstheme="majorBidi"/>
          <w:sz w:val="20"/>
          <w:szCs w:val="20"/>
        </w:rPr>
        <w:t xml:space="preserve">Al-Falouji, </w:t>
      </w:r>
      <w:r>
        <w:rPr>
          <w:rFonts w:asciiTheme="majorBidi" w:hAnsiTheme="majorBidi" w:cstheme="majorBidi"/>
          <w:i/>
          <w:iCs/>
          <w:sz w:val="20"/>
          <w:szCs w:val="20"/>
        </w:rPr>
        <w:t>Dar al-Ashwak (</w:t>
      </w:r>
      <w:r w:rsidRPr="00210EEF">
        <w:rPr>
          <w:rFonts w:asciiTheme="majorBidi" w:hAnsiTheme="majorBidi" w:cstheme="majorBidi"/>
          <w:i/>
          <w:iCs/>
          <w:sz w:val="20"/>
          <w:szCs w:val="20"/>
        </w:rPr>
        <w:t>Path of Thorns</w:t>
      </w:r>
      <w:r>
        <w:rPr>
          <w:rFonts w:asciiTheme="majorBidi" w:hAnsiTheme="majorBidi" w:cstheme="majorBidi"/>
          <w:sz w:val="20"/>
          <w:szCs w:val="20"/>
        </w:rPr>
        <w:t>)</w:t>
      </w:r>
      <w:r w:rsidRPr="00524A66">
        <w:rPr>
          <w:rFonts w:asciiTheme="majorBidi" w:hAnsiTheme="majorBidi" w:cstheme="majorBidi"/>
          <w:sz w:val="20"/>
          <w:szCs w:val="20"/>
        </w:rPr>
        <w:t>,</w:t>
      </w:r>
      <w:r w:rsidRPr="0028356B">
        <w:rPr>
          <w:rFonts w:asciiTheme="majorBidi" w:hAnsiTheme="majorBidi" w:cstheme="majorBidi"/>
          <w:sz w:val="20"/>
          <w:szCs w:val="20"/>
        </w:rPr>
        <w:t xml:space="preserve"> pp. 326-339, 414-416, 422-431; Al-Falouji, </w:t>
      </w:r>
      <w:r w:rsidRPr="00E90844">
        <w:rPr>
          <w:rFonts w:asciiTheme="majorBidi" w:hAnsiTheme="majorBidi" w:cstheme="majorBidi"/>
          <w:i/>
          <w:iCs/>
          <w:sz w:val="20"/>
          <w:szCs w:val="20"/>
        </w:rPr>
        <w:t>Min Kalb al-Sulta (From the Heart of Authority)</w:t>
      </w:r>
      <w:r w:rsidRPr="0028356B">
        <w:rPr>
          <w:rFonts w:asciiTheme="majorBidi" w:hAnsiTheme="majorBidi" w:cstheme="majorBidi"/>
          <w:sz w:val="20"/>
          <w:szCs w:val="20"/>
        </w:rPr>
        <w:t xml:space="preserve">, pp. 134-135; </w:t>
      </w:r>
      <w:r w:rsidRPr="00F075DD">
        <w:rPr>
          <w:rFonts w:asciiTheme="majorBidi" w:hAnsiTheme="majorBidi" w:cstheme="majorBidi"/>
          <w:sz w:val="20"/>
          <w:szCs w:val="20"/>
        </w:rPr>
        <w:t>Al-Hajm Al-Tabi'i, "</w:t>
      </w:r>
      <w:r>
        <w:rPr>
          <w:rFonts w:asciiTheme="majorBidi" w:hAnsiTheme="majorBidi" w:cstheme="majorBidi"/>
          <w:sz w:val="20"/>
          <w:szCs w:val="20"/>
        </w:rPr>
        <w:t>Falouji Yaqud Aitisalat bayn al-Sulta wa-Hamas (</w:t>
      </w:r>
      <w:r w:rsidRPr="00F075DD">
        <w:rPr>
          <w:rFonts w:asciiTheme="majorBidi" w:hAnsiTheme="majorBidi" w:cstheme="majorBidi"/>
          <w:sz w:val="20"/>
          <w:szCs w:val="20"/>
        </w:rPr>
        <w:t>Falouji Leads Contacts Between the Authority and Hamas</w:t>
      </w:r>
      <w:r>
        <w:rPr>
          <w:rFonts w:asciiTheme="majorBidi" w:hAnsiTheme="majorBidi" w:cstheme="majorBidi"/>
          <w:sz w:val="20"/>
          <w:szCs w:val="20"/>
        </w:rPr>
        <w:t>)</w:t>
      </w:r>
      <w:r w:rsidRPr="00F075DD">
        <w:rPr>
          <w:rFonts w:asciiTheme="majorBidi" w:hAnsiTheme="majorBidi" w:cstheme="majorBidi"/>
          <w:sz w:val="20"/>
          <w:szCs w:val="20"/>
        </w:rPr>
        <w:t xml:space="preserve">", </w:t>
      </w:r>
      <w:r w:rsidRPr="00914494">
        <w:rPr>
          <w:rFonts w:asciiTheme="majorBidi" w:hAnsiTheme="majorBidi" w:cstheme="majorBidi"/>
          <w:i/>
          <w:iCs/>
          <w:sz w:val="20"/>
          <w:szCs w:val="20"/>
        </w:rPr>
        <w:t>Al-Bayan</w:t>
      </w:r>
      <w:r w:rsidRPr="00F075DD">
        <w:rPr>
          <w:rFonts w:asciiTheme="majorBidi" w:hAnsiTheme="majorBidi" w:cstheme="majorBidi"/>
          <w:sz w:val="20"/>
          <w:szCs w:val="20"/>
        </w:rPr>
        <w:t xml:space="preserve">, 4.11.1998, </w:t>
      </w:r>
      <w:hyperlink r:id="rId31" w:history="1">
        <w:r w:rsidRPr="00A645C6">
          <w:rPr>
            <w:rStyle w:val="Hyperlink"/>
            <w:rFonts w:asciiTheme="majorBidi" w:hAnsiTheme="majorBidi" w:cstheme="majorBidi"/>
            <w:sz w:val="20"/>
            <w:szCs w:val="20"/>
          </w:rPr>
          <w:t>https://www.albayan.ae/one-world/1998-11-04-1.1020817</w:t>
        </w:r>
      </w:hyperlink>
      <w:r>
        <w:rPr>
          <w:rFonts w:asciiTheme="majorBidi" w:hAnsiTheme="majorBidi" w:cstheme="majorBidi"/>
          <w:sz w:val="20"/>
          <w:szCs w:val="20"/>
        </w:rPr>
        <w:t>.</w:t>
      </w:r>
    </w:p>
  </w:footnote>
  <w:footnote w:id="93">
    <w:p w14:paraId="4075F9E0" w14:textId="0FC91240" w:rsidR="00471A2E" w:rsidRPr="00471A2E" w:rsidRDefault="00471A2E" w:rsidP="00471A2E">
      <w:pPr>
        <w:bidi w:val="0"/>
        <w:spacing w:after="0" w:line="240" w:lineRule="auto"/>
        <w:jc w:val="both"/>
        <w:rPr>
          <w:rFonts w:asciiTheme="majorBidi" w:hAnsiTheme="majorBidi" w:cstheme="majorBidi"/>
          <w:sz w:val="20"/>
          <w:szCs w:val="20"/>
        </w:rPr>
      </w:pPr>
      <w:r>
        <w:rPr>
          <w:rStyle w:val="FootnoteReference"/>
        </w:rPr>
        <w:footnoteRef/>
      </w:r>
      <w:r>
        <w:rPr>
          <w:rtl/>
        </w:rPr>
        <w:t xml:space="preserve"> </w:t>
      </w:r>
      <w:r>
        <w:rPr>
          <w:rFonts w:asciiTheme="majorBidi" w:hAnsiTheme="majorBidi" w:cstheme="majorBidi"/>
          <w:sz w:val="20"/>
          <w:szCs w:val="20"/>
        </w:rPr>
        <w:t>"</w:t>
      </w:r>
      <w:r w:rsidRPr="00A86012">
        <w:rPr>
          <w:rFonts w:asciiTheme="majorBidi" w:hAnsiTheme="majorBidi" w:cstheme="majorBidi"/>
          <w:sz w:val="20"/>
          <w:szCs w:val="20"/>
        </w:rPr>
        <w:t>al</w:t>
      </w:r>
      <w:r>
        <w:rPr>
          <w:rFonts w:asciiTheme="majorBidi" w:hAnsiTheme="majorBidi" w:cstheme="majorBidi"/>
          <w:sz w:val="20"/>
          <w:szCs w:val="20"/>
        </w:rPr>
        <w:t>-S</w:t>
      </w:r>
      <w:r w:rsidRPr="00A86012">
        <w:rPr>
          <w:rFonts w:asciiTheme="majorBidi" w:hAnsiTheme="majorBidi" w:cstheme="majorBidi"/>
          <w:sz w:val="20"/>
          <w:szCs w:val="20"/>
        </w:rPr>
        <w:t>irae al</w:t>
      </w:r>
      <w:r>
        <w:rPr>
          <w:rFonts w:asciiTheme="majorBidi" w:hAnsiTheme="majorBidi" w:cstheme="majorBidi"/>
          <w:sz w:val="20"/>
          <w:szCs w:val="20"/>
        </w:rPr>
        <w:t>-Q</w:t>
      </w:r>
      <w:r w:rsidRPr="00A86012">
        <w:rPr>
          <w:rFonts w:asciiTheme="majorBidi" w:hAnsiTheme="majorBidi" w:cstheme="majorBidi"/>
          <w:sz w:val="20"/>
          <w:szCs w:val="20"/>
        </w:rPr>
        <w:t>ayim fi al</w:t>
      </w:r>
      <w:r>
        <w:rPr>
          <w:rFonts w:asciiTheme="majorBidi" w:hAnsiTheme="majorBidi" w:cstheme="majorBidi"/>
          <w:sz w:val="20"/>
          <w:szCs w:val="20"/>
        </w:rPr>
        <w:t>-M</w:t>
      </w:r>
      <w:r w:rsidRPr="00A86012">
        <w:rPr>
          <w:rFonts w:asciiTheme="majorBidi" w:hAnsiTheme="majorBidi" w:cstheme="majorBidi"/>
          <w:sz w:val="20"/>
          <w:szCs w:val="20"/>
        </w:rPr>
        <w:t xml:space="preserve">intaqat </w:t>
      </w:r>
      <w:r>
        <w:rPr>
          <w:rFonts w:asciiTheme="majorBidi" w:hAnsiTheme="majorBidi" w:cstheme="majorBidi"/>
          <w:sz w:val="20"/>
          <w:szCs w:val="20"/>
        </w:rPr>
        <w:t>A</w:t>
      </w:r>
      <w:r w:rsidRPr="00A86012">
        <w:rPr>
          <w:rFonts w:asciiTheme="majorBidi" w:hAnsiTheme="majorBidi" w:cstheme="majorBidi"/>
          <w:sz w:val="20"/>
          <w:szCs w:val="20"/>
        </w:rPr>
        <w:t xml:space="preserve">sasuh </w:t>
      </w:r>
      <w:r>
        <w:rPr>
          <w:rFonts w:asciiTheme="majorBidi" w:hAnsiTheme="majorBidi" w:cstheme="majorBidi"/>
          <w:sz w:val="20"/>
          <w:szCs w:val="20"/>
        </w:rPr>
        <w:t>S</w:t>
      </w:r>
      <w:r w:rsidRPr="00A86012">
        <w:rPr>
          <w:rFonts w:asciiTheme="majorBidi" w:hAnsiTheme="majorBidi" w:cstheme="majorBidi"/>
          <w:sz w:val="20"/>
          <w:szCs w:val="20"/>
        </w:rPr>
        <w:t>iasi wa</w:t>
      </w:r>
      <w:r>
        <w:rPr>
          <w:rFonts w:asciiTheme="majorBidi" w:hAnsiTheme="majorBidi" w:cstheme="majorBidi"/>
          <w:sz w:val="20"/>
          <w:szCs w:val="20"/>
        </w:rPr>
        <w:t>-</w:t>
      </w:r>
      <w:r w:rsidRPr="00A86012">
        <w:rPr>
          <w:rFonts w:asciiTheme="majorBidi" w:hAnsiTheme="majorBidi" w:cstheme="majorBidi"/>
          <w:sz w:val="20"/>
          <w:szCs w:val="20"/>
        </w:rPr>
        <w:t>la</w:t>
      </w:r>
      <w:r>
        <w:rPr>
          <w:rFonts w:asciiTheme="majorBidi" w:hAnsiTheme="majorBidi" w:cstheme="majorBidi"/>
          <w:sz w:val="20"/>
          <w:szCs w:val="20"/>
        </w:rPr>
        <w:t>ysa</w:t>
      </w:r>
      <w:r w:rsidRPr="00A86012">
        <w:rPr>
          <w:rFonts w:asciiTheme="majorBidi" w:hAnsiTheme="majorBidi" w:cstheme="majorBidi"/>
          <w:sz w:val="20"/>
          <w:szCs w:val="20"/>
        </w:rPr>
        <w:t xml:space="preserve"> </w:t>
      </w:r>
      <w:r>
        <w:rPr>
          <w:rFonts w:asciiTheme="majorBidi" w:hAnsiTheme="majorBidi" w:cstheme="majorBidi"/>
          <w:sz w:val="20"/>
          <w:szCs w:val="20"/>
        </w:rPr>
        <w:t>D</w:t>
      </w:r>
      <w:r w:rsidRPr="00A86012">
        <w:rPr>
          <w:rFonts w:asciiTheme="majorBidi" w:hAnsiTheme="majorBidi" w:cstheme="majorBidi"/>
          <w:sz w:val="20"/>
          <w:szCs w:val="20"/>
        </w:rPr>
        <w:t xml:space="preserve">ini </w:t>
      </w:r>
      <w:r>
        <w:rPr>
          <w:rFonts w:asciiTheme="majorBidi" w:hAnsiTheme="majorBidi" w:cstheme="majorBidi"/>
          <w:sz w:val="20"/>
          <w:szCs w:val="20"/>
        </w:rPr>
        <w:t>(</w:t>
      </w:r>
      <w:r w:rsidRPr="0028356B">
        <w:rPr>
          <w:rFonts w:asciiTheme="majorBidi" w:hAnsiTheme="majorBidi" w:cstheme="majorBidi"/>
          <w:sz w:val="20"/>
          <w:szCs w:val="20"/>
        </w:rPr>
        <w:t>The Existing Conflict in the Region is Fundamentally Political</w:t>
      </w:r>
      <w:r>
        <w:rPr>
          <w:rFonts w:asciiTheme="majorBidi" w:hAnsiTheme="majorBidi" w:cstheme="majorBidi"/>
          <w:sz w:val="20"/>
          <w:szCs w:val="20"/>
        </w:rPr>
        <w:t>)"</w:t>
      </w:r>
      <w:r w:rsidRPr="0028356B">
        <w:rPr>
          <w:rFonts w:asciiTheme="majorBidi" w:hAnsiTheme="majorBidi" w:cstheme="majorBidi"/>
          <w:sz w:val="20"/>
          <w:szCs w:val="20"/>
        </w:rPr>
        <w:t xml:space="preserve">, Not Religious, </w:t>
      </w:r>
      <w:r w:rsidRPr="00894BFF">
        <w:rPr>
          <w:rFonts w:asciiTheme="majorBidi" w:hAnsiTheme="majorBidi" w:cstheme="majorBidi"/>
          <w:i/>
          <w:iCs/>
          <w:sz w:val="20"/>
          <w:szCs w:val="20"/>
        </w:rPr>
        <w:t>R</w:t>
      </w:r>
      <w:r>
        <w:rPr>
          <w:rFonts w:asciiTheme="majorBidi" w:hAnsiTheme="majorBidi" w:cstheme="majorBidi"/>
          <w:i/>
          <w:iCs/>
          <w:sz w:val="20"/>
          <w:szCs w:val="20"/>
        </w:rPr>
        <w:t>e</w:t>
      </w:r>
      <w:r w:rsidRPr="00894BFF">
        <w:rPr>
          <w:rFonts w:asciiTheme="majorBidi" w:hAnsiTheme="majorBidi" w:cstheme="majorBidi"/>
          <w:i/>
          <w:iCs/>
          <w:sz w:val="20"/>
          <w:szCs w:val="20"/>
        </w:rPr>
        <w:t>al Media,</w:t>
      </w:r>
      <w:r w:rsidRPr="0028356B">
        <w:rPr>
          <w:rFonts w:asciiTheme="majorBidi" w:hAnsiTheme="majorBidi" w:cstheme="majorBidi"/>
          <w:sz w:val="20"/>
          <w:szCs w:val="20"/>
        </w:rPr>
        <w:t xml:space="preserve"> 18.11.2016, </w:t>
      </w:r>
      <w:hyperlink r:id="rId32" w:history="1">
        <w:r w:rsidRPr="00A645C6">
          <w:rPr>
            <w:rStyle w:val="Hyperlink"/>
            <w:rFonts w:asciiTheme="majorBidi" w:hAnsiTheme="majorBidi" w:cstheme="majorBidi"/>
            <w:sz w:val="20"/>
            <w:szCs w:val="20"/>
          </w:rPr>
          <w:t>https://katzr.net/02f47c</w:t>
        </w:r>
      </w:hyperlink>
      <w:r>
        <w:rPr>
          <w:rFonts w:asciiTheme="majorBidi" w:hAnsiTheme="majorBidi" w:cstheme="majorBidi"/>
          <w:sz w:val="20"/>
          <w:szCs w:val="20"/>
        </w:rPr>
        <w:t xml:space="preserve">;  </w:t>
      </w:r>
      <w:r w:rsidRPr="0028356B">
        <w:rPr>
          <w:rFonts w:asciiTheme="majorBidi" w:hAnsiTheme="majorBidi" w:cstheme="majorBidi"/>
          <w:sz w:val="20"/>
          <w:szCs w:val="20"/>
        </w:rPr>
        <w:t xml:space="preserve">Walter Ruby, "Imams, rabbis deplore calls to eliminate Israel", </w:t>
      </w:r>
      <w:r w:rsidRPr="00E51818">
        <w:rPr>
          <w:rFonts w:asciiTheme="majorBidi" w:hAnsiTheme="majorBidi" w:cstheme="majorBidi"/>
          <w:i/>
          <w:iCs/>
          <w:sz w:val="20"/>
          <w:szCs w:val="20"/>
        </w:rPr>
        <w:t>Jerusalem Post</w:t>
      </w:r>
      <w:r w:rsidRPr="0028356B">
        <w:rPr>
          <w:rFonts w:asciiTheme="majorBidi" w:hAnsiTheme="majorBidi" w:cstheme="majorBidi"/>
          <w:sz w:val="20"/>
          <w:szCs w:val="20"/>
        </w:rPr>
        <w:t xml:space="preserve">, 23.3.2006, </w:t>
      </w:r>
      <w:hyperlink r:id="rId33" w:history="1">
        <w:r w:rsidRPr="00A645C6">
          <w:rPr>
            <w:rStyle w:val="Hyperlink"/>
            <w:rFonts w:asciiTheme="majorBidi" w:hAnsiTheme="majorBidi" w:cstheme="majorBidi"/>
            <w:sz w:val="20"/>
            <w:szCs w:val="20"/>
          </w:rPr>
          <w:t>https://www.jpost.com/jewish-world/jewish-news/imams-rabbis-deplore-calls-to-eliminate-israel</w:t>
        </w:r>
      </w:hyperlink>
      <w:r>
        <w:rPr>
          <w:rFonts w:asciiTheme="majorBidi" w:hAnsiTheme="majorBidi" w:cstheme="majorBidi"/>
          <w:sz w:val="20"/>
          <w:szCs w:val="20"/>
        </w:rPr>
        <w:t xml:space="preserve">; </w:t>
      </w:r>
      <w:r w:rsidRPr="0028356B">
        <w:rPr>
          <w:rFonts w:asciiTheme="majorBidi" w:hAnsiTheme="majorBidi" w:cstheme="majorBidi"/>
          <w:sz w:val="20"/>
          <w:szCs w:val="20"/>
        </w:rPr>
        <w:t xml:space="preserve">"Meeting in Spain, Imams and Rabbis Pledge to Defuse Religious Tensions", </w:t>
      </w:r>
      <w:r w:rsidRPr="00E51818">
        <w:rPr>
          <w:rFonts w:asciiTheme="majorBidi" w:hAnsiTheme="majorBidi" w:cstheme="majorBidi"/>
          <w:i/>
          <w:iCs/>
          <w:sz w:val="20"/>
          <w:szCs w:val="20"/>
        </w:rPr>
        <w:t>Daily Bulletin</w:t>
      </w:r>
      <w:r w:rsidRPr="0028356B">
        <w:rPr>
          <w:rFonts w:asciiTheme="majorBidi" w:hAnsiTheme="majorBidi" w:cstheme="majorBidi"/>
          <w:sz w:val="20"/>
          <w:szCs w:val="20"/>
        </w:rPr>
        <w:t xml:space="preserve">, 22.3.2006, </w:t>
      </w:r>
      <w:hyperlink r:id="rId34" w:history="1">
        <w:r w:rsidRPr="00A645C6">
          <w:rPr>
            <w:rStyle w:val="Hyperlink"/>
            <w:rFonts w:asciiTheme="majorBidi" w:hAnsiTheme="majorBidi" w:cstheme="majorBidi"/>
            <w:sz w:val="20"/>
            <w:szCs w:val="20"/>
          </w:rPr>
          <w:t>https://www.jta.org/archive/meeting-in-spain-imams-and-rabbis-pledge-to-defuse-religious-tensions</w:t>
        </w:r>
      </w:hyperlink>
      <w:r>
        <w:rPr>
          <w:rFonts w:asciiTheme="majorBidi" w:hAnsiTheme="majorBidi" w:cstheme="majorBidi"/>
          <w:sz w:val="20"/>
          <w:szCs w:val="20"/>
        </w:rPr>
        <w:t xml:space="preserve">; </w:t>
      </w:r>
      <w:r w:rsidRPr="0028356B">
        <w:rPr>
          <w:rFonts w:asciiTheme="majorBidi" w:hAnsiTheme="majorBidi" w:cstheme="majorBidi"/>
          <w:sz w:val="20"/>
          <w:szCs w:val="20"/>
        </w:rPr>
        <w:t xml:space="preserve">Toi Staff, "Hamas-linked imam, Israel chief rabbi unite in call for peace", </w:t>
      </w:r>
      <w:r w:rsidRPr="00E51818">
        <w:rPr>
          <w:rFonts w:asciiTheme="majorBidi" w:hAnsiTheme="majorBidi" w:cstheme="majorBidi"/>
          <w:i/>
          <w:iCs/>
          <w:sz w:val="20"/>
          <w:szCs w:val="20"/>
        </w:rPr>
        <w:t>Times of Israel</w:t>
      </w:r>
      <w:r w:rsidRPr="0028356B">
        <w:rPr>
          <w:rFonts w:asciiTheme="majorBidi" w:hAnsiTheme="majorBidi" w:cstheme="majorBidi"/>
          <w:sz w:val="20"/>
          <w:szCs w:val="20"/>
        </w:rPr>
        <w:t xml:space="preserve">, 19/11/2016, </w:t>
      </w:r>
      <w:hyperlink r:id="rId35" w:history="1">
        <w:r w:rsidRPr="00A645C6">
          <w:rPr>
            <w:rStyle w:val="Hyperlink"/>
            <w:rFonts w:asciiTheme="majorBidi" w:hAnsiTheme="majorBidi" w:cstheme="majorBidi"/>
            <w:sz w:val="20"/>
            <w:szCs w:val="20"/>
          </w:rPr>
          <w:t>https://www.timesofisrael.com/hamas-linked-imam-israel-chief-rabbi-unite-in-call-for-peace/</w:t>
        </w:r>
      </w:hyperlink>
      <w:r>
        <w:rPr>
          <w:rFonts w:asciiTheme="majorBidi" w:hAnsiTheme="majorBidi" w:cstheme="majorBidi"/>
          <w:sz w:val="20"/>
          <w:szCs w:val="20"/>
        </w:rPr>
        <w:t>;</w:t>
      </w:r>
      <w:r w:rsidRPr="0028356B">
        <w:rPr>
          <w:rFonts w:asciiTheme="majorBidi" w:hAnsiTheme="majorBidi" w:cstheme="majorBidi"/>
          <w:sz w:val="20"/>
          <w:szCs w:val="20"/>
        </w:rPr>
        <w:t xml:space="preserve"> Tapper,</w:t>
      </w:r>
      <w:r>
        <w:rPr>
          <w:rFonts w:asciiTheme="majorBidi" w:hAnsiTheme="majorBidi" w:cstheme="majorBidi"/>
          <w:sz w:val="20"/>
          <w:szCs w:val="20"/>
        </w:rPr>
        <w:t xml:space="preserve"> </w:t>
      </w:r>
      <w:r w:rsidRPr="0028356B">
        <w:rPr>
          <w:rFonts w:asciiTheme="majorBidi" w:hAnsiTheme="majorBidi" w:cstheme="majorBidi"/>
          <w:sz w:val="20"/>
          <w:szCs w:val="20"/>
        </w:rPr>
        <w:t xml:space="preserve">"Hamas Pacifists and Settler Islamophiles", pp. 56-58, </w:t>
      </w:r>
      <w:hyperlink r:id="rId36" w:history="1">
        <w:r w:rsidRPr="0028356B">
          <w:rPr>
            <w:rStyle w:val="Hyperlink"/>
            <w:rFonts w:asciiTheme="majorBidi" w:hAnsiTheme="majorBidi" w:cstheme="majorBidi"/>
            <w:sz w:val="20"/>
            <w:szCs w:val="20"/>
          </w:rPr>
          <w:t>https://www.proquest.com/docview/212315174?accountid=14483&amp;forcedol=true</w:t>
        </w:r>
      </w:hyperlink>
      <w:r w:rsidRPr="0028356B">
        <w:rPr>
          <w:rFonts w:asciiTheme="majorBidi" w:hAnsiTheme="majorBidi" w:cstheme="majorBid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0F2"/>
    <w:multiLevelType w:val="multilevel"/>
    <w:tmpl w:val="DEBA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0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FE"/>
    <w:rsid w:val="00002405"/>
    <w:rsid w:val="0000357E"/>
    <w:rsid w:val="000042EF"/>
    <w:rsid w:val="00004AB5"/>
    <w:rsid w:val="000126A3"/>
    <w:rsid w:val="000153C1"/>
    <w:rsid w:val="0002062A"/>
    <w:rsid w:val="00022747"/>
    <w:rsid w:val="00025B5E"/>
    <w:rsid w:val="00034B66"/>
    <w:rsid w:val="00036E02"/>
    <w:rsid w:val="00041E01"/>
    <w:rsid w:val="00045723"/>
    <w:rsid w:val="0004751B"/>
    <w:rsid w:val="00062154"/>
    <w:rsid w:val="000671D6"/>
    <w:rsid w:val="00077215"/>
    <w:rsid w:val="000832FA"/>
    <w:rsid w:val="00085F14"/>
    <w:rsid w:val="00095B62"/>
    <w:rsid w:val="000A12C5"/>
    <w:rsid w:val="000A198F"/>
    <w:rsid w:val="000A2076"/>
    <w:rsid w:val="000A34D3"/>
    <w:rsid w:val="000B61CD"/>
    <w:rsid w:val="000B61FF"/>
    <w:rsid w:val="000C3E99"/>
    <w:rsid w:val="000C41F4"/>
    <w:rsid w:val="000C7D50"/>
    <w:rsid w:val="000D043E"/>
    <w:rsid w:val="000D15E8"/>
    <w:rsid w:val="000D455D"/>
    <w:rsid w:val="000E023D"/>
    <w:rsid w:val="000F1C7E"/>
    <w:rsid w:val="000F5E05"/>
    <w:rsid w:val="000F7F5E"/>
    <w:rsid w:val="00100678"/>
    <w:rsid w:val="00102484"/>
    <w:rsid w:val="00103715"/>
    <w:rsid w:val="00106636"/>
    <w:rsid w:val="001067E2"/>
    <w:rsid w:val="00107F30"/>
    <w:rsid w:val="001125A1"/>
    <w:rsid w:val="00143192"/>
    <w:rsid w:val="00147F13"/>
    <w:rsid w:val="0015491A"/>
    <w:rsid w:val="00157A3A"/>
    <w:rsid w:val="001602B9"/>
    <w:rsid w:val="00166CA2"/>
    <w:rsid w:val="00172E69"/>
    <w:rsid w:val="00183BCB"/>
    <w:rsid w:val="00185E92"/>
    <w:rsid w:val="0019124B"/>
    <w:rsid w:val="00193DB9"/>
    <w:rsid w:val="0019520F"/>
    <w:rsid w:val="001A7359"/>
    <w:rsid w:val="001B05D9"/>
    <w:rsid w:val="001B2E7F"/>
    <w:rsid w:val="001B52AE"/>
    <w:rsid w:val="001B7C9F"/>
    <w:rsid w:val="001D00BA"/>
    <w:rsid w:val="001D3AAB"/>
    <w:rsid w:val="001D6CF3"/>
    <w:rsid w:val="001E7BC2"/>
    <w:rsid w:val="001F3B4A"/>
    <w:rsid w:val="001F509E"/>
    <w:rsid w:val="001F667F"/>
    <w:rsid w:val="00210292"/>
    <w:rsid w:val="00210EEF"/>
    <w:rsid w:val="00211102"/>
    <w:rsid w:val="00211FD3"/>
    <w:rsid w:val="0021464F"/>
    <w:rsid w:val="00214AFE"/>
    <w:rsid w:val="002175B9"/>
    <w:rsid w:val="00220419"/>
    <w:rsid w:val="00223721"/>
    <w:rsid w:val="00227DB8"/>
    <w:rsid w:val="00233543"/>
    <w:rsid w:val="00234D59"/>
    <w:rsid w:val="0024199C"/>
    <w:rsid w:val="0024564E"/>
    <w:rsid w:val="002460D2"/>
    <w:rsid w:val="002544D8"/>
    <w:rsid w:val="00255113"/>
    <w:rsid w:val="00263AA0"/>
    <w:rsid w:val="00272BA3"/>
    <w:rsid w:val="00280B72"/>
    <w:rsid w:val="0028180C"/>
    <w:rsid w:val="002818D0"/>
    <w:rsid w:val="0028356B"/>
    <w:rsid w:val="0028415F"/>
    <w:rsid w:val="0028582E"/>
    <w:rsid w:val="00286784"/>
    <w:rsid w:val="00290336"/>
    <w:rsid w:val="00290BE2"/>
    <w:rsid w:val="002A32B7"/>
    <w:rsid w:val="002A63A1"/>
    <w:rsid w:val="002A7DB5"/>
    <w:rsid w:val="002B194B"/>
    <w:rsid w:val="002B2F0C"/>
    <w:rsid w:val="002C1096"/>
    <w:rsid w:val="002C2F14"/>
    <w:rsid w:val="002C4507"/>
    <w:rsid w:val="002C7EF1"/>
    <w:rsid w:val="002D581D"/>
    <w:rsid w:val="002E53CC"/>
    <w:rsid w:val="002E6D5D"/>
    <w:rsid w:val="002F2479"/>
    <w:rsid w:val="002F53CD"/>
    <w:rsid w:val="00306469"/>
    <w:rsid w:val="00306DEC"/>
    <w:rsid w:val="00310F46"/>
    <w:rsid w:val="003130C0"/>
    <w:rsid w:val="00313C26"/>
    <w:rsid w:val="00320723"/>
    <w:rsid w:val="00321426"/>
    <w:rsid w:val="00321BF8"/>
    <w:rsid w:val="00332C0A"/>
    <w:rsid w:val="00337573"/>
    <w:rsid w:val="003421EC"/>
    <w:rsid w:val="00343017"/>
    <w:rsid w:val="00344EAB"/>
    <w:rsid w:val="00346804"/>
    <w:rsid w:val="00357C60"/>
    <w:rsid w:val="003608D3"/>
    <w:rsid w:val="00365888"/>
    <w:rsid w:val="00371716"/>
    <w:rsid w:val="00372484"/>
    <w:rsid w:val="003728C2"/>
    <w:rsid w:val="00377708"/>
    <w:rsid w:val="00383E91"/>
    <w:rsid w:val="003857D0"/>
    <w:rsid w:val="0038788B"/>
    <w:rsid w:val="00395EA4"/>
    <w:rsid w:val="003A48A4"/>
    <w:rsid w:val="003B1C78"/>
    <w:rsid w:val="003B7050"/>
    <w:rsid w:val="003C1C89"/>
    <w:rsid w:val="003C4284"/>
    <w:rsid w:val="003C5EEA"/>
    <w:rsid w:val="003C7907"/>
    <w:rsid w:val="003D2803"/>
    <w:rsid w:val="003D7909"/>
    <w:rsid w:val="003E4C32"/>
    <w:rsid w:val="003F0F2E"/>
    <w:rsid w:val="003F3641"/>
    <w:rsid w:val="003F47E3"/>
    <w:rsid w:val="00402510"/>
    <w:rsid w:val="00402EB4"/>
    <w:rsid w:val="0041088C"/>
    <w:rsid w:val="00410FBC"/>
    <w:rsid w:val="00411811"/>
    <w:rsid w:val="00423A9C"/>
    <w:rsid w:val="004255DA"/>
    <w:rsid w:val="0043434C"/>
    <w:rsid w:val="00441B85"/>
    <w:rsid w:val="00446ED2"/>
    <w:rsid w:val="004665BB"/>
    <w:rsid w:val="004706A9"/>
    <w:rsid w:val="00471A2E"/>
    <w:rsid w:val="004827A1"/>
    <w:rsid w:val="00491C4B"/>
    <w:rsid w:val="00496C39"/>
    <w:rsid w:val="00497977"/>
    <w:rsid w:val="00497B0B"/>
    <w:rsid w:val="004A0EB7"/>
    <w:rsid w:val="004B00A6"/>
    <w:rsid w:val="004B18B4"/>
    <w:rsid w:val="004B67F9"/>
    <w:rsid w:val="004C3453"/>
    <w:rsid w:val="004C4BF8"/>
    <w:rsid w:val="004C521A"/>
    <w:rsid w:val="004C5C07"/>
    <w:rsid w:val="004D04E8"/>
    <w:rsid w:val="004D116F"/>
    <w:rsid w:val="004D1746"/>
    <w:rsid w:val="004D615F"/>
    <w:rsid w:val="004E055C"/>
    <w:rsid w:val="004E3E97"/>
    <w:rsid w:val="004E6B3D"/>
    <w:rsid w:val="004F2B49"/>
    <w:rsid w:val="004F31DB"/>
    <w:rsid w:val="004F3FDD"/>
    <w:rsid w:val="00506047"/>
    <w:rsid w:val="005065D9"/>
    <w:rsid w:val="005165A5"/>
    <w:rsid w:val="00523E82"/>
    <w:rsid w:val="00524A66"/>
    <w:rsid w:val="005302D9"/>
    <w:rsid w:val="00535581"/>
    <w:rsid w:val="0053642E"/>
    <w:rsid w:val="005406D5"/>
    <w:rsid w:val="0054667C"/>
    <w:rsid w:val="0056602E"/>
    <w:rsid w:val="00576DCE"/>
    <w:rsid w:val="00581B78"/>
    <w:rsid w:val="0058468A"/>
    <w:rsid w:val="00596024"/>
    <w:rsid w:val="0059746F"/>
    <w:rsid w:val="005A1F00"/>
    <w:rsid w:val="005A78BB"/>
    <w:rsid w:val="005B1240"/>
    <w:rsid w:val="005B7F90"/>
    <w:rsid w:val="005C3186"/>
    <w:rsid w:val="005C39BA"/>
    <w:rsid w:val="005C7A65"/>
    <w:rsid w:val="005D07C0"/>
    <w:rsid w:val="005E7252"/>
    <w:rsid w:val="005F2DDA"/>
    <w:rsid w:val="006053A2"/>
    <w:rsid w:val="00607788"/>
    <w:rsid w:val="00621F60"/>
    <w:rsid w:val="006300E1"/>
    <w:rsid w:val="00632E52"/>
    <w:rsid w:val="0063355C"/>
    <w:rsid w:val="00635627"/>
    <w:rsid w:val="00635D23"/>
    <w:rsid w:val="00637F84"/>
    <w:rsid w:val="00650073"/>
    <w:rsid w:val="0065617A"/>
    <w:rsid w:val="006567EA"/>
    <w:rsid w:val="00661F25"/>
    <w:rsid w:val="0066437D"/>
    <w:rsid w:val="00666EE1"/>
    <w:rsid w:val="00667530"/>
    <w:rsid w:val="0067055C"/>
    <w:rsid w:val="00682A8B"/>
    <w:rsid w:val="0068342C"/>
    <w:rsid w:val="0068527D"/>
    <w:rsid w:val="00685945"/>
    <w:rsid w:val="006950C3"/>
    <w:rsid w:val="006A1E2F"/>
    <w:rsid w:val="006A31DE"/>
    <w:rsid w:val="006A496D"/>
    <w:rsid w:val="006B2040"/>
    <w:rsid w:val="006B6AC0"/>
    <w:rsid w:val="006C14DA"/>
    <w:rsid w:val="006C19F1"/>
    <w:rsid w:val="006C452A"/>
    <w:rsid w:val="006C63EA"/>
    <w:rsid w:val="006C649F"/>
    <w:rsid w:val="006C6F84"/>
    <w:rsid w:val="006D6EEF"/>
    <w:rsid w:val="006E29DA"/>
    <w:rsid w:val="006E2FBA"/>
    <w:rsid w:val="006F4B73"/>
    <w:rsid w:val="006F719A"/>
    <w:rsid w:val="006F7E6E"/>
    <w:rsid w:val="00712585"/>
    <w:rsid w:val="0071480E"/>
    <w:rsid w:val="00715FD1"/>
    <w:rsid w:val="00727045"/>
    <w:rsid w:val="007315AF"/>
    <w:rsid w:val="00740912"/>
    <w:rsid w:val="00744D3D"/>
    <w:rsid w:val="00746EC3"/>
    <w:rsid w:val="00747567"/>
    <w:rsid w:val="00754B3E"/>
    <w:rsid w:val="00754D6A"/>
    <w:rsid w:val="00764AD8"/>
    <w:rsid w:val="007724F7"/>
    <w:rsid w:val="0077714B"/>
    <w:rsid w:val="00780AB4"/>
    <w:rsid w:val="007814D4"/>
    <w:rsid w:val="007837AD"/>
    <w:rsid w:val="00791B66"/>
    <w:rsid w:val="00792C52"/>
    <w:rsid w:val="00794069"/>
    <w:rsid w:val="007954A5"/>
    <w:rsid w:val="007A64C4"/>
    <w:rsid w:val="007B58D2"/>
    <w:rsid w:val="007B5D14"/>
    <w:rsid w:val="007C0C4D"/>
    <w:rsid w:val="007C21E8"/>
    <w:rsid w:val="007C2EA0"/>
    <w:rsid w:val="007C3D81"/>
    <w:rsid w:val="007D1798"/>
    <w:rsid w:val="007D45F2"/>
    <w:rsid w:val="007D6F4D"/>
    <w:rsid w:val="007F125B"/>
    <w:rsid w:val="007F76CC"/>
    <w:rsid w:val="00800634"/>
    <w:rsid w:val="0080311B"/>
    <w:rsid w:val="008047E7"/>
    <w:rsid w:val="00804803"/>
    <w:rsid w:val="00820571"/>
    <w:rsid w:val="00821F15"/>
    <w:rsid w:val="00824365"/>
    <w:rsid w:val="00826135"/>
    <w:rsid w:val="008304C7"/>
    <w:rsid w:val="00830EA6"/>
    <w:rsid w:val="008310DC"/>
    <w:rsid w:val="00831987"/>
    <w:rsid w:val="008351C4"/>
    <w:rsid w:val="00835F4D"/>
    <w:rsid w:val="00836005"/>
    <w:rsid w:val="0083780D"/>
    <w:rsid w:val="00845EC2"/>
    <w:rsid w:val="00854BFA"/>
    <w:rsid w:val="00854CDA"/>
    <w:rsid w:val="008614DE"/>
    <w:rsid w:val="008660BA"/>
    <w:rsid w:val="00871CA6"/>
    <w:rsid w:val="00872105"/>
    <w:rsid w:val="00893EBA"/>
    <w:rsid w:val="00894BFF"/>
    <w:rsid w:val="008A28BA"/>
    <w:rsid w:val="008A3E15"/>
    <w:rsid w:val="008A4F4C"/>
    <w:rsid w:val="008A7CF6"/>
    <w:rsid w:val="008B3E8F"/>
    <w:rsid w:val="008B5906"/>
    <w:rsid w:val="008C6EAB"/>
    <w:rsid w:val="008D342B"/>
    <w:rsid w:val="008D4700"/>
    <w:rsid w:val="008E1CCC"/>
    <w:rsid w:val="008E51FF"/>
    <w:rsid w:val="008E69E8"/>
    <w:rsid w:val="008F2AB6"/>
    <w:rsid w:val="008F7072"/>
    <w:rsid w:val="00903ACD"/>
    <w:rsid w:val="009044AE"/>
    <w:rsid w:val="00910E29"/>
    <w:rsid w:val="009128BB"/>
    <w:rsid w:val="00914494"/>
    <w:rsid w:val="00925F0E"/>
    <w:rsid w:val="00930CAF"/>
    <w:rsid w:val="00932C60"/>
    <w:rsid w:val="00935A1F"/>
    <w:rsid w:val="00935D20"/>
    <w:rsid w:val="00940924"/>
    <w:rsid w:val="00951E50"/>
    <w:rsid w:val="00952E01"/>
    <w:rsid w:val="00955C35"/>
    <w:rsid w:val="00957623"/>
    <w:rsid w:val="00964B25"/>
    <w:rsid w:val="00966981"/>
    <w:rsid w:val="0097051C"/>
    <w:rsid w:val="009737BF"/>
    <w:rsid w:val="009766B7"/>
    <w:rsid w:val="00980CB1"/>
    <w:rsid w:val="00981B3A"/>
    <w:rsid w:val="00991AA9"/>
    <w:rsid w:val="009A2B85"/>
    <w:rsid w:val="009A3027"/>
    <w:rsid w:val="009A793E"/>
    <w:rsid w:val="009B4C5C"/>
    <w:rsid w:val="009D066F"/>
    <w:rsid w:val="009D751A"/>
    <w:rsid w:val="009E1F46"/>
    <w:rsid w:val="009E2287"/>
    <w:rsid w:val="009E25FE"/>
    <w:rsid w:val="009E4B51"/>
    <w:rsid w:val="009F4A56"/>
    <w:rsid w:val="009F4C2F"/>
    <w:rsid w:val="00A00C5D"/>
    <w:rsid w:val="00A02E70"/>
    <w:rsid w:val="00A14EDC"/>
    <w:rsid w:val="00A20B7C"/>
    <w:rsid w:val="00A47C6A"/>
    <w:rsid w:val="00A515A9"/>
    <w:rsid w:val="00A5332C"/>
    <w:rsid w:val="00A54976"/>
    <w:rsid w:val="00A61EFF"/>
    <w:rsid w:val="00A6411D"/>
    <w:rsid w:val="00A702B0"/>
    <w:rsid w:val="00A70C38"/>
    <w:rsid w:val="00A81371"/>
    <w:rsid w:val="00A837A9"/>
    <w:rsid w:val="00A86012"/>
    <w:rsid w:val="00A87C78"/>
    <w:rsid w:val="00AA1639"/>
    <w:rsid w:val="00AA18DD"/>
    <w:rsid w:val="00AA4F23"/>
    <w:rsid w:val="00AA675D"/>
    <w:rsid w:val="00AB4FCD"/>
    <w:rsid w:val="00AB6B10"/>
    <w:rsid w:val="00AB7C14"/>
    <w:rsid w:val="00AC1531"/>
    <w:rsid w:val="00AD5AE1"/>
    <w:rsid w:val="00AE000B"/>
    <w:rsid w:val="00AE2FFF"/>
    <w:rsid w:val="00AF78A3"/>
    <w:rsid w:val="00B02F01"/>
    <w:rsid w:val="00B06157"/>
    <w:rsid w:val="00B17AA7"/>
    <w:rsid w:val="00B20307"/>
    <w:rsid w:val="00B22A20"/>
    <w:rsid w:val="00B230E6"/>
    <w:rsid w:val="00B27278"/>
    <w:rsid w:val="00B35906"/>
    <w:rsid w:val="00B37395"/>
    <w:rsid w:val="00B4049B"/>
    <w:rsid w:val="00B43255"/>
    <w:rsid w:val="00B509B3"/>
    <w:rsid w:val="00B53581"/>
    <w:rsid w:val="00B5520B"/>
    <w:rsid w:val="00B55DE2"/>
    <w:rsid w:val="00B5769C"/>
    <w:rsid w:val="00B658DF"/>
    <w:rsid w:val="00B74E1A"/>
    <w:rsid w:val="00B7570B"/>
    <w:rsid w:val="00B7713A"/>
    <w:rsid w:val="00B8428A"/>
    <w:rsid w:val="00B86A67"/>
    <w:rsid w:val="00B90E60"/>
    <w:rsid w:val="00B92354"/>
    <w:rsid w:val="00B94089"/>
    <w:rsid w:val="00B96DCE"/>
    <w:rsid w:val="00B97D03"/>
    <w:rsid w:val="00BA16FE"/>
    <w:rsid w:val="00BA6034"/>
    <w:rsid w:val="00BA7661"/>
    <w:rsid w:val="00BC0C47"/>
    <w:rsid w:val="00BC1BCF"/>
    <w:rsid w:val="00BC3DE2"/>
    <w:rsid w:val="00BC6B70"/>
    <w:rsid w:val="00BD3596"/>
    <w:rsid w:val="00BD431B"/>
    <w:rsid w:val="00BE1262"/>
    <w:rsid w:val="00BF429D"/>
    <w:rsid w:val="00C10205"/>
    <w:rsid w:val="00C10962"/>
    <w:rsid w:val="00C158F0"/>
    <w:rsid w:val="00C2380C"/>
    <w:rsid w:val="00C70AC4"/>
    <w:rsid w:val="00C74B27"/>
    <w:rsid w:val="00C813CD"/>
    <w:rsid w:val="00C823DC"/>
    <w:rsid w:val="00C900D2"/>
    <w:rsid w:val="00C95C5E"/>
    <w:rsid w:val="00CA0B7D"/>
    <w:rsid w:val="00CA4CA0"/>
    <w:rsid w:val="00CA527C"/>
    <w:rsid w:val="00CB38E5"/>
    <w:rsid w:val="00CB4761"/>
    <w:rsid w:val="00CB79B5"/>
    <w:rsid w:val="00CC2371"/>
    <w:rsid w:val="00CC3232"/>
    <w:rsid w:val="00CC51AB"/>
    <w:rsid w:val="00CC5635"/>
    <w:rsid w:val="00CD3093"/>
    <w:rsid w:val="00CD33E7"/>
    <w:rsid w:val="00CD67C8"/>
    <w:rsid w:val="00CE4ADE"/>
    <w:rsid w:val="00CE69E5"/>
    <w:rsid w:val="00CF2A27"/>
    <w:rsid w:val="00CF517F"/>
    <w:rsid w:val="00D05972"/>
    <w:rsid w:val="00D06B02"/>
    <w:rsid w:val="00D17E46"/>
    <w:rsid w:val="00D33896"/>
    <w:rsid w:val="00D345AB"/>
    <w:rsid w:val="00D40EF1"/>
    <w:rsid w:val="00D45C11"/>
    <w:rsid w:val="00D46D5B"/>
    <w:rsid w:val="00D46FD6"/>
    <w:rsid w:val="00D50FDB"/>
    <w:rsid w:val="00D5160B"/>
    <w:rsid w:val="00D51F50"/>
    <w:rsid w:val="00D54946"/>
    <w:rsid w:val="00D613B9"/>
    <w:rsid w:val="00D61F24"/>
    <w:rsid w:val="00D61F41"/>
    <w:rsid w:val="00D6250A"/>
    <w:rsid w:val="00D714F8"/>
    <w:rsid w:val="00D75595"/>
    <w:rsid w:val="00D865EB"/>
    <w:rsid w:val="00D877B3"/>
    <w:rsid w:val="00D8796C"/>
    <w:rsid w:val="00D9039C"/>
    <w:rsid w:val="00D9173F"/>
    <w:rsid w:val="00D92ECE"/>
    <w:rsid w:val="00D93C74"/>
    <w:rsid w:val="00D9601A"/>
    <w:rsid w:val="00DA356B"/>
    <w:rsid w:val="00DA58A7"/>
    <w:rsid w:val="00DB4BAD"/>
    <w:rsid w:val="00DB5EE4"/>
    <w:rsid w:val="00DC4D3C"/>
    <w:rsid w:val="00DD20AB"/>
    <w:rsid w:val="00DD33B8"/>
    <w:rsid w:val="00DD6129"/>
    <w:rsid w:val="00DD684D"/>
    <w:rsid w:val="00DE2F81"/>
    <w:rsid w:val="00DE3234"/>
    <w:rsid w:val="00DE37AB"/>
    <w:rsid w:val="00DF0B89"/>
    <w:rsid w:val="00DF5797"/>
    <w:rsid w:val="00DF616A"/>
    <w:rsid w:val="00E0745D"/>
    <w:rsid w:val="00E17633"/>
    <w:rsid w:val="00E320AF"/>
    <w:rsid w:val="00E400D4"/>
    <w:rsid w:val="00E41F9C"/>
    <w:rsid w:val="00E50B4A"/>
    <w:rsid w:val="00E51818"/>
    <w:rsid w:val="00E57135"/>
    <w:rsid w:val="00E63A31"/>
    <w:rsid w:val="00E63F15"/>
    <w:rsid w:val="00E66AC6"/>
    <w:rsid w:val="00E66C3C"/>
    <w:rsid w:val="00E670A8"/>
    <w:rsid w:val="00E81652"/>
    <w:rsid w:val="00E821BA"/>
    <w:rsid w:val="00E848C2"/>
    <w:rsid w:val="00E84DFE"/>
    <w:rsid w:val="00E90844"/>
    <w:rsid w:val="00E90913"/>
    <w:rsid w:val="00E91A42"/>
    <w:rsid w:val="00EA0325"/>
    <w:rsid w:val="00EA5B38"/>
    <w:rsid w:val="00EA5DA6"/>
    <w:rsid w:val="00EA722A"/>
    <w:rsid w:val="00EB03FE"/>
    <w:rsid w:val="00EB4DD7"/>
    <w:rsid w:val="00EB7180"/>
    <w:rsid w:val="00EB74B6"/>
    <w:rsid w:val="00EC37D4"/>
    <w:rsid w:val="00EC3D06"/>
    <w:rsid w:val="00EC46EC"/>
    <w:rsid w:val="00EC49F1"/>
    <w:rsid w:val="00EC4CB8"/>
    <w:rsid w:val="00EC5DAE"/>
    <w:rsid w:val="00ED17D6"/>
    <w:rsid w:val="00ED20BE"/>
    <w:rsid w:val="00EF1CE3"/>
    <w:rsid w:val="00EF2557"/>
    <w:rsid w:val="00EF3C28"/>
    <w:rsid w:val="00EF442F"/>
    <w:rsid w:val="00EF62E7"/>
    <w:rsid w:val="00F012C4"/>
    <w:rsid w:val="00F022F0"/>
    <w:rsid w:val="00F072BC"/>
    <w:rsid w:val="00F075DD"/>
    <w:rsid w:val="00F075E5"/>
    <w:rsid w:val="00F114EB"/>
    <w:rsid w:val="00F11806"/>
    <w:rsid w:val="00F11937"/>
    <w:rsid w:val="00F122BC"/>
    <w:rsid w:val="00F15FF8"/>
    <w:rsid w:val="00F21829"/>
    <w:rsid w:val="00F30C16"/>
    <w:rsid w:val="00F3373E"/>
    <w:rsid w:val="00F4093D"/>
    <w:rsid w:val="00F46A17"/>
    <w:rsid w:val="00F476C6"/>
    <w:rsid w:val="00F53493"/>
    <w:rsid w:val="00F54E38"/>
    <w:rsid w:val="00F56CAF"/>
    <w:rsid w:val="00F61DDF"/>
    <w:rsid w:val="00F67214"/>
    <w:rsid w:val="00F76A92"/>
    <w:rsid w:val="00F76B41"/>
    <w:rsid w:val="00FA0323"/>
    <w:rsid w:val="00FA42FD"/>
    <w:rsid w:val="00FA4EAF"/>
    <w:rsid w:val="00FA6BCA"/>
    <w:rsid w:val="00FB369A"/>
    <w:rsid w:val="00FB4D65"/>
    <w:rsid w:val="00FC1930"/>
    <w:rsid w:val="00FC4F54"/>
    <w:rsid w:val="00FD6016"/>
    <w:rsid w:val="00FD659F"/>
    <w:rsid w:val="00FE5627"/>
    <w:rsid w:val="00FE76D6"/>
    <w:rsid w:val="00FE7CD7"/>
    <w:rsid w:val="00FF010D"/>
    <w:rsid w:val="00FF206B"/>
    <w:rsid w:val="00FF343C"/>
    <w:rsid w:val="00FF3C12"/>
    <w:rsid w:val="00FF5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87FF"/>
  <w15:chartTrackingRefBased/>
  <w15:docId w15:val="{13594BE8-41B2-4E69-8379-E2332472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kern w:val="2"/>
        <w:sz w:val="22"/>
        <w:szCs w:val="24"/>
        <w:lang w:val="en-US" w:eastAsia="en-US" w:bidi="he-IL"/>
        <w14:ligatures w14:val="standardContextual"/>
      </w:rPr>
    </w:rPrDefault>
    <w:pPrDefault>
      <w:pPr>
        <w:bidi/>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6FE"/>
    <w:rPr>
      <w:rFonts w:eastAsiaTheme="majorEastAsia" w:cstheme="majorBidi"/>
      <w:color w:val="272727" w:themeColor="text1" w:themeTint="D8"/>
    </w:rPr>
  </w:style>
  <w:style w:type="paragraph" w:styleId="Title">
    <w:name w:val="Title"/>
    <w:basedOn w:val="Normal"/>
    <w:next w:val="Normal"/>
    <w:link w:val="TitleChar"/>
    <w:uiPriority w:val="10"/>
    <w:qFormat/>
    <w:rsid w:val="00BA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6FE"/>
    <w:pPr>
      <w:spacing w:before="160"/>
      <w:jc w:val="center"/>
    </w:pPr>
    <w:rPr>
      <w:i/>
      <w:iCs/>
      <w:color w:val="404040" w:themeColor="text1" w:themeTint="BF"/>
    </w:rPr>
  </w:style>
  <w:style w:type="character" w:customStyle="1" w:styleId="QuoteChar">
    <w:name w:val="Quote Char"/>
    <w:basedOn w:val="DefaultParagraphFont"/>
    <w:link w:val="Quote"/>
    <w:uiPriority w:val="29"/>
    <w:rsid w:val="00BA16FE"/>
    <w:rPr>
      <w:i/>
      <w:iCs/>
      <w:color w:val="404040" w:themeColor="text1" w:themeTint="BF"/>
    </w:rPr>
  </w:style>
  <w:style w:type="paragraph" w:styleId="ListParagraph">
    <w:name w:val="List Paragraph"/>
    <w:basedOn w:val="Normal"/>
    <w:uiPriority w:val="34"/>
    <w:qFormat/>
    <w:rsid w:val="00BA16FE"/>
    <w:pPr>
      <w:ind w:left="720"/>
      <w:contextualSpacing/>
    </w:pPr>
  </w:style>
  <w:style w:type="character" w:styleId="IntenseEmphasis">
    <w:name w:val="Intense Emphasis"/>
    <w:basedOn w:val="DefaultParagraphFont"/>
    <w:uiPriority w:val="21"/>
    <w:qFormat/>
    <w:rsid w:val="00BA16FE"/>
    <w:rPr>
      <w:i/>
      <w:iCs/>
      <w:color w:val="0F4761" w:themeColor="accent1" w:themeShade="BF"/>
    </w:rPr>
  </w:style>
  <w:style w:type="paragraph" w:styleId="IntenseQuote">
    <w:name w:val="Intense Quote"/>
    <w:basedOn w:val="Normal"/>
    <w:next w:val="Normal"/>
    <w:link w:val="IntenseQuoteChar"/>
    <w:uiPriority w:val="30"/>
    <w:qFormat/>
    <w:rsid w:val="00BA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6FE"/>
    <w:rPr>
      <w:i/>
      <w:iCs/>
      <w:color w:val="0F4761" w:themeColor="accent1" w:themeShade="BF"/>
    </w:rPr>
  </w:style>
  <w:style w:type="character" w:styleId="IntenseReference">
    <w:name w:val="Intense Reference"/>
    <w:basedOn w:val="DefaultParagraphFont"/>
    <w:uiPriority w:val="32"/>
    <w:qFormat/>
    <w:rsid w:val="00BA16FE"/>
    <w:rPr>
      <w:b/>
      <w:bCs/>
      <w:smallCaps/>
      <w:color w:val="0F4761" w:themeColor="accent1" w:themeShade="BF"/>
      <w:spacing w:val="5"/>
    </w:rPr>
  </w:style>
  <w:style w:type="paragraph" w:customStyle="1" w:styleId="whitespace-pre-wrap">
    <w:name w:val="whitespace-pre-wrap"/>
    <w:basedOn w:val="Normal"/>
    <w:rsid w:val="00BA16FE"/>
    <w:pPr>
      <w:bidi w:val="0"/>
      <w:spacing w:before="100" w:beforeAutospacing="1" w:after="100" w:afterAutospacing="1" w:line="240" w:lineRule="auto"/>
    </w:pPr>
    <w:rPr>
      <w:rFonts w:ascii="Times New Roman" w:eastAsia="Times New Roman" w:hAnsi="Times New Roman" w:cs="Times New Roman"/>
      <w:kern w:val="0"/>
      <w:sz w:val="24"/>
      <w14:ligatures w14:val="none"/>
    </w:rPr>
  </w:style>
  <w:style w:type="character" w:styleId="Strong">
    <w:name w:val="Strong"/>
    <w:basedOn w:val="DefaultParagraphFont"/>
    <w:uiPriority w:val="22"/>
    <w:qFormat/>
    <w:rsid w:val="00BA16FE"/>
    <w:rPr>
      <w:b/>
      <w:bCs/>
    </w:rPr>
  </w:style>
  <w:style w:type="character" w:styleId="Emphasis">
    <w:name w:val="Emphasis"/>
    <w:basedOn w:val="DefaultParagraphFont"/>
    <w:uiPriority w:val="20"/>
    <w:qFormat/>
    <w:rsid w:val="00BA16FE"/>
    <w:rPr>
      <w:i/>
      <w:iCs/>
    </w:rPr>
  </w:style>
  <w:style w:type="paragraph" w:styleId="FootnoteText">
    <w:name w:val="footnote text"/>
    <w:basedOn w:val="Normal"/>
    <w:link w:val="FootnoteTextChar"/>
    <w:uiPriority w:val="99"/>
    <w:unhideWhenUsed/>
    <w:rsid w:val="00BA16FE"/>
    <w:pPr>
      <w:spacing w:after="0" w:line="240" w:lineRule="auto"/>
    </w:pPr>
    <w:rPr>
      <w:sz w:val="20"/>
      <w:szCs w:val="20"/>
    </w:rPr>
  </w:style>
  <w:style w:type="character" w:customStyle="1" w:styleId="FootnoteTextChar">
    <w:name w:val="Footnote Text Char"/>
    <w:basedOn w:val="DefaultParagraphFont"/>
    <w:link w:val="FootnoteText"/>
    <w:uiPriority w:val="99"/>
    <w:rsid w:val="00BA16FE"/>
    <w:rPr>
      <w:sz w:val="20"/>
      <w:szCs w:val="20"/>
    </w:rPr>
  </w:style>
  <w:style w:type="character" w:styleId="FootnoteReference">
    <w:name w:val="footnote reference"/>
    <w:basedOn w:val="DefaultParagraphFont"/>
    <w:uiPriority w:val="99"/>
    <w:semiHidden/>
    <w:unhideWhenUsed/>
    <w:rsid w:val="00BA16FE"/>
    <w:rPr>
      <w:vertAlign w:val="superscript"/>
    </w:rPr>
  </w:style>
  <w:style w:type="character" w:styleId="Hyperlink">
    <w:name w:val="Hyperlink"/>
    <w:basedOn w:val="DefaultParagraphFont"/>
    <w:uiPriority w:val="99"/>
    <w:unhideWhenUsed/>
    <w:rsid w:val="00AE000B"/>
    <w:rPr>
      <w:color w:val="467886" w:themeColor="hyperlink"/>
      <w:u w:val="single"/>
    </w:rPr>
  </w:style>
  <w:style w:type="character" w:styleId="UnresolvedMention">
    <w:name w:val="Unresolved Mention"/>
    <w:basedOn w:val="DefaultParagraphFont"/>
    <w:uiPriority w:val="99"/>
    <w:semiHidden/>
    <w:unhideWhenUsed/>
    <w:rsid w:val="00AE000B"/>
    <w:rPr>
      <w:color w:val="605E5C"/>
      <w:shd w:val="clear" w:color="auto" w:fill="E1DFDD"/>
    </w:rPr>
  </w:style>
  <w:style w:type="character" w:styleId="FollowedHyperlink">
    <w:name w:val="FollowedHyperlink"/>
    <w:basedOn w:val="DefaultParagraphFont"/>
    <w:uiPriority w:val="99"/>
    <w:semiHidden/>
    <w:unhideWhenUsed/>
    <w:rsid w:val="00FA0323"/>
    <w:rPr>
      <w:color w:val="96607D" w:themeColor="followedHyperlink"/>
      <w:u w:val="single"/>
    </w:rPr>
  </w:style>
  <w:style w:type="paragraph" w:styleId="EndnoteText">
    <w:name w:val="endnote text"/>
    <w:basedOn w:val="Normal"/>
    <w:link w:val="EndnoteTextChar"/>
    <w:uiPriority w:val="99"/>
    <w:semiHidden/>
    <w:unhideWhenUsed/>
    <w:rsid w:val="00B55D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DE2"/>
    <w:rPr>
      <w:sz w:val="20"/>
      <w:szCs w:val="20"/>
    </w:rPr>
  </w:style>
  <w:style w:type="character" w:styleId="EndnoteReference">
    <w:name w:val="endnote reference"/>
    <w:basedOn w:val="DefaultParagraphFont"/>
    <w:uiPriority w:val="99"/>
    <w:semiHidden/>
    <w:unhideWhenUsed/>
    <w:rsid w:val="00B55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5958">
      <w:bodyDiv w:val="1"/>
      <w:marLeft w:val="0"/>
      <w:marRight w:val="0"/>
      <w:marTop w:val="0"/>
      <w:marBottom w:val="0"/>
      <w:divBdr>
        <w:top w:val="none" w:sz="0" w:space="0" w:color="auto"/>
        <w:left w:val="none" w:sz="0" w:space="0" w:color="auto"/>
        <w:bottom w:val="none" w:sz="0" w:space="0" w:color="auto"/>
        <w:right w:val="none" w:sz="0" w:space="0" w:color="auto"/>
      </w:divBdr>
    </w:div>
    <w:div w:id="151524800">
      <w:bodyDiv w:val="1"/>
      <w:marLeft w:val="0"/>
      <w:marRight w:val="0"/>
      <w:marTop w:val="0"/>
      <w:marBottom w:val="0"/>
      <w:divBdr>
        <w:top w:val="none" w:sz="0" w:space="0" w:color="auto"/>
        <w:left w:val="none" w:sz="0" w:space="0" w:color="auto"/>
        <w:bottom w:val="none" w:sz="0" w:space="0" w:color="auto"/>
        <w:right w:val="none" w:sz="0" w:space="0" w:color="auto"/>
      </w:divBdr>
      <w:divsChild>
        <w:div w:id="293413333">
          <w:marLeft w:val="0"/>
          <w:marRight w:val="0"/>
          <w:marTop w:val="100"/>
          <w:marBottom w:val="0"/>
          <w:divBdr>
            <w:top w:val="none" w:sz="0" w:space="0" w:color="auto"/>
            <w:left w:val="none" w:sz="0" w:space="0" w:color="auto"/>
            <w:bottom w:val="none" w:sz="0" w:space="0" w:color="auto"/>
            <w:right w:val="none" w:sz="0" w:space="0" w:color="auto"/>
          </w:divBdr>
          <w:divsChild>
            <w:div w:id="844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639">
      <w:bodyDiv w:val="1"/>
      <w:marLeft w:val="0"/>
      <w:marRight w:val="0"/>
      <w:marTop w:val="0"/>
      <w:marBottom w:val="0"/>
      <w:divBdr>
        <w:top w:val="none" w:sz="0" w:space="0" w:color="auto"/>
        <w:left w:val="none" w:sz="0" w:space="0" w:color="auto"/>
        <w:bottom w:val="none" w:sz="0" w:space="0" w:color="auto"/>
        <w:right w:val="none" w:sz="0" w:space="0" w:color="auto"/>
      </w:divBdr>
      <w:divsChild>
        <w:div w:id="561336461">
          <w:marLeft w:val="0"/>
          <w:marRight w:val="0"/>
          <w:marTop w:val="100"/>
          <w:marBottom w:val="0"/>
          <w:divBdr>
            <w:top w:val="none" w:sz="0" w:space="0" w:color="auto"/>
            <w:left w:val="none" w:sz="0" w:space="0" w:color="auto"/>
            <w:bottom w:val="none" w:sz="0" w:space="0" w:color="auto"/>
            <w:right w:val="none" w:sz="0" w:space="0" w:color="auto"/>
          </w:divBdr>
          <w:divsChild>
            <w:div w:id="8527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7617">
      <w:bodyDiv w:val="1"/>
      <w:marLeft w:val="0"/>
      <w:marRight w:val="0"/>
      <w:marTop w:val="0"/>
      <w:marBottom w:val="0"/>
      <w:divBdr>
        <w:top w:val="none" w:sz="0" w:space="0" w:color="auto"/>
        <w:left w:val="none" w:sz="0" w:space="0" w:color="auto"/>
        <w:bottom w:val="none" w:sz="0" w:space="0" w:color="auto"/>
        <w:right w:val="none" w:sz="0" w:space="0" w:color="auto"/>
      </w:divBdr>
      <w:divsChild>
        <w:div w:id="1776250383">
          <w:marLeft w:val="0"/>
          <w:marRight w:val="0"/>
          <w:marTop w:val="100"/>
          <w:marBottom w:val="0"/>
          <w:divBdr>
            <w:top w:val="none" w:sz="0" w:space="0" w:color="auto"/>
            <w:left w:val="none" w:sz="0" w:space="0" w:color="auto"/>
            <w:bottom w:val="none" w:sz="0" w:space="0" w:color="auto"/>
            <w:right w:val="none" w:sz="0" w:space="0" w:color="auto"/>
          </w:divBdr>
          <w:divsChild>
            <w:div w:id="10200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6671">
      <w:bodyDiv w:val="1"/>
      <w:marLeft w:val="0"/>
      <w:marRight w:val="0"/>
      <w:marTop w:val="0"/>
      <w:marBottom w:val="0"/>
      <w:divBdr>
        <w:top w:val="none" w:sz="0" w:space="0" w:color="auto"/>
        <w:left w:val="none" w:sz="0" w:space="0" w:color="auto"/>
        <w:bottom w:val="none" w:sz="0" w:space="0" w:color="auto"/>
        <w:right w:val="none" w:sz="0" w:space="0" w:color="auto"/>
      </w:divBdr>
      <w:divsChild>
        <w:div w:id="1651127956">
          <w:marLeft w:val="0"/>
          <w:marRight w:val="0"/>
          <w:marTop w:val="100"/>
          <w:marBottom w:val="0"/>
          <w:divBdr>
            <w:top w:val="none" w:sz="0" w:space="0" w:color="auto"/>
            <w:left w:val="none" w:sz="0" w:space="0" w:color="auto"/>
            <w:bottom w:val="none" w:sz="0" w:space="0" w:color="auto"/>
            <w:right w:val="none" w:sz="0" w:space="0" w:color="auto"/>
          </w:divBdr>
          <w:divsChild>
            <w:div w:id="1455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799">
      <w:bodyDiv w:val="1"/>
      <w:marLeft w:val="0"/>
      <w:marRight w:val="0"/>
      <w:marTop w:val="0"/>
      <w:marBottom w:val="0"/>
      <w:divBdr>
        <w:top w:val="none" w:sz="0" w:space="0" w:color="auto"/>
        <w:left w:val="none" w:sz="0" w:space="0" w:color="auto"/>
        <w:bottom w:val="none" w:sz="0" w:space="0" w:color="auto"/>
        <w:right w:val="none" w:sz="0" w:space="0" w:color="auto"/>
      </w:divBdr>
    </w:div>
    <w:div w:id="484711252">
      <w:bodyDiv w:val="1"/>
      <w:marLeft w:val="0"/>
      <w:marRight w:val="0"/>
      <w:marTop w:val="0"/>
      <w:marBottom w:val="0"/>
      <w:divBdr>
        <w:top w:val="none" w:sz="0" w:space="0" w:color="auto"/>
        <w:left w:val="none" w:sz="0" w:space="0" w:color="auto"/>
        <w:bottom w:val="none" w:sz="0" w:space="0" w:color="auto"/>
        <w:right w:val="none" w:sz="0" w:space="0" w:color="auto"/>
      </w:divBdr>
      <w:divsChild>
        <w:div w:id="568921551">
          <w:marLeft w:val="0"/>
          <w:marRight w:val="0"/>
          <w:marTop w:val="100"/>
          <w:marBottom w:val="0"/>
          <w:divBdr>
            <w:top w:val="none" w:sz="0" w:space="0" w:color="auto"/>
            <w:left w:val="none" w:sz="0" w:space="0" w:color="auto"/>
            <w:bottom w:val="none" w:sz="0" w:space="0" w:color="auto"/>
            <w:right w:val="none" w:sz="0" w:space="0" w:color="auto"/>
          </w:divBdr>
          <w:divsChild>
            <w:div w:id="12520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0218">
      <w:bodyDiv w:val="1"/>
      <w:marLeft w:val="0"/>
      <w:marRight w:val="0"/>
      <w:marTop w:val="0"/>
      <w:marBottom w:val="0"/>
      <w:divBdr>
        <w:top w:val="none" w:sz="0" w:space="0" w:color="auto"/>
        <w:left w:val="none" w:sz="0" w:space="0" w:color="auto"/>
        <w:bottom w:val="none" w:sz="0" w:space="0" w:color="auto"/>
        <w:right w:val="none" w:sz="0" w:space="0" w:color="auto"/>
      </w:divBdr>
      <w:divsChild>
        <w:div w:id="491529626">
          <w:marLeft w:val="0"/>
          <w:marRight w:val="0"/>
          <w:marTop w:val="100"/>
          <w:marBottom w:val="0"/>
          <w:divBdr>
            <w:top w:val="none" w:sz="0" w:space="0" w:color="auto"/>
            <w:left w:val="none" w:sz="0" w:space="0" w:color="auto"/>
            <w:bottom w:val="none" w:sz="0" w:space="0" w:color="auto"/>
            <w:right w:val="none" w:sz="0" w:space="0" w:color="auto"/>
          </w:divBdr>
          <w:divsChild>
            <w:div w:id="256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13">
      <w:bodyDiv w:val="1"/>
      <w:marLeft w:val="0"/>
      <w:marRight w:val="0"/>
      <w:marTop w:val="0"/>
      <w:marBottom w:val="0"/>
      <w:divBdr>
        <w:top w:val="none" w:sz="0" w:space="0" w:color="auto"/>
        <w:left w:val="none" w:sz="0" w:space="0" w:color="auto"/>
        <w:bottom w:val="none" w:sz="0" w:space="0" w:color="auto"/>
        <w:right w:val="none" w:sz="0" w:space="0" w:color="auto"/>
      </w:divBdr>
      <w:divsChild>
        <w:div w:id="1045984601">
          <w:marLeft w:val="0"/>
          <w:marRight w:val="0"/>
          <w:marTop w:val="100"/>
          <w:marBottom w:val="0"/>
          <w:divBdr>
            <w:top w:val="none" w:sz="0" w:space="0" w:color="auto"/>
            <w:left w:val="none" w:sz="0" w:space="0" w:color="auto"/>
            <w:bottom w:val="none" w:sz="0" w:space="0" w:color="auto"/>
            <w:right w:val="none" w:sz="0" w:space="0" w:color="auto"/>
          </w:divBdr>
          <w:divsChild>
            <w:div w:id="9729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6239">
      <w:bodyDiv w:val="1"/>
      <w:marLeft w:val="0"/>
      <w:marRight w:val="0"/>
      <w:marTop w:val="0"/>
      <w:marBottom w:val="0"/>
      <w:divBdr>
        <w:top w:val="none" w:sz="0" w:space="0" w:color="auto"/>
        <w:left w:val="none" w:sz="0" w:space="0" w:color="auto"/>
        <w:bottom w:val="none" w:sz="0" w:space="0" w:color="auto"/>
        <w:right w:val="none" w:sz="0" w:space="0" w:color="auto"/>
      </w:divBdr>
    </w:div>
    <w:div w:id="711538408">
      <w:bodyDiv w:val="1"/>
      <w:marLeft w:val="0"/>
      <w:marRight w:val="0"/>
      <w:marTop w:val="0"/>
      <w:marBottom w:val="0"/>
      <w:divBdr>
        <w:top w:val="none" w:sz="0" w:space="0" w:color="auto"/>
        <w:left w:val="none" w:sz="0" w:space="0" w:color="auto"/>
        <w:bottom w:val="none" w:sz="0" w:space="0" w:color="auto"/>
        <w:right w:val="none" w:sz="0" w:space="0" w:color="auto"/>
      </w:divBdr>
    </w:div>
    <w:div w:id="752777671">
      <w:bodyDiv w:val="1"/>
      <w:marLeft w:val="0"/>
      <w:marRight w:val="0"/>
      <w:marTop w:val="0"/>
      <w:marBottom w:val="0"/>
      <w:divBdr>
        <w:top w:val="none" w:sz="0" w:space="0" w:color="auto"/>
        <w:left w:val="none" w:sz="0" w:space="0" w:color="auto"/>
        <w:bottom w:val="none" w:sz="0" w:space="0" w:color="auto"/>
        <w:right w:val="none" w:sz="0" w:space="0" w:color="auto"/>
      </w:divBdr>
      <w:divsChild>
        <w:div w:id="1501195369">
          <w:marLeft w:val="0"/>
          <w:marRight w:val="0"/>
          <w:marTop w:val="100"/>
          <w:marBottom w:val="0"/>
          <w:divBdr>
            <w:top w:val="none" w:sz="0" w:space="0" w:color="auto"/>
            <w:left w:val="none" w:sz="0" w:space="0" w:color="auto"/>
            <w:bottom w:val="none" w:sz="0" w:space="0" w:color="auto"/>
            <w:right w:val="none" w:sz="0" w:space="0" w:color="auto"/>
          </w:divBdr>
          <w:divsChild>
            <w:div w:id="1392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946">
      <w:bodyDiv w:val="1"/>
      <w:marLeft w:val="0"/>
      <w:marRight w:val="0"/>
      <w:marTop w:val="0"/>
      <w:marBottom w:val="0"/>
      <w:divBdr>
        <w:top w:val="none" w:sz="0" w:space="0" w:color="auto"/>
        <w:left w:val="none" w:sz="0" w:space="0" w:color="auto"/>
        <w:bottom w:val="none" w:sz="0" w:space="0" w:color="auto"/>
        <w:right w:val="none" w:sz="0" w:space="0" w:color="auto"/>
      </w:divBdr>
      <w:divsChild>
        <w:div w:id="42296113">
          <w:marLeft w:val="0"/>
          <w:marRight w:val="0"/>
          <w:marTop w:val="100"/>
          <w:marBottom w:val="0"/>
          <w:divBdr>
            <w:top w:val="none" w:sz="0" w:space="0" w:color="auto"/>
            <w:left w:val="none" w:sz="0" w:space="0" w:color="auto"/>
            <w:bottom w:val="none" w:sz="0" w:space="0" w:color="auto"/>
            <w:right w:val="none" w:sz="0" w:space="0" w:color="auto"/>
          </w:divBdr>
          <w:divsChild>
            <w:div w:id="10481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9941">
      <w:bodyDiv w:val="1"/>
      <w:marLeft w:val="0"/>
      <w:marRight w:val="0"/>
      <w:marTop w:val="0"/>
      <w:marBottom w:val="0"/>
      <w:divBdr>
        <w:top w:val="none" w:sz="0" w:space="0" w:color="auto"/>
        <w:left w:val="none" w:sz="0" w:space="0" w:color="auto"/>
        <w:bottom w:val="none" w:sz="0" w:space="0" w:color="auto"/>
        <w:right w:val="none" w:sz="0" w:space="0" w:color="auto"/>
      </w:divBdr>
    </w:div>
    <w:div w:id="864487030">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6">
          <w:marLeft w:val="0"/>
          <w:marRight w:val="0"/>
          <w:marTop w:val="100"/>
          <w:marBottom w:val="0"/>
          <w:divBdr>
            <w:top w:val="none" w:sz="0" w:space="0" w:color="auto"/>
            <w:left w:val="none" w:sz="0" w:space="0" w:color="auto"/>
            <w:bottom w:val="none" w:sz="0" w:space="0" w:color="auto"/>
            <w:right w:val="none" w:sz="0" w:space="0" w:color="auto"/>
          </w:divBdr>
          <w:divsChild>
            <w:div w:id="1575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610">
      <w:bodyDiv w:val="1"/>
      <w:marLeft w:val="0"/>
      <w:marRight w:val="0"/>
      <w:marTop w:val="0"/>
      <w:marBottom w:val="0"/>
      <w:divBdr>
        <w:top w:val="none" w:sz="0" w:space="0" w:color="auto"/>
        <w:left w:val="none" w:sz="0" w:space="0" w:color="auto"/>
        <w:bottom w:val="none" w:sz="0" w:space="0" w:color="auto"/>
        <w:right w:val="none" w:sz="0" w:space="0" w:color="auto"/>
      </w:divBdr>
      <w:divsChild>
        <w:div w:id="921642029">
          <w:marLeft w:val="0"/>
          <w:marRight w:val="0"/>
          <w:marTop w:val="100"/>
          <w:marBottom w:val="0"/>
          <w:divBdr>
            <w:top w:val="none" w:sz="0" w:space="0" w:color="auto"/>
            <w:left w:val="none" w:sz="0" w:space="0" w:color="auto"/>
            <w:bottom w:val="none" w:sz="0" w:space="0" w:color="auto"/>
            <w:right w:val="none" w:sz="0" w:space="0" w:color="auto"/>
          </w:divBdr>
          <w:divsChild>
            <w:div w:id="19980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562">
      <w:bodyDiv w:val="1"/>
      <w:marLeft w:val="0"/>
      <w:marRight w:val="0"/>
      <w:marTop w:val="0"/>
      <w:marBottom w:val="0"/>
      <w:divBdr>
        <w:top w:val="none" w:sz="0" w:space="0" w:color="auto"/>
        <w:left w:val="none" w:sz="0" w:space="0" w:color="auto"/>
        <w:bottom w:val="none" w:sz="0" w:space="0" w:color="auto"/>
        <w:right w:val="none" w:sz="0" w:space="0" w:color="auto"/>
      </w:divBdr>
    </w:div>
    <w:div w:id="1114835647">
      <w:bodyDiv w:val="1"/>
      <w:marLeft w:val="0"/>
      <w:marRight w:val="0"/>
      <w:marTop w:val="0"/>
      <w:marBottom w:val="0"/>
      <w:divBdr>
        <w:top w:val="none" w:sz="0" w:space="0" w:color="auto"/>
        <w:left w:val="none" w:sz="0" w:space="0" w:color="auto"/>
        <w:bottom w:val="none" w:sz="0" w:space="0" w:color="auto"/>
        <w:right w:val="none" w:sz="0" w:space="0" w:color="auto"/>
      </w:divBdr>
    </w:div>
    <w:div w:id="1133906198">
      <w:bodyDiv w:val="1"/>
      <w:marLeft w:val="0"/>
      <w:marRight w:val="0"/>
      <w:marTop w:val="0"/>
      <w:marBottom w:val="0"/>
      <w:divBdr>
        <w:top w:val="none" w:sz="0" w:space="0" w:color="auto"/>
        <w:left w:val="none" w:sz="0" w:space="0" w:color="auto"/>
        <w:bottom w:val="none" w:sz="0" w:space="0" w:color="auto"/>
        <w:right w:val="none" w:sz="0" w:space="0" w:color="auto"/>
      </w:divBdr>
    </w:div>
    <w:div w:id="1216697352">
      <w:bodyDiv w:val="1"/>
      <w:marLeft w:val="0"/>
      <w:marRight w:val="0"/>
      <w:marTop w:val="0"/>
      <w:marBottom w:val="0"/>
      <w:divBdr>
        <w:top w:val="none" w:sz="0" w:space="0" w:color="auto"/>
        <w:left w:val="none" w:sz="0" w:space="0" w:color="auto"/>
        <w:bottom w:val="none" w:sz="0" w:space="0" w:color="auto"/>
        <w:right w:val="none" w:sz="0" w:space="0" w:color="auto"/>
      </w:divBdr>
      <w:divsChild>
        <w:div w:id="2124810540">
          <w:marLeft w:val="0"/>
          <w:marRight w:val="0"/>
          <w:marTop w:val="100"/>
          <w:marBottom w:val="0"/>
          <w:divBdr>
            <w:top w:val="none" w:sz="0" w:space="0" w:color="auto"/>
            <w:left w:val="none" w:sz="0" w:space="0" w:color="auto"/>
            <w:bottom w:val="none" w:sz="0" w:space="0" w:color="auto"/>
            <w:right w:val="none" w:sz="0" w:space="0" w:color="auto"/>
          </w:divBdr>
          <w:divsChild>
            <w:div w:id="14597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9182">
      <w:bodyDiv w:val="1"/>
      <w:marLeft w:val="0"/>
      <w:marRight w:val="0"/>
      <w:marTop w:val="0"/>
      <w:marBottom w:val="0"/>
      <w:divBdr>
        <w:top w:val="none" w:sz="0" w:space="0" w:color="auto"/>
        <w:left w:val="none" w:sz="0" w:space="0" w:color="auto"/>
        <w:bottom w:val="none" w:sz="0" w:space="0" w:color="auto"/>
        <w:right w:val="none" w:sz="0" w:space="0" w:color="auto"/>
      </w:divBdr>
    </w:div>
    <w:div w:id="1314483274">
      <w:bodyDiv w:val="1"/>
      <w:marLeft w:val="0"/>
      <w:marRight w:val="0"/>
      <w:marTop w:val="0"/>
      <w:marBottom w:val="0"/>
      <w:divBdr>
        <w:top w:val="none" w:sz="0" w:space="0" w:color="auto"/>
        <w:left w:val="none" w:sz="0" w:space="0" w:color="auto"/>
        <w:bottom w:val="none" w:sz="0" w:space="0" w:color="auto"/>
        <w:right w:val="none" w:sz="0" w:space="0" w:color="auto"/>
      </w:divBdr>
      <w:divsChild>
        <w:div w:id="682826548">
          <w:marLeft w:val="0"/>
          <w:marRight w:val="0"/>
          <w:marTop w:val="100"/>
          <w:marBottom w:val="0"/>
          <w:divBdr>
            <w:top w:val="none" w:sz="0" w:space="0" w:color="auto"/>
            <w:left w:val="none" w:sz="0" w:space="0" w:color="auto"/>
            <w:bottom w:val="none" w:sz="0" w:space="0" w:color="auto"/>
            <w:right w:val="none" w:sz="0" w:space="0" w:color="auto"/>
          </w:divBdr>
          <w:divsChild>
            <w:div w:id="21132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191">
      <w:bodyDiv w:val="1"/>
      <w:marLeft w:val="0"/>
      <w:marRight w:val="0"/>
      <w:marTop w:val="0"/>
      <w:marBottom w:val="0"/>
      <w:divBdr>
        <w:top w:val="none" w:sz="0" w:space="0" w:color="auto"/>
        <w:left w:val="none" w:sz="0" w:space="0" w:color="auto"/>
        <w:bottom w:val="none" w:sz="0" w:space="0" w:color="auto"/>
        <w:right w:val="none" w:sz="0" w:space="0" w:color="auto"/>
      </w:divBdr>
      <w:divsChild>
        <w:div w:id="1251425246">
          <w:marLeft w:val="0"/>
          <w:marRight w:val="0"/>
          <w:marTop w:val="100"/>
          <w:marBottom w:val="0"/>
          <w:divBdr>
            <w:top w:val="none" w:sz="0" w:space="0" w:color="auto"/>
            <w:left w:val="none" w:sz="0" w:space="0" w:color="auto"/>
            <w:bottom w:val="none" w:sz="0" w:space="0" w:color="auto"/>
            <w:right w:val="none" w:sz="0" w:space="0" w:color="auto"/>
          </w:divBdr>
          <w:divsChild>
            <w:div w:id="1776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793">
      <w:bodyDiv w:val="1"/>
      <w:marLeft w:val="0"/>
      <w:marRight w:val="0"/>
      <w:marTop w:val="0"/>
      <w:marBottom w:val="0"/>
      <w:divBdr>
        <w:top w:val="none" w:sz="0" w:space="0" w:color="auto"/>
        <w:left w:val="none" w:sz="0" w:space="0" w:color="auto"/>
        <w:bottom w:val="none" w:sz="0" w:space="0" w:color="auto"/>
        <w:right w:val="none" w:sz="0" w:space="0" w:color="auto"/>
      </w:divBdr>
    </w:div>
    <w:div w:id="1566992630">
      <w:bodyDiv w:val="1"/>
      <w:marLeft w:val="0"/>
      <w:marRight w:val="0"/>
      <w:marTop w:val="0"/>
      <w:marBottom w:val="0"/>
      <w:divBdr>
        <w:top w:val="none" w:sz="0" w:space="0" w:color="auto"/>
        <w:left w:val="none" w:sz="0" w:space="0" w:color="auto"/>
        <w:bottom w:val="none" w:sz="0" w:space="0" w:color="auto"/>
        <w:right w:val="none" w:sz="0" w:space="0" w:color="auto"/>
      </w:divBdr>
    </w:div>
    <w:div w:id="1621230233">
      <w:bodyDiv w:val="1"/>
      <w:marLeft w:val="0"/>
      <w:marRight w:val="0"/>
      <w:marTop w:val="0"/>
      <w:marBottom w:val="0"/>
      <w:divBdr>
        <w:top w:val="none" w:sz="0" w:space="0" w:color="auto"/>
        <w:left w:val="none" w:sz="0" w:space="0" w:color="auto"/>
        <w:bottom w:val="none" w:sz="0" w:space="0" w:color="auto"/>
        <w:right w:val="none" w:sz="0" w:space="0" w:color="auto"/>
      </w:divBdr>
      <w:divsChild>
        <w:div w:id="1203791744">
          <w:marLeft w:val="0"/>
          <w:marRight w:val="0"/>
          <w:marTop w:val="100"/>
          <w:marBottom w:val="0"/>
          <w:divBdr>
            <w:top w:val="none" w:sz="0" w:space="0" w:color="auto"/>
            <w:left w:val="none" w:sz="0" w:space="0" w:color="auto"/>
            <w:bottom w:val="none" w:sz="0" w:space="0" w:color="auto"/>
            <w:right w:val="none" w:sz="0" w:space="0" w:color="auto"/>
          </w:divBdr>
          <w:divsChild>
            <w:div w:id="393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469">
      <w:bodyDiv w:val="1"/>
      <w:marLeft w:val="0"/>
      <w:marRight w:val="0"/>
      <w:marTop w:val="0"/>
      <w:marBottom w:val="0"/>
      <w:divBdr>
        <w:top w:val="none" w:sz="0" w:space="0" w:color="auto"/>
        <w:left w:val="none" w:sz="0" w:space="0" w:color="auto"/>
        <w:bottom w:val="none" w:sz="0" w:space="0" w:color="auto"/>
        <w:right w:val="none" w:sz="0" w:space="0" w:color="auto"/>
      </w:divBdr>
      <w:divsChild>
        <w:div w:id="1278297300">
          <w:marLeft w:val="0"/>
          <w:marRight w:val="0"/>
          <w:marTop w:val="100"/>
          <w:marBottom w:val="0"/>
          <w:divBdr>
            <w:top w:val="none" w:sz="0" w:space="0" w:color="auto"/>
            <w:left w:val="none" w:sz="0" w:space="0" w:color="auto"/>
            <w:bottom w:val="none" w:sz="0" w:space="0" w:color="auto"/>
            <w:right w:val="none" w:sz="0" w:space="0" w:color="auto"/>
          </w:divBdr>
          <w:divsChild>
            <w:div w:id="1603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7521">
      <w:bodyDiv w:val="1"/>
      <w:marLeft w:val="0"/>
      <w:marRight w:val="0"/>
      <w:marTop w:val="0"/>
      <w:marBottom w:val="0"/>
      <w:divBdr>
        <w:top w:val="none" w:sz="0" w:space="0" w:color="auto"/>
        <w:left w:val="none" w:sz="0" w:space="0" w:color="auto"/>
        <w:bottom w:val="none" w:sz="0" w:space="0" w:color="auto"/>
        <w:right w:val="none" w:sz="0" w:space="0" w:color="auto"/>
      </w:divBdr>
      <w:divsChild>
        <w:div w:id="718017279">
          <w:marLeft w:val="0"/>
          <w:marRight w:val="0"/>
          <w:marTop w:val="100"/>
          <w:marBottom w:val="0"/>
          <w:divBdr>
            <w:top w:val="none" w:sz="0" w:space="0" w:color="auto"/>
            <w:left w:val="none" w:sz="0" w:space="0" w:color="auto"/>
            <w:bottom w:val="none" w:sz="0" w:space="0" w:color="auto"/>
            <w:right w:val="none" w:sz="0" w:space="0" w:color="auto"/>
          </w:divBdr>
          <w:divsChild>
            <w:div w:id="9977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4961">
      <w:bodyDiv w:val="1"/>
      <w:marLeft w:val="0"/>
      <w:marRight w:val="0"/>
      <w:marTop w:val="0"/>
      <w:marBottom w:val="0"/>
      <w:divBdr>
        <w:top w:val="none" w:sz="0" w:space="0" w:color="auto"/>
        <w:left w:val="none" w:sz="0" w:space="0" w:color="auto"/>
        <w:bottom w:val="none" w:sz="0" w:space="0" w:color="auto"/>
        <w:right w:val="none" w:sz="0" w:space="0" w:color="auto"/>
      </w:divBdr>
      <w:divsChild>
        <w:div w:id="800928780">
          <w:marLeft w:val="0"/>
          <w:marRight w:val="0"/>
          <w:marTop w:val="100"/>
          <w:marBottom w:val="0"/>
          <w:divBdr>
            <w:top w:val="none" w:sz="0" w:space="0" w:color="auto"/>
            <w:left w:val="none" w:sz="0" w:space="0" w:color="auto"/>
            <w:bottom w:val="none" w:sz="0" w:space="0" w:color="auto"/>
            <w:right w:val="none" w:sz="0" w:space="0" w:color="auto"/>
          </w:divBdr>
          <w:divsChild>
            <w:div w:id="17798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8218">
      <w:bodyDiv w:val="1"/>
      <w:marLeft w:val="0"/>
      <w:marRight w:val="0"/>
      <w:marTop w:val="0"/>
      <w:marBottom w:val="0"/>
      <w:divBdr>
        <w:top w:val="none" w:sz="0" w:space="0" w:color="auto"/>
        <w:left w:val="none" w:sz="0" w:space="0" w:color="auto"/>
        <w:bottom w:val="none" w:sz="0" w:space="0" w:color="auto"/>
        <w:right w:val="none" w:sz="0" w:space="0" w:color="auto"/>
      </w:divBdr>
    </w:div>
    <w:div w:id="1927810478">
      <w:bodyDiv w:val="1"/>
      <w:marLeft w:val="0"/>
      <w:marRight w:val="0"/>
      <w:marTop w:val="0"/>
      <w:marBottom w:val="0"/>
      <w:divBdr>
        <w:top w:val="none" w:sz="0" w:space="0" w:color="auto"/>
        <w:left w:val="none" w:sz="0" w:space="0" w:color="auto"/>
        <w:bottom w:val="none" w:sz="0" w:space="0" w:color="auto"/>
        <w:right w:val="none" w:sz="0" w:space="0" w:color="auto"/>
      </w:divBdr>
    </w:div>
    <w:div w:id="1995067942">
      <w:bodyDiv w:val="1"/>
      <w:marLeft w:val="0"/>
      <w:marRight w:val="0"/>
      <w:marTop w:val="0"/>
      <w:marBottom w:val="0"/>
      <w:divBdr>
        <w:top w:val="none" w:sz="0" w:space="0" w:color="auto"/>
        <w:left w:val="none" w:sz="0" w:space="0" w:color="auto"/>
        <w:bottom w:val="none" w:sz="0" w:space="0" w:color="auto"/>
        <w:right w:val="none" w:sz="0" w:space="0" w:color="auto"/>
      </w:divBdr>
      <w:divsChild>
        <w:div w:id="1571579755">
          <w:marLeft w:val="0"/>
          <w:marRight w:val="0"/>
          <w:marTop w:val="100"/>
          <w:marBottom w:val="0"/>
          <w:divBdr>
            <w:top w:val="none" w:sz="0" w:space="0" w:color="auto"/>
            <w:left w:val="none" w:sz="0" w:space="0" w:color="auto"/>
            <w:bottom w:val="none" w:sz="0" w:space="0" w:color="auto"/>
            <w:right w:val="none" w:sz="0" w:space="0" w:color="auto"/>
          </w:divBdr>
          <w:divsChild>
            <w:div w:id="9510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49719">
      <w:bodyDiv w:val="1"/>
      <w:marLeft w:val="0"/>
      <w:marRight w:val="0"/>
      <w:marTop w:val="0"/>
      <w:marBottom w:val="0"/>
      <w:divBdr>
        <w:top w:val="none" w:sz="0" w:space="0" w:color="auto"/>
        <w:left w:val="none" w:sz="0" w:space="0" w:color="auto"/>
        <w:bottom w:val="none" w:sz="0" w:space="0" w:color="auto"/>
        <w:right w:val="none" w:sz="0" w:space="0" w:color="auto"/>
      </w:divBdr>
      <w:divsChild>
        <w:div w:id="2517365">
          <w:marLeft w:val="0"/>
          <w:marRight w:val="0"/>
          <w:marTop w:val="100"/>
          <w:marBottom w:val="0"/>
          <w:divBdr>
            <w:top w:val="none" w:sz="0" w:space="0" w:color="auto"/>
            <w:left w:val="none" w:sz="0" w:space="0" w:color="auto"/>
            <w:bottom w:val="none" w:sz="0" w:space="0" w:color="auto"/>
            <w:right w:val="none" w:sz="0" w:space="0" w:color="auto"/>
          </w:divBdr>
          <w:divsChild>
            <w:div w:id="21080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0771">
      <w:bodyDiv w:val="1"/>
      <w:marLeft w:val="0"/>
      <w:marRight w:val="0"/>
      <w:marTop w:val="0"/>
      <w:marBottom w:val="0"/>
      <w:divBdr>
        <w:top w:val="none" w:sz="0" w:space="0" w:color="auto"/>
        <w:left w:val="none" w:sz="0" w:space="0" w:color="auto"/>
        <w:bottom w:val="none" w:sz="0" w:space="0" w:color="auto"/>
        <w:right w:val="none" w:sz="0" w:space="0" w:color="auto"/>
      </w:divBdr>
      <w:divsChild>
        <w:div w:id="1195264703">
          <w:marLeft w:val="0"/>
          <w:marRight w:val="0"/>
          <w:marTop w:val="100"/>
          <w:marBottom w:val="0"/>
          <w:divBdr>
            <w:top w:val="none" w:sz="0" w:space="0" w:color="auto"/>
            <w:left w:val="none" w:sz="0" w:space="0" w:color="auto"/>
            <w:bottom w:val="none" w:sz="0" w:space="0" w:color="auto"/>
            <w:right w:val="none" w:sz="0" w:space="0" w:color="auto"/>
          </w:divBdr>
          <w:divsChild>
            <w:div w:id="9469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365">
      <w:bodyDiv w:val="1"/>
      <w:marLeft w:val="0"/>
      <w:marRight w:val="0"/>
      <w:marTop w:val="0"/>
      <w:marBottom w:val="0"/>
      <w:divBdr>
        <w:top w:val="none" w:sz="0" w:space="0" w:color="auto"/>
        <w:left w:val="none" w:sz="0" w:space="0" w:color="auto"/>
        <w:bottom w:val="none" w:sz="0" w:space="0" w:color="auto"/>
        <w:right w:val="none" w:sz="0" w:space="0" w:color="auto"/>
      </w:divBdr>
      <w:divsChild>
        <w:div w:id="2022703853">
          <w:marLeft w:val="0"/>
          <w:marRight w:val="0"/>
          <w:marTop w:val="100"/>
          <w:marBottom w:val="0"/>
          <w:divBdr>
            <w:top w:val="none" w:sz="0" w:space="0" w:color="auto"/>
            <w:left w:val="none" w:sz="0" w:space="0" w:color="auto"/>
            <w:bottom w:val="none" w:sz="0" w:space="0" w:color="auto"/>
            <w:right w:val="none" w:sz="0" w:space="0" w:color="auto"/>
          </w:divBdr>
          <w:divsChild>
            <w:div w:id="1106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id.org/mktarat/flasteen/023.htm" TargetMode="External"/><Relationship Id="rId18" Type="http://schemas.openxmlformats.org/officeDocument/2006/relationships/hyperlink" Target="https://www.washingtoninstitute.org/ar/policy-analysis/view/the-distorted-legacy-of-the-oslo-accords" TargetMode="External"/><Relationship Id="rId26" Type="http://schemas.openxmlformats.org/officeDocument/2006/relationships/hyperlink" Target="https://bit.ly/3lACJEN" TargetMode="External"/><Relationship Id="rId3" Type="http://schemas.openxmlformats.org/officeDocument/2006/relationships/styles" Target="styles.xml"/><Relationship Id="rId21" Type="http://schemas.openxmlformats.org/officeDocument/2006/relationships/hyperlink" Target="https://bit.ly/3ummzT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in.knesset.gov.il/Activity/plenum/Pages/Sessions.aspx" TargetMode="External"/><Relationship Id="rId17" Type="http://schemas.openxmlformats.org/officeDocument/2006/relationships/hyperlink" Target="https://bit.ly/38jSjhK" TargetMode="External"/><Relationship Id="rId25" Type="http://schemas.openxmlformats.org/officeDocument/2006/relationships/hyperlink" Target="https://bit.ly/3xMbkn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l-qaradawi.net/node/5132" TargetMode="External"/><Relationship Id="rId20" Type="http://schemas.openxmlformats.org/officeDocument/2006/relationships/hyperlink" Target="https://bit.ly/3uoxmwn" TargetMode="External"/><Relationship Id="rId29" Type="http://schemas.openxmlformats.org/officeDocument/2006/relationships/hyperlink" Target="http://religiouspeaceinitiative.org/en/publication/establishing-a-religious-pe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knesset.gov.il/Activity/plenum/Pages/Sessions.aspx" TargetMode="External"/><Relationship Id="rId24" Type="http://schemas.openxmlformats.org/officeDocument/2006/relationships/hyperlink" Target="https://bit.ly/39nVhlG" TargetMode="External"/><Relationship Id="rId32" Type="http://schemas.openxmlformats.org/officeDocument/2006/relationships/hyperlink" Target="https://katzr.net/afc96b" TargetMode="External"/><Relationship Id="rId5" Type="http://schemas.openxmlformats.org/officeDocument/2006/relationships/webSettings" Target="webSettings.xml"/><Relationship Id="rId15" Type="http://schemas.openxmlformats.org/officeDocument/2006/relationships/hyperlink" Target="https://www.palestine-studies.org/ar/node/35058" TargetMode="External"/><Relationship Id="rId23" Type="http://schemas.openxmlformats.org/officeDocument/2006/relationships/hyperlink" Target="https://bit.ly/2Xud5sO" TargetMode="External"/><Relationship Id="rId28" Type="http://schemas.openxmlformats.org/officeDocument/2006/relationships/hyperlink" Target="https://bit.ly/3hNqfZf" TargetMode="External"/><Relationship Id="rId10" Type="http://schemas.openxmlformats.org/officeDocument/2006/relationships/hyperlink" Target="https://main.knesset.gov.il/Activity/plenum/Pages/Sessions.aspx" TargetMode="External"/><Relationship Id="rId19" Type="http://schemas.openxmlformats.org/officeDocument/2006/relationships/hyperlink" Target="http://etzion.gush.net/shvut/100/100meser.html" TargetMode="External"/><Relationship Id="rId31" Type="http://schemas.openxmlformats.org/officeDocument/2006/relationships/hyperlink" Target="https://catalog.archives.gov.il/publication/from-oslo-to-cairo/" TargetMode="External"/><Relationship Id="rId4" Type="http://schemas.openxmlformats.org/officeDocument/2006/relationships/settings" Target="settings.xml"/><Relationship Id="rId9" Type="http://schemas.openxmlformats.org/officeDocument/2006/relationships/hyperlink" Target="https://main.knesset.gov.il/Activity/plenum/Pages/Sessions.aspx" TargetMode="External"/><Relationship Id="rId14" Type="http://schemas.openxmlformats.org/officeDocument/2006/relationships/hyperlink" Target="https://bit.ly/3Ak2qz0" TargetMode="External"/><Relationship Id="rId22" Type="http://schemas.openxmlformats.org/officeDocument/2006/relationships/hyperlink" Target="https://bit.ly/3ijr5xf" TargetMode="External"/><Relationship Id="rId27" Type="http://schemas.openxmlformats.org/officeDocument/2006/relationships/hyperlink" Target="https://bit.ly/3Cqfow7" TargetMode="External"/><Relationship Id="rId30" Type="http://schemas.openxmlformats.org/officeDocument/2006/relationships/hyperlink" Target="https://www.youtube.com/watch?v=Su6r5yQFvYE" TargetMode="External"/><Relationship Id="rId8" Type="http://schemas.openxmlformats.org/officeDocument/2006/relationships/hyperlink" Target="https://www.knesset.gov.il/process/docs/oslo.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proquest.com/docview/212315174?accountid=14483&amp;forcedol=true" TargetMode="External"/><Relationship Id="rId18" Type="http://schemas.openxmlformats.org/officeDocument/2006/relationships/hyperlink" Target="http://www.imadfalouji.ps/post/629" TargetMode="External"/><Relationship Id="rId26" Type="http://schemas.openxmlformats.org/officeDocument/2006/relationships/hyperlink" Target="http://www.imadfalouji.ps/post/1196" TargetMode="External"/><Relationship Id="rId3" Type="http://schemas.openxmlformats.org/officeDocument/2006/relationships/hyperlink" Target="https://bit.ly/2VATff4" TargetMode="External"/><Relationship Id="rId21" Type="http://schemas.openxmlformats.org/officeDocument/2006/relationships/hyperlink" Target="http://www.imadfalouji.ps/post/584" TargetMode="External"/><Relationship Id="rId34" Type="http://schemas.openxmlformats.org/officeDocument/2006/relationships/hyperlink" Target="https://www.jta.org/archive/meeting-in-spain-imams-and-rabbis-pledge-to-defuse-religious-tensions" TargetMode="External"/><Relationship Id="rId7" Type="http://schemas.openxmlformats.org/officeDocument/2006/relationships/hyperlink" Target="https://www.aljazeera.net/programs/centurywitness/2005/1/10/movement-Hamas-as-seen-by-Sheikh-Ahmed-Yassin-p8" TargetMode="External"/><Relationship Id="rId12" Type="http://schemas.openxmlformats.org/officeDocument/2006/relationships/hyperlink" Target="http://www.imadfalouji.ps/main/curriculum_vitae" TargetMode="External"/><Relationship Id="rId17" Type="http://schemas.openxmlformats.org/officeDocument/2006/relationships/hyperlink" Target="http://www.imadfalouji.ps/post/488" TargetMode="External"/><Relationship Id="rId25" Type="http://schemas.openxmlformats.org/officeDocument/2006/relationships/hyperlink" Target="https://www.youtube.com/watch?v=zEkAc5sSHow" TargetMode="External"/><Relationship Id="rId33" Type="http://schemas.openxmlformats.org/officeDocument/2006/relationships/hyperlink" Target="https://www.jpost.com/jewish-world/jewish-news/imams-rabbis-deplore-calls-to-eliminate-israel" TargetMode="External"/><Relationship Id="rId2" Type="http://schemas.openxmlformats.org/officeDocument/2006/relationships/hyperlink" Target="https://bit.ly/3Cq3KCi" TargetMode="External"/><Relationship Id="rId16" Type="http://schemas.openxmlformats.org/officeDocument/2006/relationships/hyperlink" Target="https://www.amad.ps/ar/post/126462" TargetMode="External"/><Relationship Id="rId20" Type="http://schemas.openxmlformats.org/officeDocument/2006/relationships/hyperlink" Target="https://www.adam.ps" TargetMode="External"/><Relationship Id="rId29" Type="http://schemas.openxmlformats.org/officeDocument/2006/relationships/hyperlink" Target="http://www.imadfalouji.ps/post/1196" TargetMode="External"/><Relationship Id="rId1" Type="http://schemas.openxmlformats.org/officeDocument/2006/relationships/hyperlink" Target="https://bit.ly/3j0JfnV" TargetMode="External"/><Relationship Id="rId6" Type="http://schemas.openxmlformats.org/officeDocument/2006/relationships/hyperlink" Target="https://www.aljazeera.net/encyclopedia/2010/12/8/%D8%A3%D8%AD%D9%85%D8%AF-%D9%8A%D8%A7%D8%B3%D9%8A%D9%86" TargetMode="External"/><Relationship Id="rId11" Type="http://schemas.openxmlformats.org/officeDocument/2006/relationships/hyperlink" Target="http://www.imadfalouji.ps/post/523" TargetMode="External"/><Relationship Id="rId24" Type="http://schemas.openxmlformats.org/officeDocument/2006/relationships/hyperlink" Target="http://www.imadfalouji.ps/post/1196" TargetMode="External"/><Relationship Id="rId32" Type="http://schemas.openxmlformats.org/officeDocument/2006/relationships/hyperlink" Target="https://katzr.net/02f47c" TargetMode="External"/><Relationship Id="rId5" Type="http://schemas.openxmlformats.org/officeDocument/2006/relationships/hyperlink" Target="https://bit.ly/2VATff4" TargetMode="External"/><Relationship Id="rId15" Type="http://schemas.openxmlformats.org/officeDocument/2006/relationships/hyperlink" Target="https://www.alwatanvoice.com/arabic/news/2011/04/30/175021.html" TargetMode="External"/><Relationship Id="rId23" Type="http://schemas.openxmlformats.org/officeDocument/2006/relationships/hyperlink" Target="http://www.imadfalouji.ps/post/1196" TargetMode="External"/><Relationship Id="rId28" Type="http://schemas.openxmlformats.org/officeDocument/2006/relationships/hyperlink" Target="https://www.youtube.com/watch?v=zEkAc5sSHow" TargetMode="External"/><Relationship Id="rId36" Type="http://schemas.openxmlformats.org/officeDocument/2006/relationships/hyperlink" Target="https://www.proquest.com/docview/212315174?accountid=14483&amp;forcedol=true" TargetMode="External"/><Relationship Id="rId10" Type="http://schemas.openxmlformats.org/officeDocument/2006/relationships/hyperlink" Target="https://ahmadyaseen.net/show-item?id=80" TargetMode="External"/><Relationship Id="rId19" Type="http://schemas.openxmlformats.org/officeDocument/2006/relationships/hyperlink" Target="http://www.imadfalouji.ps/post/152" TargetMode="External"/><Relationship Id="rId31" Type="http://schemas.openxmlformats.org/officeDocument/2006/relationships/hyperlink" Target="https://www.albayan.ae/one-world/1998-11-04-1.1020817" TargetMode="External"/><Relationship Id="rId4" Type="http://schemas.openxmlformats.org/officeDocument/2006/relationships/hyperlink" Target="https://www.youtube.com/watch?v=4HY3PQnAcOU" TargetMode="External"/><Relationship Id="rId9" Type="http://schemas.openxmlformats.org/officeDocument/2006/relationships/hyperlink" Target="https://ahmadyaseen.net/show-item?id=80" TargetMode="External"/><Relationship Id="rId14" Type="http://schemas.openxmlformats.org/officeDocument/2006/relationships/hyperlink" Target="https://www.albayan.ae/one-world/1998-11-04-1.1020817" TargetMode="External"/><Relationship Id="rId22" Type="http://schemas.openxmlformats.org/officeDocument/2006/relationships/hyperlink" Target="http://www.imadfalouji.ps/post/1192" TargetMode="External"/><Relationship Id="rId27" Type="http://schemas.openxmlformats.org/officeDocument/2006/relationships/hyperlink" Target="http://www.imadfalouji.ps/post/1196" TargetMode="External"/><Relationship Id="rId30" Type="http://schemas.openxmlformats.org/officeDocument/2006/relationships/hyperlink" Target="https://www.youtube.com/watch?v=zEkAc5sSHow" TargetMode="External"/><Relationship Id="rId35" Type="http://schemas.openxmlformats.org/officeDocument/2006/relationships/hyperlink" Target="https://www.timesofisrael.com/hamas-linked-imam-israel-chief-rabbi-unite-in-call-for-peace/" TargetMode="External"/><Relationship Id="rId8" Type="http://schemas.openxmlformats.org/officeDocument/2006/relationships/hyperlink" Target="https://alresalah.ps/p/2575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3B36-88BF-4113-B9A3-D12A20C9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13182</Words>
  <Characters>69211</Characters>
  <Application>Microsoft Office Word</Application>
  <DocSecurity>0</DocSecurity>
  <Lines>4325</Lines>
  <Paragraphs>2288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אודיה שאז</dc:creator>
  <cp:keywords/>
  <dc:description/>
  <cp:lastModifiedBy>Meredith Armstrong</cp:lastModifiedBy>
  <cp:revision>2</cp:revision>
  <dcterms:created xsi:type="dcterms:W3CDTF">2024-05-20T09:53:00Z</dcterms:created>
  <dcterms:modified xsi:type="dcterms:W3CDTF">2024-05-20T09:53:00Z</dcterms:modified>
</cp:coreProperties>
</file>