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EBC4D" w14:textId="77777777" w:rsidR="001A5D7B" w:rsidRDefault="000A3387" w:rsidP="00DE1BDE">
      <w:pPr>
        <w:pStyle w:val="First"/>
        <w:bidi w:val="0"/>
        <w:jc w:val="center"/>
        <w:rPr>
          <w:b/>
          <w:bCs/>
          <w:sz w:val="26"/>
          <w:szCs w:val="28"/>
        </w:rPr>
      </w:pPr>
      <w:r w:rsidRPr="008274FC">
        <w:rPr>
          <w:b/>
          <w:bCs/>
          <w:sz w:val="26"/>
          <w:szCs w:val="28"/>
        </w:rPr>
        <w:t>Abraham Ibn Ezra</w:t>
      </w:r>
      <w:r w:rsidR="00AE47D8" w:rsidRPr="008274FC">
        <w:rPr>
          <w:b/>
          <w:bCs/>
          <w:sz w:val="26"/>
          <w:szCs w:val="28"/>
        </w:rPr>
        <w:t xml:space="preserve"> </w:t>
      </w:r>
    </w:p>
    <w:p w14:paraId="3AB16396" w14:textId="02238916" w:rsidR="000A3387" w:rsidRPr="008274FC" w:rsidRDefault="00DE1BDE" w:rsidP="001A5D7B">
      <w:pPr>
        <w:pStyle w:val="First"/>
        <w:bidi w:val="0"/>
        <w:jc w:val="center"/>
        <w:rPr>
          <w:b/>
          <w:bCs/>
          <w:sz w:val="26"/>
          <w:szCs w:val="28"/>
        </w:rPr>
      </w:pPr>
      <w:r w:rsidRPr="008274FC">
        <w:rPr>
          <w:b/>
          <w:bCs/>
          <w:sz w:val="26"/>
          <w:szCs w:val="28"/>
        </w:rPr>
        <w:t>and his A</w:t>
      </w:r>
      <w:r w:rsidRPr="008274FC">
        <w:rPr>
          <w:rFonts w:hint="cs"/>
          <w:b/>
          <w:bCs/>
          <w:sz w:val="26"/>
          <w:szCs w:val="28"/>
        </w:rPr>
        <w:t>mbivalent</w:t>
      </w:r>
      <w:r w:rsidRPr="008274FC">
        <w:rPr>
          <w:b/>
          <w:bCs/>
          <w:sz w:val="26"/>
          <w:szCs w:val="28"/>
        </w:rPr>
        <w:t xml:space="preserve"> Approach Towards </w:t>
      </w:r>
      <w:r w:rsidR="00A47D71" w:rsidRPr="008274FC">
        <w:rPr>
          <w:b/>
          <w:bCs/>
          <w:sz w:val="26"/>
          <w:szCs w:val="28"/>
        </w:rPr>
        <w:t>his</w:t>
      </w:r>
      <w:r w:rsidR="00996FF6" w:rsidRPr="008274FC">
        <w:rPr>
          <w:b/>
          <w:bCs/>
          <w:sz w:val="26"/>
          <w:szCs w:val="28"/>
        </w:rPr>
        <w:t xml:space="preserve"> S</w:t>
      </w:r>
      <w:r w:rsidRPr="008274FC">
        <w:rPr>
          <w:b/>
          <w:bCs/>
          <w:sz w:val="26"/>
          <w:szCs w:val="28"/>
        </w:rPr>
        <w:t>ources</w:t>
      </w:r>
    </w:p>
    <w:p w14:paraId="42463288" w14:textId="77777777" w:rsidR="000A3387" w:rsidRDefault="000A3387" w:rsidP="000A3387">
      <w:pPr>
        <w:pStyle w:val="First"/>
        <w:bidi w:val="0"/>
        <w:jc w:val="center"/>
      </w:pPr>
      <w:r>
        <w:t>Niran Garshtein</w:t>
      </w:r>
    </w:p>
    <w:p w14:paraId="1A0D585C" w14:textId="77777777" w:rsidR="000A3387" w:rsidRDefault="000A3387" w:rsidP="000A3387">
      <w:pPr>
        <w:bidi w:val="0"/>
      </w:pPr>
    </w:p>
    <w:p w14:paraId="0D0389CE" w14:textId="77777777" w:rsidR="000A3387" w:rsidRPr="000A3387" w:rsidRDefault="000A3387" w:rsidP="000A3387">
      <w:pPr>
        <w:pStyle w:val="First"/>
        <w:bidi w:val="0"/>
        <w:rPr>
          <w:b/>
          <w:bCs/>
        </w:rPr>
      </w:pPr>
      <w:r w:rsidRPr="000A3387">
        <w:rPr>
          <w:b/>
          <w:bCs/>
        </w:rPr>
        <w:t>1. Introduction</w:t>
      </w:r>
    </w:p>
    <w:p w14:paraId="5BCA6925" w14:textId="77777777" w:rsidR="000A3387" w:rsidRDefault="000A3387" w:rsidP="000A3387">
      <w:pPr>
        <w:pStyle w:val="First"/>
        <w:bidi w:val="0"/>
        <w:rPr>
          <w:rtl/>
        </w:rPr>
      </w:pPr>
    </w:p>
    <w:p w14:paraId="7F308AF4" w14:textId="6CA5CC4B" w:rsidR="00414444" w:rsidRDefault="000A3387" w:rsidP="008769A9">
      <w:pPr>
        <w:pStyle w:val="First"/>
        <w:bidi w:val="0"/>
      </w:pPr>
      <w:r w:rsidRPr="000A3387">
        <w:t>Abraham Ibn Ezra (ca. 1089–ca. 1161) was one of the most prolific writers in Medieval Jewry</w:t>
      </w:r>
      <w:r w:rsidR="00AD4CA6">
        <w:t>,</w:t>
      </w:r>
      <w:r w:rsidR="00892142">
        <w:t xml:space="preserve"> a biblical commentator,</w:t>
      </w:r>
      <w:r w:rsidR="00AD4CA6">
        <w:t xml:space="preserve"> and a pioneer of medieval Hebrew science</w:t>
      </w:r>
      <w:r w:rsidRPr="000A3387">
        <w:t xml:space="preserve">. He was born </w:t>
      </w:r>
      <w:r>
        <w:t xml:space="preserve">and educated </w:t>
      </w:r>
      <w:r w:rsidRPr="000A3387">
        <w:t xml:space="preserve">in Muslim Spain, where he spent the first five decades of his life, apparently supporting himself as an itinerant poet. </w:t>
      </w:r>
      <w:r w:rsidR="005D52F8">
        <w:t xml:space="preserve">The bulk of his </w:t>
      </w:r>
      <w:r w:rsidR="00DB48A9">
        <w:t xml:space="preserve">literary </w:t>
      </w:r>
      <w:r w:rsidR="005D52F8">
        <w:t xml:space="preserve">work, however, was produced </w:t>
      </w:r>
      <w:r w:rsidR="00DB48A9">
        <w:t xml:space="preserve">only </w:t>
      </w:r>
      <w:r w:rsidR="005D52F8">
        <w:t xml:space="preserve">after he left the </w:t>
      </w:r>
      <w:r w:rsidR="005D52F8" w:rsidRPr="000A3387">
        <w:t>Iberian Peninsula</w:t>
      </w:r>
      <w:r w:rsidR="00DB48A9">
        <w:t xml:space="preserve"> and </w:t>
      </w:r>
      <w:r w:rsidRPr="000A3387">
        <w:t xml:space="preserve">began </w:t>
      </w:r>
      <w:r w:rsidR="00AD4CA6">
        <w:t xml:space="preserve">his </w:t>
      </w:r>
      <w:r w:rsidR="00721F32">
        <w:t xml:space="preserve">wanderings </w:t>
      </w:r>
      <w:r w:rsidRPr="000A3387">
        <w:t xml:space="preserve">through Italy, </w:t>
      </w:r>
      <w:r w:rsidR="00696141" w:rsidRPr="00696141">
        <w:t>Provence</w:t>
      </w:r>
      <w:r w:rsidR="00DA5B69">
        <w:t xml:space="preserve">, </w:t>
      </w:r>
      <w:r w:rsidRPr="000A3387">
        <w:t>France</w:t>
      </w:r>
      <w:r w:rsidR="00002173">
        <w:t>,</w:t>
      </w:r>
      <w:r w:rsidRPr="000A3387">
        <w:t xml:space="preserve"> and England. While sojourning in these places, Ibn Ezra wrote prolifically on a wide variety of subjects, </w:t>
      </w:r>
      <w:r w:rsidR="00DB48A9">
        <w:t xml:space="preserve">and </w:t>
      </w:r>
      <w:r w:rsidRPr="000A3387">
        <w:t>almost exclusively in Hebrew.</w:t>
      </w:r>
      <w:r w:rsidR="00AD4CA6">
        <w:t xml:space="preserve"> He is well-known for his outstanding biblical commentaries, but his literary corpus </w:t>
      </w:r>
      <w:r w:rsidR="00F125E4">
        <w:t xml:space="preserve">also </w:t>
      </w:r>
      <w:r w:rsidR="00AD4CA6">
        <w:t xml:space="preserve">includes works on </w:t>
      </w:r>
      <w:r w:rsidRPr="000A3387">
        <w:t>arithmetic, astronomy, grammar, the Jewish calendar and</w:t>
      </w:r>
      <w:r w:rsidR="00DB48A9">
        <w:t xml:space="preserve"> especially </w:t>
      </w:r>
      <w:r w:rsidRPr="000A3387">
        <w:t>astrology</w:t>
      </w:r>
      <w:r w:rsidR="00DB48A9">
        <w:t xml:space="preserve">. </w:t>
      </w:r>
      <w:r w:rsidR="0085625A">
        <w:t xml:space="preserve">In fact, </w:t>
      </w:r>
      <w:r w:rsidR="00AD4CA6">
        <w:t xml:space="preserve">Abraham </w:t>
      </w:r>
      <w:r w:rsidR="0085625A">
        <w:t>Ibn Ezra composed no less than 20 astrological treatises</w:t>
      </w:r>
      <w:r w:rsidR="00F125E4">
        <w:t>,</w:t>
      </w:r>
      <w:r w:rsidR="0085625A">
        <w:t xml:space="preserve"> which cover all branches of medieval astrology, i.e., introduction to astrology, nativities, </w:t>
      </w:r>
      <w:r w:rsidR="00740115">
        <w:t xml:space="preserve">continuous horoscopy in nativities, </w:t>
      </w:r>
      <w:r w:rsidR="0085625A">
        <w:t>elections, interrogations, world astrology and medical astrology.</w:t>
      </w:r>
      <w:r w:rsidR="0032144F">
        <w:t xml:space="preserve"> </w:t>
      </w:r>
      <w:r w:rsidR="00992FE3">
        <w:t xml:space="preserve">His work in this field </w:t>
      </w:r>
      <w:r w:rsidR="00D94330">
        <w:t>is</w:t>
      </w:r>
      <w:r w:rsidR="00992FE3">
        <w:t xml:space="preserve"> the most important contribution to astrology </w:t>
      </w:r>
      <w:r w:rsidR="008811C5">
        <w:t xml:space="preserve">ever made </w:t>
      </w:r>
      <w:r w:rsidR="00992FE3">
        <w:t>by a Jewish scholar. Ibn Ezra’s</w:t>
      </w:r>
      <w:r w:rsidR="0032144F">
        <w:t xml:space="preserve"> intellectual interest in the sciences is also reflected in</w:t>
      </w:r>
      <w:r w:rsidR="006F3A4D">
        <w:t xml:space="preserve"> his</w:t>
      </w:r>
      <w:r w:rsidR="0032144F">
        <w:t xml:space="preserve"> biblical commentaries, </w:t>
      </w:r>
      <w:r w:rsidR="00815D36">
        <w:t xml:space="preserve">in </w:t>
      </w:r>
      <w:r w:rsidR="0032144F">
        <w:t>which</w:t>
      </w:r>
      <w:r w:rsidR="006F3A4D">
        <w:t xml:space="preserve"> he</w:t>
      </w:r>
      <w:r w:rsidR="0032144F">
        <w:t xml:space="preserve"> embe</w:t>
      </w:r>
      <w:r w:rsidR="006F3A4D">
        <w:t>ds</w:t>
      </w:r>
      <w:r w:rsidR="0032144F">
        <w:t xml:space="preserve"> not a few scientific notions and doctrines</w:t>
      </w:r>
      <w:r w:rsidR="00002173">
        <w:t xml:space="preserve">. </w:t>
      </w:r>
      <w:r w:rsidR="00F125E4">
        <w:t xml:space="preserve">Abraham </w:t>
      </w:r>
      <w:r w:rsidR="0085625A">
        <w:t>Ibn Ezra</w:t>
      </w:r>
      <w:r w:rsidR="006F3A4D">
        <w:t>’s</w:t>
      </w:r>
      <w:r w:rsidR="008769A9">
        <w:t xml:space="preserve"> w</w:t>
      </w:r>
      <w:r w:rsidR="00E6664B">
        <w:t>r</w:t>
      </w:r>
      <w:r w:rsidR="008769A9">
        <w:t>itings</w:t>
      </w:r>
      <w:r w:rsidR="00E6664B">
        <w:t xml:space="preserve"> are among the first to </w:t>
      </w:r>
      <w:r w:rsidR="00414444" w:rsidRPr="000A3387">
        <w:t xml:space="preserve">discuss Greco-Arabic science in </w:t>
      </w:r>
      <w:r w:rsidR="006F3A4D">
        <w:t xml:space="preserve">the </w:t>
      </w:r>
      <w:r w:rsidR="00414444" w:rsidRPr="000A3387">
        <w:t>Hebrew</w:t>
      </w:r>
      <w:r w:rsidR="00002173">
        <w:t xml:space="preserve"> language</w:t>
      </w:r>
      <w:r w:rsidR="00414444">
        <w:t>, and they contributed a great deal to the development of Hebrew scientific vocabulary and to the transmission</w:t>
      </w:r>
      <w:r w:rsidR="0085625A">
        <w:t xml:space="preserve"> of scientific knowledge to</w:t>
      </w:r>
      <w:r w:rsidR="00740115">
        <w:t xml:space="preserve"> the</w:t>
      </w:r>
      <w:r w:rsidR="0085625A">
        <w:t xml:space="preserve"> </w:t>
      </w:r>
      <w:r w:rsidR="00414444">
        <w:t xml:space="preserve">Jews of </w:t>
      </w:r>
      <w:r w:rsidR="00002173">
        <w:t>Latin</w:t>
      </w:r>
      <w:r w:rsidR="00414444" w:rsidRPr="000A3387">
        <w:t xml:space="preserve"> Europe</w:t>
      </w:r>
      <w:r w:rsidR="00892142">
        <w:t>.</w:t>
      </w:r>
    </w:p>
    <w:p w14:paraId="7D3A007E" w14:textId="082116EF" w:rsidR="00796669" w:rsidRPr="00076948" w:rsidRDefault="00002173" w:rsidP="00076948">
      <w:pPr>
        <w:bidi w:val="0"/>
        <w:rPr>
          <w:rFonts w:asciiTheme="majorBidi" w:hAnsiTheme="majorBidi" w:cstheme="majorBidi"/>
          <w:rtl/>
        </w:rPr>
      </w:pPr>
      <w:r>
        <w:t>During his years of w</w:t>
      </w:r>
      <w:r w:rsidR="006F3A4D">
        <w:t>a</w:t>
      </w:r>
      <w:r>
        <w:t>ndering, Ibn Ezra</w:t>
      </w:r>
      <w:r w:rsidR="00721F32">
        <w:t xml:space="preserve"> gathered</w:t>
      </w:r>
      <w:r w:rsidR="00FF6E3D">
        <w:t xml:space="preserve"> </w:t>
      </w:r>
      <w:r w:rsidRPr="00721F32">
        <w:t>students</w:t>
      </w:r>
      <w:r w:rsidR="00796669" w:rsidRPr="00721F32">
        <w:t xml:space="preserve"> and </w:t>
      </w:r>
      <w:r w:rsidRPr="00721F32">
        <w:t>patrons</w:t>
      </w:r>
      <w:r w:rsidR="00FF6E3D" w:rsidRPr="00721F32">
        <w:t xml:space="preserve"> around him</w:t>
      </w:r>
      <w:r w:rsidRPr="00FF6E3D">
        <w:rPr>
          <w:color w:val="FF0000"/>
        </w:rPr>
        <w:t xml:space="preserve"> </w:t>
      </w:r>
      <w:r>
        <w:t>and</w:t>
      </w:r>
      <w:r w:rsidR="00721F32">
        <w:t xml:space="preserve"> </w:t>
      </w:r>
      <w:r w:rsidR="00721F32" w:rsidRPr="00721F32">
        <w:rPr>
          <w:color w:val="ED0000"/>
        </w:rPr>
        <w:t>generated\raised</w:t>
      </w:r>
      <w:r w:rsidRPr="00721F32">
        <w:rPr>
          <w:color w:val="ED0000"/>
        </w:rPr>
        <w:t xml:space="preserve"> </w:t>
      </w:r>
      <w:r w:rsidRPr="00721F32">
        <w:rPr>
          <w:rFonts w:asciiTheme="majorBidi" w:hAnsiTheme="majorBidi" w:cstheme="majorBidi"/>
          <w:color w:val="ED0000"/>
        </w:rPr>
        <w:t>interest among</w:t>
      </w:r>
      <w:r w:rsidR="005A25B3" w:rsidRPr="00721F32">
        <w:rPr>
          <w:rFonts w:asciiTheme="majorBidi" w:hAnsiTheme="majorBidi" w:cstheme="majorBidi"/>
          <w:color w:val="ED0000"/>
        </w:rPr>
        <w:t>\across</w:t>
      </w:r>
      <w:r w:rsidRPr="00721F32">
        <w:rPr>
          <w:rFonts w:asciiTheme="majorBidi" w:hAnsiTheme="majorBidi" w:cstheme="majorBidi"/>
          <w:color w:val="ED0000"/>
        </w:rPr>
        <w:t xml:space="preserve"> </w:t>
      </w:r>
      <w:r w:rsidR="005A25B3">
        <w:rPr>
          <w:rFonts w:asciiTheme="majorBidi" w:hAnsiTheme="majorBidi" w:cstheme="majorBidi"/>
        </w:rPr>
        <w:t>various</w:t>
      </w:r>
      <w:r>
        <w:rPr>
          <w:rFonts w:asciiTheme="majorBidi" w:hAnsiTheme="majorBidi" w:cstheme="majorBidi"/>
        </w:rPr>
        <w:t xml:space="preserve"> </w:t>
      </w:r>
      <w:r w:rsidRPr="00DE4160">
        <w:rPr>
          <w:rFonts w:asciiTheme="majorBidi" w:hAnsiTheme="majorBidi" w:cstheme="majorBidi"/>
        </w:rPr>
        <w:t>Jewish circles</w:t>
      </w:r>
      <w:r>
        <w:rPr>
          <w:rFonts w:asciiTheme="majorBidi" w:hAnsiTheme="majorBidi" w:cstheme="majorBidi"/>
        </w:rPr>
        <w:t>.</w:t>
      </w:r>
      <w:r w:rsidR="00796669">
        <w:rPr>
          <w:rFonts w:asciiTheme="majorBidi" w:hAnsiTheme="majorBidi" w:cstheme="majorBidi"/>
        </w:rPr>
        <w:t xml:space="preserve"> The rapid diffusion of both his scientific and exegetic writings </w:t>
      </w:r>
      <w:r w:rsidR="00D94330">
        <w:rPr>
          <w:rFonts w:asciiTheme="majorBidi" w:hAnsiTheme="majorBidi" w:cstheme="majorBidi"/>
        </w:rPr>
        <w:t>is</w:t>
      </w:r>
      <w:r w:rsidR="00796669">
        <w:rPr>
          <w:rFonts w:asciiTheme="majorBidi" w:hAnsiTheme="majorBidi" w:cstheme="majorBidi"/>
        </w:rPr>
        <w:t xml:space="preserve"> indicated, </w:t>
      </w:r>
      <w:r w:rsidR="00796669" w:rsidRPr="00796669">
        <w:rPr>
          <w:rFonts w:asciiTheme="majorBidi" w:hAnsiTheme="majorBidi" w:cstheme="majorBidi"/>
          <w:i/>
          <w:iCs/>
        </w:rPr>
        <w:t>inter alia</w:t>
      </w:r>
      <w:r w:rsidR="00796669">
        <w:rPr>
          <w:rFonts w:asciiTheme="majorBidi" w:hAnsiTheme="majorBidi" w:cstheme="majorBidi"/>
        </w:rPr>
        <w:t xml:space="preserve">, by the very early references to his works. </w:t>
      </w:r>
      <w:r w:rsidR="00236570">
        <w:rPr>
          <w:rFonts w:asciiTheme="majorBidi" w:hAnsiTheme="majorBidi" w:cstheme="majorBidi"/>
        </w:rPr>
        <w:t>H</w:t>
      </w:r>
      <w:r w:rsidR="00C17059">
        <w:rPr>
          <w:rFonts w:asciiTheme="majorBidi" w:hAnsiTheme="majorBidi" w:cstheme="majorBidi"/>
        </w:rPr>
        <w:t xml:space="preserve">is biblical </w:t>
      </w:r>
      <w:r w:rsidR="008D1A11">
        <w:rPr>
          <w:rFonts w:asciiTheme="majorBidi" w:hAnsiTheme="majorBidi" w:cstheme="majorBidi"/>
        </w:rPr>
        <w:t>commentaries</w:t>
      </w:r>
      <w:r w:rsidR="00C17059">
        <w:rPr>
          <w:rFonts w:asciiTheme="majorBidi" w:hAnsiTheme="majorBidi" w:cstheme="majorBidi"/>
        </w:rPr>
        <w:t xml:space="preserve"> were used as source material for Joseph </w:t>
      </w:r>
      <w:proofErr w:type="spellStart"/>
      <w:r w:rsidR="00C17059" w:rsidRPr="00C17059">
        <w:rPr>
          <w:rFonts w:asciiTheme="majorBidi" w:hAnsiTheme="majorBidi" w:cstheme="majorBidi"/>
        </w:rPr>
        <w:t>Qimḥi</w:t>
      </w:r>
      <w:proofErr w:type="spellEnd"/>
      <w:r w:rsidR="00C17059">
        <w:rPr>
          <w:rFonts w:asciiTheme="majorBidi" w:hAnsiTheme="majorBidi" w:cstheme="majorBidi"/>
        </w:rPr>
        <w:t xml:space="preserve"> and his son David </w:t>
      </w:r>
      <w:proofErr w:type="spellStart"/>
      <w:r w:rsidR="00C17059" w:rsidRPr="00C17059">
        <w:rPr>
          <w:rFonts w:asciiTheme="majorBidi" w:hAnsiTheme="majorBidi" w:cstheme="majorBidi"/>
        </w:rPr>
        <w:t>Qimḥi</w:t>
      </w:r>
      <w:proofErr w:type="spellEnd"/>
      <w:r w:rsidR="00C17059">
        <w:rPr>
          <w:rFonts w:asciiTheme="majorBidi" w:hAnsiTheme="majorBidi" w:cstheme="majorBidi"/>
        </w:rPr>
        <w:t xml:space="preserve">, and in 1170, a decade after Ibn Ezra’s death, for Jacob ben Reuben’s </w:t>
      </w:r>
      <w:proofErr w:type="spellStart"/>
      <w:r w:rsidR="00C17059" w:rsidRPr="00DE4160">
        <w:rPr>
          <w:rFonts w:asciiTheme="majorBidi" w:hAnsiTheme="majorBidi" w:cstheme="majorBidi"/>
          <w:i/>
          <w:iCs/>
        </w:rPr>
        <w:t>Milẖamot</w:t>
      </w:r>
      <w:proofErr w:type="spellEnd"/>
      <w:r w:rsidR="00C17059" w:rsidRPr="00DE4160">
        <w:rPr>
          <w:rFonts w:asciiTheme="majorBidi" w:hAnsiTheme="majorBidi" w:cstheme="majorBidi"/>
          <w:i/>
          <w:iCs/>
        </w:rPr>
        <w:t xml:space="preserve"> ha-</w:t>
      </w:r>
      <w:r w:rsidR="00C17059">
        <w:rPr>
          <w:rFonts w:asciiTheme="majorBidi" w:hAnsiTheme="majorBidi" w:cstheme="majorBidi"/>
          <w:i/>
          <w:iCs/>
        </w:rPr>
        <w:t>S</w:t>
      </w:r>
      <w:r w:rsidR="00C17059" w:rsidRPr="00DE4160">
        <w:rPr>
          <w:rFonts w:asciiTheme="majorBidi" w:hAnsiTheme="majorBidi" w:cstheme="majorBidi"/>
          <w:i/>
          <w:iCs/>
        </w:rPr>
        <w:t>hem</w:t>
      </w:r>
      <w:r w:rsidR="00C17059">
        <w:rPr>
          <w:rFonts w:asciiTheme="majorBidi" w:hAnsiTheme="majorBidi" w:cstheme="majorBidi"/>
        </w:rPr>
        <w:t xml:space="preserve">. </w:t>
      </w:r>
      <w:r w:rsidR="00796669">
        <w:rPr>
          <w:rFonts w:asciiTheme="majorBidi" w:hAnsiTheme="majorBidi" w:cstheme="majorBidi"/>
        </w:rPr>
        <w:t xml:space="preserve">Later in the twelfth century, a group of </w:t>
      </w:r>
      <w:r w:rsidR="00796669" w:rsidRPr="00DE4160">
        <w:rPr>
          <w:rFonts w:asciiTheme="majorBidi" w:hAnsiTheme="majorBidi" w:cstheme="majorBidi"/>
        </w:rPr>
        <w:t xml:space="preserve">Provençal Jews addressed a </w:t>
      </w:r>
      <w:r w:rsidR="00FF6E3D">
        <w:rPr>
          <w:rFonts w:asciiTheme="majorBidi" w:hAnsiTheme="majorBidi" w:cstheme="majorBidi"/>
        </w:rPr>
        <w:t xml:space="preserve">letter with a </w:t>
      </w:r>
      <w:r w:rsidR="00796669" w:rsidRPr="00DE4160">
        <w:rPr>
          <w:rFonts w:asciiTheme="majorBidi" w:hAnsiTheme="majorBidi" w:cstheme="majorBidi"/>
        </w:rPr>
        <w:t>series of queries on astrology to Maimonides, deriving their astrological knowledge from Ibn Ezra’s astrological works</w:t>
      </w:r>
      <w:r w:rsidR="008769A9">
        <w:rPr>
          <w:rFonts w:asciiTheme="majorBidi" w:hAnsiTheme="majorBidi" w:cstheme="majorBidi"/>
        </w:rPr>
        <w:t xml:space="preserve"> </w:t>
      </w:r>
      <w:r w:rsidR="00B911A4">
        <w:rPr>
          <w:rFonts w:asciiTheme="majorBidi" w:hAnsiTheme="majorBidi" w:cstheme="majorBidi"/>
        </w:rPr>
        <w:lastRenderedPageBreak/>
        <w:t>(</w:t>
      </w:r>
      <w:r w:rsidR="008769A9" w:rsidRPr="008A55CE">
        <w:rPr>
          <w:rFonts w:asciiTheme="majorBidi" w:hAnsiTheme="majorBidi" w:cstheme="majorBidi"/>
        </w:rPr>
        <w:t>Sela 2004</w:t>
      </w:r>
      <w:r w:rsidR="00B911A4">
        <w:rPr>
          <w:rFonts w:asciiTheme="majorBidi" w:hAnsiTheme="majorBidi" w:cstheme="majorBidi"/>
        </w:rPr>
        <w:t>)</w:t>
      </w:r>
      <w:r w:rsidR="00796669" w:rsidRPr="00DE4160">
        <w:rPr>
          <w:rFonts w:asciiTheme="majorBidi" w:hAnsiTheme="majorBidi" w:cstheme="majorBidi"/>
        </w:rPr>
        <w:t>.</w:t>
      </w:r>
      <w:r w:rsidR="00796669" w:rsidRPr="00796669">
        <w:rPr>
          <w:rFonts w:asciiTheme="majorBidi" w:hAnsiTheme="majorBidi" w:cstheme="majorBidi"/>
        </w:rPr>
        <w:t xml:space="preserve"> </w:t>
      </w:r>
      <w:r w:rsidR="00740115">
        <w:rPr>
          <w:rFonts w:asciiTheme="majorBidi" w:hAnsiTheme="majorBidi" w:cstheme="majorBidi"/>
        </w:rPr>
        <w:t>In the thirteenth century</w:t>
      </w:r>
      <w:r w:rsidR="008769A9">
        <w:rPr>
          <w:rFonts w:asciiTheme="majorBidi" w:hAnsiTheme="majorBidi" w:cstheme="majorBidi"/>
        </w:rPr>
        <w:t>,</w:t>
      </w:r>
      <w:r w:rsidR="00740115">
        <w:rPr>
          <w:rFonts w:asciiTheme="majorBidi" w:hAnsiTheme="majorBidi" w:cstheme="majorBidi"/>
        </w:rPr>
        <w:t xml:space="preserve"> his astrological </w:t>
      </w:r>
      <w:r w:rsidR="00D94330">
        <w:rPr>
          <w:rFonts w:asciiTheme="majorBidi" w:hAnsiTheme="majorBidi" w:cstheme="majorBidi"/>
        </w:rPr>
        <w:t>corpus</w:t>
      </w:r>
      <w:r w:rsidR="00740115">
        <w:rPr>
          <w:rFonts w:asciiTheme="majorBidi" w:hAnsiTheme="majorBidi" w:cstheme="majorBidi"/>
        </w:rPr>
        <w:t xml:space="preserve"> w</w:t>
      </w:r>
      <w:r w:rsidR="00D94330">
        <w:rPr>
          <w:rFonts w:asciiTheme="majorBidi" w:hAnsiTheme="majorBidi" w:cstheme="majorBidi"/>
        </w:rPr>
        <w:t>as</w:t>
      </w:r>
      <w:r w:rsidR="00740115">
        <w:rPr>
          <w:rFonts w:asciiTheme="majorBidi" w:hAnsiTheme="majorBidi" w:cstheme="majorBidi"/>
        </w:rPr>
        <w:t xml:space="preserve"> used as source material </w:t>
      </w:r>
      <w:r w:rsidR="00721F32">
        <w:rPr>
          <w:rFonts w:asciiTheme="majorBidi" w:hAnsiTheme="majorBidi" w:cstheme="majorBidi"/>
        </w:rPr>
        <w:t>for</w:t>
      </w:r>
      <w:r w:rsidR="00740115">
        <w:rPr>
          <w:rFonts w:asciiTheme="majorBidi" w:hAnsiTheme="majorBidi" w:cstheme="majorBidi"/>
        </w:rPr>
        <w:t xml:space="preserve"> several work</w:t>
      </w:r>
      <w:r w:rsidR="00D94330">
        <w:rPr>
          <w:rFonts w:asciiTheme="majorBidi" w:hAnsiTheme="majorBidi" w:cstheme="majorBidi"/>
        </w:rPr>
        <w:t>s</w:t>
      </w:r>
      <w:r w:rsidR="00740115">
        <w:rPr>
          <w:rFonts w:asciiTheme="majorBidi" w:hAnsiTheme="majorBidi" w:cstheme="majorBidi"/>
        </w:rPr>
        <w:t xml:space="preserve">, such as the astrological section of Levi ben Abraham’s </w:t>
      </w:r>
      <w:proofErr w:type="spellStart"/>
      <w:r w:rsidR="00740115" w:rsidRPr="00740115">
        <w:rPr>
          <w:rFonts w:asciiTheme="majorBidi" w:hAnsiTheme="majorBidi" w:cstheme="majorBidi"/>
          <w:i/>
          <w:iCs/>
        </w:rPr>
        <w:t>Livyat</w:t>
      </w:r>
      <w:proofErr w:type="spellEnd"/>
      <w:r w:rsidR="00740115" w:rsidRPr="00740115">
        <w:rPr>
          <w:rFonts w:asciiTheme="majorBidi" w:hAnsiTheme="majorBidi" w:cstheme="majorBidi"/>
          <w:i/>
          <w:iCs/>
        </w:rPr>
        <w:t xml:space="preserve"> </w:t>
      </w:r>
      <w:proofErr w:type="spellStart"/>
      <w:r w:rsidR="00C17059" w:rsidRPr="00C17059">
        <w:rPr>
          <w:rFonts w:asciiTheme="majorBidi" w:hAnsiTheme="majorBidi" w:cstheme="majorBidi"/>
          <w:i/>
          <w:iCs/>
        </w:rPr>
        <w:t>ḥ</w:t>
      </w:r>
      <w:r w:rsidR="00740115" w:rsidRPr="00740115">
        <w:rPr>
          <w:rFonts w:asciiTheme="majorBidi" w:hAnsiTheme="majorBidi" w:cstheme="majorBidi"/>
          <w:i/>
          <w:iCs/>
        </w:rPr>
        <w:t>en</w:t>
      </w:r>
      <w:proofErr w:type="spellEnd"/>
      <w:r w:rsidR="008811C5">
        <w:rPr>
          <w:rFonts w:asciiTheme="majorBidi" w:hAnsiTheme="majorBidi" w:cstheme="majorBidi"/>
        </w:rPr>
        <w:t xml:space="preserve"> </w:t>
      </w:r>
      <w:r w:rsidR="00B911A4">
        <w:rPr>
          <w:rFonts w:asciiTheme="majorBidi" w:hAnsiTheme="majorBidi" w:cstheme="majorBidi"/>
        </w:rPr>
        <w:t>(</w:t>
      </w:r>
      <w:r w:rsidR="008811C5" w:rsidRPr="008A55CE">
        <w:rPr>
          <w:rFonts w:asciiTheme="majorBidi" w:hAnsiTheme="majorBidi" w:cstheme="majorBidi"/>
        </w:rPr>
        <w:t>Garshtein 2021</w:t>
      </w:r>
      <w:r w:rsidR="00B911A4">
        <w:rPr>
          <w:rFonts w:asciiTheme="majorBidi" w:hAnsiTheme="majorBidi" w:cstheme="majorBidi"/>
        </w:rPr>
        <w:t xml:space="preserve">, </w:t>
      </w:r>
      <w:r w:rsidR="008A55CE">
        <w:rPr>
          <w:rFonts w:asciiTheme="majorBidi" w:hAnsiTheme="majorBidi" w:cstheme="majorBidi"/>
        </w:rPr>
        <w:t>189–197, 413–428</w:t>
      </w:r>
      <w:r w:rsidR="00B911A4">
        <w:rPr>
          <w:rFonts w:asciiTheme="majorBidi" w:hAnsiTheme="majorBidi" w:cstheme="majorBidi"/>
        </w:rPr>
        <w:t>)</w:t>
      </w:r>
      <w:r w:rsidR="00740115">
        <w:rPr>
          <w:rFonts w:asciiTheme="majorBidi" w:hAnsiTheme="majorBidi" w:cstheme="majorBidi"/>
        </w:rPr>
        <w:t xml:space="preserve">, and the anonymous compendium known as </w:t>
      </w:r>
      <w:r w:rsidR="00740115" w:rsidRPr="00740115">
        <w:rPr>
          <w:rFonts w:asciiTheme="majorBidi" w:hAnsiTheme="majorBidi" w:cstheme="majorBidi"/>
          <w:i/>
          <w:iCs/>
        </w:rPr>
        <w:t>Sefer ha-Kolel</w:t>
      </w:r>
      <w:r w:rsidR="008811C5">
        <w:rPr>
          <w:rFonts w:asciiTheme="majorBidi" w:hAnsiTheme="majorBidi" w:cstheme="majorBidi"/>
        </w:rPr>
        <w:t xml:space="preserve"> </w:t>
      </w:r>
      <w:r w:rsidR="00B911A4">
        <w:rPr>
          <w:rFonts w:asciiTheme="majorBidi" w:hAnsiTheme="majorBidi" w:cstheme="majorBidi"/>
        </w:rPr>
        <w:t>(</w:t>
      </w:r>
      <w:r w:rsidR="008811C5" w:rsidRPr="008A55CE">
        <w:rPr>
          <w:rFonts w:asciiTheme="majorBidi" w:hAnsiTheme="majorBidi" w:cstheme="majorBidi"/>
        </w:rPr>
        <w:t>Sela 2014</w:t>
      </w:r>
      <w:r w:rsidR="00236570">
        <w:rPr>
          <w:rFonts w:asciiTheme="majorBidi" w:hAnsiTheme="majorBidi" w:cstheme="majorBidi"/>
        </w:rPr>
        <w:t>b</w:t>
      </w:r>
      <w:r w:rsidR="008811C5" w:rsidRPr="008A55CE">
        <w:rPr>
          <w:rFonts w:asciiTheme="majorBidi" w:hAnsiTheme="majorBidi" w:cstheme="majorBidi"/>
        </w:rPr>
        <w:t>; Garshtein 202</w:t>
      </w:r>
      <w:r w:rsidR="00942BB8" w:rsidRPr="008A55CE">
        <w:rPr>
          <w:rFonts w:asciiTheme="majorBidi" w:hAnsiTheme="majorBidi" w:cstheme="majorBidi"/>
        </w:rPr>
        <w:t>4</w:t>
      </w:r>
      <w:r w:rsidR="00B911A4">
        <w:rPr>
          <w:rFonts w:asciiTheme="majorBidi" w:hAnsiTheme="majorBidi" w:cstheme="majorBidi"/>
        </w:rPr>
        <w:t>)</w:t>
      </w:r>
      <w:r w:rsidR="00740115">
        <w:rPr>
          <w:rFonts w:asciiTheme="majorBidi" w:hAnsiTheme="majorBidi" w:cstheme="majorBidi"/>
        </w:rPr>
        <w:t xml:space="preserve">. </w:t>
      </w:r>
      <w:r w:rsidR="00796669" w:rsidRPr="00DE4160">
        <w:rPr>
          <w:rFonts w:asciiTheme="majorBidi" w:hAnsiTheme="majorBidi" w:cstheme="majorBidi"/>
        </w:rPr>
        <w:t xml:space="preserve">Toward the end of the </w:t>
      </w:r>
      <w:r w:rsidR="00796669">
        <w:rPr>
          <w:rFonts w:asciiTheme="majorBidi" w:hAnsiTheme="majorBidi" w:cstheme="majorBidi"/>
        </w:rPr>
        <w:t>thirteenth</w:t>
      </w:r>
      <w:r w:rsidR="00796669" w:rsidRPr="00DE4160">
        <w:rPr>
          <w:rFonts w:asciiTheme="majorBidi" w:hAnsiTheme="majorBidi" w:cstheme="majorBidi"/>
        </w:rPr>
        <w:t xml:space="preserve"> century, Ibn Ezra’s astrological writings were transmitted to a Christian audience via a series of translation projects, which were carried out almost simultaneously.</w:t>
      </w:r>
      <w:r w:rsidR="00FF6E3D">
        <w:rPr>
          <w:rFonts w:asciiTheme="majorBidi" w:hAnsiTheme="majorBidi" w:cstheme="majorBidi"/>
        </w:rPr>
        <w:t xml:space="preserve"> In 1273, a Jewish scholar named Hagin le </w:t>
      </w:r>
      <w:proofErr w:type="spellStart"/>
      <w:r w:rsidR="00FF6E3D">
        <w:rPr>
          <w:rFonts w:asciiTheme="majorBidi" w:hAnsiTheme="majorBidi" w:cstheme="majorBidi"/>
        </w:rPr>
        <w:t>Juif</w:t>
      </w:r>
      <w:proofErr w:type="spellEnd"/>
      <w:r w:rsidR="00FF6E3D">
        <w:rPr>
          <w:rFonts w:asciiTheme="majorBidi" w:hAnsiTheme="majorBidi" w:cstheme="majorBidi"/>
        </w:rPr>
        <w:t xml:space="preserve"> was commissioned by Henry Bate </w:t>
      </w:r>
      <w:r w:rsidR="00740115">
        <w:rPr>
          <w:rFonts w:asciiTheme="majorBidi" w:hAnsiTheme="majorBidi" w:cstheme="majorBidi"/>
        </w:rPr>
        <w:t xml:space="preserve">of </w:t>
      </w:r>
      <w:proofErr w:type="spellStart"/>
      <w:r w:rsidR="00740115">
        <w:rPr>
          <w:rFonts w:asciiTheme="majorBidi" w:hAnsiTheme="majorBidi" w:cstheme="majorBidi"/>
        </w:rPr>
        <w:t>Mechelen</w:t>
      </w:r>
      <w:proofErr w:type="spellEnd"/>
      <w:r w:rsidR="00740115">
        <w:rPr>
          <w:rFonts w:asciiTheme="majorBidi" w:hAnsiTheme="majorBidi" w:cstheme="majorBidi"/>
        </w:rPr>
        <w:t xml:space="preserve"> </w:t>
      </w:r>
      <w:r w:rsidR="008E50E8">
        <w:t xml:space="preserve">(1246–after 1310) </w:t>
      </w:r>
      <w:r w:rsidR="00FF6E3D">
        <w:rPr>
          <w:rFonts w:asciiTheme="majorBidi" w:hAnsiTheme="majorBidi" w:cstheme="majorBidi"/>
        </w:rPr>
        <w:t>to translate some of Ibn Ezra’s astrological work</w:t>
      </w:r>
      <w:r w:rsidR="00D94330">
        <w:rPr>
          <w:rFonts w:asciiTheme="majorBidi" w:hAnsiTheme="majorBidi" w:cstheme="majorBidi"/>
        </w:rPr>
        <w:t>s</w:t>
      </w:r>
      <w:r w:rsidR="00FF6E3D">
        <w:rPr>
          <w:rFonts w:asciiTheme="majorBidi" w:hAnsiTheme="majorBidi" w:cstheme="majorBidi"/>
        </w:rPr>
        <w:t xml:space="preserve"> into Old French.</w:t>
      </w:r>
      <w:r w:rsidR="00740115">
        <w:rPr>
          <w:rFonts w:asciiTheme="majorBidi" w:hAnsiTheme="majorBidi" w:cstheme="majorBidi"/>
        </w:rPr>
        <w:t xml:space="preserve"> Four of Hagin’s translations are extant </w:t>
      </w:r>
      <w:r w:rsidR="00740115" w:rsidRPr="003B567F">
        <w:rPr>
          <w:rFonts w:asciiTheme="majorBidi" w:hAnsiTheme="majorBidi" w:cstheme="majorBidi"/>
        </w:rPr>
        <w:t>today in two unique manuscripts</w:t>
      </w:r>
      <w:r w:rsidR="00721F32" w:rsidRPr="003B567F">
        <w:rPr>
          <w:rFonts w:asciiTheme="majorBidi" w:hAnsiTheme="majorBidi" w:cstheme="majorBidi"/>
        </w:rPr>
        <w:t xml:space="preserve"> </w:t>
      </w:r>
      <w:r w:rsidR="00B911A4">
        <w:rPr>
          <w:rFonts w:asciiTheme="majorBidi" w:hAnsiTheme="majorBidi" w:cstheme="majorBidi"/>
        </w:rPr>
        <w:t>(</w:t>
      </w:r>
      <w:r w:rsidR="00721F32" w:rsidRPr="003B567F">
        <w:rPr>
          <w:rFonts w:asciiTheme="majorBidi" w:hAnsiTheme="majorBidi" w:cstheme="majorBidi"/>
        </w:rPr>
        <w:t>Sela 2021</w:t>
      </w:r>
      <w:r w:rsidR="00B911A4">
        <w:rPr>
          <w:rFonts w:asciiTheme="majorBidi" w:hAnsiTheme="majorBidi" w:cstheme="majorBidi"/>
        </w:rPr>
        <w:t>)</w:t>
      </w:r>
      <w:r w:rsidR="00740115" w:rsidRPr="003B567F">
        <w:rPr>
          <w:rFonts w:asciiTheme="majorBidi" w:hAnsiTheme="majorBidi" w:cstheme="majorBidi"/>
        </w:rPr>
        <w:t xml:space="preserve">. </w:t>
      </w:r>
      <w:r w:rsidR="003325AF">
        <w:rPr>
          <w:rFonts w:asciiTheme="majorBidi" w:hAnsiTheme="majorBidi" w:cstheme="majorBidi"/>
        </w:rPr>
        <w:t>Old</w:t>
      </w:r>
      <w:r w:rsidR="00740115">
        <w:rPr>
          <w:rFonts w:asciiTheme="majorBidi" w:hAnsiTheme="majorBidi" w:cstheme="majorBidi"/>
        </w:rPr>
        <w:t xml:space="preserve"> French translations were used as source materials by later scholars – such as </w:t>
      </w:r>
      <w:r w:rsidR="00192C6A">
        <w:rPr>
          <w:rFonts w:asciiTheme="majorBidi" w:hAnsiTheme="majorBidi" w:cstheme="majorBidi"/>
        </w:rPr>
        <w:t xml:space="preserve">Henry Bate, Pietro </w:t>
      </w:r>
      <w:proofErr w:type="spellStart"/>
      <w:r w:rsidR="00192C6A">
        <w:rPr>
          <w:rFonts w:asciiTheme="majorBidi" w:hAnsiTheme="majorBidi" w:cstheme="majorBidi"/>
        </w:rPr>
        <w:t>d’Abano</w:t>
      </w:r>
      <w:proofErr w:type="spellEnd"/>
      <w:r w:rsidR="000658D4">
        <w:rPr>
          <w:rFonts w:asciiTheme="majorBidi" w:hAnsiTheme="majorBidi" w:cstheme="majorBidi"/>
        </w:rPr>
        <w:t xml:space="preserve"> (ca. 1250–ca. 1315)</w:t>
      </w:r>
      <w:r w:rsidR="00192C6A">
        <w:rPr>
          <w:rFonts w:asciiTheme="majorBidi" w:hAnsiTheme="majorBidi" w:cstheme="majorBidi"/>
        </w:rPr>
        <w:t>, Pierre de Limoges</w:t>
      </w:r>
      <w:r w:rsidR="000658D4">
        <w:rPr>
          <w:rFonts w:asciiTheme="majorBidi" w:hAnsiTheme="majorBidi" w:cstheme="majorBidi"/>
        </w:rPr>
        <w:t xml:space="preserve"> (second half of the thirteenth century),</w:t>
      </w:r>
      <w:r w:rsidR="00192C6A">
        <w:rPr>
          <w:rFonts w:asciiTheme="majorBidi" w:hAnsiTheme="majorBidi" w:cstheme="majorBidi"/>
        </w:rPr>
        <w:t xml:space="preserve"> and Arnoul de </w:t>
      </w:r>
      <w:proofErr w:type="spellStart"/>
      <w:r w:rsidR="00192C6A">
        <w:rPr>
          <w:rFonts w:asciiTheme="majorBidi" w:hAnsiTheme="majorBidi" w:cstheme="majorBidi"/>
        </w:rPr>
        <w:t>Quincampoix</w:t>
      </w:r>
      <w:proofErr w:type="spellEnd"/>
      <w:r w:rsidR="000658D4">
        <w:rPr>
          <w:rFonts w:asciiTheme="majorBidi" w:hAnsiTheme="majorBidi" w:cstheme="majorBidi"/>
        </w:rPr>
        <w:t xml:space="preserve"> (d. before 1336)</w:t>
      </w:r>
      <w:r w:rsidR="00192C6A">
        <w:rPr>
          <w:rFonts w:asciiTheme="majorBidi" w:hAnsiTheme="majorBidi" w:cstheme="majorBidi"/>
        </w:rPr>
        <w:t xml:space="preserve"> – who in turn translated Ibn Ezra’s work into Latin.</w:t>
      </w:r>
      <w:r w:rsidR="00740115">
        <w:rPr>
          <w:rFonts w:asciiTheme="majorBidi" w:hAnsiTheme="majorBidi" w:cstheme="majorBidi"/>
        </w:rPr>
        <w:t xml:space="preserve"> </w:t>
      </w:r>
      <w:r w:rsidR="008D1A11">
        <w:rPr>
          <w:rFonts w:asciiTheme="majorBidi" w:hAnsiTheme="majorBidi" w:cstheme="majorBidi"/>
        </w:rPr>
        <w:t>Ibn Ezra’s biblical commentaries continued to attain recognition in</w:t>
      </w:r>
      <w:r w:rsidR="00721F32">
        <w:rPr>
          <w:rFonts w:asciiTheme="majorBidi" w:hAnsiTheme="majorBidi" w:cstheme="majorBidi"/>
        </w:rPr>
        <w:t xml:space="preserve"> the</w:t>
      </w:r>
      <w:r w:rsidR="008D1A11">
        <w:rPr>
          <w:rFonts w:asciiTheme="majorBidi" w:hAnsiTheme="majorBidi" w:cstheme="majorBidi"/>
        </w:rPr>
        <w:t xml:space="preserve"> late Middle Ages, and their popularity </w:t>
      </w:r>
      <w:r w:rsidR="003325AF">
        <w:rPr>
          <w:rFonts w:asciiTheme="majorBidi" w:hAnsiTheme="majorBidi" w:cstheme="majorBidi"/>
        </w:rPr>
        <w:t xml:space="preserve">in Jewish circles </w:t>
      </w:r>
      <w:r w:rsidR="00076948">
        <w:rPr>
          <w:rFonts w:asciiTheme="majorBidi" w:hAnsiTheme="majorBidi" w:cstheme="majorBidi"/>
        </w:rPr>
        <w:t xml:space="preserve">begot a new literary genre – </w:t>
      </w:r>
      <w:proofErr w:type="spellStart"/>
      <w:r w:rsidR="00721F32" w:rsidRPr="00721F32">
        <w:t>supercommentaries</w:t>
      </w:r>
      <w:proofErr w:type="spellEnd"/>
      <w:r w:rsidR="00721F32">
        <w:t xml:space="preserve"> </w:t>
      </w:r>
      <w:r w:rsidR="00076948">
        <w:t xml:space="preserve">on </w:t>
      </w:r>
      <w:r w:rsidR="00721F32">
        <w:t>hi</w:t>
      </w:r>
      <w:r w:rsidR="00076948">
        <w:t>s biblical exegesis.</w:t>
      </w:r>
      <w:r w:rsidR="008D1A11">
        <w:rPr>
          <w:rFonts w:asciiTheme="majorBidi" w:hAnsiTheme="majorBidi" w:cstheme="majorBidi"/>
        </w:rPr>
        <w:t xml:space="preserve"> </w:t>
      </w:r>
    </w:p>
    <w:p w14:paraId="16B343C4" w14:textId="77777777" w:rsidR="006C3523" w:rsidRDefault="006C3523" w:rsidP="002A71BD">
      <w:pPr>
        <w:pStyle w:val="First"/>
        <w:bidi w:val="0"/>
      </w:pPr>
    </w:p>
    <w:p w14:paraId="763B75D0" w14:textId="68375986" w:rsidR="002A71BD" w:rsidRPr="0004524A" w:rsidRDefault="002A71BD" w:rsidP="006E013D">
      <w:pPr>
        <w:pStyle w:val="First"/>
        <w:bidi w:val="0"/>
        <w:rPr>
          <w:b/>
          <w:bCs/>
        </w:rPr>
      </w:pPr>
      <w:bookmarkStart w:id="0" w:name="_Hlk166139595"/>
      <w:r w:rsidRPr="0004524A">
        <w:rPr>
          <w:b/>
          <w:bCs/>
        </w:rPr>
        <w:t xml:space="preserve">2. Abraham Ibn Ezra’s </w:t>
      </w:r>
      <w:r w:rsidR="00FF3276">
        <w:rPr>
          <w:b/>
          <w:bCs/>
        </w:rPr>
        <w:t>Skeptical</w:t>
      </w:r>
      <w:r w:rsidR="00C56887" w:rsidRPr="00C56887">
        <w:rPr>
          <w:b/>
          <w:bCs/>
        </w:rPr>
        <w:t xml:space="preserve"> </w:t>
      </w:r>
      <w:r w:rsidR="009D2FFE">
        <w:rPr>
          <w:b/>
          <w:bCs/>
        </w:rPr>
        <w:t>Approach toward</w:t>
      </w:r>
      <w:r w:rsidR="006815ED">
        <w:rPr>
          <w:b/>
          <w:bCs/>
        </w:rPr>
        <w:t>s</w:t>
      </w:r>
      <w:r w:rsidR="009D2FFE">
        <w:rPr>
          <w:b/>
          <w:bCs/>
        </w:rPr>
        <w:t xml:space="preserve"> </w:t>
      </w:r>
      <w:r w:rsidR="00FF3276">
        <w:rPr>
          <w:b/>
          <w:bCs/>
        </w:rPr>
        <w:t>T</w:t>
      </w:r>
      <w:r w:rsidR="00C56887">
        <w:rPr>
          <w:b/>
          <w:bCs/>
        </w:rPr>
        <w:t xml:space="preserve">wo of </w:t>
      </w:r>
      <w:r w:rsidR="009D2FFE">
        <w:rPr>
          <w:b/>
          <w:bCs/>
        </w:rPr>
        <w:t xml:space="preserve">his </w:t>
      </w:r>
      <w:r w:rsidR="0006410E">
        <w:rPr>
          <w:b/>
          <w:bCs/>
        </w:rPr>
        <w:t xml:space="preserve">Chief </w:t>
      </w:r>
      <w:r w:rsidR="009D2FFE">
        <w:rPr>
          <w:b/>
          <w:bCs/>
        </w:rPr>
        <w:t>Sources</w:t>
      </w:r>
      <w:r w:rsidR="003A3ADB">
        <w:rPr>
          <w:b/>
          <w:bCs/>
        </w:rPr>
        <w:t xml:space="preserve"> </w:t>
      </w:r>
    </w:p>
    <w:p w14:paraId="5D1BB336" w14:textId="77777777" w:rsidR="0004524A" w:rsidRDefault="0004524A" w:rsidP="00664B3A">
      <w:pPr>
        <w:pStyle w:val="First"/>
        <w:bidi w:val="0"/>
        <w:rPr>
          <w:rtl/>
        </w:rPr>
      </w:pPr>
    </w:p>
    <w:p w14:paraId="122C94EF" w14:textId="24F3D1D0" w:rsidR="00B7140F" w:rsidRDefault="008769A9" w:rsidP="00206819">
      <w:pPr>
        <w:pStyle w:val="First"/>
        <w:bidi w:val="0"/>
      </w:pPr>
      <w:r>
        <w:t xml:space="preserve">Abraham ibn Ezra </w:t>
      </w:r>
      <w:r w:rsidR="00E749EC">
        <w:t>adopted</w:t>
      </w:r>
      <w:r w:rsidR="00BB5FF8">
        <w:t xml:space="preserve"> a </w:t>
      </w:r>
      <w:r w:rsidR="00E749EC">
        <w:t>highly</w:t>
      </w:r>
      <w:r w:rsidR="00A70034" w:rsidRPr="00A70034">
        <w:t xml:space="preserve"> </w:t>
      </w:r>
      <w:r w:rsidR="00BB5FF8">
        <w:t xml:space="preserve">critical </w:t>
      </w:r>
      <w:r w:rsidR="00E749EC">
        <w:t>stance</w:t>
      </w:r>
      <w:r w:rsidR="00BB5FF8">
        <w:t xml:space="preserve"> towards his </w:t>
      </w:r>
      <w:r w:rsidRPr="008769A9">
        <w:t>predecessors</w:t>
      </w:r>
      <w:r w:rsidR="006204C5">
        <w:t xml:space="preserve">. </w:t>
      </w:r>
      <w:r w:rsidR="006204C5" w:rsidRPr="006204C5">
        <w:t>When faced with what he perceived as inaccuracies or misconceptions, be they advocated by traditional authorities or scientific</w:t>
      </w:r>
      <w:r w:rsidR="006204C5">
        <w:t xml:space="preserve"> figures</w:t>
      </w:r>
      <w:r w:rsidR="00E749EC">
        <w:t xml:space="preserve"> –</w:t>
      </w:r>
      <w:r w:rsidR="00390725">
        <w:t xml:space="preserve"> </w:t>
      </w:r>
      <w:r w:rsidR="00E749EC">
        <w:t>whether</w:t>
      </w:r>
      <w:r w:rsidR="00390725">
        <w:t xml:space="preserve"> Jew</w:t>
      </w:r>
      <w:r w:rsidR="00AE5EF0">
        <w:t>i</w:t>
      </w:r>
      <w:r w:rsidR="00390725">
        <w:t>s</w:t>
      </w:r>
      <w:r w:rsidR="00AE5EF0">
        <w:t>h</w:t>
      </w:r>
      <w:r w:rsidR="00A70034">
        <w:t>,</w:t>
      </w:r>
      <w:r w:rsidR="00A70034" w:rsidRPr="00A70034">
        <w:t xml:space="preserve"> </w:t>
      </w:r>
      <w:r w:rsidR="00390725">
        <w:t>Muslim</w:t>
      </w:r>
      <w:r w:rsidR="00BE29B6">
        <w:t>,</w:t>
      </w:r>
      <w:r w:rsidR="00390725">
        <w:t xml:space="preserve"> Christian</w:t>
      </w:r>
      <w:r w:rsidR="006204C5">
        <w:t>,</w:t>
      </w:r>
      <w:r w:rsidR="00BE29B6">
        <w:t xml:space="preserve"> </w:t>
      </w:r>
      <w:r w:rsidR="006E013D" w:rsidRPr="00A70034">
        <w:t>Karaite</w:t>
      </w:r>
      <w:r w:rsidR="006E013D">
        <w:t xml:space="preserve">, </w:t>
      </w:r>
      <w:r w:rsidR="00BE29B6">
        <w:t>Persian or Indian</w:t>
      </w:r>
      <w:r w:rsidR="00E749EC">
        <w:t xml:space="preserve"> –</w:t>
      </w:r>
      <w:r w:rsidR="006204C5">
        <w:t xml:space="preserve"> Ibn Ezra did not </w:t>
      </w:r>
      <w:r w:rsidR="00E749EC">
        <w:t>hesitate to express his disapproval with severe words</w:t>
      </w:r>
      <w:r w:rsidR="006204C5">
        <w:t>.</w:t>
      </w:r>
      <w:r w:rsidR="00C82E7C">
        <w:t xml:space="preserve"> For </w:t>
      </w:r>
      <w:r w:rsidR="00E749EC">
        <w:t>instance</w:t>
      </w:r>
      <w:r w:rsidR="00C82E7C">
        <w:t xml:space="preserve">, </w:t>
      </w:r>
      <w:r w:rsidR="006E013D">
        <w:t xml:space="preserve">in his </w:t>
      </w:r>
      <w:r w:rsidR="006E013D" w:rsidRPr="006E013D">
        <w:rPr>
          <w:i/>
          <w:iCs/>
        </w:rPr>
        <w:t>Book on Nativities</w:t>
      </w:r>
      <w:r w:rsidR="00390725">
        <w:t xml:space="preserve"> he refers</w:t>
      </w:r>
      <w:r w:rsidR="00E749EC">
        <w:t xml:space="preserve"> derisively</w:t>
      </w:r>
      <w:r w:rsidR="00390725">
        <w:t xml:space="preserve"> to a certain scholar who included in his book tables for determining life </w:t>
      </w:r>
      <w:r w:rsidR="00390725" w:rsidRPr="00C82E7C">
        <w:t>expectancy</w:t>
      </w:r>
      <w:r w:rsidR="00390725">
        <w:t xml:space="preserve"> </w:t>
      </w:r>
      <w:r w:rsidR="00802805">
        <w:t>which this scholar</w:t>
      </w:r>
      <w:r w:rsidR="00390725">
        <w:t xml:space="preserve"> called </w:t>
      </w:r>
      <w:r w:rsidR="00E749EC">
        <w:t>“</w:t>
      </w:r>
      <w:r w:rsidR="00390725">
        <w:t>ovens</w:t>
      </w:r>
      <w:r w:rsidR="00E749EC">
        <w:t>”</w:t>
      </w:r>
      <w:r w:rsidR="00390725">
        <w:t xml:space="preserve">. Ibn Ezra </w:t>
      </w:r>
      <w:r w:rsidR="00E749EC">
        <w:t>dismissed</w:t>
      </w:r>
      <w:r w:rsidR="00206819">
        <w:t xml:space="preserve"> and scorned</w:t>
      </w:r>
      <w:r w:rsidR="00E749EC">
        <w:t xml:space="preserve"> the significance of these “ovens” </w:t>
      </w:r>
      <w:r w:rsidR="00206819">
        <w:t>with th</w:t>
      </w:r>
      <w:r w:rsidR="00CC66DC">
        <w:t>e following</w:t>
      </w:r>
      <w:r w:rsidR="00E749EC">
        <w:t xml:space="preserve"> ridiculing </w:t>
      </w:r>
      <w:r w:rsidR="00476C88">
        <w:t>statement</w:t>
      </w:r>
      <w:r w:rsidR="00390725">
        <w:t xml:space="preserve">: </w:t>
      </w:r>
      <w:r w:rsidR="00206819">
        <w:t>“</w:t>
      </w:r>
      <w:r w:rsidR="00390725">
        <w:t xml:space="preserve">they deserve to be burnt in an oven, because they are </w:t>
      </w:r>
      <w:r w:rsidR="00BE29B6">
        <w:t>nonsense</w:t>
      </w:r>
      <w:r w:rsidR="00206819">
        <w:t>”</w:t>
      </w:r>
      <w:r w:rsidR="00390725">
        <w:t>.</w:t>
      </w:r>
      <w:r w:rsidR="00802805">
        <w:t xml:space="preserve"> [</w:t>
      </w:r>
      <w:r w:rsidR="00423A29" w:rsidRPr="00236570">
        <w:t>Sela</w:t>
      </w:r>
      <w:r w:rsidR="00236570" w:rsidRPr="00236570">
        <w:t xml:space="preserve"> </w:t>
      </w:r>
      <w:r w:rsidR="00423A29" w:rsidRPr="00236570">
        <w:t>2014</w:t>
      </w:r>
      <w:r w:rsidR="00236570" w:rsidRPr="00236570">
        <w:t>a</w:t>
      </w:r>
      <w:r w:rsidR="00B911A4" w:rsidRPr="00236570">
        <w:t xml:space="preserve">, </w:t>
      </w:r>
      <w:r w:rsidR="0006410E" w:rsidRPr="00236570">
        <w:t>114–</w:t>
      </w:r>
      <w:r w:rsidR="0006410E">
        <w:t>115</w:t>
      </w:r>
      <w:r w:rsidR="00802805">
        <w:t>]</w:t>
      </w:r>
      <w:r w:rsidR="008274FC">
        <w:t>.</w:t>
      </w:r>
    </w:p>
    <w:p w14:paraId="32F3E444" w14:textId="3AB6B871" w:rsidR="00AE6F01" w:rsidRDefault="00EB1F56" w:rsidP="00EB1F56">
      <w:pPr>
        <w:bidi w:val="0"/>
      </w:pPr>
      <w:r>
        <w:t>Numerous</w:t>
      </w:r>
      <w:r w:rsidR="00A70034">
        <w:t xml:space="preserve"> </w:t>
      </w:r>
      <w:r w:rsidR="001F1070">
        <w:t>instances</w:t>
      </w:r>
      <w:r w:rsidR="00A70034">
        <w:t xml:space="preserve"> </w:t>
      </w:r>
      <w:r>
        <w:t>illustrating</w:t>
      </w:r>
      <w:r w:rsidR="00A9159C">
        <w:t xml:space="preserve"> Ibn Ezra</w:t>
      </w:r>
      <w:r w:rsidR="0046199A">
        <w:t>’</w:t>
      </w:r>
      <w:r w:rsidR="00A9159C">
        <w:t xml:space="preserve">s critical </w:t>
      </w:r>
      <w:r>
        <w:t>disposition</w:t>
      </w:r>
      <w:r w:rsidR="00A9159C">
        <w:t xml:space="preserve"> </w:t>
      </w:r>
      <w:r w:rsidR="00B7140F">
        <w:t xml:space="preserve">are scattered </w:t>
      </w:r>
      <w:r w:rsidR="00BE29B6">
        <w:t>throughout</w:t>
      </w:r>
      <w:r w:rsidR="00A9159C">
        <w:t xml:space="preserve"> both </w:t>
      </w:r>
      <w:r w:rsidR="00B7140F">
        <w:t xml:space="preserve">his exegetical and scientific </w:t>
      </w:r>
      <w:r>
        <w:t>works</w:t>
      </w:r>
      <w:r w:rsidR="00B7140F">
        <w:t xml:space="preserve">. Here, however, I would like to focus on </w:t>
      </w:r>
      <w:r w:rsidR="009D4BDA">
        <w:t xml:space="preserve">Ibn Ezra’s </w:t>
      </w:r>
      <w:r w:rsidR="00B7140F">
        <w:t xml:space="preserve">somewhat </w:t>
      </w:r>
      <w:r w:rsidR="009D4BDA" w:rsidRPr="009D4BDA">
        <w:rPr>
          <w:rFonts w:hint="cs"/>
        </w:rPr>
        <w:t>ambivalent</w:t>
      </w:r>
      <w:r w:rsidR="009D4BDA" w:rsidRPr="009D4BDA">
        <w:t xml:space="preserve"> </w:t>
      </w:r>
      <w:r>
        <w:t>stance</w:t>
      </w:r>
      <w:r w:rsidR="009D4BDA">
        <w:t xml:space="preserve"> towards two of his chief scientific sources – </w:t>
      </w:r>
      <w:proofErr w:type="spellStart"/>
      <w:r w:rsidR="009D4BDA" w:rsidRPr="00067D86">
        <w:t>Abū</w:t>
      </w:r>
      <w:proofErr w:type="spellEnd"/>
      <w:r w:rsidR="009D4BDA" w:rsidRPr="00067D86">
        <w:t xml:space="preserve"> </w:t>
      </w:r>
      <w:proofErr w:type="spellStart"/>
      <w:r w:rsidR="009D4BDA" w:rsidRPr="00067D86">
        <w:t>Maʿshar</w:t>
      </w:r>
      <w:proofErr w:type="spellEnd"/>
      <w:r w:rsidR="00E469A1">
        <w:t xml:space="preserve"> (787-886)</w:t>
      </w:r>
      <w:r w:rsidR="009D4BDA">
        <w:t xml:space="preserve"> and Ptolemy</w:t>
      </w:r>
      <w:r w:rsidR="00BE29B6">
        <w:t xml:space="preserve"> (2</w:t>
      </w:r>
      <w:r w:rsidR="008E1B63">
        <w:t>n</w:t>
      </w:r>
      <w:r w:rsidR="00BE29B6">
        <w:t>d Century)</w:t>
      </w:r>
      <w:r w:rsidR="009D4BDA">
        <w:t xml:space="preserve">. </w:t>
      </w:r>
      <w:r>
        <w:t>While Ibn Ezra extensively relies on th</w:t>
      </w:r>
      <w:r w:rsidR="0027064C">
        <w:t>eir</w:t>
      </w:r>
      <w:r>
        <w:t xml:space="preserve"> works </w:t>
      </w:r>
      <w:r w:rsidRPr="00EB1F56">
        <w:t>and frequently expresses</w:t>
      </w:r>
      <w:r>
        <w:t xml:space="preserve"> his</w:t>
      </w:r>
      <w:r w:rsidRPr="00EB1F56">
        <w:t xml:space="preserve"> admiration for </w:t>
      </w:r>
      <w:r w:rsidR="0027064C">
        <w:t>these two famous authorities</w:t>
      </w:r>
      <w:r w:rsidR="008E50E8">
        <w:t>, he does not hesitate to criticize</w:t>
      </w:r>
      <w:r>
        <w:t xml:space="preserve"> </w:t>
      </w:r>
      <w:r w:rsidR="001F1070">
        <w:t xml:space="preserve">them </w:t>
      </w:r>
      <w:r>
        <w:t xml:space="preserve">and, at times, </w:t>
      </w:r>
      <w:r>
        <w:lastRenderedPageBreak/>
        <w:t>l</w:t>
      </w:r>
      <w:r w:rsidR="008E1B63">
        <w:t>a</w:t>
      </w:r>
      <w:r>
        <w:t>unch direct attack</w:t>
      </w:r>
      <w:r w:rsidR="008E1B63">
        <w:t>s</w:t>
      </w:r>
      <w:r>
        <w:t xml:space="preserve"> on both </w:t>
      </w:r>
      <w:proofErr w:type="gramStart"/>
      <w:r w:rsidR="00655227">
        <w:t>[</w:t>
      </w:r>
      <w:r>
        <w:t>scientists</w:t>
      </w:r>
      <w:r w:rsidR="00655227">
        <w:t>]</w:t>
      </w:r>
      <w:proofErr w:type="gramEnd"/>
      <w:r w:rsidR="008E50E8">
        <w:t xml:space="preserve">. </w:t>
      </w:r>
      <w:r w:rsidR="00445C13">
        <w:t xml:space="preserve">The first version of Ibn Ezra’s </w:t>
      </w:r>
      <w:r w:rsidR="00445C13" w:rsidRPr="00664B3A">
        <w:rPr>
          <w:i/>
          <w:iCs/>
        </w:rPr>
        <w:t>Book of the World</w:t>
      </w:r>
      <w:r w:rsidR="00445C13">
        <w:t xml:space="preserve"> begins with the following </w:t>
      </w:r>
      <w:r w:rsidR="00C15EA1">
        <w:t xml:space="preserve">blunt </w:t>
      </w:r>
      <w:r w:rsidR="00445C13">
        <w:t xml:space="preserve">statement: “If you come across </w:t>
      </w:r>
      <w:proofErr w:type="spellStart"/>
      <w:r w:rsidR="00445C13" w:rsidRPr="00067D86">
        <w:t>Abū</w:t>
      </w:r>
      <w:proofErr w:type="spellEnd"/>
      <w:r w:rsidR="00445C13" w:rsidRPr="00067D86">
        <w:t xml:space="preserve"> </w:t>
      </w:r>
      <w:proofErr w:type="spellStart"/>
      <w:r w:rsidR="00445C13" w:rsidRPr="00067D86">
        <w:t>Maʿshar</w:t>
      </w:r>
      <w:r w:rsidR="00445C13">
        <w:t>’s</w:t>
      </w:r>
      <w:proofErr w:type="spellEnd"/>
      <w:r w:rsidR="00445C13">
        <w:t xml:space="preserve"> </w:t>
      </w:r>
      <w:r w:rsidR="00445C13" w:rsidRPr="00067D86">
        <w:rPr>
          <w:i/>
          <w:iCs/>
        </w:rPr>
        <w:t>Book on the Conjunctions of the Planets</w:t>
      </w:r>
      <w:r w:rsidR="00445C13">
        <w:t xml:space="preserve"> you would neither like it nor trust it […]. No scholar concurs with him”. </w:t>
      </w:r>
      <w:r w:rsidR="00AE6F01">
        <w:t xml:space="preserve">Towards the end of his treatise Ibn Ezra adds: </w:t>
      </w:r>
    </w:p>
    <w:p w14:paraId="4B68AC71" w14:textId="225F829E" w:rsidR="00AE6F01" w:rsidRDefault="00AE6F01" w:rsidP="00AE6F01">
      <w:pPr>
        <w:pStyle w:val="af7"/>
        <w:bidi w:val="0"/>
      </w:pPr>
      <w:proofErr w:type="spellStart"/>
      <w:r w:rsidRPr="00067D86">
        <w:t>Abū</w:t>
      </w:r>
      <w:proofErr w:type="spellEnd"/>
      <w:r w:rsidRPr="00067D86">
        <w:t xml:space="preserve"> </w:t>
      </w:r>
      <w:proofErr w:type="spellStart"/>
      <w:r w:rsidRPr="00067D86">
        <w:t>Maʿshar</w:t>
      </w:r>
      <w:proofErr w:type="spellEnd"/>
      <w:r>
        <w:t xml:space="preserve"> said that many times he had verified by experience that if Mars is in one of Saturn’s houses at the beginning of the year it signifies drought. […] I do not know the reason for that; I too tried to verify it by experience but was unsuccessful. This is why I have told you this, so that you will not trust his [</w:t>
      </w:r>
      <w:r w:rsidR="00236570">
        <w:t>=</w:t>
      </w:r>
      <w:proofErr w:type="spellStart"/>
      <w:r w:rsidRPr="00067D86">
        <w:t>Abū</w:t>
      </w:r>
      <w:proofErr w:type="spellEnd"/>
      <w:r w:rsidRPr="00067D86">
        <w:t xml:space="preserve"> </w:t>
      </w:r>
      <w:proofErr w:type="spellStart"/>
      <w:r w:rsidRPr="00067D86">
        <w:t>Maʿshar</w:t>
      </w:r>
      <w:r>
        <w:t>’s</w:t>
      </w:r>
      <w:proofErr w:type="spellEnd"/>
      <w:r>
        <w:t>] book if you find it.</w:t>
      </w:r>
      <w:r w:rsidR="00655227">
        <w:t xml:space="preserve"> </w:t>
      </w:r>
      <w:r w:rsidR="00524801">
        <w:t>(</w:t>
      </w:r>
      <w:r w:rsidR="00655227">
        <w:t>Sela 2010</w:t>
      </w:r>
      <w:r w:rsidR="00524801">
        <w:t xml:space="preserve">, </w:t>
      </w:r>
      <w:r w:rsidR="00655227">
        <w:t>92–93</w:t>
      </w:r>
      <w:r w:rsidR="00524801">
        <w:t>)</w:t>
      </w:r>
      <w:r w:rsidR="00655227">
        <w:t>.</w:t>
      </w:r>
    </w:p>
    <w:p w14:paraId="27F1EF28" w14:textId="534BBDAC" w:rsidR="00664B3A" w:rsidRDefault="008D666C" w:rsidP="008D666C">
      <w:pPr>
        <w:pStyle w:val="First"/>
        <w:bidi w:val="0"/>
      </w:pPr>
      <w:r>
        <w:t xml:space="preserve">Ibn Ezra’s skeptical attitude is well manifested by the strategy he used to </w:t>
      </w:r>
      <w:r w:rsidR="00E30388">
        <w:t>undermine</w:t>
      </w:r>
      <w:r>
        <w:t xml:space="preserve"> </w:t>
      </w:r>
      <w:proofErr w:type="spellStart"/>
      <w:r w:rsidRPr="00067D86">
        <w:t>Abū</w:t>
      </w:r>
      <w:proofErr w:type="spellEnd"/>
      <w:r w:rsidRPr="00067D86">
        <w:t xml:space="preserve"> </w:t>
      </w:r>
      <w:proofErr w:type="spellStart"/>
      <w:r w:rsidRPr="00067D86">
        <w:t>Maʿshar</w:t>
      </w:r>
      <w:r>
        <w:t>’s</w:t>
      </w:r>
      <w:proofErr w:type="spellEnd"/>
      <w:r>
        <w:t xml:space="preserve"> theory. Ibn Ezra testified that he had put </w:t>
      </w:r>
      <w:proofErr w:type="spellStart"/>
      <w:r w:rsidRPr="00067D86">
        <w:t>Abū</w:t>
      </w:r>
      <w:proofErr w:type="spellEnd"/>
      <w:r w:rsidRPr="00067D86">
        <w:t xml:space="preserve"> </w:t>
      </w:r>
      <w:proofErr w:type="spellStart"/>
      <w:r w:rsidRPr="00067D86">
        <w:t>Maʿshar</w:t>
      </w:r>
      <w:r>
        <w:t>’s</w:t>
      </w:r>
      <w:proofErr w:type="spellEnd"/>
      <w:r>
        <w:t xml:space="preserve"> theory to </w:t>
      </w:r>
      <w:r w:rsidR="008E1B63">
        <w:t xml:space="preserve">[the?] </w:t>
      </w:r>
      <w:r>
        <w:t>test using his own experience</w:t>
      </w:r>
      <w:r w:rsidR="00E30388">
        <w:t>, and</w:t>
      </w:r>
      <w:r>
        <w:t xml:space="preserve"> the empirical data he collected was not </w:t>
      </w:r>
      <w:r w:rsidR="00E30388">
        <w:t>align</w:t>
      </w:r>
      <w:r w:rsidR="008E1B63">
        <w:t>ed</w:t>
      </w:r>
      <w:r w:rsidR="00E30388">
        <w:t xml:space="preserve"> </w:t>
      </w:r>
      <w:r>
        <w:t>with</w:t>
      </w:r>
      <w:r w:rsidR="003B42CF">
        <w:t xml:space="preserve"> the prediction of</w:t>
      </w:r>
      <w:r>
        <w:t xml:space="preserve"> </w:t>
      </w:r>
      <w:proofErr w:type="spellStart"/>
      <w:r w:rsidRPr="00067D86">
        <w:t>Abū</w:t>
      </w:r>
      <w:proofErr w:type="spellEnd"/>
      <w:r w:rsidRPr="00067D86">
        <w:t xml:space="preserve"> </w:t>
      </w:r>
      <w:proofErr w:type="spellStart"/>
      <w:r w:rsidRPr="00067D86">
        <w:t>Maʿshar</w:t>
      </w:r>
      <w:r>
        <w:t>’s</w:t>
      </w:r>
      <w:proofErr w:type="spellEnd"/>
      <w:r>
        <w:t xml:space="preserve"> thesis. </w:t>
      </w:r>
      <w:r w:rsidR="00445C13">
        <w:t>Th</w:t>
      </w:r>
      <w:r w:rsidR="00223EC6">
        <w:t>ese</w:t>
      </w:r>
      <w:r w:rsidR="00445C13">
        <w:t xml:space="preserve"> </w:t>
      </w:r>
      <w:r w:rsidR="001B6AF3">
        <w:t>attack</w:t>
      </w:r>
      <w:r w:rsidR="00223EC6">
        <w:t>s</w:t>
      </w:r>
      <w:r w:rsidR="001B6AF3">
        <w:t xml:space="preserve"> on </w:t>
      </w:r>
      <w:proofErr w:type="spellStart"/>
      <w:r w:rsidR="001B6AF3" w:rsidRPr="00067D86">
        <w:t>Abū</w:t>
      </w:r>
      <w:proofErr w:type="spellEnd"/>
      <w:r w:rsidR="001B6AF3" w:rsidRPr="00067D86">
        <w:t xml:space="preserve"> </w:t>
      </w:r>
      <w:proofErr w:type="spellStart"/>
      <w:r w:rsidR="001B6AF3" w:rsidRPr="00067D86">
        <w:t>Maʿshar</w:t>
      </w:r>
      <w:proofErr w:type="spellEnd"/>
      <w:r w:rsidR="001B6AF3">
        <w:t xml:space="preserve"> – the most prominent astrologer of the Middle Ages –</w:t>
      </w:r>
      <w:r w:rsidR="00445C13">
        <w:t xml:space="preserve"> </w:t>
      </w:r>
      <w:r w:rsidR="008E1B63">
        <w:t>are</w:t>
      </w:r>
      <w:r w:rsidR="00445C13">
        <w:t xml:space="preserve"> of much surprise, as Ibn Ezra </w:t>
      </w:r>
      <w:r w:rsidR="008E50E8">
        <w:t>consistently</w:t>
      </w:r>
      <w:r w:rsidR="00445C13">
        <w:t xml:space="preserve"> drew on </w:t>
      </w:r>
      <w:proofErr w:type="spellStart"/>
      <w:r w:rsidR="00445C13" w:rsidRPr="00067D86">
        <w:t>Abū</w:t>
      </w:r>
      <w:proofErr w:type="spellEnd"/>
      <w:r w:rsidR="00445C13" w:rsidRPr="00067D86">
        <w:t xml:space="preserve"> </w:t>
      </w:r>
      <w:proofErr w:type="spellStart"/>
      <w:r w:rsidR="00445C13" w:rsidRPr="00067D86">
        <w:t>Maʿshar</w:t>
      </w:r>
      <w:r w:rsidR="00445C13">
        <w:t>’s</w:t>
      </w:r>
      <w:proofErr w:type="spellEnd"/>
      <w:r w:rsidR="00445C13">
        <w:t xml:space="preserve"> work</w:t>
      </w:r>
      <w:r w:rsidR="00664B3A">
        <w:t xml:space="preserve"> throughout his astrological corpus</w:t>
      </w:r>
      <w:r>
        <w:t xml:space="preserve">. </w:t>
      </w:r>
      <w:r w:rsidR="00664B3A">
        <w:t>Indeed, th</w:t>
      </w:r>
      <w:r w:rsidR="00223EC6">
        <w:t>ese</w:t>
      </w:r>
      <w:r w:rsidR="00664B3A">
        <w:t xml:space="preserve"> allegation</w:t>
      </w:r>
      <w:r w:rsidR="00223EC6">
        <w:t>s</w:t>
      </w:r>
      <w:r w:rsidR="00664B3A">
        <w:t xml:space="preserve"> also surprised Henry Bate, the first scholar to bring Ibn Ezra’s astrological work to the knowledge of Latin readers. </w:t>
      </w:r>
      <w:r w:rsidR="001B6AF3">
        <w:t xml:space="preserve">Bate opens his translation of </w:t>
      </w:r>
      <w:r w:rsidR="000A32FB">
        <w:t>Ibn Ezra’s</w:t>
      </w:r>
      <w:r w:rsidR="001B6AF3">
        <w:t xml:space="preserve"> </w:t>
      </w:r>
      <w:r>
        <w:t xml:space="preserve">first version of the </w:t>
      </w:r>
      <w:r w:rsidRPr="00664B3A">
        <w:rPr>
          <w:i/>
          <w:iCs/>
        </w:rPr>
        <w:t>Book of the World</w:t>
      </w:r>
      <w:r>
        <w:t xml:space="preserve"> </w:t>
      </w:r>
      <w:r w:rsidR="001B6AF3">
        <w:t>with a long prologue</w:t>
      </w:r>
      <w:r>
        <w:t>,</w:t>
      </w:r>
      <w:r w:rsidR="001B6AF3">
        <w:t xml:space="preserve"> which aims to refute Ibn Ezra’s criticism of </w:t>
      </w:r>
      <w:proofErr w:type="spellStart"/>
      <w:r w:rsidR="001B6AF3" w:rsidRPr="00067D86">
        <w:t>Abū</w:t>
      </w:r>
      <w:proofErr w:type="spellEnd"/>
      <w:r w:rsidR="001B6AF3" w:rsidRPr="00067D86">
        <w:t xml:space="preserve"> </w:t>
      </w:r>
      <w:proofErr w:type="spellStart"/>
      <w:r w:rsidR="001B6AF3" w:rsidRPr="00067D86">
        <w:t>Maʿshar</w:t>
      </w:r>
      <w:proofErr w:type="spellEnd"/>
      <w:r w:rsidR="001B6AF3">
        <w:t>.</w:t>
      </w:r>
      <w:r w:rsidR="00105736">
        <w:t xml:space="preserve"> He opens </w:t>
      </w:r>
      <w:r w:rsidR="000A32FB">
        <w:t xml:space="preserve">his prologue </w:t>
      </w:r>
      <w:r w:rsidR="00105736">
        <w:t xml:space="preserve">by expressing his </w:t>
      </w:r>
      <w:r w:rsidR="00105736" w:rsidRPr="00105736">
        <w:rPr>
          <w:rFonts w:hint="cs"/>
        </w:rPr>
        <w:t>bewilderment</w:t>
      </w:r>
      <w:r w:rsidR="00105736">
        <w:t>:</w:t>
      </w:r>
    </w:p>
    <w:p w14:paraId="212F8A70" w14:textId="642941FD" w:rsidR="0008057E" w:rsidRDefault="00664B3A" w:rsidP="0008057E">
      <w:pPr>
        <w:pStyle w:val="af7"/>
        <w:bidi w:val="0"/>
      </w:pPr>
      <w:r>
        <w:t xml:space="preserve">When we started working on the translation of Ibn Ezra’s </w:t>
      </w:r>
      <w:r w:rsidRPr="00664B3A">
        <w:rPr>
          <w:i/>
          <w:iCs/>
        </w:rPr>
        <w:t>Treatise on the Conjunctions of the Planets and the Revolutions of the Years of the World</w:t>
      </w:r>
      <w:r>
        <w:t>, we were indeed shocked at the opening of the text</w:t>
      </w:r>
      <w:r w:rsidR="0004524A">
        <w:t xml:space="preserve">, as we did not understand why [Ibn Ezra] failed to pay respect to the prince of the astrologers – </w:t>
      </w:r>
      <w:proofErr w:type="spellStart"/>
      <w:r w:rsidR="0004524A" w:rsidRPr="00067D86">
        <w:t>Abū</w:t>
      </w:r>
      <w:proofErr w:type="spellEnd"/>
      <w:r w:rsidR="0004524A" w:rsidRPr="00067D86">
        <w:t xml:space="preserve"> </w:t>
      </w:r>
      <w:proofErr w:type="spellStart"/>
      <w:r w:rsidR="0004524A" w:rsidRPr="00067D86">
        <w:t>Maʿshar</w:t>
      </w:r>
      <w:proofErr w:type="spellEnd"/>
      <w:r w:rsidR="0004524A">
        <w:t>.</w:t>
      </w:r>
      <w:r w:rsidR="00655227">
        <w:t xml:space="preserve"> </w:t>
      </w:r>
      <w:r w:rsidR="00524801">
        <w:t>(</w:t>
      </w:r>
      <w:r w:rsidR="00655227">
        <w:t>Sela 2022</w:t>
      </w:r>
      <w:r w:rsidR="00C52EBA">
        <w:t>a</w:t>
      </w:r>
      <w:r w:rsidR="00524801">
        <w:t xml:space="preserve">, </w:t>
      </w:r>
      <w:r w:rsidR="00655227">
        <w:t>934–935</w:t>
      </w:r>
      <w:r w:rsidR="00524801">
        <w:t>)</w:t>
      </w:r>
      <w:r w:rsidR="00655227">
        <w:t>.</w:t>
      </w:r>
    </w:p>
    <w:p w14:paraId="0C414047" w14:textId="69123053" w:rsidR="00A75BB9" w:rsidRDefault="00A75BB9" w:rsidP="00A75BB9">
      <w:pPr>
        <w:pStyle w:val="First"/>
        <w:bidi w:val="0"/>
      </w:pPr>
      <w:r>
        <w:t xml:space="preserve">It should be noted that while Ibn Ezra was indeed critical towards </w:t>
      </w:r>
      <w:proofErr w:type="spellStart"/>
      <w:r w:rsidRPr="00067D86">
        <w:t>Abū</w:t>
      </w:r>
      <w:proofErr w:type="spellEnd"/>
      <w:r w:rsidRPr="00067D86">
        <w:t xml:space="preserve"> </w:t>
      </w:r>
      <w:proofErr w:type="spellStart"/>
      <w:r w:rsidRPr="00067D86">
        <w:t>Maʿshar</w:t>
      </w:r>
      <w:r>
        <w:t>’s</w:t>
      </w:r>
      <w:proofErr w:type="spellEnd"/>
      <w:r>
        <w:t xml:space="preserve"> work on world astrology, he took a </w:t>
      </w:r>
      <w:r w:rsidR="008D666C">
        <w:t xml:space="preserve">completely </w:t>
      </w:r>
      <w:r>
        <w:t xml:space="preserve">different approach towards </w:t>
      </w:r>
      <w:proofErr w:type="spellStart"/>
      <w:r w:rsidR="008E1B63" w:rsidRPr="00067D86">
        <w:t>Abū</w:t>
      </w:r>
      <w:proofErr w:type="spellEnd"/>
      <w:r w:rsidR="008E1B63" w:rsidRPr="00067D86">
        <w:t xml:space="preserve"> </w:t>
      </w:r>
      <w:proofErr w:type="spellStart"/>
      <w:r w:rsidR="008E1B63" w:rsidRPr="00067D86">
        <w:t>Maʿshar</w:t>
      </w:r>
      <w:r w:rsidR="008E1B63">
        <w:t>’s</w:t>
      </w:r>
      <w:proofErr w:type="spellEnd"/>
      <w:r w:rsidR="008E1B63">
        <w:t xml:space="preserve"> </w:t>
      </w:r>
      <w:r>
        <w:t>work</w:t>
      </w:r>
      <w:r w:rsidR="0095194A">
        <w:t>s</w:t>
      </w:r>
      <w:r>
        <w:t xml:space="preserve"> on other branches of astrology, such as introduction to astrology, elections, and interrogations.</w:t>
      </w:r>
      <w:r w:rsidR="005F3152">
        <w:t xml:space="preserve"> (See, e.g., </w:t>
      </w:r>
      <w:r w:rsidR="000E265A" w:rsidRPr="00992B76">
        <w:t>Sela</w:t>
      </w:r>
      <w:r w:rsidR="00992B76" w:rsidRPr="00992B76">
        <w:t xml:space="preserve"> </w:t>
      </w:r>
      <w:r w:rsidR="005F3152" w:rsidRPr="00992B76">
        <w:t>2011</w:t>
      </w:r>
      <w:r w:rsidR="00524801" w:rsidRPr="00992B76">
        <w:t xml:space="preserve">, </w:t>
      </w:r>
      <w:r w:rsidR="005F3152" w:rsidRPr="00992B76">
        <w:t>272</w:t>
      </w:r>
      <w:r w:rsidR="005F3152">
        <w:t>-273</w:t>
      </w:r>
      <w:r w:rsidR="005F3152" w:rsidRPr="004E16DE">
        <w:t xml:space="preserve">, </w:t>
      </w:r>
      <w:r w:rsidR="00100674" w:rsidRPr="004E16DE">
        <w:t>§</w:t>
      </w:r>
      <w:r w:rsidR="005F3152" w:rsidRPr="004E16DE">
        <w:t>7.4:1-5</w:t>
      </w:r>
      <w:r w:rsidR="005F3152">
        <w:t>).</w:t>
      </w:r>
    </w:p>
    <w:p w14:paraId="661A1C6E" w14:textId="1057094A" w:rsidR="0048343A" w:rsidRDefault="00223EC6" w:rsidP="00F60047">
      <w:pPr>
        <w:bidi w:val="0"/>
      </w:pPr>
      <w:r w:rsidRPr="00223EC6">
        <w:t>Ibn Ezra’s ambivalence toward his sources becomes even more pronounced when we examine his attitude towards Ptolemy</w:t>
      </w:r>
      <w:r>
        <w:t xml:space="preserve">. </w:t>
      </w:r>
      <w:r w:rsidR="00265974">
        <w:t xml:space="preserve">On the one hand, he </w:t>
      </w:r>
      <w:r>
        <w:t>frequently</w:t>
      </w:r>
      <w:r w:rsidR="00A74DE8">
        <w:t xml:space="preserve"> </w:t>
      </w:r>
      <w:r w:rsidR="00265974">
        <w:t>expresses explicit admiration for Ptolemy</w:t>
      </w:r>
      <w:r>
        <w:t xml:space="preserve">, aligning </w:t>
      </w:r>
      <w:r w:rsidR="008E1B63">
        <w:t xml:space="preserve">himself </w:t>
      </w:r>
      <w:r>
        <w:t xml:space="preserve">with </w:t>
      </w:r>
      <w:r w:rsidR="00265974">
        <w:t xml:space="preserve">a </w:t>
      </w:r>
      <w:r>
        <w:t>broad spectrum</w:t>
      </w:r>
      <w:r w:rsidR="00265974">
        <w:t xml:space="preserve"> of his notions </w:t>
      </w:r>
      <w:r w:rsidR="0095194A">
        <w:t>concerning</w:t>
      </w:r>
      <w:r w:rsidR="00265974">
        <w:t xml:space="preserve"> central astronomical, mathematical</w:t>
      </w:r>
      <w:r>
        <w:t>,</w:t>
      </w:r>
      <w:r w:rsidR="00265974">
        <w:t xml:space="preserve"> and astrological </w:t>
      </w:r>
      <w:r>
        <w:t>subjects. At times,</w:t>
      </w:r>
      <w:r w:rsidR="00A74DE8">
        <w:t xml:space="preserve"> </w:t>
      </w:r>
      <w:r w:rsidR="007B35DB">
        <w:t>Ibn Ezra uses</w:t>
      </w:r>
      <w:r w:rsidR="00A74DE8">
        <w:t xml:space="preserve"> and embed</w:t>
      </w:r>
      <w:r w:rsidR="007B35DB">
        <w:t>s</w:t>
      </w:r>
      <w:r w:rsidR="00A74DE8">
        <w:t xml:space="preserve"> Ptolemy’s ideas and </w:t>
      </w:r>
      <w:r w:rsidR="00A74DE8">
        <w:lastRenderedPageBreak/>
        <w:t>data into his biblical commentaries</w:t>
      </w:r>
      <w:r w:rsidR="001A222F">
        <w:t xml:space="preserve"> (</w:t>
      </w:r>
      <w:r w:rsidR="001A222F" w:rsidRPr="000E265A">
        <w:t>Sela 2003</w:t>
      </w:r>
      <w:r w:rsidR="001A222F">
        <w:t>, Part Five)</w:t>
      </w:r>
      <w:r w:rsidR="003C6747">
        <w:t>.</w:t>
      </w:r>
      <w:r w:rsidR="00265974">
        <w:t xml:space="preserve"> On the other hand, </w:t>
      </w:r>
      <w:r w:rsidR="00FE5AC9">
        <w:t xml:space="preserve">Ibn Ezra </w:t>
      </w:r>
      <w:r w:rsidR="00744107">
        <w:t xml:space="preserve">often </w:t>
      </w:r>
      <w:r w:rsidR="007B35DB">
        <w:t>points out</w:t>
      </w:r>
      <w:r w:rsidR="00FE5AC9">
        <w:t xml:space="preserve"> what he </w:t>
      </w:r>
      <w:r w:rsidR="007B35DB">
        <w:t xml:space="preserve">perceives </w:t>
      </w:r>
      <w:r w:rsidR="00FE5AC9">
        <w:t xml:space="preserve">as </w:t>
      </w:r>
      <w:r w:rsidR="002125B5">
        <w:t xml:space="preserve">calculation errors in </w:t>
      </w:r>
      <w:r w:rsidR="00FE5AC9">
        <w:t xml:space="preserve">Ptolemy’s </w:t>
      </w:r>
      <w:r w:rsidR="002125B5">
        <w:t>work</w:t>
      </w:r>
      <w:r w:rsidR="007B35DB">
        <w:t xml:space="preserve">, </w:t>
      </w:r>
      <w:r w:rsidR="00D97DF9">
        <w:t xml:space="preserve">states that Ptolemy’s astronomical tables are </w:t>
      </w:r>
      <w:r w:rsidR="007B35DB">
        <w:t>irrelevant in his</w:t>
      </w:r>
      <w:r w:rsidR="00D97DF9">
        <w:t xml:space="preserve"> </w:t>
      </w:r>
      <w:r w:rsidR="007B35DB">
        <w:t>days and</w:t>
      </w:r>
      <w:r w:rsidR="002125B5">
        <w:t xml:space="preserve"> rejects some of his astrological doctrines.</w:t>
      </w:r>
      <w:r w:rsidR="00A932A6">
        <w:t xml:space="preserve"> </w:t>
      </w:r>
      <w:r w:rsidR="003C6747">
        <w:t xml:space="preserve">Although Ibn Ezra refers to Ptolemy as one of the two leading </w:t>
      </w:r>
      <w:commentRangeStart w:id="1"/>
      <w:r w:rsidR="003C6747">
        <w:t>astrologers</w:t>
      </w:r>
      <w:r w:rsidR="000A5134">
        <w:t xml:space="preserve"> </w:t>
      </w:r>
      <w:commentRangeEnd w:id="1"/>
      <w:r w:rsidR="00A215B5">
        <w:rPr>
          <w:rStyle w:val="a5"/>
          <w:rtl/>
        </w:rPr>
        <w:commentReference w:id="1"/>
      </w:r>
      <w:r w:rsidR="00524801">
        <w:t>(</w:t>
      </w:r>
      <w:r w:rsidR="00F60047">
        <w:t>Sela 2011</w:t>
      </w:r>
      <w:r w:rsidR="00524801">
        <w:t xml:space="preserve">, </w:t>
      </w:r>
      <w:r w:rsidR="00F60047">
        <w:t>348–349</w:t>
      </w:r>
      <w:r w:rsidR="00524801">
        <w:t>)</w:t>
      </w:r>
      <w:r w:rsidR="003C6747">
        <w:t>, his</w:t>
      </w:r>
      <w:r w:rsidR="00A932A6">
        <w:t xml:space="preserve"> major criticism is directed towards </w:t>
      </w:r>
      <w:r w:rsidR="00A215B5">
        <w:t>Ptolemy’s</w:t>
      </w:r>
      <w:r w:rsidR="00A932A6">
        <w:t xml:space="preserve"> astrology</w:t>
      </w:r>
      <w:r w:rsidR="003C6747">
        <w:t xml:space="preserve">: </w:t>
      </w:r>
      <w:r w:rsidR="00A932A6">
        <w:t>“I now give a general r</w:t>
      </w:r>
      <w:r w:rsidR="00A215B5">
        <w:t>u</w:t>
      </w:r>
      <w:r w:rsidR="00A932A6">
        <w:t xml:space="preserve">le”, he writes in the first version of his </w:t>
      </w:r>
      <w:r w:rsidR="00A932A6" w:rsidRPr="00A932A6">
        <w:rPr>
          <w:i/>
          <w:iCs/>
        </w:rPr>
        <w:t>Book of Reasons</w:t>
      </w:r>
      <w:r w:rsidR="00A932A6">
        <w:t>, “anything that Ptolemy says about the orbs is correct […] but his [astrological] decrees and judgments do not befit his wisdom”</w:t>
      </w:r>
      <w:r w:rsidR="00F60047">
        <w:t xml:space="preserve"> </w:t>
      </w:r>
      <w:r w:rsidR="00524801">
        <w:t>(</w:t>
      </w:r>
      <w:r w:rsidR="00F60047">
        <w:t>Sela 2007</w:t>
      </w:r>
      <w:r w:rsidR="00524801">
        <w:t xml:space="preserve">, </w:t>
      </w:r>
      <w:r w:rsidR="00F60047">
        <w:t>58–59</w:t>
      </w:r>
      <w:r w:rsidR="00524801">
        <w:t>)</w:t>
      </w:r>
      <w:r w:rsidR="00A932A6">
        <w:t xml:space="preserve">. </w:t>
      </w:r>
      <w:r w:rsidR="003E3CE7">
        <w:t xml:space="preserve">His harsh attack is directed </w:t>
      </w:r>
      <w:r w:rsidR="0095194A">
        <w:t xml:space="preserve">specifically </w:t>
      </w:r>
      <w:r w:rsidR="003E3CE7">
        <w:t xml:space="preserve">towards Ptolemy’s </w:t>
      </w:r>
      <w:r w:rsidR="003E3CE7" w:rsidRPr="009A72E0">
        <w:t>seminal</w:t>
      </w:r>
      <w:r w:rsidR="003E3CE7">
        <w:t xml:space="preserve"> astrological work – his </w:t>
      </w:r>
      <w:proofErr w:type="spellStart"/>
      <w:r w:rsidR="003E3CE7" w:rsidRPr="003E3CE7">
        <w:rPr>
          <w:i/>
          <w:iCs/>
        </w:rPr>
        <w:t>Tetrabiblos</w:t>
      </w:r>
      <w:proofErr w:type="spellEnd"/>
      <w:r w:rsidR="003E3CE7">
        <w:t xml:space="preserve">. In his </w:t>
      </w:r>
      <w:r w:rsidR="003E3CE7" w:rsidRPr="003E3CE7">
        <w:rPr>
          <w:i/>
          <w:iCs/>
        </w:rPr>
        <w:t>Book on Nativities</w:t>
      </w:r>
      <w:r w:rsidR="0095194A">
        <w:t>, while</w:t>
      </w:r>
      <w:r w:rsidR="003E3CE7">
        <w:t xml:space="preserve"> referring explicitly to the </w:t>
      </w:r>
      <w:proofErr w:type="spellStart"/>
      <w:r w:rsidR="003E3CE7" w:rsidRPr="003E3CE7">
        <w:rPr>
          <w:i/>
          <w:iCs/>
        </w:rPr>
        <w:t>Tetrabiblos</w:t>
      </w:r>
      <w:proofErr w:type="spellEnd"/>
      <w:r w:rsidR="003E3CE7">
        <w:t>, Ibn Ezra asserts: “</w:t>
      </w:r>
      <w:commentRangeStart w:id="2"/>
      <w:r w:rsidR="003E3CE7">
        <w:t xml:space="preserve">All those who followed him [=Ptolemy], including </w:t>
      </w:r>
      <w:proofErr w:type="spellStart"/>
      <w:r w:rsidR="003E3CE7" w:rsidRPr="003E3CE7">
        <w:t>Masha’allah</w:t>
      </w:r>
      <w:proofErr w:type="spellEnd"/>
      <w:r w:rsidR="003E3CE7">
        <w:t>, laugh at him</w:t>
      </w:r>
      <w:r w:rsidR="0095194A">
        <w:t>.</w:t>
      </w:r>
      <w:r w:rsidR="003E3CE7">
        <w:t xml:space="preserve"> </w:t>
      </w:r>
      <w:r w:rsidR="0095194A">
        <w:t>A</w:t>
      </w:r>
      <w:r w:rsidR="003E3CE7">
        <w:t>nd they are right</w:t>
      </w:r>
      <w:r w:rsidR="0095194A">
        <w:t xml:space="preserve"> [in doing so]</w:t>
      </w:r>
      <w:r w:rsidR="003E3CE7">
        <w:t xml:space="preserve">. I have told you this so that you will not trust everything in this book [=the </w:t>
      </w:r>
      <w:proofErr w:type="spellStart"/>
      <w:r w:rsidR="003E3CE7" w:rsidRPr="003E3CE7">
        <w:rPr>
          <w:i/>
          <w:iCs/>
        </w:rPr>
        <w:t>Tetrabiblos</w:t>
      </w:r>
      <w:proofErr w:type="spellEnd"/>
      <w:r w:rsidR="003E3CE7">
        <w:t>]</w:t>
      </w:r>
      <w:r w:rsidR="008171AB">
        <w:t>, because it has no substance</w:t>
      </w:r>
      <w:commentRangeEnd w:id="2"/>
      <w:r w:rsidR="00A42664">
        <w:rPr>
          <w:rStyle w:val="a5"/>
          <w:rtl/>
        </w:rPr>
        <w:commentReference w:id="2"/>
      </w:r>
      <w:r w:rsidR="008171AB">
        <w:t>”</w:t>
      </w:r>
      <w:r w:rsidR="007E2A5B">
        <w:t xml:space="preserve"> </w:t>
      </w:r>
      <w:r w:rsidR="00524801">
        <w:t>(</w:t>
      </w:r>
      <w:r w:rsidR="007E2A5B">
        <w:t>Sela 2014</w:t>
      </w:r>
      <w:r w:rsidR="0028216E">
        <w:t>a</w:t>
      </w:r>
      <w:r w:rsidR="00524801">
        <w:t xml:space="preserve">, </w:t>
      </w:r>
      <w:r w:rsidR="007E2A5B">
        <w:t>144–145</w:t>
      </w:r>
      <w:r w:rsidR="00524801">
        <w:t>)</w:t>
      </w:r>
      <w:r w:rsidR="0028216E">
        <w:t>.</w:t>
      </w:r>
      <w:r w:rsidR="008171AB">
        <w:t xml:space="preserve"> In a different occasion</w:t>
      </w:r>
      <w:r w:rsidR="00A215B5">
        <w:t>\instance</w:t>
      </w:r>
      <w:r w:rsidR="008171AB">
        <w:t xml:space="preserve">, what aroused Ibn Ezra’s </w:t>
      </w:r>
      <w:r w:rsidR="008171AB" w:rsidRPr="0028216E">
        <w:rPr>
          <w:color w:val="FF0000"/>
        </w:rPr>
        <w:t xml:space="preserve">attack </w:t>
      </w:r>
      <w:r w:rsidR="008171AB">
        <w:t xml:space="preserve">was the </w:t>
      </w:r>
      <w:proofErr w:type="spellStart"/>
      <w:r w:rsidR="008171AB" w:rsidRPr="00483D08">
        <w:rPr>
          <w:i/>
          <w:iCs/>
        </w:rPr>
        <w:t>Tetrabiblos</w:t>
      </w:r>
      <w:proofErr w:type="spellEnd"/>
      <w:r w:rsidR="008171AB">
        <w:t>’ attribution of the four Aristotelian qualities – heat, cold, dryness, and moistness – to the planets</w:t>
      </w:r>
      <w:r w:rsidR="00483D08">
        <w:t xml:space="preserve">. Such attribution </w:t>
      </w:r>
      <w:r w:rsidR="00265974">
        <w:t>led</w:t>
      </w:r>
      <w:r w:rsidR="00483D08">
        <w:t xml:space="preserve"> Ibn Ezra to put into question the </w:t>
      </w:r>
      <w:r w:rsidR="00637926">
        <w:t>authorship over his</w:t>
      </w:r>
      <w:r w:rsidR="00A215B5">
        <w:t>\of[?]</w:t>
      </w:r>
      <w:r w:rsidR="00483088">
        <w:t>the</w:t>
      </w:r>
      <w:r w:rsidR="00637926">
        <w:t xml:space="preserve"> </w:t>
      </w:r>
      <w:proofErr w:type="spellStart"/>
      <w:r w:rsidR="00483D08" w:rsidRPr="00637926">
        <w:rPr>
          <w:i/>
          <w:iCs/>
        </w:rPr>
        <w:t>Tetrabiblos</w:t>
      </w:r>
      <w:proofErr w:type="spellEnd"/>
      <w:r w:rsidR="00637926">
        <w:t xml:space="preserve">: </w:t>
      </w:r>
    </w:p>
    <w:p w14:paraId="168D3AD7" w14:textId="46741C94" w:rsidR="00A42664" w:rsidRDefault="00637926" w:rsidP="00A215B5">
      <w:pPr>
        <w:pStyle w:val="af7"/>
        <w:bidi w:val="0"/>
      </w:pPr>
      <w:r>
        <w:t>But I, Abraham, the author, say that this book [</w:t>
      </w:r>
      <w:r w:rsidR="0028216E">
        <w:t>=</w:t>
      </w:r>
      <w:proofErr w:type="spellStart"/>
      <w:r w:rsidR="00705BE4" w:rsidRPr="00705BE4">
        <w:rPr>
          <w:i/>
          <w:iCs/>
        </w:rPr>
        <w:t>Tetrabiblos</w:t>
      </w:r>
      <w:proofErr w:type="spellEnd"/>
      <w:r>
        <w:t>] was not written by Ptolemy, because there are many things in it that have in them nothing of rational thought or experience, as I</w:t>
      </w:r>
      <w:r w:rsidR="00801C60">
        <w:t xml:space="preserve"> shall explain.</w:t>
      </w:r>
      <w:bookmarkEnd w:id="0"/>
      <w:r w:rsidR="00483088">
        <w:t xml:space="preserve"> </w:t>
      </w:r>
      <w:r w:rsidR="00524801">
        <w:t>(</w:t>
      </w:r>
      <w:r w:rsidR="00483088">
        <w:t>Sela 2007</w:t>
      </w:r>
      <w:r w:rsidR="00524801">
        <w:t xml:space="preserve">, </w:t>
      </w:r>
      <w:r w:rsidR="00483088">
        <w:t>34–35</w:t>
      </w:r>
      <w:r w:rsidR="00524801">
        <w:t>)</w:t>
      </w:r>
      <w:r w:rsidR="00483088">
        <w:t>.</w:t>
      </w:r>
    </w:p>
    <w:p w14:paraId="7F6358CA" w14:textId="5170E7C1" w:rsidR="005E0D22" w:rsidRDefault="005E0D22" w:rsidP="005E0D22">
      <w:pPr>
        <w:pStyle w:val="First"/>
        <w:bidi w:val="0"/>
      </w:pPr>
      <w:r w:rsidRPr="005E0D22">
        <w:t xml:space="preserve">The two examples of Abraham </w:t>
      </w:r>
      <w:proofErr w:type="gramStart"/>
      <w:r w:rsidRPr="005E0D22">
        <w:t>Ibn</w:t>
      </w:r>
      <w:proofErr w:type="gramEnd"/>
      <w:r w:rsidRPr="005E0D22">
        <w:t xml:space="preserve"> Ezra’s critical stance towards </w:t>
      </w:r>
      <w:proofErr w:type="spellStart"/>
      <w:r w:rsidRPr="005E0D22">
        <w:t>Abū</w:t>
      </w:r>
      <w:proofErr w:type="spellEnd"/>
      <w:r w:rsidRPr="005E0D22">
        <w:t xml:space="preserve"> </w:t>
      </w:r>
      <w:proofErr w:type="spellStart"/>
      <w:r w:rsidRPr="005E0D22">
        <w:t>Maʿshar</w:t>
      </w:r>
      <w:proofErr w:type="spellEnd"/>
      <w:r w:rsidRPr="005E0D22">
        <w:t xml:space="preserve"> and Ptolemy </w:t>
      </w:r>
      <w:r>
        <w:t>serve as</w:t>
      </w:r>
      <w:r w:rsidRPr="005E0D22">
        <w:t xml:space="preserve"> representative </w:t>
      </w:r>
      <w:r>
        <w:t>examples</w:t>
      </w:r>
      <w:r w:rsidRPr="005E0D22">
        <w:t xml:space="preserve"> that testify to a </w:t>
      </w:r>
      <w:r>
        <w:t>broader</w:t>
      </w:r>
      <w:r w:rsidRPr="005E0D22">
        <w:t xml:space="preserve"> phenomenon</w:t>
      </w:r>
      <w:r>
        <w:t>:</w:t>
      </w:r>
      <w:r w:rsidRPr="005E0D22">
        <w:t xml:space="preserve"> Ibn Ezra</w:t>
      </w:r>
      <w:r>
        <w:t>’</w:t>
      </w:r>
      <w:r w:rsidRPr="005E0D22">
        <w:t>s readiness to scrutinize and challenge</w:t>
      </w:r>
      <w:r>
        <w:t xml:space="preserve"> authorities in various domains, be they traditional, religious or scientific [figures?].</w:t>
      </w:r>
    </w:p>
    <w:p w14:paraId="68319658" w14:textId="77777777" w:rsidR="005E0D22" w:rsidRDefault="005E0D22" w:rsidP="005E0D22">
      <w:pPr>
        <w:pStyle w:val="First"/>
        <w:bidi w:val="0"/>
      </w:pPr>
    </w:p>
    <w:p w14:paraId="7AEC3BCD" w14:textId="6B421244" w:rsidR="00942BB8" w:rsidRDefault="005E0D22" w:rsidP="00CC03D3">
      <w:pPr>
        <w:bidi w:val="0"/>
        <w:rPr>
          <w:b/>
          <w:bCs/>
        </w:rPr>
      </w:pPr>
      <w:r w:rsidRPr="00942BB8">
        <w:rPr>
          <w:b/>
          <w:bCs/>
        </w:rPr>
        <w:t xml:space="preserve">3. </w:t>
      </w:r>
      <w:r w:rsidR="00942BB8" w:rsidRPr="00942BB8">
        <w:rPr>
          <w:b/>
          <w:bCs/>
        </w:rPr>
        <w:t>Open Questions</w:t>
      </w:r>
    </w:p>
    <w:p w14:paraId="0BE21B72" w14:textId="426D593C" w:rsidR="00CC03D3" w:rsidRPr="00236FAF" w:rsidRDefault="00CC03D3" w:rsidP="00CC03D3">
      <w:pPr>
        <w:pStyle w:val="af5"/>
        <w:numPr>
          <w:ilvl w:val="0"/>
          <w:numId w:val="2"/>
        </w:numPr>
        <w:bidi w:val="0"/>
        <w:rPr>
          <w:b/>
          <w:bCs/>
        </w:rPr>
      </w:pPr>
      <w:r>
        <w:t xml:space="preserve">Abraham Ibn Ezra spent his first fifty years in the Iberian Peninsula, while his surviving literary works were produced only after he left to Christian Europe. </w:t>
      </w:r>
      <w:r w:rsidRPr="00CC03D3">
        <w:t>What were his main pursuits during the initial fi</w:t>
      </w:r>
      <w:r w:rsidR="004D16B9">
        <w:t>ve decades</w:t>
      </w:r>
      <w:r w:rsidRPr="00CC03D3">
        <w:t xml:space="preserve"> of his life? Did he produce any </w:t>
      </w:r>
      <w:r w:rsidR="0028216E">
        <w:t>exegetical or scientific</w:t>
      </w:r>
      <w:r w:rsidRPr="00CC03D3">
        <w:t xml:space="preserve"> works during this time?</w:t>
      </w:r>
    </w:p>
    <w:p w14:paraId="1CFF769C" w14:textId="7AB8A2E8" w:rsidR="00236FAF" w:rsidRDefault="00236FAF" w:rsidP="00236FAF">
      <w:pPr>
        <w:pStyle w:val="af5"/>
        <w:numPr>
          <w:ilvl w:val="0"/>
          <w:numId w:val="2"/>
        </w:numPr>
        <w:bidi w:val="0"/>
      </w:pPr>
      <w:r w:rsidRPr="00236FAF">
        <w:t xml:space="preserve">It seems that Abraham Ibn Ezra authored some of his works directly in Latin, possibly with the assistance of a Christian scholar. Were these writings his own initiatives, or was he perhaps commissioned to do so? In which language did he communicate with his Christian </w:t>
      </w:r>
      <w:r>
        <w:lastRenderedPageBreak/>
        <w:t>fellows</w:t>
      </w:r>
      <w:r w:rsidRPr="00236FAF">
        <w:t>?</w:t>
      </w:r>
    </w:p>
    <w:p w14:paraId="5A44593A" w14:textId="0B1FEBAE" w:rsidR="009A7B13" w:rsidRDefault="009A7B13" w:rsidP="009A7B13">
      <w:pPr>
        <w:pStyle w:val="af5"/>
        <w:numPr>
          <w:ilvl w:val="0"/>
          <w:numId w:val="2"/>
        </w:numPr>
        <w:bidi w:val="0"/>
      </w:pPr>
      <w:r>
        <w:t xml:space="preserve">Abraham Ibn Ezra’s interests also </w:t>
      </w:r>
      <w:r w:rsidRPr="002031B8">
        <w:rPr>
          <w:lang w:val="en-IL"/>
        </w:rPr>
        <w:t xml:space="preserve">extended </w:t>
      </w:r>
      <w:r>
        <w:t xml:space="preserve">to astronomy. He composed sets of astronomical tables and conducted at least two astronomical observations during his time in Italy. To what extent did he rely on and use his own empirical observations in his scholarly pursuits? Did he ascribe importance to empirical data as a vital means of critically examining scientific </w:t>
      </w:r>
      <w:r w:rsidRPr="002031B8">
        <w:t>theories</w:t>
      </w:r>
      <w:r>
        <w:t>?</w:t>
      </w:r>
    </w:p>
    <w:p w14:paraId="06177D56" w14:textId="6D509CA0" w:rsidR="001D4313" w:rsidRDefault="00BF31DF" w:rsidP="001D4313">
      <w:pPr>
        <w:pStyle w:val="af5"/>
        <w:numPr>
          <w:ilvl w:val="0"/>
          <w:numId w:val="2"/>
        </w:numPr>
        <w:bidi w:val="0"/>
        <w:rPr>
          <w:rStyle w:val="afa"/>
          <w:b w:val="0"/>
          <w:bCs w:val="0"/>
        </w:rPr>
      </w:pPr>
      <w:r>
        <w:t>Ibn Ezra’s reputation in the Jewish world rests mostly on his biblical commentaries. From the end of the thirteenth century to the end of the Middle Age</w:t>
      </w:r>
      <w:r w:rsidRPr="00BF31DF">
        <w:t xml:space="preserve">s, scholars produced </w:t>
      </w:r>
      <w:proofErr w:type="spellStart"/>
      <w:r w:rsidRPr="00BF31DF">
        <w:t>supercommentaries</w:t>
      </w:r>
      <w:proofErr w:type="spellEnd"/>
      <w:r w:rsidRPr="00BF31DF">
        <w:t xml:space="preserve"> on Ibn Ezra</w:t>
      </w:r>
      <w:r>
        <w:t>’</w:t>
      </w:r>
      <w:r w:rsidRPr="00BF31DF">
        <w:t xml:space="preserve">s biblical </w:t>
      </w:r>
      <w:r>
        <w:t>exegeses</w:t>
      </w:r>
      <w:r w:rsidRPr="00BF31DF">
        <w:t xml:space="preserve">. </w:t>
      </w:r>
      <w:r w:rsidRPr="00BF31DF">
        <w:rPr>
          <w:rStyle w:val="afa"/>
          <w:b w:val="0"/>
          <w:bCs w:val="0"/>
        </w:rPr>
        <w:t>While Ibn Ezra</w:t>
      </w:r>
      <w:r>
        <w:rPr>
          <w:rStyle w:val="afa"/>
          <w:b w:val="0"/>
          <w:bCs w:val="0"/>
        </w:rPr>
        <w:t>’</w:t>
      </w:r>
      <w:r w:rsidRPr="00BF31DF">
        <w:rPr>
          <w:rStyle w:val="afa"/>
          <w:b w:val="0"/>
          <w:bCs w:val="0"/>
        </w:rPr>
        <w:t>s enigmatic writing style likely played a role</w:t>
      </w:r>
      <w:r>
        <w:rPr>
          <w:rStyle w:val="afa"/>
          <w:b w:val="0"/>
          <w:bCs w:val="0"/>
        </w:rPr>
        <w:t xml:space="preserve"> in the development of this new literary genre</w:t>
      </w:r>
      <w:r w:rsidRPr="00BF31DF">
        <w:rPr>
          <w:rStyle w:val="afa"/>
          <w:b w:val="0"/>
          <w:bCs w:val="0"/>
        </w:rPr>
        <w:t xml:space="preserve">, what other intellectual, cultural, or religious factors might have </w:t>
      </w:r>
      <w:r>
        <w:rPr>
          <w:rStyle w:val="afa"/>
          <w:b w:val="0"/>
          <w:bCs w:val="0"/>
        </w:rPr>
        <w:t>motivated</w:t>
      </w:r>
      <w:r w:rsidRPr="00BF31DF">
        <w:rPr>
          <w:rStyle w:val="afa"/>
          <w:b w:val="0"/>
          <w:bCs w:val="0"/>
        </w:rPr>
        <w:t xml:space="preserve"> scholars </w:t>
      </w:r>
      <w:r>
        <w:rPr>
          <w:rStyle w:val="afa"/>
          <w:b w:val="0"/>
          <w:bCs w:val="0"/>
        </w:rPr>
        <w:t xml:space="preserve">to write these </w:t>
      </w:r>
      <w:proofErr w:type="spellStart"/>
      <w:r>
        <w:rPr>
          <w:rStyle w:val="afa"/>
          <w:b w:val="0"/>
          <w:bCs w:val="0"/>
        </w:rPr>
        <w:t>supercommentaries</w:t>
      </w:r>
      <w:proofErr w:type="spellEnd"/>
      <w:r>
        <w:rPr>
          <w:rStyle w:val="afa"/>
          <w:b w:val="0"/>
          <w:bCs w:val="0"/>
        </w:rPr>
        <w:t>?</w:t>
      </w:r>
    </w:p>
    <w:p w14:paraId="536AAA5E" w14:textId="623BE516" w:rsidR="001D4313" w:rsidRDefault="001D4313" w:rsidP="006C3C24">
      <w:pPr>
        <w:pStyle w:val="af5"/>
        <w:numPr>
          <w:ilvl w:val="0"/>
          <w:numId w:val="2"/>
        </w:numPr>
        <w:bidi w:val="0"/>
      </w:pPr>
      <w:r>
        <w:t xml:space="preserve">The translation projects of Abraham </w:t>
      </w:r>
      <w:proofErr w:type="gramStart"/>
      <w:r>
        <w:t>Ibn</w:t>
      </w:r>
      <w:proofErr w:type="gramEnd"/>
      <w:r>
        <w:t xml:space="preserve"> Ezra’s astrological writings into Latin, which occurred almost simultaneously in the late thirteenth century, mark what has been termed the “Abraham Ibn Ezra Renaissance in the Latin West”. In recent years, Shlomo Sela has devoted significant effort to examining this phenomenon, publishing critical editions and English translations of many of the Latin translations of Ibn Ezra’s astrological writings (or writings ascribed to Ibn Ezra) as part of his important Brill series </w:t>
      </w:r>
      <w:r>
        <w:rPr>
          <w:rStyle w:val="aa"/>
        </w:rPr>
        <w:t xml:space="preserve">Abraham </w:t>
      </w:r>
      <w:proofErr w:type="gramStart"/>
      <w:r>
        <w:rPr>
          <w:rStyle w:val="aa"/>
        </w:rPr>
        <w:t>Ibn</w:t>
      </w:r>
      <w:proofErr w:type="gramEnd"/>
      <w:r>
        <w:rPr>
          <w:rStyle w:val="aa"/>
        </w:rPr>
        <w:t xml:space="preserve"> Ezra’s Astrological Writings</w:t>
      </w:r>
      <w:r>
        <w:t xml:space="preserve">. While Sela’s work has made substantial contributions, further research is still needed to fully understand the motivations behind this </w:t>
      </w:r>
      <w:r w:rsidR="0014735D">
        <w:t>“</w:t>
      </w:r>
      <w:r>
        <w:t>renaissance</w:t>
      </w:r>
      <w:r w:rsidR="0014735D">
        <w:t>”</w:t>
      </w:r>
      <w:r>
        <w:t>. Why</w:t>
      </w:r>
      <w:r w:rsidR="0014735D">
        <w:t xml:space="preserve"> did</w:t>
      </w:r>
      <w:r>
        <w:t xml:space="preserve"> Christian scholars f</w:t>
      </w:r>
      <w:r w:rsidR="0014735D">
        <w:t>ind</w:t>
      </w:r>
      <w:r>
        <w:t xml:space="preserve"> it important to translate, read, and study Ibn Ezra’s astrological works? Who were the intended audience for these translations?</w:t>
      </w:r>
      <w:r w:rsidR="006C3C24">
        <w:t xml:space="preserve"> </w:t>
      </w:r>
      <w:r w:rsidR="006C3C24" w:rsidRPr="006C3C24">
        <w:t xml:space="preserve">What was the precise role and impact of </w:t>
      </w:r>
      <w:r w:rsidR="006C3C24">
        <w:t xml:space="preserve">these translations </w:t>
      </w:r>
      <w:r w:rsidR="006C3C24" w:rsidRPr="006C3C24">
        <w:t xml:space="preserve">in </w:t>
      </w:r>
      <w:r w:rsidR="006C3C24">
        <w:t>the diffusion and assimilation of</w:t>
      </w:r>
      <w:r w:rsidR="006C3C24" w:rsidRPr="006C3C24">
        <w:t xml:space="preserve"> astrological knowledge </w:t>
      </w:r>
      <w:r w:rsidR="006C3C24">
        <w:t>in</w:t>
      </w:r>
      <w:r w:rsidR="0011724D">
        <w:t>\</w:t>
      </w:r>
      <w:r w:rsidR="00423523">
        <w:t>within</w:t>
      </w:r>
      <w:r w:rsidR="006C3C24" w:rsidRPr="006C3C24">
        <w:t xml:space="preserve"> the </w:t>
      </w:r>
      <w:r w:rsidR="0011724D">
        <w:t xml:space="preserve">scholarly </w:t>
      </w:r>
      <w:r w:rsidR="00A62EA7">
        <w:t>c</w:t>
      </w:r>
      <w:r w:rsidR="0011724D">
        <w:t xml:space="preserve">ircles </w:t>
      </w:r>
      <w:r w:rsidR="006C3C24" w:rsidRPr="006C3C24">
        <w:t xml:space="preserve">in </w:t>
      </w:r>
      <w:r w:rsidR="00A62EA7">
        <w:t>medieval Christian</w:t>
      </w:r>
      <w:r w:rsidR="006C3C24" w:rsidRPr="006C3C24">
        <w:t xml:space="preserve"> Europe?</w:t>
      </w:r>
    </w:p>
    <w:p w14:paraId="27293909" w14:textId="77777777" w:rsidR="002850AA" w:rsidRDefault="002850AA" w:rsidP="002850AA">
      <w:pPr>
        <w:bidi w:val="0"/>
        <w:ind w:firstLine="0"/>
        <w:rPr>
          <w:b/>
          <w:bCs/>
          <w:rtl/>
        </w:rPr>
      </w:pPr>
    </w:p>
    <w:p w14:paraId="66D7EFCD" w14:textId="00076000" w:rsidR="00942BB8" w:rsidRPr="005E0D22" w:rsidRDefault="00942BB8" w:rsidP="00942BB8">
      <w:pPr>
        <w:bidi w:val="0"/>
      </w:pPr>
      <w:r>
        <w:rPr>
          <w:b/>
          <w:bCs/>
        </w:rPr>
        <w:t>4. Bibliography and Further Reading</w:t>
      </w:r>
    </w:p>
    <w:p w14:paraId="7E0079A4" w14:textId="4F5C0C6C" w:rsidR="003C6747" w:rsidRDefault="005E0D22" w:rsidP="005E0D22">
      <w:pPr>
        <w:pStyle w:val="First"/>
        <w:bidi w:val="0"/>
      </w:pPr>
      <w:r w:rsidRPr="005E0D22">
        <w:t xml:space="preserve"> </w:t>
      </w:r>
    </w:p>
    <w:p w14:paraId="1A242F07" w14:textId="757AE796" w:rsidR="009707B2" w:rsidRPr="00735916" w:rsidRDefault="00423A29" w:rsidP="00735916">
      <w:pPr>
        <w:bidi w:val="0"/>
        <w:rPr>
          <w:b/>
          <w:bCs/>
        </w:rPr>
      </w:pPr>
      <w:r w:rsidRPr="00423A29">
        <w:rPr>
          <w:b/>
          <w:bCs/>
        </w:rPr>
        <w:t>Primary Sources</w:t>
      </w:r>
    </w:p>
    <w:p w14:paraId="17B6D5B9" w14:textId="07135E0E" w:rsidR="002E5A85" w:rsidRDefault="002E5A85" w:rsidP="00735916">
      <w:pPr>
        <w:bidi w:val="0"/>
        <w:ind w:firstLine="0"/>
      </w:pPr>
      <w:r>
        <w:t>Sela, Shlomo</w:t>
      </w:r>
      <w:r w:rsidR="0030170D">
        <w:t xml:space="preserve">, </w:t>
      </w:r>
      <w:r>
        <w:t>ed.</w:t>
      </w:r>
      <w:r w:rsidR="0030170D">
        <w:t xml:space="preserve"> 2007.</w:t>
      </w:r>
      <w:r>
        <w:t xml:space="preserve"> </w:t>
      </w:r>
      <w:r w:rsidRPr="002E5A85">
        <w:rPr>
          <w:i/>
          <w:iCs/>
        </w:rPr>
        <w:t>Abraham Ibn Ezra, The Book of Reasons</w:t>
      </w:r>
      <w:r w:rsidR="00A201D4" w:rsidRPr="00A201D4">
        <w:rPr>
          <w:i/>
          <w:iCs/>
        </w:rPr>
        <w:t>.</w:t>
      </w:r>
      <w:r w:rsidRPr="002E5A85">
        <w:rPr>
          <w:i/>
          <w:iCs/>
          <w:lang w:val="en-IL"/>
        </w:rPr>
        <w:t xml:space="preserve"> A Parallel Hebrew-English Critical Edition of the Two Versions of the</w:t>
      </w:r>
      <w:r>
        <w:rPr>
          <w:i/>
          <w:iCs/>
          <w:lang w:val="en-IL"/>
        </w:rPr>
        <w:t xml:space="preserve"> Text</w:t>
      </w:r>
      <w:r w:rsidR="0030170D">
        <w:rPr>
          <w:lang w:val="en-IL"/>
        </w:rPr>
        <w:t>.</w:t>
      </w:r>
      <w:r>
        <w:rPr>
          <w:lang w:val="en-IL"/>
        </w:rPr>
        <w:t xml:space="preserve"> Leiden: Brill</w:t>
      </w:r>
      <w:r w:rsidR="0030170D">
        <w:rPr>
          <w:lang w:val="en-IL"/>
        </w:rPr>
        <w:t>.</w:t>
      </w:r>
    </w:p>
    <w:p w14:paraId="12543C9F" w14:textId="0D0BFC9B" w:rsidR="00423A29" w:rsidRDefault="009707B2" w:rsidP="00735916">
      <w:pPr>
        <w:bidi w:val="0"/>
        <w:ind w:firstLine="0"/>
        <w:rPr>
          <w:lang w:val="en-IL"/>
        </w:rPr>
      </w:pPr>
      <w:r>
        <w:lastRenderedPageBreak/>
        <w:t>Sela, Shlomo</w:t>
      </w:r>
      <w:r w:rsidR="00164AC4">
        <w:t xml:space="preserve">, </w:t>
      </w:r>
      <w:r>
        <w:t>ed.</w:t>
      </w:r>
      <w:r w:rsidR="00164AC4">
        <w:t xml:space="preserve"> 2010.</w:t>
      </w:r>
      <w:r>
        <w:t xml:space="preserve"> </w:t>
      </w:r>
      <w:r w:rsidRPr="009707B2">
        <w:rPr>
          <w:i/>
          <w:iCs/>
        </w:rPr>
        <w:t>Abraham Ibn Ezra</w:t>
      </w:r>
      <w:r w:rsidR="002E5A85">
        <w:rPr>
          <w:i/>
          <w:iCs/>
        </w:rPr>
        <w:t xml:space="preserve">, </w:t>
      </w:r>
      <w:r w:rsidRPr="009707B2">
        <w:rPr>
          <w:i/>
          <w:iCs/>
        </w:rPr>
        <w:t xml:space="preserve">The Book of the World. </w:t>
      </w:r>
      <w:r w:rsidRPr="009707B2">
        <w:rPr>
          <w:i/>
          <w:iCs/>
          <w:lang w:val="en-IL"/>
        </w:rPr>
        <w:t>A Parallel</w:t>
      </w:r>
      <w:r w:rsidRPr="00423A29">
        <w:rPr>
          <w:i/>
          <w:iCs/>
          <w:lang w:val="en-IL"/>
        </w:rPr>
        <w:t xml:space="preserve"> Hebrew-English Critical Edition of</w:t>
      </w:r>
      <w:r>
        <w:rPr>
          <w:i/>
          <w:iCs/>
          <w:lang w:val="en-IL"/>
        </w:rPr>
        <w:t xml:space="preserve"> the Two Versions of the Text</w:t>
      </w:r>
      <w:r w:rsidR="00164AC4">
        <w:rPr>
          <w:lang w:val="en-IL"/>
        </w:rPr>
        <w:t>.</w:t>
      </w:r>
      <w:r>
        <w:rPr>
          <w:lang w:val="en-IL"/>
        </w:rPr>
        <w:t xml:space="preserve"> Leiden: Brill</w:t>
      </w:r>
      <w:r>
        <w:t>.</w:t>
      </w:r>
    </w:p>
    <w:p w14:paraId="1ADE10AA" w14:textId="1FE67EA8" w:rsidR="00164AC4" w:rsidRDefault="00164AC4" w:rsidP="00735916">
      <w:pPr>
        <w:bidi w:val="0"/>
        <w:ind w:firstLine="0"/>
        <w:rPr>
          <w:lang w:val="en-IL"/>
        </w:rPr>
      </w:pPr>
      <w:r>
        <w:rPr>
          <w:lang w:val="en-IL"/>
        </w:rPr>
        <w:t xml:space="preserve">Sela, Shlomo, ed. 2011. </w:t>
      </w:r>
      <w:r w:rsidRPr="000E265A">
        <w:rPr>
          <w:i/>
          <w:iCs/>
        </w:rPr>
        <w:t>Abraham Ibn Ezra on Elections, Interrogations, and Medical Astrology: A Parallel Hebrew-English Critical Edition of the Book of Elections (3 Versions), the Book of Interrogations (3 Versions), and the Book of the Luminaries</w:t>
      </w:r>
      <w:r>
        <w:t>.</w:t>
      </w:r>
      <w:r w:rsidRPr="000E265A">
        <w:t xml:space="preserve"> Leiden</w:t>
      </w:r>
      <w:r>
        <w:t xml:space="preserve">: </w:t>
      </w:r>
      <w:r w:rsidRPr="000E265A">
        <w:t>Brill</w:t>
      </w:r>
      <w:r>
        <w:t>.</w:t>
      </w:r>
    </w:p>
    <w:p w14:paraId="076172FC" w14:textId="3E70CACE" w:rsidR="00164AC4" w:rsidRDefault="00164AC4" w:rsidP="00164AC4">
      <w:pPr>
        <w:bidi w:val="0"/>
        <w:ind w:firstLine="0"/>
      </w:pPr>
      <w:r>
        <w:rPr>
          <w:lang w:val="en-IL"/>
        </w:rPr>
        <w:t>Sela, Shlomo, ed. 2014</w:t>
      </w:r>
      <w:r w:rsidR="00236570">
        <w:rPr>
          <w:lang w:val="en-IL"/>
        </w:rPr>
        <w:t>a</w:t>
      </w:r>
      <w:r>
        <w:rPr>
          <w:lang w:val="en-IL"/>
        </w:rPr>
        <w:t>.</w:t>
      </w:r>
      <w:r w:rsidRPr="00423A29">
        <w:rPr>
          <w:i/>
          <w:iCs/>
          <w:lang w:val="en-IL"/>
        </w:rPr>
        <w:t xml:space="preserve"> Abraham Ibn Ezra on Nativities and Continuous Horoscopy. A Parallel Hebrew-English Critical Edition of the Book of Nativities and the Book of Revolution</w:t>
      </w:r>
      <w:r>
        <w:rPr>
          <w:lang w:val="en-IL"/>
        </w:rPr>
        <w:t xml:space="preserve">. </w:t>
      </w:r>
      <w:r w:rsidRPr="00942BB8">
        <w:t>Leiden</w:t>
      </w:r>
      <w:r>
        <w:t>: Brill.</w:t>
      </w:r>
    </w:p>
    <w:p w14:paraId="6013472E" w14:textId="1DD582C5" w:rsidR="00240AA0" w:rsidRPr="00164AC4" w:rsidRDefault="00240AA0" w:rsidP="00240AA0">
      <w:pPr>
        <w:bidi w:val="0"/>
        <w:ind w:firstLine="0"/>
      </w:pPr>
      <w:r>
        <w:rPr>
          <w:lang w:val="en-IL"/>
        </w:rPr>
        <w:t>Sela, Shlomo, ed.</w:t>
      </w:r>
      <w:r>
        <w:rPr>
          <w:lang w:val="en-IL"/>
        </w:rPr>
        <w:t xml:space="preserve"> 2022</w:t>
      </w:r>
      <w:r w:rsidR="00C52EBA">
        <w:rPr>
          <w:lang w:val="en-IL"/>
        </w:rPr>
        <w:t>a</w:t>
      </w:r>
      <w:r>
        <w:rPr>
          <w:lang w:val="en-IL"/>
        </w:rPr>
        <w:t xml:space="preserve">. </w:t>
      </w:r>
      <w:r w:rsidRPr="00240AA0">
        <w:rPr>
          <w:i/>
          <w:iCs/>
          <w:lang w:val="en-IL"/>
        </w:rPr>
        <w:t xml:space="preserve">Abraham Ibn Ezra Latinus: Henry Bate’s Latin Versions of Abraham </w:t>
      </w:r>
      <w:proofErr w:type="gramStart"/>
      <w:r w:rsidRPr="00240AA0">
        <w:rPr>
          <w:i/>
          <w:iCs/>
          <w:lang w:val="en-IL"/>
        </w:rPr>
        <w:t>Ibn</w:t>
      </w:r>
      <w:proofErr w:type="gramEnd"/>
      <w:r w:rsidRPr="00240AA0">
        <w:rPr>
          <w:i/>
          <w:iCs/>
          <w:lang w:val="en-IL"/>
        </w:rPr>
        <w:t xml:space="preserve"> Ezra’s Astrological Writings. With English Translation and a Collation with the Hebrew and French Source Texts</w:t>
      </w:r>
      <w:r>
        <w:rPr>
          <w:lang w:val="en-IL"/>
        </w:rPr>
        <w:t>. Leiden: Brill.</w:t>
      </w:r>
    </w:p>
    <w:p w14:paraId="42103381" w14:textId="77777777" w:rsidR="00164AC4" w:rsidRPr="00423A29" w:rsidRDefault="00164AC4" w:rsidP="00164AC4">
      <w:pPr>
        <w:bidi w:val="0"/>
        <w:ind w:firstLine="0"/>
        <w:rPr>
          <w:lang w:val="en-IL"/>
        </w:rPr>
      </w:pPr>
    </w:p>
    <w:p w14:paraId="5490F88B" w14:textId="538B7395" w:rsidR="00942BB8" w:rsidRPr="00735916" w:rsidRDefault="00423A29" w:rsidP="00735916">
      <w:pPr>
        <w:bidi w:val="0"/>
        <w:rPr>
          <w:b/>
          <w:bCs/>
        </w:rPr>
      </w:pPr>
      <w:r w:rsidRPr="00423A29">
        <w:rPr>
          <w:b/>
          <w:bCs/>
        </w:rPr>
        <w:t>Secondary Sources</w:t>
      </w:r>
    </w:p>
    <w:p w14:paraId="1536E1F5" w14:textId="6895BD48" w:rsidR="00322758" w:rsidRDefault="00942BB8" w:rsidP="00735916">
      <w:pPr>
        <w:bidi w:val="0"/>
        <w:ind w:firstLine="0"/>
      </w:pPr>
      <w:r>
        <w:t>Garshtein, Niran</w:t>
      </w:r>
      <w:r w:rsidR="00161358">
        <w:t>. 2024.</w:t>
      </w:r>
      <w:r>
        <w:t xml:space="preserve"> “</w:t>
      </w:r>
      <w:r w:rsidRPr="00942BB8">
        <w:rPr>
          <w:i/>
          <w:iCs/>
        </w:rPr>
        <w:t>Sefer ha-Kolel</w:t>
      </w:r>
      <w:r>
        <w:t>: A Thirteenth-Century Compendium of Astronomical and Astrological Knowledge</w:t>
      </w:r>
      <w:r w:rsidR="00161358">
        <w:t>.</w:t>
      </w:r>
      <w:r>
        <w:t xml:space="preserve">” </w:t>
      </w:r>
      <w:r>
        <w:rPr>
          <w:i/>
          <w:iCs/>
        </w:rPr>
        <w:t>Aleph</w:t>
      </w:r>
      <w:r>
        <w:t xml:space="preserve"> 23</w:t>
      </w:r>
      <w:r w:rsidR="00161358">
        <w:t>.</w:t>
      </w:r>
      <w:r>
        <w:t>1-2: 195–240.</w:t>
      </w:r>
    </w:p>
    <w:p w14:paraId="5657C437" w14:textId="141F70CB" w:rsidR="00322758" w:rsidRDefault="00322758" w:rsidP="00322758">
      <w:pPr>
        <w:bidi w:val="0"/>
        <w:ind w:firstLine="0"/>
      </w:pPr>
      <w:r>
        <w:t>Garshtein, Niran. 2021. “Astronomy and Astrology in the Hebrew Encyclopedias of the Thirteenth</w:t>
      </w:r>
    </w:p>
    <w:p w14:paraId="56754459" w14:textId="27DE01B5" w:rsidR="00E22AFA" w:rsidRDefault="00322758" w:rsidP="00735916">
      <w:pPr>
        <w:bidi w:val="0"/>
        <w:ind w:firstLine="0"/>
      </w:pPr>
      <w:r>
        <w:t>Century.” PhD diss., Bar-Ilan University.</w:t>
      </w:r>
    </w:p>
    <w:p w14:paraId="5D79A07A" w14:textId="0AF449C9" w:rsidR="00E22AFA" w:rsidRDefault="00E22AFA" w:rsidP="00735916">
      <w:pPr>
        <w:bidi w:val="0"/>
        <w:ind w:firstLine="0"/>
      </w:pPr>
      <w:proofErr w:type="spellStart"/>
      <w:r>
        <w:t>Golb</w:t>
      </w:r>
      <w:proofErr w:type="spellEnd"/>
      <w:r>
        <w:t>, Norman</w:t>
      </w:r>
      <w:r w:rsidR="001E396D">
        <w:t>. 1976.</w:t>
      </w:r>
      <w:r>
        <w:t xml:space="preserve"> </w:t>
      </w:r>
      <w:r w:rsidRPr="00E22AFA">
        <w:rPr>
          <w:i/>
          <w:iCs/>
        </w:rPr>
        <w:t>History and Culture of the Jews of Rouen in the Middle Ages</w:t>
      </w:r>
      <w:r w:rsidR="001E396D">
        <w:t xml:space="preserve">. </w:t>
      </w:r>
      <w:r>
        <w:t>Tel-Aviv: Dvir</w:t>
      </w:r>
      <w:r w:rsidR="001E396D">
        <w:t xml:space="preserve"> </w:t>
      </w:r>
      <w:r>
        <w:t>(Heb.)</w:t>
      </w:r>
      <w:r w:rsidR="001E396D">
        <w:t>,</w:t>
      </w:r>
      <w:r>
        <w:t xml:space="preserve"> on pp. 45–66.</w:t>
      </w:r>
    </w:p>
    <w:p w14:paraId="07E63EB2" w14:textId="58BF4D01" w:rsidR="00E22AFA" w:rsidRDefault="00E22AFA" w:rsidP="00735916">
      <w:pPr>
        <w:bidi w:val="0"/>
        <w:ind w:firstLine="0"/>
      </w:pPr>
      <w:r>
        <w:t>Fleischer, J.L</w:t>
      </w:r>
      <w:r w:rsidR="00161358">
        <w:t>. 1930.</w:t>
      </w:r>
      <w:r>
        <w:t xml:space="preserve"> “Rabbi Abraham Ibn Ezra in France. His Residence and Literary Work</w:t>
      </w:r>
      <w:r w:rsidR="00161358">
        <w:t>.</w:t>
      </w:r>
      <w:r>
        <w:t xml:space="preserve">” (Heb.) </w:t>
      </w:r>
      <w:proofErr w:type="spellStart"/>
      <w:r w:rsidRPr="00E22AFA">
        <w:rPr>
          <w:i/>
          <w:iCs/>
        </w:rPr>
        <w:t>Mizrah</w:t>
      </w:r>
      <w:proofErr w:type="spellEnd"/>
      <w:r w:rsidRPr="00E22AFA">
        <w:rPr>
          <w:i/>
          <w:iCs/>
        </w:rPr>
        <w:t xml:space="preserve">̱ </w:t>
      </w:r>
      <w:proofErr w:type="spellStart"/>
      <w:r w:rsidRPr="00E22AFA">
        <w:rPr>
          <w:i/>
          <w:iCs/>
        </w:rPr>
        <w:t>ou-</w:t>
      </w:r>
      <w:proofErr w:type="gramStart"/>
      <w:r w:rsidRPr="00E22AFA">
        <w:rPr>
          <w:i/>
          <w:iCs/>
        </w:rPr>
        <w:t>ma‘</w:t>
      </w:r>
      <w:proofErr w:type="gramEnd"/>
      <w:r w:rsidRPr="00E22AFA">
        <w:rPr>
          <w:i/>
          <w:iCs/>
        </w:rPr>
        <w:t>arav</w:t>
      </w:r>
      <w:proofErr w:type="spellEnd"/>
      <w:r>
        <w:t xml:space="preserve"> 4: 352–360.</w:t>
      </w:r>
    </w:p>
    <w:p w14:paraId="64357F31" w14:textId="3DFA06EA" w:rsidR="00E22AFA" w:rsidRPr="00735916" w:rsidRDefault="00942BB8" w:rsidP="00735916">
      <w:pPr>
        <w:pStyle w:val="First"/>
        <w:bidi w:val="0"/>
        <w:rPr>
          <w:i/>
          <w:iCs/>
        </w:rPr>
      </w:pPr>
      <w:r>
        <w:t>Freudenthal, Gad</w:t>
      </w:r>
      <w:r w:rsidR="001E396D">
        <w:t>. 2013.</w:t>
      </w:r>
      <w:r>
        <w:t xml:space="preserve"> “</w:t>
      </w:r>
      <w:r w:rsidR="00E22AFA">
        <w:t>Abraham Ibn Ezra and Judah Ibn Tibbon as Cultural Intermediaries. Early Stages in the Introduction of Non-Rabbinic Learning into Provence in the Mid-Twelfth Century</w:t>
      </w:r>
      <w:r w:rsidR="001E396D">
        <w:t>.</w:t>
      </w:r>
      <w:r w:rsidR="00E22AFA">
        <w:t xml:space="preserve">” </w:t>
      </w:r>
      <w:r w:rsidR="001E396D">
        <w:t>I</w:t>
      </w:r>
      <w:r w:rsidR="00E22AFA">
        <w:t xml:space="preserve">n </w:t>
      </w:r>
      <w:r w:rsidR="00E22AFA" w:rsidRPr="00E22AFA">
        <w:rPr>
          <w:i/>
          <w:iCs/>
        </w:rPr>
        <w:t>Exchange and Transmission Across Cultural</w:t>
      </w:r>
      <w:r w:rsidR="00E22AFA">
        <w:rPr>
          <w:i/>
          <w:iCs/>
        </w:rPr>
        <w:t xml:space="preserve"> </w:t>
      </w:r>
      <w:r w:rsidR="00E22AFA" w:rsidRPr="00E22AFA">
        <w:rPr>
          <w:i/>
          <w:iCs/>
        </w:rPr>
        <w:t>Boundaries</w:t>
      </w:r>
      <w:r w:rsidR="001E396D">
        <w:t xml:space="preserve">, edited by Haggai Ben-Shammai, Shaul Shaked and Sarah </w:t>
      </w:r>
      <w:proofErr w:type="spellStart"/>
      <w:r w:rsidR="001E396D">
        <w:t>Stroumsa</w:t>
      </w:r>
      <w:proofErr w:type="spellEnd"/>
      <w:r w:rsidR="001E396D">
        <w:t xml:space="preserve">, 52–81. </w:t>
      </w:r>
      <w:r w:rsidR="00E22AFA">
        <w:t>Jerusalem: The Israel Academy of Sciences and Humanities.</w:t>
      </w:r>
    </w:p>
    <w:p w14:paraId="35296947" w14:textId="3BE819E5" w:rsidR="00322758" w:rsidRDefault="00423A29" w:rsidP="00735916">
      <w:pPr>
        <w:bidi w:val="0"/>
        <w:ind w:firstLine="0"/>
      </w:pPr>
      <w:r>
        <w:t>Sela, Shlomo</w:t>
      </w:r>
      <w:r w:rsidR="001E396D">
        <w:t>. 2003.</w:t>
      </w:r>
      <w:r>
        <w:t xml:space="preserve"> </w:t>
      </w:r>
      <w:r w:rsidRPr="00942BB8">
        <w:rPr>
          <w:i/>
          <w:iCs/>
        </w:rPr>
        <w:t>Abraham Ibn Ezra and the Rise of Medieval Hebrew Science</w:t>
      </w:r>
      <w:r w:rsidR="001E396D">
        <w:t>.</w:t>
      </w:r>
      <w:r>
        <w:t xml:space="preserve"> </w:t>
      </w:r>
      <w:r w:rsidRPr="00942BB8">
        <w:t>Leiden</w:t>
      </w:r>
      <w:r>
        <w:t>: Brill.</w:t>
      </w:r>
    </w:p>
    <w:p w14:paraId="12D17A3B" w14:textId="52364CB1" w:rsidR="00322758" w:rsidRDefault="00322758" w:rsidP="00735916">
      <w:pPr>
        <w:bidi w:val="0"/>
        <w:ind w:firstLine="0"/>
      </w:pPr>
      <w:r>
        <w:t xml:space="preserve">Sela, Shlomo. 2004. “Queries on Astrology Sent from Southern France to Maimonides: Critical Edition of the Hebrew Text, Translation, and Commentary.” </w:t>
      </w:r>
      <w:r w:rsidRPr="00245967">
        <w:rPr>
          <w:i/>
          <w:iCs/>
        </w:rPr>
        <w:t>Aleph</w:t>
      </w:r>
      <w:r>
        <w:t xml:space="preserve"> 4: 89–190.</w:t>
      </w:r>
    </w:p>
    <w:p w14:paraId="5912B496" w14:textId="1E6C5E77" w:rsidR="008A55CE" w:rsidRDefault="008A55CE" w:rsidP="00735916">
      <w:pPr>
        <w:bidi w:val="0"/>
        <w:ind w:firstLine="0"/>
      </w:pPr>
      <w:r>
        <w:lastRenderedPageBreak/>
        <w:t>Sela, Shlomo</w:t>
      </w:r>
      <w:r w:rsidR="00161358">
        <w:t>. 2014</w:t>
      </w:r>
      <w:r w:rsidR="00236570">
        <w:t>b</w:t>
      </w:r>
      <w:r w:rsidR="00161358">
        <w:t>.</w:t>
      </w:r>
      <w:r>
        <w:t xml:space="preserve"> “The Astrological-Astronomical Encyclopedia in MS Paris 1058</w:t>
      </w:r>
      <w:r w:rsidR="00161358">
        <w:t>.</w:t>
      </w:r>
      <w:r>
        <w:t xml:space="preserve">” </w:t>
      </w:r>
      <w:r w:rsidRPr="001E396D">
        <w:rPr>
          <w:i/>
          <w:iCs/>
        </w:rPr>
        <w:t>Aleph</w:t>
      </w:r>
      <w:r>
        <w:t xml:space="preserve"> 14.1: 189–241.</w:t>
      </w:r>
    </w:p>
    <w:p w14:paraId="78C75B25" w14:textId="2A26A2AE" w:rsidR="00245967" w:rsidRDefault="00E22AFA" w:rsidP="00735916">
      <w:pPr>
        <w:bidi w:val="0"/>
        <w:ind w:firstLine="0"/>
      </w:pPr>
      <w:r>
        <w:t>Sela, Shlomo</w:t>
      </w:r>
      <w:r w:rsidR="00161358">
        <w:t>. 2021.</w:t>
      </w:r>
      <w:r>
        <w:t xml:space="preserve"> “</w:t>
      </w:r>
      <w:r w:rsidRPr="00E22AFA">
        <w:t>The</w:t>
      </w:r>
      <w:r>
        <w:t xml:space="preserve"> </w:t>
      </w:r>
      <w:r w:rsidRPr="00E22AFA">
        <w:t>Impact</w:t>
      </w:r>
      <w:r>
        <w:t xml:space="preserve"> </w:t>
      </w:r>
      <w:r w:rsidRPr="00E22AFA">
        <w:t>of</w:t>
      </w:r>
      <w:r>
        <w:t xml:space="preserve"> </w:t>
      </w:r>
      <w:r w:rsidRPr="00E22AFA">
        <w:t>Hagin</w:t>
      </w:r>
      <w:r>
        <w:t xml:space="preserve"> </w:t>
      </w:r>
      <w:r w:rsidRPr="00E22AFA">
        <w:t>le</w:t>
      </w:r>
      <w:r>
        <w:t xml:space="preserve"> </w:t>
      </w:r>
      <w:proofErr w:type="spellStart"/>
      <w:r w:rsidRPr="00E22AFA">
        <w:t>Juif’s</w:t>
      </w:r>
      <w:proofErr w:type="spellEnd"/>
      <w:r>
        <w:t xml:space="preserve"> </w:t>
      </w:r>
      <w:r w:rsidRPr="00E22AFA">
        <w:t>French Translations on Subsequent</w:t>
      </w:r>
      <w:r>
        <w:t xml:space="preserve"> </w:t>
      </w:r>
      <w:r w:rsidRPr="00E22AFA">
        <w:t>Latin</w:t>
      </w:r>
      <w:r>
        <w:t xml:space="preserve"> </w:t>
      </w:r>
      <w:r w:rsidRPr="00E22AFA">
        <w:t>Translations</w:t>
      </w:r>
      <w:r>
        <w:t xml:space="preserve"> </w:t>
      </w:r>
      <w:r w:rsidRPr="00E22AFA">
        <w:t xml:space="preserve">of Abraham </w:t>
      </w:r>
      <w:proofErr w:type="gramStart"/>
      <w:r w:rsidRPr="00E22AFA">
        <w:t>Ibn</w:t>
      </w:r>
      <w:proofErr w:type="gramEnd"/>
      <w:r w:rsidRPr="00E22AFA">
        <w:t xml:space="preserve"> Ezra’s Astrological Writings</w:t>
      </w:r>
      <w:r w:rsidR="00161358">
        <w:t>.</w:t>
      </w:r>
      <w:r>
        <w:t xml:space="preserve">” </w:t>
      </w:r>
      <w:r w:rsidRPr="00E22AFA">
        <w:rPr>
          <w:i/>
          <w:iCs/>
        </w:rPr>
        <w:t>The Jewish Quarterly Review</w:t>
      </w:r>
      <w:r>
        <w:t xml:space="preserve"> </w:t>
      </w:r>
      <w:r w:rsidRPr="00E22AFA">
        <w:t>111</w:t>
      </w:r>
      <w:r>
        <w:t>:</w:t>
      </w:r>
      <w:r w:rsidR="00161358">
        <w:t xml:space="preserve"> </w:t>
      </w:r>
      <w:r w:rsidRPr="00E22AFA">
        <w:t>55–82.</w:t>
      </w:r>
    </w:p>
    <w:p w14:paraId="5091FEF2" w14:textId="107D6BE5" w:rsidR="00B97C3F" w:rsidRDefault="00B97C3F" w:rsidP="00B97C3F">
      <w:pPr>
        <w:bidi w:val="0"/>
        <w:ind w:firstLine="0"/>
      </w:pPr>
      <w:r>
        <w:t xml:space="preserve">Sela, Shlomo. 2022b. </w:t>
      </w:r>
      <w:r>
        <w:t>“Abraham Ibn Ezra’s Scholarly Writings</w:t>
      </w:r>
      <w:r>
        <w:t xml:space="preserve">: An Update.”. </w:t>
      </w:r>
      <w:r w:rsidRPr="005D00D2">
        <w:rPr>
          <w:i/>
          <w:iCs/>
        </w:rPr>
        <w:t xml:space="preserve">Aleph </w:t>
      </w:r>
      <w:r>
        <w:t>22: 287–300.</w:t>
      </w:r>
    </w:p>
    <w:p w14:paraId="26E9D10B" w14:textId="7FC832B9" w:rsidR="000A3387" w:rsidRDefault="00E22AFA" w:rsidP="00245D14">
      <w:pPr>
        <w:bidi w:val="0"/>
        <w:ind w:firstLine="0"/>
      </w:pPr>
      <w:r>
        <w:t xml:space="preserve">Sela, Shlomo, and </w:t>
      </w:r>
      <w:r w:rsidR="00161358">
        <w:t xml:space="preserve">Gad </w:t>
      </w:r>
      <w:r>
        <w:t>Freudenthal</w:t>
      </w:r>
      <w:r w:rsidR="00161358">
        <w:t>. 2006.</w:t>
      </w:r>
      <w:r>
        <w:t xml:space="preserve"> “Abraham Ibn Ezra’s Scholarly Writings: A Chronological Listing</w:t>
      </w:r>
      <w:r w:rsidR="00161358">
        <w:t>.</w:t>
      </w:r>
      <w:r>
        <w:t xml:space="preserve">” </w:t>
      </w:r>
      <w:r w:rsidRPr="00E22AFA">
        <w:rPr>
          <w:i/>
          <w:iCs/>
        </w:rPr>
        <w:t>Aleph</w:t>
      </w:r>
      <w:r>
        <w:t xml:space="preserve"> 6: 13–55.</w:t>
      </w:r>
    </w:p>
    <w:sectPr w:rsidR="000A338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ran Garshtein" w:date="2024-05-09T09:47:00Z" w:initials="NG">
    <w:p w14:paraId="224EA3C0" w14:textId="77777777" w:rsidR="00A215B5" w:rsidRDefault="00A215B5" w:rsidP="00A215B5">
      <w:pPr>
        <w:pStyle w:val="a6"/>
        <w:ind w:firstLine="0"/>
        <w:jc w:val="right"/>
      </w:pPr>
      <w:r>
        <w:rPr>
          <w:rStyle w:val="a5"/>
        </w:rPr>
        <w:annotationRef/>
      </w:r>
      <w:r>
        <w:rPr>
          <w:rFonts w:hint="eastAsia"/>
          <w:rtl/>
        </w:rPr>
        <w:t>זה</w:t>
      </w:r>
      <w:r>
        <w:rPr>
          <w:rtl/>
        </w:rPr>
        <w:t xml:space="preserve"> בסדר או שיש צורך בתוספת - מהמובילים אי פעם?</w:t>
      </w:r>
    </w:p>
  </w:comment>
  <w:comment w:id="2" w:author="Niran Garshtein" w:date="2024-01-13T16:48:00Z" w:initials="NG">
    <w:p w14:paraId="45B8D230" w14:textId="00873A1A" w:rsidR="00A42664" w:rsidRDefault="00A42664" w:rsidP="00A42664">
      <w:pPr>
        <w:pStyle w:val="a6"/>
        <w:ind w:firstLine="0"/>
        <w:jc w:val="right"/>
      </w:pPr>
      <w:r>
        <w:rPr>
          <w:rStyle w:val="a5"/>
        </w:rPr>
        <w:annotationRef/>
      </w:r>
      <w:r>
        <w:rPr>
          <w:rFonts w:hint="eastAsia"/>
          <w:rtl/>
        </w:rPr>
        <w:t>השתמשתי</w:t>
      </w:r>
      <w:r>
        <w:rPr>
          <w:rtl/>
        </w:rPr>
        <w:t xml:space="preserve"> בתרגום של סלע. אבל אולי אפשר לבצע תיקונים קלים:</w:t>
      </w:r>
    </w:p>
    <w:p w14:paraId="5E645F04" w14:textId="77777777" w:rsidR="00A42664" w:rsidRDefault="00A42664" w:rsidP="00A42664">
      <w:pPr>
        <w:pStyle w:val="a6"/>
        <w:ind w:firstLine="0"/>
        <w:jc w:val="right"/>
      </w:pPr>
    </w:p>
    <w:p w14:paraId="167C5A1F" w14:textId="77777777" w:rsidR="00A42664" w:rsidRDefault="00A42664" w:rsidP="00A42664">
      <w:pPr>
        <w:pStyle w:val="a6"/>
        <w:ind w:firstLine="0"/>
        <w:jc w:val="right"/>
      </w:pPr>
      <w:r>
        <w:rPr>
          <w:rFonts w:hint="eastAsia"/>
          <w:b/>
          <w:bCs/>
          <w:rtl/>
        </w:rPr>
        <w:t>וכל</w:t>
      </w:r>
      <w:r>
        <w:rPr>
          <w:b/>
          <w:bCs/>
          <w:rtl/>
        </w:rPr>
        <w:t xml:space="preserve"> הבאים אחריו, ומאשאאלה עמהם, מלגיעים עליו, והדין עמהם. הזכרתי לך זה בעבור שלא תסמך על כל דברי הספר, כי אין בו ממש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4EA3C0" w15:done="0"/>
  <w15:commentEx w15:paraId="167C5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9A02D" w16cex:dateUtc="2024-05-09T06:47:00Z"/>
  <w16cex:commentExtensible w16cex:durableId="320BA6C5" w16cex:dateUtc="2024-01-13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4EA3C0" w16cid:durableId="52C9A02D"/>
  <w16cid:commentId w16cid:paraId="167C5A1F" w16cid:durableId="320BA6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F3A"/>
    <w:multiLevelType w:val="hybridMultilevel"/>
    <w:tmpl w:val="401A7C68"/>
    <w:lvl w:ilvl="0" w:tplc="92961C5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5D4278A4"/>
    <w:multiLevelType w:val="hybridMultilevel"/>
    <w:tmpl w:val="7A9C44C0"/>
    <w:lvl w:ilvl="0" w:tplc="E788D218">
      <w:start w:val="3"/>
      <w:numFmt w:val="bullet"/>
      <w:lvlText w:val=""/>
      <w:lvlJc w:val="left"/>
      <w:pPr>
        <w:ind w:left="720" w:hanging="360"/>
      </w:pPr>
      <w:rPr>
        <w:rFonts w:ascii="Symbol" w:eastAsiaTheme="minorHAnsi" w:hAnsi="Symbol" w:cs="FrankRueh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35882">
    <w:abstractNumId w:val="0"/>
  </w:num>
  <w:num w:numId="2" w16cid:durableId="4551765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ran Garshtein">
    <w15:presenceInfo w15:providerId="AD" w15:userId="S::niran.ga@ono.ac.il::cd6c9969-98a5-4473-9e62-ed0ce5856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67"/>
    <w:rsid w:val="00002173"/>
    <w:rsid w:val="0004524A"/>
    <w:rsid w:val="0006410E"/>
    <w:rsid w:val="000658D4"/>
    <w:rsid w:val="00066B38"/>
    <w:rsid w:val="00067D86"/>
    <w:rsid w:val="0007646F"/>
    <w:rsid w:val="00076948"/>
    <w:rsid w:val="0008057E"/>
    <w:rsid w:val="000A32FB"/>
    <w:rsid w:val="000A3387"/>
    <w:rsid w:val="000A5134"/>
    <w:rsid w:val="000E265A"/>
    <w:rsid w:val="000E6594"/>
    <w:rsid w:val="000F28E2"/>
    <w:rsid w:val="00100674"/>
    <w:rsid w:val="00105736"/>
    <w:rsid w:val="00111D60"/>
    <w:rsid w:val="0011724D"/>
    <w:rsid w:val="00121F2A"/>
    <w:rsid w:val="0014735D"/>
    <w:rsid w:val="00147488"/>
    <w:rsid w:val="00161358"/>
    <w:rsid w:val="00164AC4"/>
    <w:rsid w:val="00173139"/>
    <w:rsid w:val="00192C6A"/>
    <w:rsid w:val="001A222F"/>
    <w:rsid w:val="001A5D7B"/>
    <w:rsid w:val="001B6AF3"/>
    <w:rsid w:val="001C2C8C"/>
    <w:rsid w:val="001D056C"/>
    <w:rsid w:val="001D4313"/>
    <w:rsid w:val="001E396D"/>
    <w:rsid w:val="001F1070"/>
    <w:rsid w:val="00206819"/>
    <w:rsid w:val="002125B5"/>
    <w:rsid w:val="002143FA"/>
    <w:rsid w:val="00223EC6"/>
    <w:rsid w:val="00226FA3"/>
    <w:rsid w:val="00236570"/>
    <w:rsid w:val="00236FAF"/>
    <w:rsid w:val="00240AA0"/>
    <w:rsid w:val="00245967"/>
    <w:rsid w:val="00245D14"/>
    <w:rsid w:val="002474FC"/>
    <w:rsid w:val="00265974"/>
    <w:rsid w:val="0027064C"/>
    <w:rsid w:val="002734FD"/>
    <w:rsid w:val="0028216E"/>
    <w:rsid w:val="002850AA"/>
    <w:rsid w:val="002A71BD"/>
    <w:rsid w:val="002C3759"/>
    <w:rsid w:val="002E5A85"/>
    <w:rsid w:val="0030170D"/>
    <w:rsid w:val="0032144F"/>
    <w:rsid w:val="00322758"/>
    <w:rsid w:val="003325AF"/>
    <w:rsid w:val="00390725"/>
    <w:rsid w:val="003A3ADB"/>
    <w:rsid w:val="003B42CF"/>
    <w:rsid w:val="003B567F"/>
    <w:rsid w:val="003C6747"/>
    <w:rsid w:val="003E3CE7"/>
    <w:rsid w:val="004054BF"/>
    <w:rsid w:val="004072A9"/>
    <w:rsid w:val="00414444"/>
    <w:rsid w:val="00423523"/>
    <w:rsid w:val="00423A29"/>
    <w:rsid w:val="00445C13"/>
    <w:rsid w:val="0046199A"/>
    <w:rsid w:val="00465E28"/>
    <w:rsid w:val="00471339"/>
    <w:rsid w:val="00476C88"/>
    <w:rsid w:val="00483088"/>
    <w:rsid w:val="0048343A"/>
    <w:rsid w:val="00483D08"/>
    <w:rsid w:val="004D16B9"/>
    <w:rsid w:val="004E16DE"/>
    <w:rsid w:val="004F79BF"/>
    <w:rsid w:val="005007E7"/>
    <w:rsid w:val="00524801"/>
    <w:rsid w:val="00555778"/>
    <w:rsid w:val="00565E8E"/>
    <w:rsid w:val="00581AE7"/>
    <w:rsid w:val="005A25B3"/>
    <w:rsid w:val="005D00D2"/>
    <w:rsid w:val="005D47ED"/>
    <w:rsid w:val="005D52F8"/>
    <w:rsid w:val="005E0D22"/>
    <w:rsid w:val="005F3152"/>
    <w:rsid w:val="006001BC"/>
    <w:rsid w:val="00615EA7"/>
    <w:rsid w:val="006164F1"/>
    <w:rsid w:val="006204C5"/>
    <w:rsid w:val="00632E83"/>
    <w:rsid w:val="006359DF"/>
    <w:rsid w:val="00637926"/>
    <w:rsid w:val="00637A41"/>
    <w:rsid w:val="00655227"/>
    <w:rsid w:val="00664B3A"/>
    <w:rsid w:val="006815ED"/>
    <w:rsid w:val="00692208"/>
    <w:rsid w:val="00696141"/>
    <w:rsid w:val="006B226D"/>
    <w:rsid w:val="006C3523"/>
    <w:rsid w:val="006C3C24"/>
    <w:rsid w:val="006E013D"/>
    <w:rsid w:val="006F3A4D"/>
    <w:rsid w:val="006F411B"/>
    <w:rsid w:val="00705BE4"/>
    <w:rsid w:val="00710538"/>
    <w:rsid w:val="00721F32"/>
    <w:rsid w:val="00735916"/>
    <w:rsid w:val="00740115"/>
    <w:rsid w:val="00744107"/>
    <w:rsid w:val="00744A89"/>
    <w:rsid w:val="00750B97"/>
    <w:rsid w:val="00757C95"/>
    <w:rsid w:val="007869AF"/>
    <w:rsid w:val="00796669"/>
    <w:rsid w:val="007B35DB"/>
    <w:rsid w:val="007B4832"/>
    <w:rsid w:val="007D03D4"/>
    <w:rsid w:val="007E2A5B"/>
    <w:rsid w:val="007E33B3"/>
    <w:rsid w:val="008012D5"/>
    <w:rsid w:val="00801C60"/>
    <w:rsid w:val="00802805"/>
    <w:rsid w:val="008122F0"/>
    <w:rsid w:val="00815D36"/>
    <w:rsid w:val="008171AB"/>
    <w:rsid w:val="008274FC"/>
    <w:rsid w:val="00827DB6"/>
    <w:rsid w:val="00833F43"/>
    <w:rsid w:val="0083418B"/>
    <w:rsid w:val="0085625A"/>
    <w:rsid w:val="008769A9"/>
    <w:rsid w:val="008811C5"/>
    <w:rsid w:val="00883A74"/>
    <w:rsid w:val="00892142"/>
    <w:rsid w:val="008A0362"/>
    <w:rsid w:val="008A55CE"/>
    <w:rsid w:val="008D1A11"/>
    <w:rsid w:val="008D666C"/>
    <w:rsid w:val="008E1B63"/>
    <w:rsid w:val="008E50E8"/>
    <w:rsid w:val="00901FE0"/>
    <w:rsid w:val="00916BEE"/>
    <w:rsid w:val="00930EB3"/>
    <w:rsid w:val="00942BB8"/>
    <w:rsid w:val="00946BFF"/>
    <w:rsid w:val="0095194A"/>
    <w:rsid w:val="00952E03"/>
    <w:rsid w:val="009649A2"/>
    <w:rsid w:val="009707B2"/>
    <w:rsid w:val="0098656B"/>
    <w:rsid w:val="00992B76"/>
    <w:rsid w:val="00992FE3"/>
    <w:rsid w:val="00996FF6"/>
    <w:rsid w:val="009A7B13"/>
    <w:rsid w:val="009B1846"/>
    <w:rsid w:val="009C732E"/>
    <w:rsid w:val="009D2FFE"/>
    <w:rsid w:val="009D4BDA"/>
    <w:rsid w:val="00A113C0"/>
    <w:rsid w:val="00A201D4"/>
    <w:rsid w:val="00A215B5"/>
    <w:rsid w:val="00A21FA0"/>
    <w:rsid w:val="00A42664"/>
    <w:rsid w:val="00A47D71"/>
    <w:rsid w:val="00A62EA7"/>
    <w:rsid w:val="00A70034"/>
    <w:rsid w:val="00A74DE8"/>
    <w:rsid w:val="00A75BB9"/>
    <w:rsid w:val="00A845D1"/>
    <w:rsid w:val="00A9159C"/>
    <w:rsid w:val="00A932A6"/>
    <w:rsid w:val="00AD09AA"/>
    <w:rsid w:val="00AD4CA6"/>
    <w:rsid w:val="00AD5958"/>
    <w:rsid w:val="00AE47D8"/>
    <w:rsid w:val="00AE5EF0"/>
    <w:rsid w:val="00AE6F01"/>
    <w:rsid w:val="00AF3981"/>
    <w:rsid w:val="00B001DF"/>
    <w:rsid w:val="00B173F0"/>
    <w:rsid w:val="00B45F18"/>
    <w:rsid w:val="00B7140F"/>
    <w:rsid w:val="00B911A4"/>
    <w:rsid w:val="00B97C3F"/>
    <w:rsid w:val="00BB5FF8"/>
    <w:rsid w:val="00BD1CE9"/>
    <w:rsid w:val="00BD3DF1"/>
    <w:rsid w:val="00BE29B6"/>
    <w:rsid w:val="00BF31DF"/>
    <w:rsid w:val="00C038ED"/>
    <w:rsid w:val="00C15EA1"/>
    <w:rsid w:val="00C17059"/>
    <w:rsid w:val="00C52EBA"/>
    <w:rsid w:val="00C56887"/>
    <w:rsid w:val="00C82A1C"/>
    <w:rsid w:val="00C82E7C"/>
    <w:rsid w:val="00C86C31"/>
    <w:rsid w:val="00C86E60"/>
    <w:rsid w:val="00CA3221"/>
    <w:rsid w:val="00CC03D3"/>
    <w:rsid w:val="00CC5EAD"/>
    <w:rsid w:val="00CC66DC"/>
    <w:rsid w:val="00CC710D"/>
    <w:rsid w:val="00CD07AF"/>
    <w:rsid w:val="00D20723"/>
    <w:rsid w:val="00D21E67"/>
    <w:rsid w:val="00D33ED7"/>
    <w:rsid w:val="00D35469"/>
    <w:rsid w:val="00D5064E"/>
    <w:rsid w:val="00D94330"/>
    <w:rsid w:val="00D97DF9"/>
    <w:rsid w:val="00DA5B69"/>
    <w:rsid w:val="00DB48A9"/>
    <w:rsid w:val="00DD1A69"/>
    <w:rsid w:val="00DD490E"/>
    <w:rsid w:val="00DE1BDE"/>
    <w:rsid w:val="00DF4B2B"/>
    <w:rsid w:val="00DF7FC8"/>
    <w:rsid w:val="00E22AFA"/>
    <w:rsid w:val="00E30388"/>
    <w:rsid w:val="00E456BB"/>
    <w:rsid w:val="00E469A1"/>
    <w:rsid w:val="00E64D8F"/>
    <w:rsid w:val="00E6664B"/>
    <w:rsid w:val="00E749EC"/>
    <w:rsid w:val="00E93E46"/>
    <w:rsid w:val="00EB1F56"/>
    <w:rsid w:val="00EB6E9A"/>
    <w:rsid w:val="00ED6481"/>
    <w:rsid w:val="00F125E4"/>
    <w:rsid w:val="00F14AFC"/>
    <w:rsid w:val="00F56C93"/>
    <w:rsid w:val="00F60047"/>
    <w:rsid w:val="00FB3C4D"/>
    <w:rsid w:val="00FD2CBC"/>
    <w:rsid w:val="00FE5AC9"/>
    <w:rsid w:val="00FF3276"/>
    <w:rsid w:val="00FF6E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B6A3"/>
  <w15:chartTrackingRefBased/>
  <w15:docId w15:val="{3BDF1A0F-8C32-45A9-8308-40DCBE91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גוף הטקסט"/>
    <w:qFormat/>
    <w:rsid w:val="00883A74"/>
    <w:pPr>
      <w:widowControl w:val="0"/>
      <w:bidi/>
      <w:spacing w:after="60" w:line="360" w:lineRule="auto"/>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883A74"/>
    <w:pPr>
      <w:spacing w:before="120" w:after="480" w:line="240" w:lineRule="auto"/>
      <w:ind w:firstLine="0"/>
      <w:jc w:val="left"/>
      <w:outlineLvl w:val="0"/>
    </w:pPr>
    <w:rPr>
      <w:rFonts w:eastAsiaTheme="majorEastAsia"/>
      <w:spacing w:val="14"/>
      <w:sz w:val="42"/>
      <w:szCs w:val="44"/>
    </w:rPr>
  </w:style>
  <w:style w:type="paragraph" w:styleId="2">
    <w:name w:val="heading 2"/>
    <w:basedOn w:val="a"/>
    <w:next w:val="First"/>
    <w:link w:val="20"/>
    <w:uiPriority w:val="9"/>
    <w:unhideWhenUsed/>
    <w:qFormat/>
    <w:rsid w:val="00883A74"/>
    <w:pPr>
      <w:keepNext/>
      <w:spacing w:before="480" w:after="240" w:line="240" w:lineRule="auto"/>
      <w:ind w:firstLine="0"/>
      <w:jc w:val="left"/>
      <w:outlineLvl w:val="1"/>
    </w:pPr>
    <w:rPr>
      <w:rFonts w:eastAsiaTheme="majorEastAsia"/>
      <w:b/>
      <w:bCs/>
      <w:sz w:val="26"/>
      <w:szCs w:val="28"/>
    </w:rPr>
  </w:style>
  <w:style w:type="paragraph" w:styleId="3">
    <w:name w:val="heading 3"/>
    <w:basedOn w:val="a"/>
    <w:next w:val="First"/>
    <w:link w:val="30"/>
    <w:uiPriority w:val="9"/>
    <w:unhideWhenUsed/>
    <w:qFormat/>
    <w:rsid w:val="00883A74"/>
    <w:pPr>
      <w:keepNext/>
      <w:spacing w:before="240" w:after="240" w:line="240" w:lineRule="auto"/>
      <w:ind w:firstLine="0"/>
      <w:jc w:val="left"/>
      <w:outlineLvl w:val="2"/>
    </w:pPr>
    <w:rPr>
      <w:rFonts w:eastAsiaTheme="majorEastAsia"/>
      <w:b/>
      <w:bCs/>
      <w:sz w:val="26"/>
      <w:szCs w:val="28"/>
    </w:rPr>
  </w:style>
  <w:style w:type="paragraph" w:styleId="4">
    <w:name w:val="heading 4"/>
    <w:basedOn w:val="a"/>
    <w:next w:val="First"/>
    <w:link w:val="40"/>
    <w:uiPriority w:val="9"/>
    <w:unhideWhenUsed/>
    <w:qFormat/>
    <w:rsid w:val="00883A74"/>
    <w:pPr>
      <w:keepNext/>
      <w:spacing w:before="160" w:after="160" w:line="240" w:lineRule="auto"/>
      <w:ind w:firstLine="0"/>
      <w:jc w:val="left"/>
      <w:outlineLvl w:val="3"/>
    </w:pPr>
    <w:rPr>
      <w:rFonts w:eastAsiaTheme="majorEastAsia"/>
      <w:bCs/>
      <w:sz w:val="30"/>
      <w:szCs w:val="28"/>
    </w:rPr>
  </w:style>
  <w:style w:type="paragraph" w:styleId="5">
    <w:name w:val="heading 5"/>
    <w:basedOn w:val="a"/>
    <w:next w:val="First"/>
    <w:link w:val="50"/>
    <w:uiPriority w:val="9"/>
    <w:unhideWhenUsed/>
    <w:qFormat/>
    <w:rsid w:val="00883A74"/>
    <w:pPr>
      <w:keepNext/>
      <w:spacing w:before="160" w:after="160" w:line="240" w:lineRule="auto"/>
      <w:ind w:firstLine="0"/>
      <w:jc w:val="left"/>
      <w:outlineLvl w:val="4"/>
    </w:pPr>
    <w:rPr>
      <w:rFonts w:eastAsiaTheme="majorEastAsia"/>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3A74"/>
  </w:style>
  <w:style w:type="paragraph" w:styleId="a3">
    <w:name w:val="Balloon Text"/>
    <w:basedOn w:val="a"/>
    <w:link w:val="a4"/>
    <w:uiPriority w:val="99"/>
    <w:semiHidden/>
    <w:unhideWhenUsed/>
    <w:rsid w:val="00883A7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83A74"/>
    <w:rPr>
      <w:rFonts w:ascii="Tahoma" w:hAnsi="Tahoma" w:cs="Tahoma"/>
      <w:sz w:val="16"/>
      <w:szCs w:val="16"/>
    </w:rPr>
  </w:style>
  <w:style w:type="character" w:styleId="a5">
    <w:name w:val="annotation reference"/>
    <w:basedOn w:val="a0"/>
    <w:uiPriority w:val="99"/>
    <w:semiHidden/>
    <w:unhideWhenUsed/>
    <w:rsid w:val="00883A74"/>
    <w:rPr>
      <w:sz w:val="16"/>
      <w:szCs w:val="16"/>
    </w:rPr>
  </w:style>
  <w:style w:type="paragraph" w:styleId="a6">
    <w:name w:val="annotation text"/>
    <w:basedOn w:val="a"/>
    <w:link w:val="a7"/>
    <w:uiPriority w:val="99"/>
    <w:unhideWhenUsed/>
    <w:rsid w:val="00883A74"/>
    <w:pPr>
      <w:spacing w:line="240" w:lineRule="auto"/>
    </w:pPr>
    <w:rPr>
      <w:sz w:val="20"/>
      <w:szCs w:val="20"/>
    </w:rPr>
  </w:style>
  <w:style w:type="character" w:customStyle="1" w:styleId="a7">
    <w:name w:val="טקסט הערה תו"/>
    <w:basedOn w:val="a0"/>
    <w:link w:val="a6"/>
    <w:uiPriority w:val="99"/>
    <w:rsid w:val="00883A74"/>
    <w:rPr>
      <w:rFonts w:ascii="Times New Roman" w:hAnsi="Times New Roman" w:cs="FrankRuehl"/>
      <w:sz w:val="20"/>
      <w:szCs w:val="20"/>
    </w:rPr>
  </w:style>
  <w:style w:type="paragraph" w:styleId="a8">
    <w:name w:val="annotation subject"/>
    <w:basedOn w:val="a6"/>
    <w:next w:val="a6"/>
    <w:link w:val="a9"/>
    <w:uiPriority w:val="99"/>
    <w:semiHidden/>
    <w:unhideWhenUsed/>
    <w:rsid w:val="00883A74"/>
    <w:rPr>
      <w:b/>
      <w:bCs/>
    </w:rPr>
  </w:style>
  <w:style w:type="character" w:customStyle="1" w:styleId="a9">
    <w:name w:val="נושא הערה תו"/>
    <w:basedOn w:val="a7"/>
    <w:link w:val="a8"/>
    <w:uiPriority w:val="99"/>
    <w:semiHidden/>
    <w:rsid w:val="00883A74"/>
    <w:rPr>
      <w:rFonts w:ascii="Times New Roman" w:hAnsi="Times New Roman" w:cs="FrankRuehl"/>
      <w:b/>
      <w:bCs/>
      <w:sz w:val="20"/>
      <w:szCs w:val="20"/>
    </w:rPr>
  </w:style>
  <w:style w:type="character" w:styleId="aa">
    <w:name w:val="Emphasis"/>
    <w:basedOn w:val="a0"/>
    <w:uiPriority w:val="20"/>
    <w:qFormat/>
    <w:rsid w:val="00883A74"/>
    <w:rPr>
      <w:i/>
      <w:iCs/>
    </w:rPr>
  </w:style>
  <w:style w:type="character" w:styleId="ab">
    <w:name w:val="endnote reference"/>
    <w:basedOn w:val="a0"/>
    <w:uiPriority w:val="99"/>
    <w:semiHidden/>
    <w:unhideWhenUsed/>
    <w:rsid w:val="00883A74"/>
    <w:rPr>
      <w:vertAlign w:val="superscript"/>
    </w:rPr>
  </w:style>
  <w:style w:type="paragraph" w:styleId="ac">
    <w:name w:val="endnote text"/>
    <w:basedOn w:val="a"/>
    <w:link w:val="ad"/>
    <w:uiPriority w:val="99"/>
    <w:semiHidden/>
    <w:unhideWhenUsed/>
    <w:rsid w:val="00883A74"/>
    <w:pPr>
      <w:spacing w:after="0" w:line="240" w:lineRule="auto"/>
    </w:pPr>
    <w:rPr>
      <w:sz w:val="20"/>
      <w:szCs w:val="20"/>
    </w:rPr>
  </w:style>
  <w:style w:type="character" w:customStyle="1" w:styleId="ad">
    <w:name w:val="טקסט הערת סיום תו"/>
    <w:basedOn w:val="a0"/>
    <w:link w:val="ac"/>
    <w:uiPriority w:val="99"/>
    <w:semiHidden/>
    <w:rsid w:val="00883A74"/>
    <w:rPr>
      <w:rFonts w:ascii="Times New Roman" w:hAnsi="Times New Roman" w:cs="FrankRuehl"/>
      <w:sz w:val="20"/>
      <w:szCs w:val="20"/>
    </w:rPr>
  </w:style>
  <w:style w:type="paragraph" w:customStyle="1" w:styleId="First">
    <w:name w:val="First"/>
    <w:basedOn w:val="a"/>
    <w:next w:val="a"/>
    <w:qFormat/>
    <w:rsid w:val="004072A9"/>
    <w:pPr>
      <w:ind w:firstLine="0"/>
    </w:pPr>
  </w:style>
  <w:style w:type="paragraph" w:styleId="ae">
    <w:name w:val="footer"/>
    <w:basedOn w:val="a"/>
    <w:link w:val="af"/>
    <w:uiPriority w:val="99"/>
    <w:unhideWhenUsed/>
    <w:rsid w:val="00883A74"/>
    <w:pPr>
      <w:tabs>
        <w:tab w:val="center" w:pos="4153"/>
        <w:tab w:val="right" w:pos="8306"/>
      </w:tabs>
      <w:spacing w:after="0" w:line="240" w:lineRule="auto"/>
    </w:pPr>
  </w:style>
  <w:style w:type="character" w:customStyle="1" w:styleId="af">
    <w:name w:val="כותרת תחתונה תו"/>
    <w:basedOn w:val="a0"/>
    <w:link w:val="ae"/>
    <w:uiPriority w:val="99"/>
    <w:rsid w:val="00883A74"/>
    <w:rPr>
      <w:rFonts w:ascii="Times New Roman" w:hAnsi="Times New Roman" w:cs="FrankRuehl"/>
      <w:sz w:val="24"/>
      <w:szCs w:val="26"/>
    </w:rPr>
  </w:style>
  <w:style w:type="character" w:styleId="af0">
    <w:name w:val="footnote reference"/>
    <w:basedOn w:val="a0"/>
    <w:uiPriority w:val="99"/>
    <w:semiHidden/>
    <w:unhideWhenUsed/>
    <w:rsid w:val="00883A74"/>
    <w:rPr>
      <w:vertAlign w:val="superscript"/>
    </w:rPr>
  </w:style>
  <w:style w:type="paragraph" w:styleId="af1">
    <w:name w:val="footnote text"/>
    <w:basedOn w:val="a"/>
    <w:link w:val="af2"/>
    <w:uiPriority w:val="99"/>
    <w:rsid w:val="00883A74"/>
    <w:pPr>
      <w:tabs>
        <w:tab w:val="left" w:pos="284"/>
      </w:tabs>
      <w:spacing w:after="0" w:line="240" w:lineRule="exact"/>
      <w:ind w:left="284" w:hanging="284"/>
    </w:pPr>
    <w:rPr>
      <w:sz w:val="20"/>
      <w:szCs w:val="22"/>
    </w:rPr>
  </w:style>
  <w:style w:type="character" w:customStyle="1" w:styleId="af2">
    <w:name w:val="טקסט הערת שוליים תו"/>
    <w:basedOn w:val="a0"/>
    <w:link w:val="af1"/>
    <w:uiPriority w:val="99"/>
    <w:rsid w:val="00883A74"/>
    <w:rPr>
      <w:rFonts w:ascii="Times New Roman" w:hAnsi="Times New Roman" w:cs="FrankRuehl"/>
      <w:sz w:val="20"/>
    </w:rPr>
  </w:style>
  <w:style w:type="paragraph" w:styleId="af3">
    <w:name w:val="header"/>
    <w:basedOn w:val="a"/>
    <w:link w:val="af4"/>
    <w:uiPriority w:val="99"/>
    <w:unhideWhenUsed/>
    <w:rsid w:val="00883A74"/>
    <w:pPr>
      <w:tabs>
        <w:tab w:val="center" w:pos="4153"/>
        <w:tab w:val="right" w:pos="8306"/>
      </w:tabs>
      <w:spacing w:after="0" w:line="240" w:lineRule="auto"/>
    </w:pPr>
  </w:style>
  <w:style w:type="character" w:customStyle="1" w:styleId="af4">
    <w:name w:val="כותרת עליונה תו"/>
    <w:basedOn w:val="a0"/>
    <w:link w:val="af3"/>
    <w:uiPriority w:val="99"/>
    <w:rsid w:val="00883A74"/>
    <w:rPr>
      <w:rFonts w:ascii="Times New Roman" w:hAnsi="Times New Roman" w:cs="FrankRuehl"/>
      <w:sz w:val="24"/>
      <w:szCs w:val="26"/>
    </w:rPr>
  </w:style>
  <w:style w:type="character" w:customStyle="1" w:styleId="10">
    <w:name w:val="כותרת 1 תו"/>
    <w:basedOn w:val="a0"/>
    <w:link w:val="1"/>
    <w:uiPriority w:val="9"/>
    <w:rsid w:val="00883A74"/>
    <w:rPr>
      <w:rFonts w:ascii="Times New Roman" w:eastAsiaTheme="majorEastAsia" w:hAnsi="Times New Roman" w:cs="FrankRuehl"/>
      <w:spacing w:val="14"/>
      <w:sz w:val="42"/>
      <w:szCs w:val="44"/>
    </w:rPr>
  </w:style>
  <w:style w:type="character" w:customStyle="1" w:styleId="20">
    <w:name w:val="כותרת 2 תו"/>
    <w:basedOn w:val="a0"/>
    <w:link w:val="2"/>
    <w:uiPriority w:val="9"/>
    <w:rsid w:val="00883A74"/>
    <w:rPr>
      <w:rFonts w:ascii="Times New Roman" w:eastAsiaTheme="majorEastAsia" w:hAnsi="Times New Roman" w:cs="FrankRuehl"/>
      <w:b/>
      <w:bCs/>
      <w:sz w:val="26"/>
      <w:szCs w:val="28"/>
    </w:rPr>
  </w:style>
  <w:style w:type="character" w:customStyle="1" w:styleId="30">
    <w:name w:val="כותרת 3 תו"/>
    <w:basedOn w:val="a0"/>
    <w:link w:val="3"/>
    <w:uiPriority w:val="9"/>
    <w:rsid w:val="00883A74"/>
    <w:rPr>
      <w:rFonts w:ascii="Times New Roman" w:eastAsiaTheme="majorEastAsia" w:hAnsi="Times New Roman" w:cs="FrankRuehl"/>
      <w:b/>
      <w:bCs/>
      <w:sz w:val="26"/>
      <w:szCs w:val="28"/>
    </w:rPr>
  </w:style>
  <w:style w:type="character" w:customStyle="1" w:styleId="40">
    <w:name w:val="כותרת 4 תו"/>
    <w:basedOn w:val="a0"/>
    <w:link w:val="4"/>
    <w:uiPriority w:val="9"/>
    <w:rsid w:val="00883A74"/>
    <w:rPr>
      <w:rFonts w:ascii="Times New Roman" w:eastAsiaTheme="majorEastAsia" w:hAnsi="Times New Roman" w:cs="FrankRuehl"/>
      <w:bCs/>
      <w:sz w:val="30"/>
      <w:szCs w:val="28"/>
    </w:rPr>
  </w:style>
  <w:style w:type="character" w:customStyle="1" w:styleId="50">
    <w:name w:val="כותרת 5 תו"/>
    <w:basedOn w:val="a0"/>
    <w:link w:val="5"/>
    <w:uiPriority w:val="9"/>
    <w:rsid w:val="00883A74"/>
    <w:rPr>
      <w:rFonts w:ascii="Times New Roman" w:eastAsiaTheme="majorEastAsia" w:hAnsi="Times New Roman" w:cs="FrankRuehl"/>
      <w:bCs/>
      <w:sz w:val="26"/>
      <w:szCs w:val="28"/>
    </w:rPr>
  </w:style>
  <w:style w:type="character" w:styleId="Hyperlink">
    <w:name w:val="Hyperlink"/>
    <w:basedOn w:val="a0"/>
    <w:uiPriority w:val="99"/>
    <w:unhideWhenUsed/>
    <w:rsid w:val="00883A74"/>
    <w:rPr>
      <w:color w:val="0563C1" w:themeColor="hyperlink"/>
      <w:u w:val="single"/>
    </w:rPr>
  </w:style>
  <w:style w:type="paragraph" w:styleId="af5">
    <w:name w:val="List Paragraph"/>
    <w:basedOn w:val="a"/>
    <w:uiPriority w:val="34"/>
    <w:qFormat/>
    <w:rsid w:val="00883A74"/>
    <w:pPr>
      <w:ind w:left="720"/>
      <w:contextualSpacing/>
    </w:pPr>
  </w:style>
  <w:style w:type="character" w:customStyle="1" w:styleId="m5765141421596300248gmail-txt">
    <w:name w:val="m_5765141421596300248gmail-txt"/>
    <w:basedOn w:val="a0"/>
    <w:rsid w:val="00883A74"/>
  </w:style>
  <w:style w:type="paragraph" w:styleId="af6">
    <w:name w:val="No Spacing"/>
    <w:uiPriority w:val="1"/>
    <w:qFormat/>
    <w:rsid w:val="00883A74"/>
    <w:pPr>
      <w:widowControl w:val="0"/>
      <w:bidi/>
      <w:spacing w:after="0" w:line="240" w:lineRule="auto"/>
      <w:ind w:firstLine="340"/>
      <w:jc w:val="both"/>
    </w:pPr>
    <w:rPr>
      <w:rFonts w:ascii="Times New Roman" w:hAnsi="Times New Roman" w:cs="FrankRuehl"/>
      <w:sz w:val="24"/>
      <w:szCs w:val="26"/>
    </w:rPr>
  </w:style>
  <w:style w:type="character" w:customStyle="1" w:styleId="note">
    <w:name w:val="note"/>
    <w:basedOn w:val="a0"/>
    <w:rsid w:val="00883A74"/>
  </w:style>
  <w:style w:type="paragraph" w:customStyle="1" w:styleId="phhead">
    <w:name w:val="ph_head"/>
    <w:basedOn w:val="a"/>
    <w:next w:val="First"/>
    <w:qFormat/>
    <w:rsid w:val="00883A74"/>
    <w:pPr>
      <w:widowControl/>
      <w:ind w:firstLine="0"/>
      <w:jc w:val="center"/>
      <w:outlineLvl w:val="5"/>
    </w:pPr>
  </w:style>
  <w:style w:type="paragraph" w:styleId="af7">
    <w:name w:val="Quote"/>
    <w:basedOn w:val="a"/>
    <w:next w:val="First"/>
    <w:link w:val="af8"/>
    <w:uiPriority w:val="29"/>
    <w:qFormat/>
    <w:rsid w:val="00883A74"/>
    <w:pPr>
      <w:ind w:left="567" w:right="567" w:firstLine="0"/>
    </w:pPr>
    <w:rPr>
      <w:color w:val="000000" w:themeColor="text1"/>
    </w:rPr>
  </w:style>
  <w:style w:type="character" w:customStyle="1" w:styleId="af8">
    <w:name w:val="ציטוט תו"/>
    <w:basedOn w:val="a0"/>
    <w:link w:val="af7"/>
    <w:uiPriority w:val="29"/>
    <w:rsid w:val="00883A74"/>
    <w:rPr>
      <w:rFonts w:ascii="Times New Roman" w:hAnsi="Times New Roman" w:cs="FrankRuehl"/>
      <w:color w:val="000000" w:themeColor="text1"/>
      <w:sz w:val="24"/>
      <w:szCs w:val="26"/>
    </w:rPr>
  </w:style>
  <w:style w:type="table" w:styleId="af9">
    <w:name w:val="Table Grid"/>
    <w:basedOn w:val="a1"/>
    <w:uiPriority w:val="59"/>
    <w:rsid w:val="0088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g-arabic">
    <w:name w:val="text-lg-arabic"/>
    <w:basedOn w:val="a0"/>
    <w:rsid w:val="00883A74"/>
  </w:style>
  <w:style w:type="character" w:customStyle="1" w:styleId="text-md-arabic">
    <w:name w:val="text-md-arabic"/>
    <w:basedOn w:val="a0"/>
    <w:rsid w:val="00883A74"/>
  </w:style>
  <w:style w:type="paragraph" w:styleId="TOC1">
    <w:name w:val="toc 1"/>
    <w:basedOn w:val="a"/>
    <w:next w:val="a"/>
    <w:autoRedefine/>
    <w:uiPriority w:val="39"/>
    <w:unhideWhenUsed/>
    <w:rsid w:val="00883A74"/>
    <w:pPr>
      <w:spacing w:after="100"/>
    </w:pPr>
  </w:style>
  <w:style w:type="paragraph" w:styleId="TOC2">
    <w:name w:val="toc 2"/>
    <w:basedOn w:val="a"/>
    <w:next w:val="a"/>
    <w:autoRedefine/>
    <w:uiPriority w:val="39"/>
    <w:unhideWhenUsed/>
    <w:rsid w:val="00883A74"/>
    <w:pPr>
      <w:spacing w:after="100"/>
      <w:ind w:left="240"/>
    </w:pPr>
  </w:style>
  <w:style w:type="paragraph" w:styleId="TOC3">
    <w:name w:val="toc 3"/>
    <w:basedOn w:val="a"/>
    <w:next w:val="a"/>
    <w:autoRedefine/>
    <w:uiPriority w:val="39"/>
    <w:unhideWhenUsed/>
    <w:rsid w:val="00883A74"/>
    <w:pPr>
      <w:spacing w:after="100"/>
      <w:ind w:left="480"/>
    </w:pPr>
  </w:style>
  <w:style w:type="paragraph" w:styleId="TOC4">
    <w:name w:val="toc 4"/>
    <w:basedOn w:val="a"/>
    <w:next w:val="a"/>
    <w:autoRedefine/>
    <w:uiPriority w:val="39"/>
    <w:unhideWhenUsed/>
    <w:rsid w:val="00883A74"/>
    <w:pPr>
      <w:spacing w:after="100"/>
      <w:ind w:left="720"/>
    </w:pPr>
  </w:style>
  <w:style w:type="paragraph" w:styleId="TOC5">
    <w:name w:val="toc 5"/>
    <w:basedOn w:val="a"/>
    <w:next w:val="a"/>
    <w:autoRedefine/>
    <w:uiPriority w:val="39"/>
    <w:unhideWhenUsed/>
    <w:rsid w:val="00883A74"/>
    <w:pPr>
      <w:widowControl/>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883A74"/>
    <w:pPr>
      <w:widowControl/>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883A74"/>
    <w:pPr>
      <w:widowControl/>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883A74"/>
    <w:pPr>
      <w:widowControl/>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883A74"/>
    <w:pPr>
      <w:widowControl/>
      <w:spacing w:after="100" w:line="276" w:lineRule="auto"/>
      <w:ind w:left="1760" w:firstLine="0"/>
      <w:jc w:val="left"/>
    </w:pPr>
    <w:rPr>
      <w:rFonts w:asciiTheme="minorHAnsi" w:eastAsiaTheme="minorEastAsia" w:hAnsiTheme="minorHAnsi" w:cstheme="minorBidi"/>
      <w:sz w:val="22"/>
      <w:szCs w:val="22"/>
    </w:rPr>
  </w:style>
  <w:style w:type="character" w:customStyle="1" w:styleId="txt">
    <w:name w:val="txt"/>
    <w:basedOn w:val="a0"/>
    <w:rsid w:val="00883A74"/>
  </w:style>
  <w:style w:type="character" w:styleId="afa">
    <w:name w:val="Strong"/>
    <w:basedOn w:val="a0"/>
    <w:uiPriority w:val="22"/>
    <w:qFormat/>
    <w:rsid w:val="006F3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4878">
      <w:bodyDiv w:val="1"/>
      <w:marLeft w:val="0"/>
      <w:marRight w:val="0"/>
      <w:marTop w:val="0"/>
      <w:marBottom w:val="0"/>
      <w:divBdr>
        <w:top w:val="none" w:sz="0" w:space="0" w:color="auto"/>
        <w:left w:val="none" w:sz="0" w:space="0" w:color="auto"/>
        <w:bottom w:val="none" w:sz="0" w:space="0" w:color="auto"/>
        <w:right w:val="none" w:sz="0" w:space="0" w:color="auto"/>
      </w:divBdr>
    </w:div>
    <w:div w:id="335038468">
      <w:bodyDiv w:val="1"/>
      <w:marLeft w:val="0"/>
      <w:marRight w:val="0"/>
      <w:marTop w:val="0"/>
      <w:marBottom w:val="0"/>
      <w:divBdr>
        <w:top w:val="none" w:sz="0" w:space="0" w:color="auto"/>
        <w:left w:val="none" w:sz="0" w:space="0" w:color="auto"/>
        <w:bottom w:val="none" w:sz="0" w:space="0" w:color="auto"/>
        <w:right w:val="none" w:sz="0" w:space="0" w:color="auto"/>
      </w:divBdr>
    </w:div>
    <w:div w:id="401412348">
      <w:bodyDiv w:val="1"/>
      <w:marLeft w:val="0"/>
      <w:marRight w:val="0"/>
      <w:marTop w:val="0"/>
      <w:marBottom w:val="0"/>
      <w:divBdr>
        <w:top w:val="none" w:sz="0" w:space="0" w:color="auto"/>
        <w:left w:val="none" w:sz="0" w:space="0" w:color="auto"/>
        <w:bottom w:val="none" w:sz="0" w:space="0" w:color="auto"/>
        <w:right w:val="none" w:sz="0" w:space="0" w:color="auto"/>
      </w:divBdr>
    </w:div>
    <w:div w:id="944116641">
      <w:bodyDiv w:val="1"/>
      <w:marLeft w:val="0"/>
      <w:marRight w:val="0"/>
      <w:marTop w:val="0"/>
      <w:marBottom w:val="0"/>
      <w:divBdr>
        <w:top w:val="none" w:sz="0" w:space="0" w:color="auto"/>
        <w:left w:val="none" w:sz="0" w:space="0" w:color="auto"/>
        <w:bottom w:val="none" w:sz="0" w:space="0" w:color="auto"/>
        <w:right w:val="none" w:sz="0" w:space="0" w:color="auto"/>
      </w:divBdr>
    </w:div>
    <w:div w:id="1724475245">
      <w:bodyDiv w:val="1"/>
      <w:marLeft w:val="0"/>
      <w:marRight w:val="0"/>
      <w:marTop w:val="0"/>
      <w:marBottom w:val="0"/>
      <w:divBdr>
        <w:top w:val="none" w:sz="0" w:space="0" w:color="auto"/>
        <w:left w:val="none" w:sz="0" w:space="0" w:color="auto"/>
        <w:bottom w:val="none" w:sz="0" w:space="0" w:color="auto"/>
        <w:right w:val="none" w:sz="0" w:space="0" w:color="auto"/>
      </w:divBdr>
    </w:div>
    <w:div w:id="1879315639">
      <w:bodyDiv w:val="1"/>
      <w:marLeft w:val="0"/>
      <w:marRight w:val="0"/>
      <w:marTop w:val="0"/>
      <w:marBottom w:val="0"/>
      <w:divBdr>
        <w:top w:val="none" w:sz="0" w:space="0" w:color="auto"/>
        <w:left w:val="none" w:sz="0" w:space="0" w:color="auto"/>
        <w:bottom w:val="none" w:sz="0" w:space="0" w:color="auto"/>
        <w:right w:val="none" w:sz="0" w:space="0" w:color="auto"/>
      </w:divBdr>
    </w:div>
    <w:div w:id="213243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2035-9D12-4FD2-9311-9282BF0A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7</Pages>
  <Words>2180</Words>
  <Characters>12428</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dc:description/>
  <cp:lastModifiedBy>Niran Garshtein</cp:lastModifiedBy>
  <cp:revision>167</cp:revision>
  <dcterms:created xsi:type="dcterms:W3CDTF">2022-08-18T06:24:00Z</dcterms:created>
  <dcterms:modified xsi:type="dcterms:W3CDTF">2024-05-16T06:42:00Z</dcterms:modified>
</cp:coreProperties>
</file>