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C54" w:rsidRDefault="00A31C54" w:rsidP="00A31C54">
      <w:pPr>
        <w:jc w:val="right"/>
        <w:rPr>
          <w:rFonts w:asciiTheme="minorBidi" w:hAnsiTheme="minorBidi"/>
          <w:b/>
          <w:bCs/>
          <w:shd w:val="clear" w:color="auto" w:fill="FFFFFF"/>
          <w:rtl/>
        </w:rPr>
      </w:pPr>
      <w:r>
        <w:rPr>
          <w:rFonts w:asciiTheme="minorBidi" w:hAnsiTheme="minorBidi" w:hint="cs"/>
          <w:b/>
          <w:bCs/>
          <w:shd w:val="clear" w:color="auto" w:fill="FFFFFF"/>
          <w:rtl/>
        </w:rPr>
        <w:t xml:space="preserve">ייעוד המענק: </w:t>
      </w:r>
      <w:r w:rsidRPr="00B15B24">
        <w:rPr>
          <w:rFonts w:asciiTheme="minorBidi" w:hAnsiTheme="minorBidi" w:hint="cs"/>
          <w:shd w:val="clear" w:color="auto" w:fill="FFFFFF"/>
          <w:rtl/>
        </w:rPr>
        <w:t xml:space="preserve">תמיכה בקמפיין הציבורי של 21 ארגוני זכויות אדם סביב </w:t>
      </w:r>
      <w:r w:rsidR="00B15B24" w:rsidRPr="00B15B24">
        <w:rPr>
          <w:rFonts w:asciiTheme="minorBidi" w:hAnsiTheme="minorBidi"/>
          <w:shd w:val="clear" w:color="auto" w:fill="FFFFFF"/>
          <w:rtl/>
        </w:rPr>
        <w:t>הדו״ח המשותף</w:t>
      </w:r>
      <w:r w:rsidR="00B15B24" w:rsidRPr="00B15B24">
        <w:rPr>
          <w:rFonts w:asciiTheme="minorBidi" w:hAnsiTheme="minorBidi" w:hint="cs"/>
          <w:shd w:val="clear" w:color="auto" w:fill="FFFFFF"/>
          <w:rtl/>
        </w:rPr>
        <w:t xml:space="preserve"> </w:t>
      </w:r>
      <w:r w:rsidR="00B15B24" w:rsidRPr="00B15B24">
        <w:rPr>
          <w:rFonts w:asciiTheme="minorBidi" w:hAnsiTheme="minorBidi"/>
          <w:shd w:val="clear" w:color="auto" w:fill="FFFFFF"/>
          <w:rtl/>
        </w:rPr>
        <w:t>שמטרתו להציג תמונה מקיפה של מצב הכיבוש</w:t>
      </w:r>
      <w:bookmarkStart w:id="0" w:name="_GoBack"/>
      <w:bookmarkEnd w:id="0"/>
    </w:p>
    <w:p w:rsidR="00CB7C99" w:rsidRPr="00A31C54" w:rsidRDefault="00CB7C99" w:rsidP="00A31C54">
      <w:pPr>
        <w:jc w:val="right"/>
        <w:rPr>
          <w:rFonts w:asciiTheme="minorBidi" w:hAnsiTheme="minorBidi"/>
          <w:shd w:val="clear" w:color="auto" w:fill="FFFFFF"/>
          <w:rtl/>
        </w:rPr>
      </w:pPr>
      <w:r w:rsidRPr="00A31C54">
        <w:rPr>
          <w:rFonts w:asciiTheme="minorBidi" w:hAnsiTheme="minorBidi"/>
          <w:b/>
          <w:bCs/>
          <w:shd w:val="clear" w:color="auto" w:fill="FFFFFF"/>
          <w:rtl/>
        </w:rPr>
        <w:t>רקע</w:t>
      </w:r>
      <w:r w:rsidR="00A31C54" w:rsidRPr="00A31C54">
        <w:rPr>
          <w:rFonts w:asciiTheme="minorBidi" w:hAnsiTheme="minorBidi"/>
          <w:b/>
          <w:bCs/>
          <w:shd w:val="clear" w:color="auto" w:fill="FFFFFF"/>
          <w:rtl/>
        </w:rPr>
        <w:br/>
      </w:r>
      <w:r w:rsidR="00194F2C" w:rsidRPr="00A31C54">
        <w:rPr>
          <w:rFonts w:asciiTheme="minorBidi" w:hAnsiTheme="minorBidi"/>
          <w:shd w:val="clear" w:color="auto" w:fill="FFFFFF"/>
          <w:rtl/>
        </w:rPr>
        <w:t xml:space="preserve">הדו״ח המשותף לארגוני זכויות האדם בישראל, שמטרתו להציג תמונה מקיפה של מצב הכיבוש, </w:t>
      </w:r>
      <w:r w:rsidR="00807BCB" w:rsidRPr="00A31C54">
        <w:rPr>
          <w:rFonts w:asciiTheme="minorBidi" w:hAnsiTheme="minorBidi"/>
          <w:shd w:val="clear" w:color="auto" w:fill="FFFFFF"/>
          <w:rtl/>
        </w:rPr>
        <w:t>התפרסם</w:t>
      </w:r>
      <w:r w:rsidR="00194F2C" w:rsidRPr="00A31C54">
        <w:rPr>
          <w:rFonts w:asciiTheme="minorBidi" w:hAnsiTheme="minorBidi"/>
          <w:shd w:val="clear" w:color="auto" w:fill="FFFFFF"/>
          <w:rtl/>
        </w:rPr>
        <w:t xml:space="preserve"> </w:t>
      </w:r>
      <w:r w:rsidR="00807BCB" w:rsidRPr="00A31C54">
        <w:rPr>
          <w:rFonts w:asciiTheme="minorBidi" w:hAnsiTheme="minorBidi"/>
          <w:shd w:val="clear" w:color="auto" w:fill="FFFFFF"/>
          <w:rtl/>
        </w:rPr>
        <w:t xml:space="preserve">ביום חמישי האחרון </w:t>
      </w:r>
      <w:r w:rsidR="00194F2C" w:rsidRPr="00A31C54">
        <w:rPr>
          <w:rFonts w:asciiTheme="minorBidi" w:hAnsiTheme="minorBidi"/>
          <w:shd w:val="clear" w:color="auto" w:fill="FFFFFF"/>
          <w:rtl/>
        </w:rPr>
        <w:t>בפעם השנייה</w:t>
      </w:r>
      <w:r w:rsidRPr="00A31C54">
        <w:rPr>
          <w:rFonts w:asciiTheme="minorBidi" w:hAnsiTheme="minorBidi"/>
          <w:shd w:val="clear" w:color="auto" w:fill="FFFFFF"/>
          <w:rtl/>
        </w:rPr>
        <w:t xml:space="preserve"> </w:t>
      </w:r>
      <w:r w:rsidR="00194F2C" w:rsidRPr="00A31C54">
        <w:rPr>
          <w:rFonts w:asciiTheme="minorBidi" w:hAnsiTheme="minorBidi"/>
          <w:shd w:val="clear" w:color="auto" w:fill="FFFFFF"/>
          <w:rtl/>
        </w:rPr>
        <w:t xml:space="preserve">לציון שנה נוספת של כיבוש. גרסתו הראשונה, שהייתה פיילוט ונועדה בעיקרה לקהל הדיפלומטי, נתפסה כהצלחה למול קהלי היעד והתגובות שהתקבלו מהקהילה הדיפלומטית בתדרוכי הארגונים לאורך השנה העלו כי מדובר בפעילות חשובה המאפשרת לדיפלומטים לקשור בין הנושאים השונים ומרכזת עבורם את הנושאים והפרסומים העיקריים במקום אחד. </w:t>
      </w:r>
    </w:p>
    <w:p w:rsidR="00CB7C99" w:rsidRPr="00A31C54" w:rsidRDefault="00194F2C" w:rsidP="00194F2C">
      <w:pPr>
        <w:jc w:val="right"/>
        <w:rPr>
          <w:rFonts w:asciiTheme="minorBidi" w:hAnsiTheme="minorBidi"/>
          <w:shd w:val="clear" w:color="auto" w:fill="FFFFFF"/>
          <w:rtl/>
        </w:rPr>
      </w:pPr>
      <w:r w:rsidRPr="00A31C54">
        <w:rPr>
          <w:rFonts w:asciiTheme="minorBidi" w:hAnsiTheme="minorBidi"/>
          <w:shd w:val="clear" w:color="auto" w:fill="FFFFFF"/>
          <w:rtl/>
        </w:rPr>
        <w:t xml:space="preserve">בפרסום הראשון הושם דגש מצומצם יותר על הקהל הישראלי והיח״צ בישראל היה מוגבל עד מאוד. את תהליך כתיבת והפצת הדו"ח, המשותף ל-21 ארגוני זכויות אדם ומאבק בכיבוש, מובילה ועדת היגוי המורכב ממנכ"לי שלושה מהארגונים השותפים: עמק שווה, יש דין, ורופאים לזכויות אדם. זאת, תוך עדכון ושיתוף של יתר הארגונים לאורך כל שלבי העבודה. </w:t>
      </w:r>
    </w:p>
    <w:p w:rsidR="00CB7C99" w:rsidRPr="00A31C54" w:rsidRDefault="00CB7C99" w:rsidP="00194F2C">
      <w:pPr>
        <w:jc w:val="right"/>
        <w:rPr>
          <w:rFonts w:asciiTheme="minorBidi" w:hAnsiTheme="minorBidi"/>
          <w:b/>
          <w:bCs/>
          <w:shd w:val="clear" w:color="auto" w:fill="FFFFFF"/>
        </w:rPr>
      </w:pPr>
      <w:r w:rsidRPr="00A31C54">
        <w:rPr>
          <w:rFonts w:asciiTheme="minorBidi" w:hAnsiTheme="minorBidi"/>
          <w:b/>
          <w:bCs/>
          <w:shd w:val="clear" w:color="auto" w:fill="FFFFFF"/>
          <w:rtl/>
        </w:rPr>
        <w:t>תכנית פעולה</w:t>
      </w:r>
    </w:p>
    <w:p w:rsidR="00CB7C99" w:rsidRPr="00A31C54" w:rsidRDefault="00194F2C" w:rsidP="00194F2C">
      <w:pPr>
        <w:jc w:val="right"/>
        <w:rPr>
          <w:rFonts w:asciiTheme="minorBidi" w:hAnsiTheme="minorBidi"/>
          <w:shd w:val="clear" w:color="auto" w:fill="FFFFFF"/>
          <w:rtl/>
        </w:rPr>
      </w:pPr>
      <w:r w:rsidRPr="00A31C54">
        <w:rPr>
          <w:rFonts w:asciiTheme="minorBidi" w:hAnsiTheme="minorBidi"/>
          <w:shd w:val="clear" w:color="auto" w:fill="FFFFFF"/>
          <w:rtl/>
        </w:rPr>
        <w:t xml:space="preserve">עם סיום הפרוייקט בשנה שעברה </w:t>
      </w:r>
      <w:r w:rsidR="00CB7C99" w:rsidRPr="00A31C54">
        <w:rPr>
          <w:rFonts w:asciiTheme="minorBidi" w:hAnsiTheme="minorBidi"/>
          <w:shd w:val="clear" w:color="auto" w:fill="FFFFFF"/>
          <w:rtl/>
        </w:rPr>
        <w:t>התקיים</w:t>
      </w:r>
      <w:r w:rsidRPr="00A31C54">
        <w:rPr>
          <w:rFonts w:asciiTheme="minorBidi" w:hAnsiTheme="minorBidi"/>
          <w:shd w:val="clear" w:color="auto" w:fill="FFFFFF"/>
          <w:rtl/>
        </w:rPr>
        <w:t xml:space="preserve"> תהליך הפקת לקחים הן בעניין הפקת הדו״ח עצמו (כתיבה, עריכה ועיצוב) והן בעניין הפצתו. לאור הלקחים, השנה </w:t>
      </w:r>
      <w:r w:rsidR="00CB7C99" w:rsidRPr="00A31C54">
        <w:rPr>
          <w:rFonts w:asciiTheme="minorBidi" w:hAnsiTheme="minorBidi"/>
          <w:shd w:val="clear" w:color="auto" w:fill="FFFFFF"/>
          <w:rtl/>
        </w:rPr>
        <w:t>הוצבו</w:t>
      </w:r>
      <w:r w:rsidRPr="00A31C54">
        <w:rPr>
          <w:rFonts w:asciiTheme="minorBidi" w:hAnsiTheme="minorBidi"/>
          <w:shd w:val="clear" w:color="auto" w:fill="FFFFFF"/>
          <w:rtl/>
        </w:rPr>
        <w:t xml:space="preserve"> כמה מטרות עבור הדו״ח: </w:t>
      </w:r>
    </w:p>
    <w:p w:rsidR="00CB7C99" w:rsidRPr="00A31C54" w:rsidRDefault="00194F2C" w:rsidP="00194F2C">
      <w:pPr>
        <w:jc w:val="right"/>
        <w:rPr>
          <w:rFonts w:asciiTheme="minorBidi" w:hAnsiTheme="minorBidi"/>
          <w:shd w:val="clear" w:color="auto" w:fill="FFFFFF"/>
          <w:rtl/>
        </w:rPr>
      </w:pPr>
      <w:r w:rsidRPr="00A31C54">
        <w:rPr>
          <w:rFonts w:asciiTheme="minorBidi" w:hAnsiTheme="minorBidi"/>
          <w:shd w:val="clear" w:color="auto" w:fill="FFFFFF"/>
          <w:rtl/>
        </w:rPr>
        <w:t xml:space="preserve">1. דגש על המתחולל בעזה - בדו״ח הראשון הושם עיקר הדגש על הקמת ממשלת הימין הקיצוני ועל מגמות הרוחב הנגזרות מכך, כאשר הייחוס הגיאוגרפי היה משני. השנה - מסיבות ברורות - החליטה ועדת ההיגוי של הדו״ח על מבנה המתמקד בכל אזור שליטה ישראלית בנפרד ומאפשר סקירה של מגוון רחב של היבטים הקשורים במלחמה המתנהלת בעזה ובהשפעות המלחמה ומדיניות הממשלה ה-37 על הגדה, ירושלים המזרחית וישראל. </w:t>
      </w:r>
    </w:p>
    <w:p w:rsidR="00CB7C99" w:rsidRPr="00A31C54" w:rsidRDefault="00194F2C" w:rsidP="00194F2C">
      <w:pPr>
        <w:jc w:val="right"/>
        <w:rPr>
          <w:rFonts w:asciiTheme="minorBidi" w:hAnsiTheme="minorBidi"/>
          <w:shd w:val="clear" w:color="auto" w:fill="FFFFFF"/>
          <w:rtl/>
        </w:rPr>
      </w:pPr>
      <w:r w:rsidRPr="00A31C54">
        <w:rPr>
          <w:rFonts w:asciiTheme="minorBidi" w:hAnsiTheme="minorBidi"/>
          <w:shd w:val="clear" w:color="auto" w:fill="FFFFFF"/>
          <w:rtl/>
        </w:rPr>
        <w:t xml:space="preserve">2. הרחבת מספר הארגונים המשתתפים - אכן הצטרפו 4 ארגונים נוספים ובסך הכל ישנם 21 ארגונים חתומים. דבר המהווה פעולה משותפת יוצאת דופן שכן אין מדובר בהצהרה אלא דיווח נרחב ומפורט שכלל הארגונים עומדים אחריו. </w:t>
      </w:r>
    </w:p>
    <w:p w:rsidR="00CB7C99" w:rsidRPr="00A31C54" w:rsidRDefault="00194F2C" w:rsidP="00194F2C">
      <w:pPr>
        <w:jc w:val="right"/>
        <w:rPr>
          <w:rFonts w:asciiTheme="minorBidi" w:hAnsiTheme="minorBidi"/>
          <w:shd w:val="clear" w:color="auto" w:fill="FFFFFF"/>
          <w:rtl/>
        </w:rPr>
      </w:pPr>
      <w:r w:rsidRPr="00A31C54">
        <w:rPr>
          <w:rFonts w:asciiTheme="minorBidi" w:hAnsiTheme="minorBidi"/>
          <w:shd w:val="clear" w:color="auto" w:fill="FFFFFF"/>
          <w:rtl/>
        </w:rPr>
        <w:t xml:space="preserve">3. שימור ההישג מול הקהילה הדיפלומטית - המשך ההרגלה של הקהילה הדיפלומטית לפרסום והמתנה לקראתו מדי שנה. </w:t>
      </w:r>
    </w:p>
    <w:p w:rsidR="00872DF0" w:rsidRPr="00A31C54" w:rsidRDefault="00CB7C99" w:rsidP="00194F2C">
      <w:pPr>
        <w:jc w:val="right"/>
        <w:rPr>
          <w:rFonts w:asciiTheme="minorBidi" w:hAnsiTheme="minorBidi"/>
          <w:shd w:val="clear" w:color="auto" w:fill="FFFFFF"/>
          <w:rtl/>
        </w:rPr>
      </w:pPr>
      <w:r w:rsidRPr="00A31C54">
        <w:rPr>
          <w:rFonts w:asciiTheme="minorBidi" w:hAnsiTheme="minorBidi"/>
          <w:shd w:val="clear" w:color="auto" w:fill="FFFFFF"/>
          <w:rtl/>
        </w:rPr>
        <w:t xml:space="preserve">4. </w:t>
      </w:r>
      <w:r w:rsidR="00194F2C" w:rsidRPr="00A31C54">
        <w:rPr>
          <w:rFonts w:asciiTheme="minorBidi" w:hAnsiTheme="minorBidi"/>
          <w:shd w:val="clear" w:color="auto" w:fill="FFFFFF"/>
          <w:rtl/>
        </w:rPr>
        <w:t>שיפור ההפצה בישראל - לנצל את האמ</w:t>
      </w:r>
      <w:r w:rsidRPr="00A31C54">
        <w:rPr>
          <w:rFonts w:asciiTheme="minorBidi" w:hAnsiTheme="minorBidi"/>
          <w:shd w:val="clear" w:color="auto" w:fill="FFFFFF"/>
          <w:rtl/>
        </w:rPr>
        <w:t>י</w:t>
      </w:r>
      <w:r w:rsidR="00194F2C" w:rsidRPr="00A31C54">
        <w:rPr>
          <w:rFonts w:asciiTheme="minorBidi" w:hAnsiTheme="minorBidi"/>
          <w:shd w:val="clear" w:color="auto" w:fill="FFFFFF"/>
          <w:rtl/>
        </w:rPr>
        <w:t>רה המשותפת של הארגונים על מנת להביא למודעות גדולה יותר בציבור הישראלי לגבי המתרחש בשטחים ובראשם בעזה</w:t>
      </w:r>
      <w:r w:rsidRPr="00A31C54">
        <w:rPr>
          <w:rFonts w:asciiTheme="minorBidi" w:hAnsiTheme="minorBidi"/>
          <w:shd w:val="clear" w:color="auto" w:fill="FFFFFF"/>
          <w:rtl/>
        </w:rPr>
        <w:t>, ולעורר שיח ציבורי</w:t>
      </w:r>
      <w:r w:rsidR="00194F2C" w:rsidRPr="00A31C54">
        <w:rPr>
          <w:rFonts w:asciiTheme="minorBidi" w:hAnsiTheme="minorBidi"/>
          <w:shd w:val="clear" w:color="auto" w:fill="FFFFFF"/>
          <w:rtl/>
        </w:rPr>
        <w:t>. קהלי יעד: קהל ישראלי - בדגש על קהל שמאל עד מרכז קהל בינלאומי - בדגש על מקבלי החלטות (דיפלומטים ופוליטיקאים)</w:t>
      </w:r>
    </w:p>
    <w:p w:rsidR="004D29FB" w:rsidRPr="00A31C54" w:rsidRDefault="004D29FB" w:rsidP="00A31C54">
      <w:pPr>
        <w:jc w:val="right"/>
        <w:rPr>
          <w:rFonts w:asciiTheme="minorBidi" w:hAnsiTheme="minorBidi"/>
          <w:rtl/>
        </w:rPr>
      </w:pPr>
      <w:r w:rsidRPr="00A31C54">
        <w:rPr>
          <w:rFonts w:asciiTheme="minorBidi" w:hAnsiTheme="minorBidi" w:hint="cs"/>
          <w:b/>
          <w:bCs/>
          <w:rtl/>
        </w:rPr>
        <w:t>תקציב</w:t>
      </w:r>
      <w:r w:rsidR="00A31C54">
        <w:rPr>
          <w:rFonts w:asciiTheme="minorBidi" w:hAnsiTheme="minorBidi"/>
          <w:b/>
          <w:bCs/>
          <w:rtl/>
        </w:rPr>
        <w:br/>
      </w:r>
      <w:r w:rsidRPr="00A31C54">
        <w:rPr>
          <w:rFonts w:asciiTheme="minorBidi" w:hAnsiTheme="minorBidi" w:hint="cs"/>
          <w:rtl/>
        </w:rPr>
        <w:t xml:space="preserve">סך כל העלויות עבור הפקת </w:t>
      </w:r>
      <w:r w:rsidR="00A31C54" w:rsidRPr="00A31C54">
        <w:rPr>
          <w:rFonts w:asciiTheme="minorBidi" w:hAnsiTheme="minorBidi" w:hint="cs"/>
          <w:rtl/>
        </w:rPr>
        <w:t>(כתיבה, עריכה</w:t>
      </w:r>
      <w:r w:rsidR="00B15B24">
        <w:rPr>
          <w:rFonts w:asciiTheme="minorBidi" w:hAnsiTheme="minorBidi" w:hint="cs"/>
          <w:rtl/>
        </w:rPr>
        <w:t xml:space="preserve">, עיצוב </w:t>
      </w:r>
      <w:r w:rsidR="00A31C54" w:rsidRPr="00A31C54">
        <w:rPr>
          <w:rFonts w:asciiTheme="minorBidi" w:hAnsiTheme="minorBidi" w:hint="cs"/>
          <w:rtl/>
        </w:rPr>
        <w:t xml:space="preserve">וכו') </w:t>
      </w:r>
      <w:r w:rsidRPr="00A31C54">
        <w:rPr>
          <w:rFonts w:asciiTheme="minorBidi" w:hAnsiTheme="minorBidi" w:hint="cs"/>
          <w:rtl/>
        </w:rPr>
        <w:t>והפצת הדו"ח המשותף עומדות על כ-$34,000, כאשר הארגונים שחתומים עליו השקיעו מתקציבם כמחצית מסך העלויות</w:t>
      </w:r>
      <w:r w:rsidR="00A31C54">
        <w:rPr>
          <w:rFonts w:asciiTheme="minorBidi" w:hAnsiTheme="minorBidi" w:hint="cs"/>
          <w:rtl/>
        </w:rPr>
        <w:t xml:space="preserve"> </w:t>
      </w:r>
      <w:r w:rsidRPr="00A31C54">
        <w:rPr>
          <w:rFonts w:asciiTheme="minorBidi" w:hAnsiTheme="minorBidi" w:hint="cs"/>
          <w:rtl/>
        </w:rPr>
        <w:t xml:space="preserve">ומבקשים מהקרן מענק עבור המחצית הנוספת, </w:t>
      </w:r>
      <w:r w:rsidR="00A31C54" w:rsidRPr="00A31C54">
        <w:rPr>
          <w:rFonts w:asciiTheme="minorBidi" w:hAnsiTheme="minorBidi" w:hint="cs"/>
          <w:rtl/>
        </w:rPr>
        <w:t xml:space="preserve">שמתמקדת בעלויות ההפצה (הקמפיין התקשורתי בעברית סביב הדו"ח). </w:t>
      </w:r>
    </w:p>
    <w:tbl>
      <w:tblPr>
        <w:bidiVisual/>
        <w:tblW w:w="3940" w:type="dxa"/>
        <w:tblInd w:w="10" w:type="dxa"/>
        <w:tblLook w:val="04A0" w:firstRow="1" w:lastRow="0" w:firstColumn="1" w:lastColumn="0" w:noHBand="0" w:noVBand="1"/>
      </w:tblPr>
      <w:tblGrid>
        <w:gridCol w:w="2640"/>
        <w:gridCol w:w="1300"/>
      </w:tblGrid>
      <w:tr w:rsidR="00A31C54" w:rsidRPr="00A31C54" w:rsidTr="00A31C54">
        <w:trPr>
          <w:trHeight w:val="315"/>
        </w:trPr>
        <w:tc>
          <w:tcPr>
            <w:tcW w:w="2640" w:type="dxa"/>
            <w:tcBorders>
              <w:top w:val="nil"/>
              <w:left w:val="single" w:sz="4" w:space="0" w:color="000000"/>
              <w:bottom w:val="single" w:sz="4" w:space="0" w:color="000000"/>
              <w:right w:val="nil"/>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b/>
                <w:bCs/>
                <w:sz w:val="20"/>
                <w:szCs w:val="20"/>
                <w:lang w:val="en-IL" w:eastAsia="en-IL"/>
              </w:rPr>
            </w:pPr>
            <w:r w:rsidRPr="00A31C54">
              <w:rPr>
                <w:rFonts w:ascii="Alef" w:eastAsia="Times New Roman" w:hAnsi="Alef" w:cs="Arial"/>
                <w:b/>
                <w:bCs/>
                <w:sz w:val="20"/>
                <w:szCs w:val="20"/>
                <w:rtl/>
                <w:lang w:val="en-IL" w:eastAsia="en-IL"/>
              </w:rPr>
              <w:t>רכיב</w:t>
            </w:r>
          </w:p>
        </w:tc>
        <w:tc>
          <w:tcPr>
            <w:tcW w:w="1300" w:type="dxa"/>
            <w:tcBorders>
              <w:top w:val="nil"/>
              <w:left w:val="nil"/>
              <w:bottom w:val="nil"/>
              <w:right w:val="single" w:sz="4" w:space="0" w:color="000000"/>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b/>
                <w:bCs/>
                <w:sz w:val="20"/>
                <w:szCs w:val="20"/>
                <w:rtl/>
                <w:lang w:val="en-IL" w:eastAsia="en-IL"/>
              </w:rPr>
            </w:pPr>
            <w:r w:rsidRPr="00A31C54">
              <w:rPr>
                <w:rFonts w:ascii="Alef" w:eastAsia="Times New Roman" w:hAnsi="Alef" w:cs="Arial"/>
                <w:b/>
                <w:bCs/>
                <w:sz w:val="20"/>
                <w:szCs w:val="20"/>
                <w:rtl/>
                <w:lang w:val="en-IL" w:eastAsia="en-IL"/>
              </w:rPr>
              <w:t>מחיר $</w:t>
            </w:r>
          </w:p>
        </w:tc>
      </w:tr>
      <w:tr w:rsidR="00A31C54" w:rsidRPr="00A31C54" w:rsidTr="00A31C54">
        <w:trPr>
          <w:trHeight w:val="315"/>
        </w:trPr>
        <w:tc>
          <w:tcPr>
            <w:tcW w:w="2640" w:type="dxa"/>
            <w:tcBorders>
              <w:top w:val="nil"/>
              <w:left w:val="single" w:sz="4" w:space="0" w:color="000000"/>
              <w:bottom w:val="nil"/>
              <w:right w:val="nil"/>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sz w:val="20"/>
                <w:szCs w:val="20"/>
                <w:rtl/>
                <w:lang w:val="en-IL" w:eastAsia="en-IL"/>
              </w:rPr>
            </w:pPr>
            <w:r w:rsidRPr="00A31C54">
              <w:rPr>
                <w:rFonts w:ascii="Alef" w:eastAsia="Times New Roman" w:hAnsi="Alef" w:cs="Arial"/>
                <w:sz w:val="20"/>
                <w:szCs w:val="20"/>
                <w:rtl/>
                <w:lang w:val="en-IL" w:eastAsia="en-IL"/>
              </w:rPr>
              <w:t>ניהול ויח״צ</w:t>
            </w:r>
          </w:p>
        </w:tc>
        <w:tc>
          <w:tcPr>
            <w:tcW w:w="1300" w:type="dxa"/>
            <w:tcBorders>
              <w:top w:val="single" w:sz="4" w:space="0" w:color="000000"/>
              <w:left w:val="single" w:sz="4" w:space="0" w:color="000000"/>
              <w:bottom w:val="nil"/>
              <w:right w:val="single" w:sz="4" w:space="0" w:color="000000"/>
            </w:tcBorders>
            <w:shd w:val="clear" w:color="auto" w:fill="auto"/>
            <w:noWrap/>
            <w:vAlign w:val="bottom"/>
            <w:hideMark/>
          </w:tcPr>
          <w:p w:rsidR="00A31C54" w:rsidRPr="00A31C54" w:rsidRDefault="00A31C54" w:rsidP="00A31C54">
            <w:pPr>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lang w:val="en-IL" w:eastAsia="en-IL"/>
              </w:rPr>
              <w:t xml:space="preserve"> $   3,766.04 </w:t>
            </w:r>
          </w:p>
        </w:tc>
      </w:tr>
      <w:tr w:rsidR="00A31C54" w:rsidRPr="00A31C54" w:rsidTr="00A31C54">
        <w:trPr>
          <w:trHeight w:val="315"/>
        </w:trPr>
        <w:tc>
          <w:tcPr>
            <w:tcW w:w="2640" w:type="dxa"/>
            <w:tcBorders>
              <w:top w:val="nil"/>
              <w:left w:val="single" w:sz="4" w:space="0" w:color="000000"/>
              <w:bottom w:val="nil"/>
              <w:right w:val="nil"/>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rtl/>
                <w:lang w:val="en-IL" w:eastAsia="en-IL"/>
              </w:rPr>
              <w:t>בניית מיניסייט</w:t>
            </w:r>
          </w:p>
        </w:tc>
        <w:tc>
          <w:tcPr>
            <w:tcW w:w="1300" w:type="dxa"/>
            <w:tcBorders>
              <w:top w:val="nil"/>
              <w:left w:val="single" w:sz="4" w:space="0" w:color="000000"/>
              <w:bottom w:val="nil"/>
              <w:right w:val="single" w:sz="4" w:space="0" w:color="000000"/>
            </w:tcBorders>
            <w:shd w:val="clear" w:color="auto" w:fill="auto"/>
            <w:noWrap/>
            <w:vAlign w:val="bottom"/>
            <w:hideMark/>
          </w:tcPr>
          <w:p w:rsidR="00A31C54" w:rsidRPr="00A31C54" w:rsidRDefault="00A31C54" w:rsidP="00A31C54">
            <w:pPr>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lang w:val="en-IL" w:eastAsia="en-IL"/>
              </w:rPr>
              <w:t xml:space="preserve"> $   1,255.35 </w:t>
            </w:r>
          </w:p>
        </w:tc>
      </w:tr>
      <w:tr w:rsidR="00A31C54" w:rsidRPr="00A31C54" w:rsidTr="00A31C54">
        <w:trPr>
          <w:trHeight w:val="315"/>
        </w:trPr>
        <w:tc>
          <w:tcPr>
            <w:tcW w:w="2640" w:type="dxa"/>
            <w:tcBorders>
              <w:top w:val="nil"/>
              <w:left w:val="single" w:sz="4" w:space="0" w:color="000000"/>
              <w:bottom w:val="nil"/>
              <w:right w:val="nil"/>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rtl/>
                <w:lang w:val="en-IL" w:eastAsia="en-IL"/>
              </w:rPr>
              <w:t>מודעות מאטא</w:t>
            </w:r>
          </w:p>
        </w:tc>
        <w:tc>
          <w:tcPr>
            <w:tcW w:w="1300" w:type="dxa"/>
            <w:tcBorders>
              <w:top w:val="nil"/>
              <w:left w:val="single" w:sz="4" w:space="0" w:color="000000"/>
              <w:bottom w:val="nil"/>
              <w:right w:val="single" w:sz="4" w:space="0" w:color="000000"/>
            </w:tcBorders>
            <w:shd w:val="clear" w:color="auto" w:fill="auto"/>
            <w:noWrap/>
            <w:vAlign w:val="bottom"/>
            <w:hideMark/>
          </w:tcPr>
          <w:p w:rsidR="00A31C54" w:rsidRPr="00A31C54" w:rsidRDefault="00A31C54" w:rsidP="00A31C54">
            <w:pPr>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lang w:val="en-IL" w:eastAsia="en-IL"/>
              </w:rPr>
              <w:t xml:space="preserve"> $   1,569.19 </w:t>
            </w:r>
          </w:p>
        </w:tc>
      </w:tr>
      <w:tr w:rsidR="00A31C54" w:rsidRPr="00A31C54" w:rsidTr="00A31C54">
        <w:trPr>
          <w:trHeight w:val="315"/>
        </w:trPr>
        <w:tc>
          <w:tcPr>
            <w:tcW w:w="2640" w:type="dxa"/>
            <w:tcBorders>
              <w:top w:val="nil"/>
              <w:left w:val="single" w:sz="4" w:space="0" w:color="000000"/>
              <w:bottom w:val="nil"/>
              <w:right w:val="nil"/>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rtl/>
                <w:lang w:val="en-IL" w:eastAsia="en-IL"/>
              </w:rPr>
              <w:t>באנרים הארץ אתר ואפליקציה (שבוע)</w:t>
            </w:r>
          </w:p>
        </w:tc>
        <w:tc>
          <w:tcPr>
            <w:tcW w:w="1300" w:type="dxa"/>
            <w:tcBorders>
              <w:top w:val="nil"/>
              <w:left w:val="single" w:sz="4" w:space="0" w:color="000000"/>
              <w:bottom w:val="nil"/>
              <w:right w:val="single" w:sz="4" w:space="0" w:color="000000"/>
            </w:tcBorders>
            <w:shd w:val="clear" w:color="auto" w:fill="auto"/>
            <w:noWrap/>
            <w:vAlign w:val="bottom"/>
            <w:hideMark/>
          </w:tcPr>
          <w:p w:rsidR="00A31C54" w:rsidRPr="00A31C54" w:rsidRDefault="00A31C54" w:rsidP="00A31C54">
            <w:pPr>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lang w:val="en-IL" w:eastAsia="en-IL"/>
              </w:rPr>
              <w:t xml:space="preserve"> $   7,845.93 </w:t>
            </w:r>
          </w:p>
        </w:tc>
      </w:tr>
      <w:tr w:rsidR="00A31C54" w:rsidRPr="00A31C54" w:rsidTr="00A31C54">
        <w:trPr>
          <w:trHeight w:val="315"/>
        </w:trPr>
        <w:tc>
          <w:tcPr>
            <w:tcW w:w="2640" w:type="dxa"/>
            <w:tcBorders>
              <w:top w:val="nil"/>
              <w:left w:val="single" w:sz="4" w:space="0" w:color="000000"/>
              <w:bottom w:val="nil"/>
              <w:right w:val="nil"/>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rtl/>
                <w:lang w:val="en-IL" w:eastAsia="en-IL"/>
              </w:rPr>
              <w:t>באנרים ווינט אתר ואפליקציה (שבוע)</w:t>
            </w:r>
          </w:p>
        </w:tc>
        <w:tc>
          <w:tcPr>
            <w:tcW w:w="1300" w:type="dxa"/>
            <w:tcBorders>
              <w:top w:val="nil"/>
              <w:left w:val="single" w:sz="4" w:space="0" w:color="000000"/>
              <w:bottom w:val="nil"/>
              <w:right w:val="single" w:sz="4" w:space="0" w:color="000000"/>
            </w:tcBorders>
            <w:shd w:val="clear" w:color="auto" w:fill="auto"/>
            <w:noWrap/>
            <w:vAlign w:val="bottom"/>
            <w:hideMark/>
          </w:tcPr>
          <w:p w:rsidR="00A31C54" w:rsidRPr="00A31C54" w:rsidRDefault="00A31C54" w:rsidP="00A31C54">
            <w:pPr>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lang w:val="en-IL" w:eastAsia="en-IL"/>
              </w:rPr>
              <w:t xml:space="preserve"> $ 12,553.48 </w:t>
            </w:r>
          </w:p>
        </w:tc>
      </w:tr>
      <w:tr w:rsidR="00A31C54" w:rsidRPr="00A31C54" w:rsidTr="00A31C54">
        <w:trPr>
          <w:trHeight w:val="315"/>
        </w:trPr>
        <w:tc>
          <w:tcPr>
            <w:tcW w:w="2640" w:type="dxa"/>
            <w:tcBorders>
              <w:top w:val="single" w:sz="4" w:space="0" w:color="000000"/>
              <w:left w:val="single" w:sz="4" w:space="0" w:color="000000"/>
              <w:bottom w:val="single" w:sz="4" w:space="0" w:color="000000"/>
              <w:right w:val="nil"/>
            </w:tcBorders>
            <w:shd w:val="clear" w:color="auto" w:fill="auto"/>
            <w:noWrap/>
            <w:vAlign w:val="bottom"/>
            <w:hideMark/>
          </w:tcPr>
          <w:p w:rsidR="00A31C54" w:rsidRPr="00A31C54" w:rsidRDefault="00A31C54" w:rsidP="00A31C54">
            <w:pPr>
              <w:bidi/>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rtl/>
                <w:lang w:val="en-IL" w:eastAsia="en-IL"/>
              </w:rPr>
              <w:t>סה״כ</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31C54" w:rsidRPr="00A31C54" w:rsidRDefault="00A31C54" w:rsidP="00A31C54">
            <w:pPr>
              <w:spacing w:after="0" w:line="240" w:lineRule="auto"/>
              <w:rPr>
                <w:rFonts w:ascii="Alef" w:eastAsia="Times New Roman" w:hAnsi="Alef" w:cs="Arial"/>
                <w:sz w:val="20"/>
                <w:szCs w:val="20"/>
                <w:lang w:val="en-IL" w:eastAsia="en-IL"/>
              </w:rPr>
            </w:pPr>
            <w:r w:rsidRPr="00A31C54">
              <w:rPr>
                <w:rFonts w:ascii="Alef" w:eastAsia="Times New Roman" w:hAnsi="Alef" w:cs="Arial"/>
                <w:sz w:val="20"/>
                <w:szCs w:val="20"/>
                <w:lang w:val="en-IL" w:eastAsia="en-IL"/>
              </w:rPr>
              <w:t xml:space="preserve"> $ 26,989.99 </w:t>
            </w:r>
          </w:p>
        </w:tc>
      </w:tr>
    </w:tbl>
    <w:p w:rsidR="00A31C54" w:rsidRPr="00A31C54" w:rsidRDefault="00A31C54" w:rsidP="00194F2C">
      <w:pPr>
        <w:jc w:val="right"/>
        <w:rPr>
          <w:rFonts w:asciiTheme="minorBidi" w:hAnsiTheme="minorBidi" w:hint="cs"/>
          <w:rtl/>
        </w:rPr>
      </w:pPr>
    </w:p>
    <w:p w:rsidR="00B15B24" w:rsidRDefault="00B15B24" w:rsidP="00A31C54">
      <w:pPr>
        <w:jc w:val="right"/>
        <w:rPr>
          <w:rFonts w:asciiTheme="minorBidi" w:hAnsiTheme="minorBidi"/>
          <w:b/>
          <w:bCs/>
          <w:rtl/>
        </w:rPr>
      </w:pPr>
    </w:p>
    <w:p w:rsidR="00A31C54" w:rsidRDefault="00CB7C99" w:rsidP="00A31C54">
      <w:pPr>
        <w:jc w:val="right"/>
        <w:rPr>
          <w:rFonts w:asciiTheme="minorBidi" w:hAnsiTheme="minorBidi"/>
          <w:b/>
          <w:bCs/>
          <w:rtl/>
        </w:rPr>
      </w:pPr>
      <w:r w:rsidRPr="00A31C54">
        <w:rPr>
          <w:rFonts w:asciiTheme="minorBidi" w:hAnsiTheme="minorBidi"/>
          <w:b/>
          <w:bCs/>
          <w:rtl/>
        </w:rPr>
        <w:lastRenderedPageBreak/>
        <w:t xml:space="preserve">מדדי הצלחה </w:t>
      </w:r>
    </w:p>
    <w:p w:rsidR="00CB7C99" w:rsidRPr="00A31C54" w:rsidRDefault="00CB7C99" w:rsidP="00A31C54">
      <w:pPr>
        <w:jc w:val="right"/>
        <w:rPr>
          <w:rFonts w:asciiTheme="minorBidi" w:hAnsiTheme="minorBidi"/>
          <w:rtl/>
        </w:rPr>
      </w:pPr>
      <w:r w:rsidRPr="00A31C54">
        <w:rPr>
          <w:rFonts w:asciiTheme="minorBidi" w:hAnsiTheme="minorBidi"/>
          <w:b/>
          <w:bCs/>
          <w:rtl/>
        </w:rPr>
        <w:t xml:space="preserve">תוצאות </w:t>
      </w:r>
      <w:r w:rsidR="00A31C54">
        <w:rPr>
          <w:rFonts w:asciiTheme="minorBidi" w:hAnsiTheme="minorBidi"/>
          <w:b/>
          <w:bCs/>
          <w:rtl/>
        </w:rPr>
        <w:br/>
      </w:r>
      <w:r w:rsidR="004D29FB" w:rsidRPr="00A31C54">
        <w:rPr>
          <w:rFonts w:asciiTheme="minorBidi" w:hAnsiTheme="minorBidi"/>
          <w:rtl/>
        </w:rPr>
        <w:t xml:space="preserve">- </w:t>
      </w:r>
      <w:r w:rsidRPr="00A31C54">
        <w:rPr>
          <w:rFonts w:asciiTheme="minorBidi" w:hAnsiTheme="minorBidi"/>
          <w:rtl/>
        </w:rPr>
        <w:t>לעורר שיח ציבורי בעניין הדו״ח בקרב קהל ישראלי דובר עברית</w:t>
      </w:r>
      <w:r w:rsidR="00A31C54">
        <w:rPr>
          <w:rFonts w:asciiTheme="minorBidi" w:hAnsiTheme="minorBidi"/>
          <w:rtl/>
        </w:rPr>
        <w:br/>
      </w:r>
      <w:r w:rsidR="004D29FB" w:rsidRPr="00A31C54">
        <w:rPr>
          <w:rFonts w:asciiTheme="minorBidi" w:hAnsiTheme="minorBidi"/>
          <w:rtl/>
        </w:rPr>
        <w:t xml:space="preserve">- </w:t>
      </w:r>
      <w:r w:rsidRPr="00A31C54">
        <w:rPr>
          <w:rFonts w:asciiTheme="minorBidi" w:hAnsiTheme="minorBidi"/>
          <w:rtl/>
        </w:rPr>
        <w:t>הקהילה הבינלאומית (בדגש על דיפלומטים ומקבלי החלטות, ארגונים בינלאומיים) יכירו בדוח כתוצר חשוב וכלי עבודה ויאזכרו את הדו"ח בדבריהם ובדוחותיהם</w:t>
      </w:r>
    </w:p>
    <w:p w:rsidR="00CB7C99" w:rsidRPr="00A31C54" w:rsidRDefault="00CB7C99" w:rsidP="00CB7C99">
      <w:pPr>
        <w:jc w:val="right"/>
        <w:rPr>
          <w:rFonts w:asciiTheme="minorBidi" w:hAnsiTheme="minorBidi"/>
          <w:b/>
          <w:bCs/>
          <w:rtl/>
        </w:rPr>
      </w:pPr>
      <w:r w:rsidRPr="00A31C54">
        <w:rPr>
          <w:rFonts w:asciiTheme="minorBidi" w:hAnsiTheme="minorBidi"/>
          <w:b/>
          <w:bCs/>
          <w:rtl/>
        </w:rPr>
        <w:t>תפוקות</w:t>
      </w:r>
    </w:p>
    <w:p w:rsidR="00CB7C99" w:rsidRPr="00A31C54" w:rsidRDefault="004D29FB" w:rsidP="00CB7C99">
      <w:pPr>
        <w:jc w:val="right"/>
        <w:rPr>
          <w:rFonts w:asciiTheme="minorBidi" w:hAnsiTheme="minorBidi"/>
        </w:rPr>
      </w:pPr>
      <w:r w:rsidRPr="00A31C54">
        <w:rPr>
          <w:rFonts w:asciiTheme="minorBidi" w:hAnsiTheme="minorBidi"/>
          <w:u w:val="single"/>
          <w:rtl/>
        </w:rPr>
        <w:t>עבודה ציבורית בישראל:</w:t>
      </w:r>
      <w:r w:rsidRPr="00A31C54">
        <w:rPr>
          <w:rFonts w:asciiTheme="minorBidi" w:hAnsiTheme="minorBidi"/>
          <w:rtl/>
        </w:rPr>
        <w:t xml:space="preserve"> </w:t>
      </w:r>
      <w:r w:rsidRPr="00A31C54">
        <w:rPr>
          <w:rFonts w:asciiTheme="minorBidi" w:hAnsiTheme="minorBidi"/>
          <w:rtl/>
        </w:rPr>
        <w:br/>
        <w:t xml:space="preserve">- </w:t>
      </w:r>
      <w:r w:rsidR="00CB7C99" w:rsidRPr="00A31C54">
        <w:rPr>
          <w:rFonts w:asciiTheme="minorBidi" w:hAnsiTheme="minorBidi"/>
          <w:rtl/>
        </w:rPr>
        <w:t>כניסות למיניסייט - 5,000-17,000</w:t>
      </w:r>
    </w:p>
    <w:p w:rsidR="00CB7C99" w:rsidRPr="00A31C54" w:rsidRDefault="004D29FB" w:rsidP="00CB7C99">
      <w:pPr>
        <w:jc w:val="right"/>
        <w:rPr>
          <w:rFonts w:asciiTheme="minorBidi" w:hAnsiTheme="minorBidi"/>
        </w:rPr>
      </w:pPr>
      <w:r w:rsidRPr="00A31C54">
        <w:rPr>
          <w:rFonts w:asciiTheme="minorBidi" w:hAnsiTheme="minorBidi"/>
          <w:rtl/>
        </w:rPr>
        <w:t xml:space="preserve">- </w:t>
      </w:r>
      <w:r w:rsidR="00CB7C99" w:rsidRPr="00A31C54">
        <w:rPr>
          <w:rFonts w:asciiTheme="minorBidi" w:hAnsiTheme="minorBidi"/>
          <w:rtl/>
        </w:rPr>
        <w:t>הורדות דוח (מיניסייט) - 3-8%</w:t>
      </w:r>
    </w:p>
    <w:p w:rsidR="00CB7C99" w:rsidRPr="00A31C54" w:rsidRDefault="004D29FB" w:rsidP="00CB7C99">
      <w:pPr>
        <w:jc w:val="right"/>
        <w:rPr>
          <w:rFonts w:asciiTheme="minorBidi" w:hAnsiTheme="minorBidi"/>
        </w:rPr>
      </w:pPr>
      <w:r w:rsidRPr="00A31C54">
        <w:rPr>
          <w:rFonts w:asciiTheme="minorBidi" w:hAnsiTheme="minorBidi"/>
          <w:rtl/>
        </w:rPr>
        <w:t xml:space="preserve">- </w:t>
      </w:r>
      <w:r w:rsidR="00CB7C99" w:rsidRPr="00A31C54">
        <w:rPr>
          <w:rFonts w:asciiTheme="minorBidi" w:hAnsiTheme="minorBidi"/>
          <w:rtl/>
        </w:rPr>
        <w:t>חשיפות (יוניקים) למודעות סושייל (מאטא) - 15,000-45,000</w:t>
      </w:r>
    </w:p>
    <w:p w:rsidR="00CB7C99" w:rsidRPr="00A31C54" w:rsidRDefault="004D29FB" w:rsidP="00CB7C99">
      <w:pPr>
        <w:jc w:val="right"/>
        <w:rPr>
          <w:rFonts w:asciiTheme="minorBidi" w:hAnsiTheme="minorBidi"/>
        </w:rPr>
      </w:pPr>
      <w:r w:rsidRPr="00A31C54">
        <w:rPr>
          <w:rFonts w:asciiTheme="minorBidi" w:hAnsiTheme="minorBidi"/>
          <w:rtl/>
        </w:rPr>
        <w:t xml:space="preserve">- </w:t>
      </w:r>
      <w:r w:rsidR="00CB7C99" w:rsidRPr="00A31C54">
        <w:rPr>
          <w:rFonts w:asciiTheme="minorBidi" w:hAnsiTheme="minorBidi"/>
          <w:rtl/>
        </w:rPr>
        <w:t>הקלקות מודעות מאטא - 1:86 - 1:28</w:t>
      </w:r>
    </w:p>
    <w:p w:rsidR="00CB7C99" w:rsidRPr="00A31C54" w:rsidRDefault="004D29FB" w:rsidP="00CB7C99">
      <w:pPr>
        <w:jc w:val="right"/>
        <w:rPr>
          <w:rFonts w:asciiTheme="minorBidi" w:hAnsiTheme="minorBidi"/>
        </w:rPr>
      </w:pPr>
      <w:r w:rsidRPr="00A31C54">
        <w:rPr>
          <w:rFonts w:asciiTheme="minorBidi" w:hAnsiTheme="minorBidi"/>
          <w:rtl/>
        </w:rPr>
        <w:t xml:space="preserve">- </w:t>
      </w:r>
      <w:r w:rsidR="00CB7C99" w:rsidRPr="00A31C54">
        <w:rPr>
          <w:rFonts w:asciiTheme="minorBidi" w:hAnsiTheme="minorBidi"/>
          <w:rtl/>
        </w:rPr>
        <w:t>חשיפות מודעות הארץ - 700,000 (לפי נתוני הארץ) יעד הקלקות: 7000</w:t>
      </w:r>
    </w:p>
    <w:p w:rsidR="00CB7C99" w:rsidRPr="00A31C54" w:rsidRDefault="004D29FB" w:rsidP="00CB7C99">
      <w:pPr>
        <w:jc w:val="right"/>
        <w:rPr>
          <w:rFonts w:asciiTheme="minorBidi" w:hAnsiTheme="minorBidi"/>
        </w:rPr>
      </w:pPr>
      <w:r w:rsidRPr="00A31C54">
        <w:rPr>
          <w:rFonts w:asciiTheme="minorBidi" w:hAnsiTheme="minorBidi"/>
          <w:rtl/>
        </w:rPr>
        <w:t xml:space="preserve">- </w:t>
      </w:r>
      <w:r w:rsidR="00CB7C99" w:rsidRPr="00A31C54">
        <w:rPr>
          <w:rFonts w:asciiTheme="minorBidi" w:hAnsiTheme="minorBidi"/>
          <w:rtl/>
        </w:rPr>
        <w:t>חשיפות מודעות ווינט -  791,000 (לפי נתוני ווינט), יעד הקלקות: 7,917</w:t>
      </w:r>
    </w:p>
    <w:p w:rsidR="004D29FB" w:rsidRPr="00A31C54" w:rsidRDefault="004D29FB" w:rsidP="00CB7C99">
      <w:pPr>
        <w:jc w:val="right"/>
        <w:rPr>
          <w:rFonts w:asciiTheme="minorBidi" w:hAnsiTheme="minorBidi"/>
          <w:rtl/>
        </w:rPr>
      </w:pPr>
      <w:r w:rsidRPr="00A31C54">
        <w:rPr>
          <w:rFonts w:asciiTheme="minorBidi" w:hAnsiTheme="minorBidi"/>
          <w:u w:val="single"/>
          <w:rtl/>
        </w:rPr>
        <w:t xml:space="preserve">עבודת לובי בינלאומי </w:t>
      </w:r>
      <w:r w:rsidRPr="00A31C54">
        <w:rPr>
          <w:rFonts w:asciiTheme="minorBidi" w:hAnsiTheme="minorBidi"/>
          <w:rtl/>
        </w:rPr>
        <w:br/>
        <w:t xml:space="preserve">- </w:t>
      </w:r>
      <w:r w:rsidR="00CB7C99" w:rsidRPr="00A31C54">
        <w:rPr>
          <w:rFonts w:asciiTheme="minorBidi" w:hAnsiTheme="minorBidi"/>
          <w:rtl/>
        </w:rPr>
        <w:t xml:space="preserve">בין 3-5 </w:t>
      </w:r>
      <w:r w:rsidR="00CB7C99" w:rsidRPr="00A31C54">
        <w:rPr>
          <w:rFonts w:asciiTheme="minorBidi" w:hAnsiTheme="minorBidi"/>
          <w:rtl/>
        </w:rPr>
        <w:t xml:space="preserve">הזמנות לתדרוכים </w:t>
      </w:r>
      <w:r w:rsidR="00CB7C99" w:rsidRPr="00A31C54">
        <w:rPr>
          <w:rFonts w:asciiTheme="minorBidi" w:hAnsiTheme="minorBidi"/>
          <w:rtl/>
        </w:rPr>
        <w:t>אצל ארגונים מרכזיים כדוגמת ה</w:t>
      </w:r>
      <w:r w:rsidR="00CB7C99" w:rsidRPr="00A31C54">
        <w:rPr>
          <w:rFonts w:asciiTheme="minorBidi" w:hAnsiTheme="minorBidi"/>
          <w:rtl/>
        </w:rPr>
        <w:t xml:space="preserve">צלב </w:t>
      </w:r>
      <w:r w:rsidR="00CB7C99" w:rsidRPr="00A31C54">
        <w:rPr>
          <w:rFonts w:asciiTheme="minorBidi" w:hAnsiTheme="minorBidi"/>
          <w:rtl/>
        </w:rPr>
        <w:t>ה</w:t>
      </w:r>
      <w:r w:rsidR="00CB7C99" w:rsidRPr="00A31C54">
        <w:rPr>
          <w:rFonts w:asciiTheme="minorBidi" w:hAnsiTheme="minorBidi"/>
          <w:rtl/>
        </w:rPr>
        <w:t>אדום , או</w:t>
      </w:r>
      <w:r w:rsidR="00CB7C99" w:rsidRPr="00A31C54">
        <w:rPr>
          <w:rFonts w:asciiTheme="minorBidi" w:hAnsiTheme="minorBidi"/>
          <w:rtl/>
        </w:rPr>
        <w:t>"</w:t>
      </w:r>
      <w:r w:rsidR="00CB7C99" w:rsidRPr="00A31C54">
        <w:rPr>
          <w:rFonts w:asciiTheme="minorBidi" w:hAnsiTheme="minorBidi"/>
          <w:rtl/>
        </w:rPr>
        <w:t>ם, איחוד אירופי וכו׳</w:t>
      </w:r>
      <w:r w:rsidRPr="00A31C54">
        <w:rPr>
          <w:rFonts w:asciiTheme="minorBidi" w:hAnsiTheme="minorBidi"/>
          <w:rtl/>
        </w:rPr>
        <w:t xml:space="preserve"> או </w:t>
      </w:r>
      <w:r w:rsidR="00CB7C99" w:rsidRPr="00A31C54">
        <w:rPr>
          <w:rFonts w:asciiTheme="minorBidi" w:hAnsiTheme="minorBidi"/>
          <w:rtl/>
        </w:rPr>
        <w:t xml:space="preserve">דיפלומטים ממדינות בעלות השפעה </w:t>
      </w:r>
      <w:r w:rsidRPr="00A31C54">
        <w:rPr>
          <w:rFonts w:asciiTheme="minorBidi" w:hAnsiTheme="minorBidi"/>
          <w:rtl/>
        </w:rPr>
        <w:t xml:space="preserve">כדוגמת </w:t>
      </w:r>
      <w:r w:rsidR="00CB7C99" w:rsidRPr="00A31C54">
        <w:rPr>
          <w:rFonts w:asciiTheme="minorBidi" w:hAnsiTheme="minorBidi"/>
          <w:rtl/>
        </w:rPr>
        <w:t>גרמניה, בריטניה, ארה"ב וכו'</w:t>
      </w:r>
      <w:r w:rsidRPr="00A31C54">
        <w:rPr>
          <w:rFonts w:asciiTheme="minorBidi" w:hAnsiTheme="minorBidi"/>
          <w:rtl/>
        </w:rPr>
        <w:t xml:space="preserve"> שגם יגיבו פרטנית לדו"ח</w:t>
      </w:r>
    </w:p>
    <w:p w:rsidR="00CB7C99" w:rsidRPr="00A31C54" w:rsidRDefault="004D29FB" w:rsidP="00CB7C99">
      <w:pPr>
        <w:jc w:val="right"/>
        <w:rPr>
          <w:rFonts w:asciiTheme="minorBidi" w:hAnsiTheme="minorBidi"/>
        </w:rPr>
      </w:pPr>
      <w:r w:rsidRPr="00A31C54">
        <w:rPr>
          <w:rFonts w:asciiTheme="minorBidi" w:hAnsiTheme="minorBidi"/>
          <w:rtl/>
        </w:rPr>
        <w:t xml:space="preserve">- </w:t>
      </w:r>
      <w:r w:rsidR="00CB7C99" w:rsidRPr="00A31C54">
        <w:rPr>
          <w:rFonts w:asciiTheme="minorBidi" w:hAnsiTheme="minorBidi"/>
          <w:rtl/>
        </w:rPr>
        <w:t>סיקור תקשורת בינ״ל - 5-7 אייטמים חדשותיים</w:t>
      </w:r>
      <w:r w:rsidR="00CB7C99" w:rsidRPr="00A31C54">
        <w:rPr>
          <w:rFonts w:asciiTheme="minorBidi" w:hAnsiTheme="minorBidi"/>
        </w:rPr>
        <w:t xml:space="preserve"> </w:t>
      </w:r>
    </w:p>
    <w:p w:rsidR="00CB7C99" w:rsidRPr="00A31C54" w:rsidRDefault="004D29FB" w:rsidP="00CB7C99">
      <w:pPr>
        <w:jc w:val="right"/>
        <w:rPr>
          <w:rFonts w:asciiTheme="minorBidi" w:hAnsiTheme="minorBidi"/>
          <w:rtl/>
        </w:rPr>
      </w:pPr>
      <w:r w:rsidRPr="00A31C54">
        <w:rPr>
          <w:rFonts w:asciiTheme="minorBidi" w:hAnsiTheme="minorBidi"/>
          <w:rtl/>
        </w:rPr>
        <w:t xml:space="preserve">- איזכור הדו"ח </w:t>
      </w:r>
      <w:r w:rsidR="00CB7C99" w:rsidRPr="00A31C54">
        <w:rPr>
          <w:rFonts w:asciiTheme="minorBidi" w:hAnsiTheme="minorBidi"/>
          <w:rtl/>
        </w:rPr>
        <w:t xml:space="preserve">זכורו בדו"חות חיצוניים של גופים ושחקנים בינלאומיים </w:t>
      </w:r>
    </w:p>
    <w:p w:rsidR="00CB7C99" w:rsidRPr="00A31C54" w:rsidRDefault="00CB7C99" w:rsidP="00CB7C99">
      <w:pPr>
        <w:jc w:val="right"/>
        <w:rPr>
          <w:rFonts w:asciiTheme="minorBidi" w:hAnsiTheme="minorBidi"/>
          <w:rtl/>
        </w:rPr>
      </w:pPr>
    </w:p>
    <w:p w:rsidR="00194F2C" w:rsidRPr="00A31C54" w:rsidRDefault="00194F2C" w:rsidP="00194F2C">
      <w:pPr>
        <w:jc w:val="right"/>
        <w:rPr>
          <w:rFonts w:asciiTheme="minorBidi" w:hAnsiTheme="minorBidi"/>
        </w:rPr>
      </w:pPr>
    </w:p>
    <w:p w:rsidR="00194F2C" w:rsidRPr="00A31C54" w:rsidRDefault="00194F2C" w:rsidP="00194F2C">
      <w:pPr>
        <w:jc w:val="right"/>
        <w:rPr>
          <w:rFonts w:asciiTheme="minorBidi" w:hAnsiTheme="minorBidi"/>
        </w:rPr>
      </w:pPr>
    </w:p>
    <w:p w:rsidR="00194F2C" w:rsidRPr="00A31C54" w:rsidRDefault="00194F2C" w:rsidP="00194F2C">
      <w:pPr>
        <w:jc w:val="right"/>
        <w:rPr>
          <w:rFonts w:asciiTheme="minorBidi" w:hAnsiTheme="minorBidi"/>
        </w:rPr>
      </w:pPr>
    </w:p>
    <w:p w:rsidR="007167B5" w:rsidRPr="00A31C54" w:rsidRDefault="007167B5" w:rsidP="00194F2C">
      <w:pPr>
        <w:jc w:val="right"/>
        <w:rPr>
          <w:rFonts w:asciiTheme="minorBidi" w:hAnsiTheme="minorBidi"/>
          <w:rtl/>
        </w:rPr>
      </w:pPr>
    </w:p>
    <w:p w:rsidR="00194F2C" w:rsidRPr="00A31C54" w:rsidRDefault="00194F2C" w:rsidP="00194F2C">
      <w:pPr>
        <w:jc w:val="right"/>
        <w:rPr>
          <w:rFonts w:asciiTheme="minorBidi" w:hAnsiTheme="minorBidi"/>
        </w:rPr>
      </w:pPr>
    </w:p>
    <w:sectPr w:rsidR="00194F2C" w:rsidRPr="00A31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2C"/>
    <w:rsid w:val="00194F2C"/>
    <w:rsid w:val="00413148"/>
    <w:rsid w:val="004D29FB"/>
    <w:rsid w:val="006F7380"/>
    <w:rsid w:val="007167B5"/>
    <w:rsid w:val="00807BCB"/>
    <w:rsid w:val="00A31C54"/>
    <w:rsid w:val="00B15B24"/>
    <w:rsid w:val="00BC3D28"/>
    <w:rsid w:val="00CB7C9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494C"/>
  <w15:chartTrackingRefBased/>
  <w15:docId w15:val="{A4ED1A99-6024-4657-B52B-64727E93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227535">
      <w:bodyDiv w:val="1"/>
      <w:marLeft w:val="0"/>
      <w:marRight w:val="0"/>
      <w:marTop w:val="0"/>
      <w:marBottom w:val="0"/>
      <w:divBdr>
        <w:top w:val="none" w:sz="0" w:space="0" w:color="auto"/>
        <w:left w:val="none" w:sz="0" w:space="0" w:color="auto"/>
        <w:bottom w:val="none" w:sz="0" w:space="0" w:color="auto"/>
        <w:right w:val="none" w:sz="0" w:space="0" w:color="auto"/>
      </w:divBdr>
    </w:div>
    <w:div w:id="188528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Youlzari</dc:creator>
  <cp:keywords/>
  <dc:description/>
  <cp:lastModifiedBy>Amit Youlzari</cp:lastModifiedBy>
  <cp:revision>1</cp:revision>
  <dcterms:created xsi:type="dcterms:W3CDTF">2024-06-10T06:49:00Z</dcterms:created>
  <dcterms:modified xsi:type="dcterms:W3CDTF">2024-06-10T08:55:00Z</dcterms:modified>
</cp:coreProperties>
</file>