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E06E" w14:textId="3FA9E31C" w:rsidR="002068A3" w:rsidRPr="007573D9" w:rsidRDefault="00DF42E4" w:rsidP="00944DDE">
      <w:pPr>
        <w:jc w:val="center"/>
        <w:outlineLvl w:val="0"/>
        <w:rPr>
          <w:rFonts w:cs="Times New Roman"/>
          <w:b/>
          <w:bCs/>
        </w:rPr>
      </w:pPr>
      <w:r w:rsidRPr="007573D9">
        <w:rPr>
          <w:rFonts w:cs="Times New Roman"/>
          <w:b/>
          <w:bCs/>
        </w:rPr>
        <w:t xml:space="preserve">Three </w:t>
      </w:r>
      <w:r w:rsidR="00D13A7C" w:rsidRPr="007573D9">
        <w:rPr>
          <w:rStyle w:val="apple-converted-space"/>
          <w:rFonts w:cs="Times New Roman"/>
          <w:b/>
          <w:bCs/>
          <w:color w:val="000000"/>
        </w:rPr>
        <w:t>Scarab</w:t>
      </w:r>
      <w:r w:rsidRPr="007573D9">
        <w:rPr>
          <w:rStyle w:val="apple-converted-space"/>
          <w:rFonts w:cs="Times New Roman"/>
          <w:b/>
          <w:bCs/>
          <w:color w:val="000000"/>
        </w:rPr>
        <w:t>s</w:t>
      </w:r>
      <w:r w:rsidR="00D13A7C" w:rsidRPr="007573D9">
        <w:rPr>
          <w:rStyle w:val="apple-converted-space"/>
          <w:rFonts w:cs="Times New Roman"/>
          <w:b/>
          <w:bCs/>
          <w:color w:val="000000"/>
        </w:rPr>
        <w:t xml:space="preserve"> </w:t>
      </w:r>
      <w:r w:rsidR="002068A3" w:rsidRPr="007573D9">
        <w:rPr>
          <w:rFonts w:cs="Times New Roman"/>
          <w:b/>
          <w:bCs/>
        </w:rPr>
        <w:t>from Shiloh</w:t>
      </w:r>
    </w:p>
    <w:p w14:paraId="57DBD545" w14:textId="77777777" w:rsidR="002068A3" w:rsidRPr="007573D9" w:rsidRDefault="002068A3" w:rsidP="00944DDE">
      <w:pPr>
        <w:jc w:val="center"/>
        <w:outlineLvl w:val="0"/>
        <w:rPr>
          <w:rFonts w:cs="Times New Roman"/>
          <w:b/>
          <w:bCs/>
        </w:rPr>
      </w:pPr>
      <w:r w:rsidRPr="007573D9">
        <w:rPr>
          <w:rFonts w:cs="Times New Roman"/>
          <w:b/>
          <w:bCs/>
        </w:rPr>
        <w:t>Chronology, Typology, and Iconography</w:t>
      </w:r>
    </w:p>
    <w:p w14:paraId="279194D4" w14:textId="77777777" w:rsidR="002068A3" w:rsidRPr="007573D9" w:rsidRDefault="002068A3" w:rsidP="00B30320">
      <w:pPr>
        <w:outlineLvl w:val="0"/>
        <w:rPr>
          <w:rFonts w:cs="Times New Roman"/>
          <w:b/>
          <w:bCs/>
        </w:rPr>
      </w:pPr>
    </w:p>
    <w:p w14:paraId="17075DEA" w14:textId="1A9A2755" w:rsidR="002068A3" w:rsidRPr="007573D9" w:rsidRDefault="00920CCE" w:rsidP="00944DDE">
      <w:pPr>
        <w:jc w:val="center"/>
        <w:rPr>
          <w:rFonts w:cs="Times New Roman"/>
          <w:b/>
          <w:bCs/>
        </w:rPr>
      </w:pPr>
      <w:r w:rsidRPr="007573D9">
        <w:rPr>
          <w:rFonts w:cs="Times New Roman"/>
          <w:b/>
          <w:bCs/>
        </w:rPr>
        <w:t>Authors*</w:t>
      </w:r>
    </w:p>
    <w:p w14:paraId="10AA85C5" w14:textId="77777777" w:rsidR="002068A3" w:rsidRPr="007573D9" w:rsidRDefault="002068A3" w:rsidP="00B30320">
      <w:pPr>
        <w:rPr>
          <w:rFonts w:cs="Times New Roman"/>
        </w:rPr>
      </w:pPr>
    </w:p>
    <w:p w14:paraId="78DA8D09" w14:textId="77777777" w:rsidR="002068A3" w:rsidRPr="007573D9" w:rsidRDefault="002068A3" w:rsidP="00944DDE">
      <w:pPr>
        <w:jc w:val="center"/>
        <w:rPr>
          <w:rFonts w:cs="Times New Roman"/>
          <w:b/>
          <w:bCs/>
        </w:rPr>
      </w:pPr>
      <w:r w:rsidRPr="007573D9">
        <w:rPr>
          <w:rFonts w:cs="Times New Roman"/>
          <w:b/>
          <w:bCs/>
        </w:rPr>
        <w:t>Abstract</w:t>
      </w:r>
    </w:p>
    <w:p w14:paraId="7361947E" w14:textId="77777777" w:rsidR="002068A3" w:rsidRPr="007573D9" w:rsidRDefault="002068A3" w:rsidP="00B30320">
      <w:pPr>
        <w:rPr>
          <w:rFonts w:cs="Times New Roman"/>
          <w:b/>
          <w:bCs/>
        </w:rPr>
      </w:pPr>
    </w:p>
    <w:p w14:paraId="49D263D1" w14:textId="579957FF" w:rsidR="00D2060B" w:rsidRPr="007573D9" w:rsidRDefault="00D2060B" w:rsidP="00D2060B">
      <w:pPr>
        <w:ind w:right="131"/>
        <w:rPr>
          <w:rFonts w:cs="Times New Roman"/>
          <w:color w:val="000000"/>
        </w:rPr>
      </w:pPr>
      <w:r w:rsidRPr="007573D9">
        <w:rPr>
          <w:rFonts w:cs="Times New Roman"/>
          <w:color w:val="000000"/>
        </w:rPr>
        <w:t xml:space="preserve">Recent excavations (2017–2023) at Shiloh (Khirbet es-Sailūn) yielded thirteen Egyptian-style scarabs. </w:t>
      </w:r>
      <w:r w:rsidRPr="00660C79">
        <w:rPr>
          <w:rFonts w:cs="Times New Roman"/>
          <w:color w:val="000000"/>
        </w:rPr>
        <w:t xml:space="preserve">Most of the scarabs are contemporary with the Middle Bronze Age IIB–Middle Bronze Age IIC (=MB III) in Canaan, three of which we examine here. </w:t>
      </w:r>
      <w:r w:rsidR="00AD483C" w:rsidRPr="001A5A4F">
        <w:rPr>
          <w:rFonts w:cs="Times New Roman"/>
          <w:color w:val="000000"/>
        </w:rPr>
        <w:t xml:space="preserve">These scarabs </w:t>
      </w:r>
      <w:r w:rsidR="006B6117" w:rsidRPr="001A5A4F">
        <w:rPr>
          <w:rFonts w:cs="Times New Roman"/>
          <w:color w:val="000000"/>
        </w:rPr>
        <w:t>differ from the rest of the corpus</w:t>
      </w:r>
      <w:r w:rsidR="00AD483C" w:rsidRPr="001A5A4F">
        <w:rPr>
          <w:rFonts w:cs="Times New Roman"/>
          <w:color w:val="000000"/>
        </w:rPr>
        <w:t xml:space="preserve">. </w:t>
      </w:r>
      <w:r w:rsidR="006B6117" w:rsidRPr="001A5A4F">
        <w:rPr>
          <w:rFonts w:cs="Times New Roman"/>
          <w:color w:val="000000"/>
        </w:rPr>
        <w:t xml:space="preserve">Only </w:t>
      </w:r>
      <w:r w:rsidR="00AD483C" w:rsidRPr="001A5A4F">
        <w:rPr>
          <w:rFonts w:cs="Times New Roman"/>
          <w:color w:val="000000"/>
        </w:rPr>
        <w:t xml:space="preserve">Scarab </w:t>
      </w:r>
      <w:r w:rsidRPr="001A5A4F">
        <w:rPr>
          <w:rFonts w:cs="Times New Roman"/>
          <w:color w:val="000000"/>
        </w:rPr>
        <w:t xml:space="preserve">One </w:t>
      </w:r>
      <w:r w:rsidR="006B6117" w:rsidRPr="001A5A4F">
        <w:rPr>
          <w:rFonts w:cs="Times New Roman"/>
          <w:color w:val="000000"/>
        </w:rPr>
        <w:t xml:space="preserve">dates to </w:t>
      </w:r>
      <w:r w:rsidRPr="001A5A4F">
        <w:rPr>
          <w:rFonts w:cs="Times New Roman"/>
          <w:color w:val="000000"/>
        </w:rPr>
        <w:t xml:space="preserve">Egypt’s New Kingdom. </w:t>
      </w:r>
      <w:r w:rsidR="006B6117" w:rsidRPr="001A5A4F">
        <w:rPr>
          <w:rFonts w:cs="Times New Roman"/>
          <w:color w:val="000000"/>
        </w:rPr>
        <w:t xml:space="preserve">Only Scarab Two </w:t>
      </w:r>
      <w:r w:rsidRPr="001A5A4F">
        <w:rPr>
          <w:rFonts w:cs="Times New Roman"/>
          <w:color w:val="000000"/>
        </w:rPr>
        <w:t xml:space="preserve">bears a hieroglyphic reference to Upper Egypt. </w:t>
      </w:r>
      <w:r w:rsidR="006B6117" w:rsidRPr="001A5A4F">
        <w:rPr>
          <w:rFonts w:cs="Times New Roman"/>
          <w:color w:val="000000"/>
        </w:rPr>
        <w:t xml:space="preserve">Only Scarab Three </w:t>
      </w:r>
      <w:r w:rsidRPr="001A5A4F">
        <w:rPr>
          <w:rFonts w:cs="Times New Roman"/>
          <w:color w:val="000000"/>
        </w:rPr>
        <w:t>displays the “</w:t>
      </w:r>
      <w:proofErr w:type="spellStart"/>
      <w:r w:rsidRPr="001A5A4F">
        <w:rPr>
          <w:rFonts w:cs="Times New Roman"/>
          <w:color w:val="000000"/>
        </w:rPr>
        <w:t>anra</w:t>
      </w:r>
      <w:proofErr w:type="spellEnd"/>
      <w:r w:rsidRPr="001A5A4F">
        <w:rPr>
          <w:rFonts w:cs="Times New Roman"/>
          <w:color w:val="000000"/>
        </w:rPr>
        <w:t>” (</w:t>
      </w:r>
      <w:proofErr w:type="spellStart"/>
      <w:r w:rsidRPr="001A5A4F">
        <w:rPr>
          <w:rFonts w:cs="Times New Roman"/>
          <w:color w:val="000000" w:themeColor="text1"/>
        </w:rPr>
        <w:t>ʾnrʾ</w:t>
      </w:r>
      <w:proofErr w:type="spellEnd"/>
      <w:r w:rsidRPr="001A5A4F">
        <w:rPr>
          <w:rFonts w:cs="Times New Roman"/>
          <w:color w:val="000000" w:themeColor="text1"/>
        </w:rPr>
        <w:t>)</w:t>
      </w:r>
      <w:r w:rsidRPr="001A5A4F">
        <w:rPr>
          <w:rFonts w:cs="Times New Roman"/>
          <w:color w:val="000000"/>
        </w:rPr>
        <w:t xml:space="preserve"> composition. This article analyzes these three scarabs, the</w:t>
      </w:r>
      <w:r w:rsidRPr="007573D9">
        <w:rPr>
          <w:rFonts w:cs="Times New Roman"/>
          <w:color w:val="000000"/>
        </w:rPr>
        <w:t xml:space="preserve"> context of their discovery, their hieroglyphic inscriptions, and their typology. These factors offer insights into the scarabs’ periods of production and use. This discussion includes known parallels from clean archaeological contexts. Gardiner’s sign list serves as the basis for interpreting the hieroglyphic signs</w:t>
      </w:r>
      <w:r w:rsidRPr="001A5A4F">
        <w:rPr>
          <w:rFonts w:cs="Times New Roman"/>
          <w:color w:val="000000"/>
        </w:rPr>
        <w:t xml:space="preserve">. </w:t>
      </w:r>
      <w:r w:rsidR="00AD483C" w:rsidRPr="001A5A4F">
        <w:rPr>
          <w:rFonts w:cs="Times New Roman"/>
          <w:color w:val="000000"/>
        </w:rPr>
        <w:t>The other scarabs will be the subject of future publications.</w:t>
      </w:r>
      <w:r w:rsidR="00AD483C" w:rsidRPr="001A5A4F">
        <w:rPr>
          <w:rStyle w:val="FootnoteReference"/>
          <w:rFonts w:cs="Times New Roman"/>
          <w:color w:val="000000"/>
        </w:rPr>
        <w:footnoteReference w:id="1"/>
      </w:r>
    </w:p>
    <w:p w14:paraId="274C2012" w14:textId="77777777" w:rsidR="00D2060B" w:rsidRPr="007573D9" w:rsidRDefault="00D2060B" w:rsidP="00D2060B">
      <w:pPr>
        <w:ind w:right="131"/>
        <w:rPr>
          <w:rFonts w:cs="Times New Roman"/>
          <w:color w:val="000000"/>
        </w:rPr>
      </w:pPr>
    </w:p>
    <w:p w14:paraId="2E770F88" w14:textId="7AB545A4" w:rsidR="00D2060B" w:rsidRPr="007573D9" w:rsidRDefault="00D2060B" w:rsidP="00D2060B">
      <w:pPr>
        <w:ind w:right="131"/>
        <w:rPr>
          <w:rFonts w:cs="Times New Roman"/>
          <w:color w:val="000000"/>
        </w:rPr>
      </w:pPr>
      <w:r w:rsidRPr="007573D9">
        <w:rPr>
          <w:rFonts w:cs="Times New Roman"/>
          <w:color w:val="000000"/>
        </w:rPr>
        <w:t xml:space="preserve">Keywords: Shiloh, </w:t>
      </w:r>
      <w:r>
        <w:rPr>
          <w:rFonts w:cs="Times New Roman"/>
          <w:color w:val="000000"/>
        </w:rPr>
        <w:t xml:space="preserve">Middle </w:t>
      </w:r>
      <w:r w:rsidRPr="007573D9">
        <w:rPr>
          <w:rFonts w:cs="Times New Roman"/>
          <w:color w:val="000000"/>
        </w:rPr>
        <w:t>Bronze Age,</w:t>
      </w:r>
      <w:r>
        <w:rPr>
          <w:rFonts w:cs="Times New Roman"/>
          <w:color w:val="000000"/>
        </w:rPr>
        <w:t xml:space="preserve"> Late Bronze Age,</w:t>
      </w:r>
      <w:r w:rsidRPr="007573D9">
        <w:rPr>
          <w:rFonts w:cs="Times New Roman"/>
          <w:color w:val="000000"/>
        </w:rPr>
        <w:t xml:space="preserve"> Egypt, </w:t>
      </w:r>
      <w:r w:rsidRPr="00660C79">
        <w:rPr>
          <w:rFonts w:cs="Times New Roman"/>
          <w:color w:val="000000"/>
        </w:rPr>
        <w:t>Canaan,</w:t>
      </w:r>
      <w:r>
        <w:rPr>
          <w:rFonts w:cs="Times New Roman"/>
          <w:color w:val="000000"/>
        </w:rPr>
        <w:t xml:space="preserve"> </w:t>
      </w:r>
      <w:r w:rsidRPr="007573D9">
        <w:rPr>
          <w:rFonts w:cs="Times New Roman"/>
          <w:color w:val="000000"/>
        </w:rPr>
        <w:t>scarab, typology</w:t>
      </w:r>
    </w:p>
    <w:p w14:paraId="317D113D" w14:textId="77777777" w:rsidR="00867AF4" w:rsidRPr="007573D9" w:rsidRDefault="00867AF4" w:rsidP="007573D9">
      <w:pPr>
        <w:ind w:right="131"/>
        <w:rPr>
          <w:rFonts w:cs="Times New Roman"/>
          <w:color w:val="000000"/>
        </w:rPr>
      </w:pPr>
    </w:p>
    <w:p w14:paraId="6CDAC917" w14:textId="77777777" w:rsidR="002068A3" w:rsidRPr="007573D9" w:rsidRDefault="002068A3" w:rsidP="00944DDE">
      <w:pPr>
        <w:ind w:right="131"/>
        <w:jc w:val="center"/>
        <w:rPr>
          <w:rFonts w:cs="Times New Roman"/>
          <w:b/>
          <w:bCs/>
          <w:color w:val="000000"/>
        </w:rPr>
      </w:pPr>
      <w:r w:rsidRPr="007573D9">
        <w:rPr>
          <w:rFonts w:cs="Times New Roman"/>
          <w:b/>
          <w:bCs/>
          <w:color w:val="000000"/>
        </w:rPr>
        <w:t>Introduction</w:t>
      </w:r>
    </w:p>
    <w:p w14:paraId="20615F35" w14:textId="77777777" w:rsidR="002068A3" w:rsidRPr="007573D9" w:rsidRDefault="002068A3" w:rsidP="00B30320">
      <w:pPr>
        <w:ind w:right="131"/>
        <w:rPr>
          <w:rFonts w:cs="Times New Roman"/>
          <w:b/>
          <w:bCs/>
          <w:color w:val="000000"/>
        </w:rPr>
      </w:pPr>
    </w:p>
    <w:p w14:paraId="2D27D368" w14:textId="357F36F0" w:rsidR="00867241" w:rsidRPr="007573D9" w:rsidRDefault="00867241" w:rsidP="007573D9">
      <w:pPr>
        <w:rPr>
          <w:rFonts w:cs="Times New Roman"/>
          <w:lang w:val="en-GB"/>
        </w:rPr>
      </w:pPr>
      <w:r w:rsidRPr="007573D9">
        <w:rPr>
          <w:rFonts w:cs="Times New Roman"/>
          <w:lang w:val="en-GB"/>
        </w:rPr>
        <w:t>The site of Shiloh</w:t>
      </w:r>
      <w:r w:rsidR="0059621A" w:rsidRPr="007573D9">
        <w:rPr>
          <w:rFonts w:cs="Times New Roman"/>
          <w:lang w:val="en-GB"/>
        </w:rPr>
        <w:t xml:space="preserve"> is c</w:t>
      </w:r>
      <w:r w:rsidRPr="007573D9">
        <w:rPr>
          <w:rFonts w:cs="Times New Roman"/>
          <w:color w:val="000000"/>
        </w:rPr>
        <w:t>a. 30 kilometers north of Jerusale</w:t>
      </w:r>
      <w:r w:rsidR="0059621A" w:rsidRPr="007573D9">
        <w:rPr>
          <w:rFonts w:cs="Times New Roman"/>
          <w:color w:val="000000"/>
        </w:rPr>
        <w:t xml:space="preserve">m in the </w:t>
      </w:r>
      <w:r w:rsidR="0059621A" w:rsidRPr="007573D9">
        <w:rPr>
          <w:rFonts w:cs="Times New Roman"/>
          <w:color w:val="202122"/>
          <w:shd w:val="clear" w:color="auto" w:fill="FFFFFF"/>
        </w:rPr>
        <w:t xml:space="preserve">West Bank of Israel to the west of the modern Israeli </w:t>
      </w:r>
      <w:r w:rsidR="00F025A9">
        <w:rPr>
          <w:rFonts w:cs="Times New Roman"/>
          <w:color w:val="202122"/>
          <w:shd w:val="clear" w:color="auto" w:fill="FFFFFF"/>
        </w:rPr>
        <w:t>community</w:t>
      </w:r>
      <w:r w:rsidR="00F025A9" w:rsidRPr="007573D9">
        <w:rPr>
          <w:rFonts w:cs="Times New Roman"/>
          <w:color w:val="202122"/>
          <w:shd w:val="clear" w:color="auto" w:fill="FFFFFF"/>
        </w:rPr>
        <w:t xml:space="preserve"> </w:t>
      </w:r>
      <w:r w:rsidR="0059621A" w:rsidRPr="007573D9">
        <w:rPr>
          <w:rFonts w:cs="Times New Roman"/>
          <w:color w:val="202122"/>
          <w:shd w:val="clear" w:color="auto" w:fill="FFFFFF"/>
        </w:rPr>
        <w:t>of Shilo</w:t>
      </w:r>
      <w:r w:rsidR="00EE4277">
        <w:rPr>
          <w:rFonts w:cs="Times New Roman"/>
          <w:color w:val="202122"/>
          <w:shd w:val="clear" w:color="auto" w:fill="FFFFFF"/>
        </w:rPr>
        <w:t>h</w:t>
      </w:r>
      <w:r w:rsidR="0059621A" w:rsidRPr="007573D9">
        <w:rPr>
          <w:rFonts w:cs="Times New Roman"/>
          <w:color w:val="202122"/>
          <w:shd w:val="clear" w:color="auto" w:fill="FFFFFF"/>
        </w:rPr>
        <w:t xml:space="preserve"> and north of the Palestinian town of </w:t>
      </w:r>
      <w:proofErr w:type="spellStart"/>
      <w:r w:rsidR="0059621A" w:rsidRPr="007573D9">
        <w:rPr>
          <w:rFonts w:cs="Times New Roman"/>
          <w:color w:val="202122"/>
          <w:shd w:val="clear" w:color="auto" w:fill="FFFFFF"/>
        </w:rPr>
        <w:t>Turmus</w:t>
      </w:r>
      <w:proofErr w:type="spellEnd"/>
      <w:r w:rsidR="0059621A" w:rsidRPr="007573D9">
        <w:rPr>
          <w:rFonts w:cs="Times New Roman"/>
          <w:color w:val="202122"/>
          <w:shd w:val="clear" w:color="auto" w:fill="FFFFFF"/>
        </w:rPr>
        <w:t xml:space="preserve"> </w:t>
      </w:r>
      <w:proofErr w:type="spellStart"/>
      <w:r w:rsidR="0059621A" w:rsidRPr="007573D9">
        <w:rPr>
          <w:rFonts w:cs="Times New Roman"/>
          <w:color w:val="202122"/>
          <w:shd w:val="clear" w:color="auto" w:fill="FFFFFF"/>
        </w:rPr>
        <w:t>Ayya</w:t>
      </w:r>
      <w:proofErr w:type="spellEnd"/>
      <w:r w:rsidR="0059621A" w:rsidRPr="007573D9">
        <w:rPr>
          <w:rFonts w:cs="Times New Roman"/>
          <w:color w:val="202122"/>
          <w:shd w:val="clear" w:color="auto" w:fill="FFFFFF"/>
        </w:rPr>
        <w:t xml:space="preserve">. </w:t>
      </w:r>
      <w:r w:rsidR="0059621A" w:rsidRPr="007573D9">
        <w:rPr>
          <w:rFonts w:cs="Times New Roman"/>
        </w:rPr>
        <w:t xml:space="preserve">The tell is approximately 300 meters wide and rises 715 meters above sea level. The total area is about </w:t>
      </w:r>
      <w:r w:rsidR="00191CA9">
        <w:rPr>
          <w:rFonts w:cs="Times New Roman"/>
        </w:rPr>
        <w:t>3 hectares</w:t>
      </w:r>
      <w:r w:rsidR="0059621A" w:rsidRPr="007573D9">
        <w:rPr>
          <w:rFonts w:cs="Times New Roman"/>
        </w:rPr>
        <w:t xml:space="preserve"> (Finkelstein 1993</w:t>
      </w:r>
      <w:r w:rsidR="00905B92">
        <w:rPr>
          <w:rFonts w:cs="Times New Roman"/>
        </w:rPr>
        <w:t>:</w:t>
      </w:r>
      <w:r w:rsidR="0059621A" w:rsidRPr="007573D9">
        <w:rPr>
          <w:rFonts w:cs="Times New Roman"/>
        </w:rPr>
        <w:t xml:space="preserve"> 1). Most of the tell consists of soil and exposed rock with several </w:t>
      </w:r>
      <w:r w:rsidR="000B313A">
        <w:rPr>
          <w:rFonts w:cs="Times New Roman"/>
        </w:rPr>
        <w:t>visible</w:t>
      </w:r>
      <w:r w:rsidR="000B313A" w:rsidRPr="007573D9">
        <w:rPr>
          <w:rFonts w:cs="Times New Roman"/>
        </w:rPr>
        <w:t xml:space="preserve"> </w:t>
      </w:r>
      <w:r w:rsidR="0059621A" w:rsidRPr="007573D9">
        <w:rPr>
          <w:rFonts w:cs="Times New Roman"/>
        </w:rPr>
        <w:t>ruins. On the north side of the tell, there is a lower terrace (Buhl</w:t>
      </w:r>
      <w:r w:rsidR="00F52D2B">
        <w:rPr>
          <w:rFonts w:cs="Times New Roman"/>
        </w:rPr>
        <w:t xml:space="preserve"> and </w:t>
      </w:r>
      <w:r w:rsidR="00F52D2B" w:rsidRPr="007573D9">
        <w:rPr>
          <w:rFonts w:cs="Times New Roman"/>
        </w:rPr>
        <w:t xml:space="preserve">Holm-Nielson </w:t>
      </w:r>
      <w:r w:rsidR="0059621A" w:rsidRPr="007573D9">
        <w:rPr>
          <w:rFonts w:cs="Times New Roman"/>
        </w:rPr>
        <w:t>1969</w:t>
      </w:r>
      <w:r w:rsidR="00905B92">
        <w:rPr>
          <w:rFonts w:cs="Times New Roman"/>
        </w:rPr>
        <w:t>:</w:t>
      </w:r>
      <w:r w:rsidR="0059621A" w:rsidRPr="007573D9">
        <w:rPr>
          <w:rFonts w:cs="Times New Roman"/>
        </w:rPr>
        <w:t xml:space="preserve"> 10). Beyond this area is a steep drop to the Wadi Sailūn. The </w:t>
      </w:r>
      <w:r w:rsidR="00EE4277">
        <w:rPr>
          <w:rFonts w:cs="Times New Roman"/>
        </w:rPr>
        <w:t xml:space="preserve">north, east, and west </w:t>
      </w:r>
      <w:r w:rsidR="0059621A" w:rsidRPr="007573D9">
        <w:rPr>
          <w:rFonts w:cs="Times New Roman"/>
        </w:rPr>
        <w:t>sides of the tell are relatively steep compared to the south side, which has a more gradual grade. Access to the tell is generally from the direction of the modern settlement of Shilo</w:t>
      </w:r>
      <w:r w:rsidR="00EE4277">
        <w:rPr>
          <w:rFonts w:cs="Times New Roman"/>
        </w:rPr>
        <w:t>h</w:t>
      </w:r>
      <w:r w:rsidR="0059621A" w:rsidRPr="007573D9">
        <w:rPr>
          <w:rFonts w:cs="Times New Roman"/>
        </w:rPr>
        <w:t xml:space="preserve"> on the south side. </w:t>
      </w:r>
    </w:p>
    <w:p w14:paraId="6CC0573D" w14:textId="24CE1B8B" w:rsidR="005C3946" w:rsidRPr="007573D9" w:rsidRDefault="002068A3" w:rsidP="007573D9">
      <w:pPr>
        <w:ind w:firstLine="720"/>
        <w:rPr>
          <w:rFonts w:cs="Times New Roman"/>
          <w:lang w:val="en-GB"/>
        </w:rPr>
      </w:pPr>
      <w:r w:rsidRPr="007573D9">
        <w:rPr>
          <w:rFonts w:cs="Times New Roman"/>
          <w:lang w:val="en-GB"/>
        </w:rPr>
        <w:t xml:space="preserve">The remains discovered during </w:t>
      </w:r>
      <w:r w:rsidR="00BA3B07" w:rsidRPr="007573D9">
        <w:rPr>
          <w:rFonts w:cs="Times New Roman"/>
          <w:lang w:val="en-GB"/>
        </w:rPr>
        <w:t xml:space="preserve">four </w:t>
      </w:r>
      <w:r w:rsidRPr="007573D9">
        <w:rPr>
          <w:rFonts w:cs="Times New Roman"/>
          <w:lang w:val="en-GB"/>
        </w:rPr>
        <w:t>Shiloh</w:t>
      </w:r>
      <w:r w:rsidR="00BA3B07" w:rsidRPr="007573D9">
        <w:rPr>
          <w:rFonts w:cs="Times New Roman"/>
          <w:lang w:val="en-GB"/>
        </w:rPr>
        <w:t xml:space="preserve"> expeditions</w:t>
      </w:r>
      <w:r w:rsidRPr="007573D9">
        <w:rPr>
          <w:rFonts w:cs="Times New Roman"/>
          <w:lang w:val="en-GB"/>
        </w:rPr>
        <w:t xml:space="preserve"> over the past</w:t>
      </w:r>
      <w:r w:rsidR="00261A3D" w:rsidRPr="007573D9">
        <w:rPr>
          <w:rFonts w:cs="Times New Roman"/>
          <w:lang w:val="en-GB"/>
        </w:rPr>
        <w:t xml:space="preserve"> ca.</w:t>
      </w:r>
      <w:r w:rsidRPr="007573D9">
        <w:rPr>
          <w:rFonts w:cs="Times New Roman"/>
          <w:lang w:val="en-GB"/>
        </w:rPr>
        <w:t xml:space="preserve"> 100 years date from the Middle Bronze Age II through the Mamluk period. Hans Kjaer, on behalf of the Danish National Museum, excavated th</w:t>
      </w:r>
      <w:r w:rsidR="00BA3B07" w:rsidRPr="007573D9">
        <w:rPr>
          <w:rFonts w:cs="Times New Roman"/>
          <w:lang w:val="en-GB"/>
        </w:rPr>
        <w:t>r</w:t>
      </w:r>
      <w:r w:rsidRPr="007573D9">
        <w:rPr>
          <w:rFonts w:cs="Times New Roman"/>
          <w:lang w:val="en-GB"/>
        </w:rPr>
        <w:t>e</w:t>
      </w:r>
      <w:r w:rsidR="00BA3B07" w:rsidRPr="007573D9">
        <w:rPr>
          <w:rFonts w:cs="Times New Roman"/>
          <w:lang w:val="en-GB"/>
        </w:rPr>
        <w:t>e</w:t>
      </w:r>
      <w:r w:rsidRPr="007573D9">
        <w:rPr>
          <w:rFonts w:cs="Times New Roman"/>
          <w:lang w:val="en-GB"/>
        </w:rPr>
        <w:t xml:space="preserve"> s</w:t>
      </w:r>
      <w:r w:rsidR="00BA3B07" w:rsidRPr="007573D9">
        <w:rPr>
          <w:rFonts w:cs="Times New Roman"/>
          <w:lang w:val="en-GB"/>
        </w:rPr>
        <w:t>easons</w:t>
      </w:r>
      <w:r w:rsidRPr="007573D9">
        <w:rPr>
          <w:rFonts w:cs="Times New Roman"/>
          <w:lang w:val="en-GB"/>
        </w:rPr>
        <w:t xml:space="preserve"> between 1926 and 1932. Mar</w:t>
      </w:r>
      <w:r w:rsidR="00317631" w:rsidRPr="007573D9">
        <w:rPr>
          <w:rFonts w:cs="Times New Roman"/>
          <w:lang w:val="en-GB"/>
        </w:rPr>
        <w:t>ie-</w:t>
      </w:r>
      <w:r w:rsidRPr="007573D9">
        <w:rPr>
          <w:rFonts w:cs="Times New Roman"/>
          <w:lang w:val="en-GB"/>
        </w:rPr>
        <w:t>Louise Buhl and Svend Holm-Nielson completed the Danish excavation</w:t>
      </w:r>
      <w:r w:rsidR="00261A3D" w:rsidRPr="007573D9">
        <w:rPr>
          <w:rFonts w:cs="Times New Roman"/>
          <w:lang w:val="en-GB"/>
        </w:rPr>
        <w:t>s</w:t>
      </w:r>
      <w:r w:rsidRPr="007573D9">
        <w:rPr>
          <w:rFonts w:cs="Times New Roman"/>
          <w:lang w:val="en-GB"/>
        </w:rPr>
        <w:t xml:space="preserve"> in 1963.</w:t>
      </w:r>
      <w:r w:rsidRPr="007573D9">
        <w:rPr>
          <w:rStyle w:val="FootnoteReference"/>
          <w:rFonts w:cs="Times New Roman"/>
          <w:lang w:val="en-GB"/>
        </w:rPr>
        <w:footnoteReference w:id="2"/>
      </w:r>
      <w:r w:rsidRPr="007573D9">
        <w:rPr>
          <w:rFonts w:cs="Times New Roman"/>
          <w:lang w:val="en-GB"/>
        </w:rPr>
        <w:t xml:space="preserve"> Between 1981–1984, Israel Finkelstein</w:t>
      </w:r>
      <w:r w:rsidR="00BA3B07" w:rsidRPr="007573D9">
        <w:rPr>
          <w:rFonts w:cs="Times New Roman"/>
          <w:lang w:val="en-GB"/>
        </w:rPr>
        <w:t xml:space="preserve"> on behalf</w:t>
      </w:r>
      <w:r w:rsidR="00CB4DE7" w:rsidRPr="007573D9">
        <w:rPr>
          <w:rFonts w:cs="Times New Roman"/>
          <w:lang w:val="en-GB"/>
        </w:rPr>
        <w:t xml:space="preserve"> </w:t>
      </w:r>
      <w:r w:rsidR="00BA3B07" w:rsidRPr="007573D9">
        <w:rPr>
          <w:rFonts w:cs="Times New Roman"/>
          <w:lang w:val="en-GB"/>
        </w:rPr>
        <w:t xml:space="preserve">of </w:t>
      </w:r>
      <w:r w:rsidRPr="007573D9">
        <w:rPr>
          <w:rFonts w:cs="Times New Roman"/>
          <w:lang w:val="en-GB"/>
        </w:rPr>
        <w:t>Bar-Ilan University</w:t>
      </w:r>
      <w:r w:rsidR="00BA3B07" w:rsidRPr="007573D9">
        <w:rPr>
          <w:rFonts w:cs="Times New Roman"/>
          <w:lang w:val="en-GB"/>
        </w:rPr>
        <w:t xml:space="preserve"> excavated four seasons</w:t>
      </w:r>
      <w:r w:rsidRPr="007573D9">
        <w:rPr>
          <w:rFonts w:cs="Times New Roman"/>
          <w:lang w:val="en-GB"/>
        </w:rPr>
        <w:t xml:space="preserve">. Scott Stripling currently directs the Associates for Biblical Research (ABR) excavations (2017–Present) on the northern and eastern slopes, under the auspices of the Staff Officer of the Civil Administration of Judea and Samaria (KAMAT). The KAMAT also periodically operates salvage excavations and </w:t>
      </w:r>
      <w:r w:rsidR="00F1393F" w:rsidRPr="007573D9">
        <w:rPr>
          <w:rFonts w:cs="Times New Roman"/>
          <w:lang w:val="en-GB"/>
        </w:rPr>
        <w:t xml:space="preserve">has recently </w:t>
      </w:r>
      <w:r w:rsidRPr="007573D9">
        <w:rPr>
          <w:rFonts w:cs="Times New Roman"/>
          <w:lang w:val="en-GB"/>
        </w:rPr>
        <w:t>explor</w:t>
      </w:r>
      <w:r w:rsidR="00F1393F" w:rsidRPr="007573D9">
        <w:rPr>
          <w:rFonts w:cs="Times New Roman"/>
          <w:lang w:val="en-GB"/>
        </w:rPr>
        <w:t>ed</w:t>
      </w:r>
      <w:r w:rsidRPr="007573D9">
        <w:rPr>
          <w:rFonts w:cs="Times New Roman"/>
          <w:lang w:val="en-GB"/>
        </w:rPr>
        <w:t xml:space="preserve"> the</w:t>
      </w:r>
      <w:r w:rsidR="000B313A">
        <w:rPr>
          <w:rFonts w:cs="Times New Roman"/>
          <w:lang w:val="en-GB"/>
        </w:rPr>
        <w:t xml:space="preserve"> summit and</w:t>
      </w:r>
      <w:r w:rsidRPr="007573D9">
        <w:rPr>
          <w:rFonts w:cs="Times New Roman"/>
          <w:lang w:val="en-GB"/>
        </w:rPr>
        <w:t xml:space="preserve"> southern slope under Reut Ben Arie’s direction.</w:t>
      </w:r>
      <w:r w:rsidR="00483ACB" w:rsidRPr="007573D9">
        <w:rPr>
          <w:rFonts w:cs="Times New Roman"/>
          <w:lang w:val="en-GB"/>
        </w:rPr>
        <w:t xml:space="preserve"> </w:t>
      </w:r>
    </w:p>
    <w:p w14:paraId="09044B47" w14:textId="5E8103B4" w:rsidR="002068A3" w:rsidRPr="007573D9" w:rsidRDefault="00C3533A" w:rsidP="007573D9">
      <w:pPr>
        <w:ind w:firstLine="720"/>
        <w:rPr>
          <w:rFonts w:cs="Times New Roman"/>
        </w:rPr>
      </w:pPr>
      <w:r w:rsidRPr="007573D9">
        <w:rPr>
          <w:rFonts w:cs="Times New Roman"/>
          <w:lang w:val="en-GB"/>
        </w:rPr>
        <w:t>T</w:t>
      </w:r>
      <w:r w:rsidR="00880DCD" w:rsidRPr="007573D9">
        <w:rPr>
          <w:rFonts w:cs="Times New Roman"/>
          <w:lang w:val="en-GB"/>
        </w:rPr>
        <w:t xml:space="preserve">he ABR team </w:t>
      </w:r>
      <w:r w:rsidRPr="007573D9">
        <w:rPr>
          <w:rFonts w:cs="Times New Roman"/>
          <w:lang w:val="en-GB"/>
        </w:rPr>
        <w:t xml:space="preserve">has </w:t>
      </w:r>
      <w:r w:rsidR="00880DCD" w:rsidRPr="007573D9">
        <w:rPr>
          <w:rFonts w:cs="Times New Roman"/>
          <w:lang w:val="en-GB"/>
        </w:rPr>
        <w:t>discovered thirteen scarabs during five seasons. In contrast, the Danish</w:t>
      </w:r>
      <w:r w:rsidR="008B64C5">
        <w:rPr>
          <w:rFonts w:cs="Times New Roman"/>
          <w:lang w:val="en-GB"/>
        </w:rPr>
        <w:t xml:space="preserve"> team</w:t>
      </w:r>
      <w:r w:rsidR="00880DCD" w:rsidRPr="007573D9">
        <w:rPr>
          <w:rFonts w:cs="Times New Roman"/>
          <w:lang w:val="en-GB"/>
        </w:rPr>
        <w:t xml:space="preserve"> discovered three in four seasons (</w:t>
      </w:r>
      <w:r w:rsidR="00375945" w:rsidRPr="007573D9">
        <w:rPr>
          <w:rFonts w:cs="Times New Roman"/>
        </w:rPr>
        <w:t>Buhl</w:t>
      </w:r>
      <w:r w:rsidR="00F52D2B">
        <w:rPr>
          <w:rFonts w:cs="Times New Roman"/>
        </w:rPr>
        <w:t xml:space="preserve"> and </w:t>
      </w:r>
      <w:r w:rsidR="00F52D2B" w:rsidRPr="007573D9">
        <w:rPr>
          <w:rFonts w:cs="Times New Roman"/>
        </w:rPr>
        <w:t xml:space="preserve">Holm-Nielson </w:t>
      </w:r>
      <w:r w:rsidR="00880DCD" w:rsidRPr="007573D9">
        <w:rPr>
          <w:rFonts w:cs="Times New Roman"/>
          <w:lang w:val="en-GB"/>
        </w:rPr>
        <w:t>1969</w:t>
      </w:r>
      <w:r w:rsidR="00920CCE" w:rsidRPr="007573D9">
        <w:rPr>
          <w:rFonts w:cs="Times New Roman"/>
          <w:lang w:val="en-GB"/>
        </w:rPr>
        <w:t>:</w:t>
      </w:r>
      <w:r w:rsidR="00880DCD" w:rsidRPr="007573D9">
        <w:rPr>
          <w:rFonts w:cs="Times New Roman"/>
          <w:lang w:val="en-GB"/>
        </w:rPr>
        <w:t xml:space="preserve"> 28–29, 37–39), the Bar</w:t>
      </w:r>
      <w:r w:rsidR="00F0267C">
        <w:rPr>
          <w:rFonts w:cs="Times New Roman"/>
          <w:lang w:val="en-GB"/>
        </w:rPr>
        <w:t>-</w:t>
      </w:r>
      <w:r w:rsidR="00880DCD" w:rsidRPr="007573D9">
        <w:rPr>
          <w:rFonts w:cs="Times New Roman"/>
          <w:lang w:val="en-GB"/>
        </w:rPr>
        <w:t>Ilan team found five scarabs in four seasons (Brandl 1993</w:t>
      </w:r>
      <w:r w:rsidR="00920CCE" w:rsidRPr="007573D9">
        <w:rPr>
          <w:rFonts w:cs="Times New Roman"/>
          <w:lang w:val="en-GB"/>
        </w:rPr>
        <w:t>:</w:t>
      </w:r>
      <w:r w:rsidR="00880DCD" w:rsidRPr="007573D9">
        <w:rPr>
          <w:rFonts w:cs="Times New Roman"/>
          <w:lang w:val="en-GB"/>
        </w:rPr>
        <w:t xml:space="preserve"> 205–207, 211–212, 215)</w:t>
      </w:r>
      <w:r w:rsidR="00485E18">
        <w:rPr>
          <w:rFonts w:cs="Times New Roman"/>
          <w:lang w:val="en-GB"/>
        </w:rPr>
        <w:t xml:space="preserve">, and </w:t>
      </w:r>
      <w:r w:rsidR="00485E18">
        <w:rPr>
          <w:rFonts w:cs="Times New Roman"/>
          <w:lang w:val="en-GB"/>
        </w:rPr>
        <w:lastRenderedPageBreak/>
        <w:t>KAMAT excavations</w:t>
      </w:r>
      <w:r w:rsidR="009C1995">
        <w:rPr>
          <w:rFonts w:cs="Times New Roman"/>
          <w:lang w:val="en-GB"/>
        </w:rPr>
        <w:t xml:space="preserve"> have </w:t>
      </w:r>
      <w:r w:rsidR="00485E18">
        <w:rPr>
          <w:rFonts w:cs="Times New Roman"/>
          <w:lang w:val="en-GB"/>
        </w:rPr>
        <w:t>yielded five scarabs</w:t>
      </w:r>
      <w:r w:rsidR="009424DF">
        <w:rPr>
          <w:rFonts w:cs="Times New Roman"/>
          <w:lang w:val="en-GB"/>
        </w:rPr>
        <w:t xml:space="preserve"> over the past decade</w:t>
      </w:r>
      <w:r w:rsidR="00880DCD" w:rsidRPr="007573D9">
        <w:rPr>
          <w:rFonts w:cs="Times New Roman"/>
          <w:lang w:val="en-GB"/>
        </w:rPr>
        <w:t>.</w:t>
      </w:r>
      <w:r w:rsidR="009C1995">
        <w:rPr>
          <w:rStyle w:val="FootnoteReference"/>
          <w:rFonts w:cs="Times New Roman"/>
          <w:lang w:val="en-GB"/>
        </w:rPr>
        <w:footnoteReference w:id="3"/>
      </w:r>
      <w:r w:rsidR="00880DCD" w:rsidRPr="007573D9">
        <w:rPr>
          <w:rFonts w:cs="Times New Roman"/>
          <w:lang w:val="en-GB"/>
        </w:rPr>
        <w:t xml:space="preserve"> </w:t>
      </w:r>
      <w:r w:rsidR="002068A3" w:rsidRPr="007573D9">
        <w:rPr>
          <w:rFonts w:cs="Times New Roman"/>
          <w:lang w:val="en-GB"/>
        </w:rPr>
        <w:t xml:space="preserve">Most of the scarabs found by ABR </w:t>
      </w:r>
      <w:r w:rsidR="00BA3B07" w:rsidRPr="007573D9">
        <w:rPr>
          <w:rFonts w:cs="Times New Roman"/>
          <w:lang w:val="en-GB"/>
        </w:rPr>
        <w:t xml:space="preserve">derived from </w:t>
      </w:r>
      <w:r w:rsidR="002068A3" w:rsidRPr="007573D9">
        <w:rPr>
          <w:rFonts w:cs="Times New Roman"/>
          <w:lang w:val="en-GB"/>
        </w:rPr>
        <w:t>wet sifting, an integral aspect of the</w:t>
      </w:r>
      <w:r w:rsidR="004D47C1">
        <w:rPr>
          <w:rFonts w:cs="Times New Roman"/>
          <w:lang w:val="en-GB"/>
        </w:rPr>
        <w:t xml:space="preserve"> team’s</w:t>
      </w:r>
      <w:r w:rsidR="002068A3" w:rsidRPr="007573D9">
        <w:rPr>
          <w:rFonts w:cs="Times New Roman"/>
          <w:lang w:val="en-GB"/>
        </w:rPr>
        <w:t xml:space="preserve"> excavation protocols. The three scarabs in this analysis include two found in mixed context</w:t>
      </w:r>
      <w:r w:rsidR="00F1393F" w:rsidRPr="007573D9">
        <w:rPr>
          <w:rFonts w:cs="Times New Roman"/>
          <w:lang w:val="en-GB"/>
        </w:rPr>
        <w:t>s,</w:t>
      </w:r>
      <w:r w:rsidR="002068A3" w:rsidRPr="007573D9">
        <w:rPr>
          <w:rFonts w:cs="Times New Roman"/>
          <w:lang w:val="en-GB"/>
        </w:rPr>
        <w:t xml:space="preserve"> one</w:t>
      </w:r>
      <w:r w:rsidR="00F1393F" w:rsidRPr="007573D9">
        <w:rPr>
          <w:rFonts w:cs="Times New Roman"/>
          <w:lang w:val="en-GB"/>
        </w:rPr>
        <w:t xml:space="preserve"> of which</w:t>
      </w:r>
      <w:r w:rsidR="002068A3" w:rsidRPr="007573D9">
        <w:rPr>
          <w:rFonts w:cs="Times New Roman"/>
          <w:lang w:val="en-GB"/>
        </w:rPr>
        <w:t xml:space="preserve"> </w:t>
      </w:r>
      <w:r w:rsidR="00F1393F" w:rsidRPr="007573D9">
        <w:rPr>
          <w:rFonts w:cs="Times New Roman"/>
          <w:lang w:val="en-GB"/>
        </w:rPr>
        <w:t xml:space="preserve">came </w:t>
      </w:r>
      <w:r w:rsidR="00A02025" w:rsidRPr="007573D9">
        <w:rPr>
          <w:rFonts w:cs="Times New Roman"/>
          <w:lang w:val="en-GB"/>
        </w:rPr>
        <w:t>from</w:t>
      </w:r>
      <w:r w:rsidR="00F1393F" w:rsidRPr="007573D9">
        <w:rPr>
          <w:rFonts w:cs="Times New Roman"/>
          <w:lang w:val="en-GB"/>
        </w:rPr>
        <w:t xml:space="preserve"> </w:t>
      </w:r>
      <w:r w:rsidR="002068A3" w:rsidRPr="007573D9">
        <w:rPr>
          <w:rFonts w:cs="Times New Roman"/>
          <w:lang w:val="en-GB"/>
        </w:rPr>
        <w:t>wet sifting.</w:t>
      </w:r>
      <w:r w:rsidR="000B313A">
        <w:rPr>
          <w:rFonts w:cs="Times New Roman"/>
          <w:lang w:val="en-GB"/>
        </w:rPr>
        <w:t xml:space="preserve"> </w:t>
      </w:r>
      <w:r w:rsidR="002068A3" w:rsidRPr="007573D9">
        <w:rPr>
          <w:rFonts w:cs="Times New Roman"/>
          <w:lang w:val="en-GB"/>
        </w:rPr>
        <w:t xml:space="preserve">Workers discovered the third scarab in situ in a clean context. </w:t>
      </w:r>
      <w:r w:rsidR="002068A3" w:rsidRPr="007573D9">
        <w:rPr>
          <w:rFonts w:cs="Times New Roman"/>
        </w:rPr>
        <w:t>This study</w:t>
      </w:r>
      <w:r w:rsidR="002068A3" w:rsidRPr="007573D9">
        <w:rPr>
          <w:rFonts w:cs="Times New Roman"/>
          <w:color w:val="000000"/>
        </w:rPr>
        <w:t xml:space="preserve"> considers</w:t>
      </w:r>
      <w:r w:rsidR="00F1393F" w:rsidRPr="007573D9">
        <w:rPr>
          <w:rFonts w:cs="Times New Roman"/>
          <w:color w:val="000000"/>
        </w:rPr>
        <w:t xml:space="preserve"> </w:t>
      </w:r>
      <w:r w:rsidR="002068A3" w:rsidRPr="007573D9">
        <w:rPr>
          <w:rFonts w:cs="Times New Roman"/>
          <w:color w:val="000000"/>
        </w:rPr>
        <w:t>th</w:t>
      </w:r>
      <w:r w:rsidR="008A10CD" w:rsidRPr="007573D9">
        <w:rPr>
          <w:rFonts w:cs="Times New Roman"/>
          <w:color w:val="000000"/>
        </w:rPr>
        <w:t>e</w:t>
      </w:r>
      <w:r w:rsidR="002068A3" w:rsidRPr="007573D9">
        <w:rPr>
          <w:rFonts w:cs="Times New Roman"/>
          <w:color w:val="000000"/>
        </w:rPr>
        <w:t xml:space="preserve"> hieroglyphic </w:t>
      </w:r>
      <w:r w:rsidRPr="007573D9">
        <w:rPr>
          <w:rFonts w:cs="Times New Roman"/>
          <w:color w:val="000000"/>
        </w:rPr>
        <w:t>signs</w:t>
      </w:r>
      <w:r w:rsidR="002068A3" w:rsidRPr="007573D9">
        <w:rPr>
          <w:rFonts w:cs="Times New Roman"/>
          <w:color w:val="000000"/>
        </w:rPr>
        <w:t xml:space="preserve">, </w:t>
      </w:r>
      <w:r w:rsidR="008A10CD" w:rsidRPr="007573D9">
        <w:rPr>
          <w:rFonts w:cs="Times New Roman"/>
          <w:color w:val="000000"/>
        </w:rPr>
        <w:t>the</w:t>
      </w:r>
      <w:r w:rsidR="002068A3" w:rsidRPr="007573D9">
        <w:rPr>
          <w:rFonts w:cs="Times New Roman"/>
          <w:color w:val="000000"/>
        </w:rPr>
        <w:t xml:space="preserve"> typology, and the context</w:t>
      </w:r>
      <w:r w:rsidR="008A10CD" w:rsidRPr="007573D9">
        <w:rPr>
          <w:rFonts w:cs="Times New Roman"/>
          <w:color w:val="000000"/>
        </w:rPr>
        <w:t xml:space="preserve"> of the</w:t>
      </w:r>
      <w:r w:rsidR="00A02025" w:rsidRPr="007573D9">
        <w:rPr>
          <w:rFonts w:cs="Times New Roman"/>
          <w:color w:val="000000"/>
        </w:rPr>
        <w:t>se scarabs’</w:t>
      </w:r>
      <w:r w:rsidR="008A10CD" w:rsidRPr="007573D9">
        <w:rPr>
          <w:rFonts w:cs="Times New Roman"/>
          <w:color w:val="000000"/>
        </w:rPr>
        <w:t xml:space="preserve"> discovery</w:t>
      </w:r>
      <w:r w:rsidR="002068A3" w:rsidRPr="007573D9">
        <w:rPr>
          <w:rFonts w:cs="Times New Roman"/>
          <w:color w:val="000000"/>
        </w:rPr>
        <w:t xml:space="preserve">. </w:t>
      </w:r>
      <w:r w:rsidR="005C3946" w:rsidRPr="007573D9">
        <w:rPr>
          <w:rFonts w:cs="Times New Roman"/>
        </w:rPr>
        <w:t xml:space="preserve">An examination of these three aspects of the scarabs </w:t>
      </w:r>
      <w:r w:rsidR="00F0267C">
        <w:rPr>
          <w:rFonts w:cs="Times New Roman"/>
        </w:rPr>
        <w:t>suggests</w:t>
      </w:r>
      <w:r w:rsidR="00F0267C" w:rsidRPr="007573D9">
        <w:rPr>
          <w:rFonts w:cs="Times New Roman"/>
        </w:rPr>
        <w:t xml:space="preserve"> </w:t>
      </w:r>
      <w:r w:rsidR="005C3946" w:rsidRPr="007573D9">
        <w:rPr>
          <w:rFonts w:cs="Times New Roman"/>
        </w:rPr>
        <w:t>the date of their manufacture.</w:t>
      </w:r>
    </w:p>
    <w:p w14:paraId="0668652E" w14:textId="006544DF" w:rsidR="0010026F" w:rsidRPr="007573D9" w:rsidRDefault="0010026F" w:rsidP="007573D9">
      <w:pPr>
        <w:autoSpaceDE w:val="0"/>
        <w:autoSpaceDN w:val="0"/>
        <w:adjustRightInd w:val="0"/>
        <w:ind w:firstLine="720"/>
        <w:rPr>
          <w:rFonts w:cs="Times New Roman"/>
        </w:rPr>
      </w:pPr>
      <w:r w:rsidRPr="007573D9">
        <w:rPr>
          <w:rFonts w:cs="Times New Roman"/>
        </w:rPr>
        <w:t>Ward (1987</w:t>
      </w:r>
      <w:r w:rsidR="00920CCE" w:rsidRPr="007573D9">
        <w:rPr>
          <w:rFonts w:cs="Times New Roman"/>
        </w:rPr>
        <w:t>:</w:t>
      </w:r>
      <w:r w:rsidRPr="007573D9">
        <w:rPr>
          <w:rFonts w:cs="Times New Roman"/>
        </w:rPr>
        <w:t xml:space="preserve"> 508) </w:t>
      </w:r>
      <w:r w:rsidR="00F0267C">
        <w:rPr>
          <w:rFonts w:cs="Times New Roman"/>
        </w:rPr>
        <w:t>posited</w:t>
      </w:r>
      <w:r w:rsidR="00F0267C" w:rsidRPr="007573D9">
        <w:rPr>
          <w:rFonts w:cs="Times New Roman"/>
        </w:rPr>
        <w:t xml:space="preserve"> </w:t>
      </w:r>
      <w:r w:rsidRPr="007573D9">
        <w:rPr>
          <w:rFonts w:cs="Times New Roman"/>
        </w:rPr>
        <w:t>that if scarabs are to be use</w:t>
      </w:r>
      <w:r w:rsidR="00F0267C">
        <w:rPr>
          <w:rFonts w:cs="Times New Roman"/>
        </w:rPr>
        <w:t>ful</w:t>
      </w:r>
      <w:r w:rsidRPr="007573D9">
        <w:rPr>
          <w:rFonts w:cs="Times New Roman"/>
        </w:rPr>
        <w:t xml:space="preserve"> as a dating criterion</w:t>
      </w:r>
      <w:r w:rsidR="00F025A9">
        <w:rPr>
          <w:rFonts w:cs="Times New Roman"/>
        </w:rPr>
        <w:t>,</w:t>
      </w:r>
      <w:r w:rsidRPr="007573D9">
        <w:rPr>
          <w:rFonts w:cs="Times New Roman"/>
        </w:rPr>
        <w:t xml:space="preserve"> there must first be a typological sequence based on an archaeological context. A t</w:t>
      </w:r>
      <w:r w:rsidRPr="007573D9">
        <w:rPr>
          <w:rFonts w:cs="Times New Roman"/>
          <w:color w:val="000000"/>
        </w:rPr>
        <w:t>ypological analysis addresses each scarab’s unique features including its base, head, back, and sides. Our typological analysis relies primarily on the work of Olga Tufnell, with updates by Ward and Dever, Daphna Ben-Tor, and Othmar Keel that rely on large groups of scarabs from clean archaeological contexts.</w:t>
      </w:r>
      <w:r w:rsidRPr="007573D9">
        <w:rPr>
          <w:rStyle w:val="FootnoteReference"/>
          <w:rFonts w:cs="Times New Roman"/>
          <w:color w:val="000000"/>
        </w:rPr>
        <w:footnoteReference w:id="4"/>
      </w:r>
    </w:p>
    <w:p w14:paraId="30EB67E8" w14:textId="77777777" w:rsidR="005C3946" w:rsidRPr="007573D9" w:rsidRDefault="005C3946" w:rsidP="007573D9">
      <w:pPr>
        <w:ind w:firstLine="720"/>
        <w:rPr>
          <w:rFonts w:cs="Times New Roman"/>
        </w:rPr>
      </w:pPr>
    </w:p>
    <w:p w14:paraId="2105668A" w14:textId="2E05F67F" w:rsidR="002068A3" w:rsidRPr="007573D9" w:rsidRDefault="007A53A7" w:rsidP="00944DDE">
      <w:pPr>
        <w:jc w:val="center"/>
        <w:rPr>
          <w:rFonts w:cs="Times New Roman"/>
          <w:b/>
          <w:bCs/>
        </w:rPr>
      </w:pPr>
      <w:r w:rsidRPr="007573D9">
        <w:rPr>
          <w:rFonts w:cs="Times New Roman"/>
          <w:b/>
          <w:bCs/>
        </w:rPr>
        <w:t>Descriptions</w:t>
      </w:r>
      <w:r w:rsidR="0010026F" w:rsidRPr="007573D9">
        <w:rPr>
          <w:rFonts w:cs="Times New Roman"/>
          <w:b/>
          <w:bCs/>
        </w:rPr>
        <w:t xml:space="preserve"> and Context</w:t>
      </w:r>
    </w:p>
    <w:p w14:paraId="6289AB71" w14:textId="77777777" w:rsidR="002068A3" w:rsidRPr="007573D9" w:rsidRDefault="002068A3" w:rsidP="00B30320">
      <w:pPr>
        <w:adjustRightInd w:val="0"/>
        <w:rPr>
          <w:rFonts w:cs="Times New Roman"/>
        </w:rPr>
      </w:pPr>
    </w:p>
    <w:p w14:paraId="7A54017A" w14:textId="3634680C" w:rsidR="002068A3" w:rsidRPr="007573D9" w:rsidRDefault="002068A3" w:rsidP="007573D9">
      <w:pPr>
        <w:adjustRightInd w:val="0"/>
        <w:rPr>
          <w:rFonts w:cs="Times New Roman"/>
          <w:color w:val="000000" w:themeColor="text1"/>
        </w:rPr>
      </w:pPr>
      <w:r w:rsidRPr="007573D9">
        <w:rPr>
          <w:rFonts w:cs="Times New Roman"/>
        </w:rPr>
        <w:t xml:space="preserve">Base Design and Hieroglyphic </w:t>
      </w:r>
      <w:r w:rsidR="00C3533A" w:rsidRPr="007573D9">
        <w:rPr>
          <w:rFonts w:cs="Times New Roman"/>
        </w:rPr>
        <w:t>Signs</w:t>
      </w:r>
      <w:r w:rsidRPr="007573D9">
        <w:rPr>
          <w:rFonts w:cs="Times New Roman"/>
        </w:rPr>
        <w:t>: The analysis lists each scarab’s Egyptian hieroglyphs in square brackets [ ] as they appear in Gardiner’s sign-list (1927</w:t>
      </w:r>
      <w:r w:rsidR="00920CCE" w:rsidRPr="007573D9">
        <w:rPr>
          <w:rFonts w:cs="Times New Roman"/>
        </w:rPr>
        <w:t>:</w:t>
      </w:r>
      <w:r w:rsidRPr="007573D9">
        <w:rPr>
          <w:rFonts w:cs="Times New Roman"/>
        </w:rPr>
        <w:t xml:space="preserve"> 432–531). </w:t>
      </w:r>
      <w:r w:rsidR="001A797D" w:rsidRPr="007573D9">
        <w:rPr>
          <w:rFonts w:cs="Times New Roman"/>
          <w:color w:val="000000" w:themeColor="text1"/>
        </w:rPr>
        <w:t xml:space="preserve">We present </w:t>
      </w:r>
      <w:r w:rsidRPr="007573D9">
        <w:rPr>
          <w:rFonts w:cs="Times New Roman"/>
          <w:color w:val="000000" w:themeColor="text1"/>
        </w:rPr>
        <w:t xml:space="preserve">the reading order for each scarab </w:t>
      </w:r>
      <w:r w:rsidR="001A797D" w:rsidRPr="007573D9">
        <w:rPr>
          <w:rFonts w:cs="Times New Roman"/>
          <w:color w:val="000000" w:themeColor="text1"/>
        </w:rPr>
        <w:t xml:space="preserve">required for accurate </w:t>
      </w:r>
      <w:r w:rsidRPr="007573D9">
        <w:rPr>
          <w:rFonts w:cs="Times New Roman"/>
          <w:color w:val="000000" w:themeColor="text1"/>
        </w:rPr>
        <w:t xml:space="preserve">translation. </w:t>
      </w:r>
      <w:r w:rsidRPr="007573D9">
        <w:rPr>
          <w:rFonts w:cs="Times New Roman"/>
        </w:rPr>
        <w:t xml:space="preserve">Ancient Egyptians wrote hieroglyphs </w:t>
      </w:r>
      <w:r w:rsidRPr="007573D9">
        <w:rPr>
          <w:rFonts w:cs="Times New Roman"/>
          <w:color w:val="000000" w:themeColor="text1"/>
        </w:rPr>
        <w:t>right to left and sometimes left to right (Allen 2014</w:t>
      </w:r>
      <w:r w:rsidR="00920CCE" w:rsidRPr="007573D9">
        <w:rPr>
          <w:rFonts w:cs="Times New Roman"/>
          <w:color w:val="000000" w:themeColor="text1"/>
        </w:rPr>
        <w:t>:</w:t>
      </w:r>
      <w:r w:rsidRPr="007573D9">
        <w:rPr>
          <w:rFonts w:cs="Times New Roman"/>
          <w:color w:val="000000" w:themeColor="text1"/>
        </w:rPr>
        <w:t xml:space="preserve"> 4). Although they typically wrote right to left, they also </w:t>
      </w:r>
      <w:r w:rsidR="002932D3">
        <w:rPr>
          <w:rFonts w:cs="Times New Roman"/>
          <w:color w:val="000000" w:themeColor="text1"/>
        </w:rPr>
        <w:t>composed</w:t>
      </w:r>
      <w:r w:rsidR="002932D3" w:rsidRPr="007573D9">
        <w:rPr>
          <w:rFonts w:cs="Times New Roman"/>
          <w:color w:val="000000" w:themeColor="text1"/>
        </w:rPr>
        <w:t xml:space="preserve"> </w:t>
      </w:r>
      <w:r w:rsidRPr="007573D9">
        <w:rPr>
          <w:rFonts w:cs="Times New Roman"/>
          <w:color w:val="000000" w:themeColor="text1"/>
        </w:rPr>
        <w:t>symmetrical inscriptions (Allen 2014</w:t>
      </w:r>
      <w:r w:rsidR="00920CCE" w:rsidRPr="007573D9">
        <w:rPr>
          <w:rFonts w:cs="Times New Roman"/>
          <w:color w:val="000000" w:themeColor="text1"/>
        </w:rPr>
        <w:t>:</w:t>
      </w:r>
      <w:r w:rsidRPr="007573D9">
        <w:rPr>
          <w:rFonts w:cs="Times New Roman"/>
          <w:color w:val="000000" w:themeColor="text1"/>
        </w:rPr>
        <w:t xml:space="preserve"> 4).</w:t>
      </w:r>
      <w:r w:rsidRPr="007573D9">
        <w:rPr>
          <w:rStyle w:val="FootnoteReference"/>
          <w:rFonts w:cs="Times New Roman"/>
          <w:color w:val="000000" w:themeColor="text1"/>
        </w:rPr>
        <w:footnoteReference w:id="5"/>
      </w:r>
      <w:r w:rsidRPr="007573D9">
        <w:rPr>
          <w:rFonts w:cs="Times New Roman"/>
          <w:color w:val="000000" w:themeColor="text1"/>
        </w:rPr>
        <w:t xml:space="preserve"> Hieroglyphs aligned vertically in a column, </w:t>
      </w:r>
      <w:r w:rsidR="00B41ED2" w:rsidRPr="007573D9">
        <w:rPr>
          <w:rFonts w:cs="Times New Roman"/>
          <w:color w:val="000000" w:themeColor="text1"/>
        </w:rPr>
        <w:t xml:space="preserve">usually </w:t>
      </w:r>
      <w:r w:rsidRPr="007573D9">
        <w:rPr>
          <w:rFonts w:cs="Times New Roman"/>
          <w:color w:val="000000" w:themeColor="text1"/>
        </w:rPr>
        <w:t xml:space="preserve">read from top to bottom and </w:t>
      </w:r>
      <w:r w:rsidR="00B41ED2" w:rsidRPr="007573D9">
        <w:rPr>
          <w:rFonts w:cs="Times New Roman"/>
          <w:color w:val="000000" w:themeColor="text1"/>
        </w:rPr>
        <w:t>not</w:t>
      </w:r>
      <w:r w:rsidRPr="007573D9">
        <w:rPr>
          <w:rFonts w:cs="Times New Roman"/>
          <w:color w:val="000000" w:themeColor="text1"/>
        </w:rPr>
        <w:t xml:space="preserve"> bottom to top (Manley 2012</w:t>
      </w:r>
      <w:r w:rsidR="00920CCE" w:rsidRPr="007573D9">
        <w:rPr>
          <w:rFonts w:cs="Times New Roman"/>
          <w:color w:val="000000" w:themeColor="text1"/>
        </w:rPr>
        <w:t>:</w:t>
      </w:r>
      <w:r w:rsidRPr="007573D9">
        <w:rPr>
          <w:rFonts w:cs="Times New Roman"/>
          <w:color w:val="000000" w:themeColor="text1"/>
        </w:rPr>
        <w:t xml:space="preserve"> 14). </w:t>
      </w:r>
    </w:p>
    <w:p w14:paraId="47700670" w14:textId="77777777" w:rsidR="00B41ED2" w:rsidRPr="007573D9" w:rsidRDefault="00B41ED2" w:rsidP="007573D9">
      <w:pPr>
        <w:adjustRightInd w:val="0"/>
        <w:rPr>
          <w:rFonts w:cs="Times New Roman"/>
          <w:color w:val="000000" w:themeColor="text1"/>
        </w:rPr>
      </w:pPr>
    </w:p>
    <w:p w14:paraId="3DFB9DF9" w14:textId="70BC9171" w:rsidR="0010026F" w:rsidRPr="007573D9" w:rsidRDefault="0010026F" w:rsidP="00B30320">
      <w:pPr>
        <w:adjustRightInd w:val="0"/>
        <w:rPr>
          <w:rFonts w:cs="Times New Roman"/>
        </w:rPr>
      </w:pPr>
      <w:r w:rsidRPr="007573D9">
        <w:rPr>
          <w:rFonts w:cs="Times New Roman"/>
        </w:rPr>
        <w:t xml:space="preserve">Context: This analysis provides the archaeological context of each scarab including its associated ceramic corpus and stratum. The study also considers the occupational history of the site, which contributes to an understanding of the presence of Egyptian style scarabs based on known historical facts. </w:t>
      </w:r>
    </w:p>
    <w:p w14:paraId="5EFD617B" w14:textId="715FDBEF" w:rsidR="0010026F" w:rsidRDefault="0010026F" w:rsidP="007573D9">
      <w:pPr>
        <w:rPr>
          <w:rFonts w:cs="Times New Roman"/>
          <w:b/>
          <w:bCs/>
          <w:color w:val="000000" w:themeColor="text1"/>
        </w:rPr>
      </w:pPr>
    </w:p>
    <w:p w14:paraId="6876ED35" w14:textId="4F652BD0" w:rsidR="008C7D15" w:rsidRPr="007573D9" w:rsidRDefault="008C7D15" w:rsidP="007573D9">
      <w:pPr>
        <w:rPr>
          <w:rFonts w:cs="Times New Roman"/>
          <w:b/>
          <w:bCs/>
          <w:color w:val="000000" w:themeColor="text1"/>
        </w:rPr>
      </w:pPr>
      <w:r>
        <w:rPr>
          <w:rFonts w:cs="Times New Roman"/>
          <w:b/>
          <w:bCs/>
          <w:color w:val="000000" w:themeColor="text1"/>
        </w:rPr>
        <w:t>*</w:t>
      </w:r>
    </w:p>
    <w:p w14:paraId="72A49E92" w14:textId="1AD69EA0" w:rsidR="0010026F" w:rsidRPr="007573D9" w:rsidRDefault="002A5E35" w:rsidP="007573D9">
      <w:pPr>
        <w:rPr>
          <w:rFonts w:cs="Times New Roman"/>
          <w:color w:val="000000" w:themeColor="text1"/>
        </w:rPr>
      </w:pPr>
      <w:r w:rsidRPr="007573D9">
        <w:rPr>
          <w:rFonts w:cs="Times New Roman"/>
          <w:color w:val="000000" w:themeColor="text1"/>
        </w:rPr>
        <w:t>Table 1: Stratigraphic Sequence at Shiloh</w:t>
      </w:r>
      <w:r w:rsidR="00F025A9">
        <w:rPr>
          <w:rFonts w:cs="Times New Roman"/>
          <w:color w:val="000000" w:themeColor="text1"/>
        </w:rPr>
        <w:t>.</w:t>
      </w:r>
    </w:p>
    <w:p w14:paraId="0F55E8FE" w14:textId="77777777" w:rsidR="008C7D15" w:rsidRDefault="008C7D15" w:rsidP="00B30320">
      <w:pPr>
        <w:adjustRightInd w:val="0"/>
        <w:rPr>
          <w:rFonts w:cs="Times New Roman"/>
          <w:b/>
          <w:bCs/>
          <w:color w:val="000000" w:themeColor="text1"/>
        </w:rPr>
      </w:pPr>
    </w:p>
    <w:p w14:paraId="1792F445" w14:textId="445BC308" w:rsidR="002068A3" w:rsidRPr="007573D9" w:rsidRDefault="00A42DCA" w:rsidP="00B30320">
      <w:pPr>
        <w:adjustRightInd w:val="0"/>
        <w:rPr>
          <w:rFonts w:cs="Times New Roman"/>
          <w:b/>
          <w:bCs/>
          <w:color w:val="000000" w:themeColor="text1"/>
        </w:rPr>
      </w:pPr>
      <w:r>
        <w:rPr>
          <w:rFonts w:cs="Times New Roman"/>
          <w:b/>
          <w:bCs/>
          <w:color w:val="000000" w:themeColor="text1"/>
        </w:rPr>
        <w:t>*</w:t>
      </w:r>
    </w:p>
    <w:p w14:paraId="39026D56" w14:textId="0170EE92" w:rsidR="00B92552" w:rsidRPr="007573D9" w:rsidRDefault="00B92552" w:rsidP="007573D9">
      <w:pPr>
        <w:adjustRightInd w:val="0"/>
        <w:rPr>
          <w:rFonts w:cs="Times New Roman"/>
          <w:b/>
          <w:bCs/>
          <w:color w:val="000000" w:themeColor="text1"/>
        </w:rPr>
      </w:pPr>
      <w:r w:rsidRPr="001708F9">
        <w:rPr>
          <w:rFonts w:cs="Times New Roman"/>
          <w:color w:val="000000" w:themeColor="text1"/>
        </w:rPr>
        <w:t>Figure 1</w:t>
      </w:r>
      <w:r w:rsidR="001A7C4A" w:rsidRPr="001708F9">
        <w:rPr>
          <w:rFonts w:cs="Times New Roman"/>
          <w:color w:val="000000" w:themeColor="text1"/>
        </w:rPr>
        <w:t>:</w:t>
      </w:r>
      <w:r w:rsidR="001A7C4A" w:rsidRPr="007573D9">
        <w:rPr>
          <w:rFonts w:cs="Times New Roman"/>
          <w:b/>
          <w:bCs/>
          <w:color w:val="000000" w:themeColor="text1"/>
        </w:rPr>
        <w:t xml:space="preserve"> </w:t>
      </w:r>
      <w:r w:rsidR="002A5E35" w:rsidRPr="007573D9">
        <w:rPr>
          <w:rFonts w:cs="Times New Roman"/>
        </w:rPr>
        <w:t>Aerial view of Field H1 with ABR’s grid, highlighting the locations for the scarab discoveries (photo by Gary Urie and</w:t>
      </w:r>
      <w:r w:rsidR="00196658">
        <w:rPr>
          <w:rFonts w:cs="Times New Roman"/>
        </w:rPr>
        <w:t xml:space="preserve"> graphics by</w:t>
      </w:r>
      <w:r w:rsidR="002A5E35" w:rsidRPr="007573D9">
        <w:rPr>
          <w:rFonts w:cs="Times New Roman"/>
        </w:rPr>
        <w:t xml:space="preserve"> Steve</w:t>
      </w:r>
      <w:r w:rsidR="00196658">
        <w:rPr>
          <w:rFonts w:cs="Times New Roman"/>
        </w:rPr>
        <w:t>n</w:t>
      </w:r>
      <w:r w:rsidR="002A5E35" w:rsidRPr="007573D9">
        <w:rPr>
          <w:rFonts w:cs="Times New Roman"/>
        </w:rPr>
        <w:t xml:space="preserve"> Rudd)</w:t>
      </w:r>
      <w:r w:rsidR="00196658">
        <w:rPr>
          <w:rFonts w:cs="Times New Roman"/>
        </w:rPr>
        <w:t>.</w:t>
      </w:r>
      <w:r w:rsidR="002A5E35" w:rsidRPr="007573D9">
        <w:rPr>
          <w:rFonts w:cs="Times New Roman"/>
        </w:rPr>
        <w:t xml:space="preserve"> </w:t>
      </w:r>
    </w:p>
    <w:p w14:paraId="4EEC2BDE" w14:textId="77777777" w:rsidR="00B92552" w:rsidRPr="007573D9" w:rsidRDefault="00B92552" w:rsidP="007573D9">
      <w:pPr>
        <w:adjustRightInd w:val="0"/>
        <w:rPr>
          <w:rFonts w:cs="Times New Roman"/>
          <w:b/>
          <w:bCs/>
          <w:color w:val="000000" w:themeColor="text1"/>
        </w:rPr>
      </w:pPr>
    </w:p>
    <w:p w14:paraId="45397A39" w14:textId="2B3C99FC" w:rsidR="002068A3" w:rsidRPr="007573D9" w:rsidRDefault="002068A3" w:rsidP="00944DDE">
      <w:pPr>
        <w:adjustRightInd w:val="0"/>
        <w:jc w:val="center"/>
        <w:rPr>
          <w:rFonts w:cs="Times New Roman"/>
          <w:b/>
          <w:bCs/>
          <w:color w:val="000000" w:themeColor="text1"/>
        </w:rPr>
      </w:pPr>
      <w:r w:rsidRPr="007573D9">
        <w:rPr>
          <w:rFonts w:cs="Times New Roman"/>
          <w:b/>
          <w:bCs/>
          <w:color w:val="000000" w:themeColor="text1"/>
        </w:rPr>
        <w:t>Scarabs</w:t>
      </w:r>
    </w:p>
    <w:p w14:paraId="4912BD5D" w14:textId="77777777" w:rsidR="002068A3" w:rsidRPr="007573D9" w:rsidRDefault="002068A3" w:rsidP="00B30320">
      <w:pPr>
        <w:adjustRightInd w:val="0"/>
        <w:rPr>
          <w:rFonts w:cs="Times New Roman"/>
          <w:b/>
          <w:bCs/>
          <w:color w:val="000000" w:themeColor="text1"/>
        </w:rPr>
      </w:pPr>
    </w:p>
    <w:p w14:paraId="6EF77EC3" w14:textId="77777777" w:rsidR="002068A3" w:rsidRPr="007573D9" w:rsidRDefault="002068A3" w:rsidP="007573D9">
      <w:pPr>
        <w:adjustRightInd w:val="0"/>
        <w:rPr>
          <w:rFonts w:cs="Times New Roman"/>
          <w:b/>
          <w:bCs/>
          <w:i/>
          <w:iCs/>
          <w:color w:val="000000" w:themeColor="text1"/>
        </w:rPr>
      </w:pPr>
      <w:r w:rsidRPr="007573D9">
        <w:rPr>
          <w:rFonts w:cs="Times New Roman"/>
          <w:b/>
          <w:bCs/>
          <w:i/>
          <w:iCs/>
          <w:color w:val="000000" w:themeColor="text1"/>
        </w:rPr>
        <w:t>Scarab One</w:t>
      </w:r>
    </w:p>
    <w:p w14:paraId="27C6E0D9" w14:textId="77777777" w:rsidR="002068A3" w:rsidRPr="007573D9" w:rsidRDefault="002068A3" w:rsidP="00B30320">
      <w:pPr>
        <w:adjustRightInd w:val="0"/>
        <w:rPr>
          <w:rFonts w:cs="Times New Roman"/>
          <w:color w:val="000000" w:themeColor="text1"/>
        </w:rPr>
      </w:pPr>
    </w:p>
    <w:p w14:paraId="62BA3992" w14:textId="237C02E7" w:rsidR="002068A3" w:rsidRDefault="002068A3" w:rsidP="00B30320">
      <w:pPr>
        <w:adjustRightInd w:val="0"/>
        <w:rPr>
          <w:rFonts w:cs="Times New Roman"/>
          <w:color w:val="000000" w:themeColor="text1"/>
        </w:rPr>
      </w:pPr>
      <w:r w:rsidRPr="007573D9">
        <w:rPr>
          <w:rFonts w:cs="Times New Roman"/>
          <w:color w:val="000000" w:themeColor="text1"/>
        </w:rPr>
        <w:t xml:space="preserve">Shiloh </w:t>
      </w:r>
      <w:r w:rsidR="0038394D" w:rsidRPr="007573D9">
        <w:rPr>
          <w:rFonts w:cs="Times New Roman"/>
          <w:color w:val="000000" w:themeColor="text1"/>
        </w:rPr>
        <w:t xml:space="preserve">Object </w:t>
      </w:r>
      <w:r w:rsidRPr="007573D9">
        <w:rPr>
          <w:rFonts w:cs="Times New Roman"/>
          <w:color w:val="000000" w:themeColor="text1"/>
        </w:rPr>
        <w:t xml:space="preserve">1000 </w:t>
      </w:r>
      <w:r w:rsidR="00593B48">
        <w:rPr>
          <w:rFonts w:cs="Times New Roman"/>
          <w:color w:val="000000" w:themeColor="text1"/>
        </w:rPr>
        <w:t>(</w:t>
      </w:r>
      <w:r w:rsidRPr="007573D9">
        <w:rPr>
          <w:rFonts w:cs="Times New Roman"/>
          <w:color w:val="000000" w:themeColor="text1"/>
        </w:rPr>
        <w:t>K46108</w:t>
      </w:r>
      <w:r w:rsidR="00593B48">
        <w:rPr>
          <w:rFonts w:cs="Times New Roman"/>
          <w:color w:val="000000" w:themeColor="text1"/>
        </w:rPr>
        <w:t>)</w:t>
      </w:r>
      <w:r w:rsidR="002932D3">
        <w:rPr>
          <w:rFonts w:cs="Times New Roman"/>
          <w:color w:val="000000" w:themeColor="text1"/>
        </w:rPr>
        <w:t>,</w:t>
      </w:r>
      <w:r w:rsidRPr="007573D9">
        <w:rPr>
          <w:rFonts w:cs="Times New Roman"/>
          <w:color w:val="000000" w:themeColor="text1"/>
        </w:rPr>
        <w:t xml:space="preserve"> Field H1, Square AH29, Locus 7, Pail 60</w:t>
      </w:r>
      <w:r w:rsidR="00593B48">
        <w:rPr>
          <w:rFonts w:cs="Times New Roman"/>
          <w:color w:val="000000" w:themeColor="text1"/>
        </w:rPr>
        <w:t>.</w:t>
      </w:r>
    </w:p>
    <w:p w14:paraId="3C19FB4F" w14:textId="77777777" w:rsidR="00622577" w:rsidRPr="007573D9" w:rsidRDefault="00622577" w:rsidP="00B30320">
      <w:pPr>
        <w:adjustRightInd w:val="0"/>
        <w:rPr>
          <w:rFonts w:cs="Times New Roman"/>
        </w:rPr>
      </w:pPr>
    </w:p>
    <w:p w14:paraId="1D3F8D1A" w14:textId="21464BDC" w:rsidR="002068A3" w:rsidRPr="007573D9" w:rsidRDefault="00143A82" w:rsidP="00B30320">
      <w:pPr>
        <w:adjustRightInd w:val="0"/>
        <w:rPr>
          <w:rFonts w:cs="Times New Roman"/>
          <w:color w:val="000000" w:themeColor="text1"/>
          <w:sz w:val="21"/>
          <w:szCs w:val="21"/>
        </w:rPr>
      </w:pPr>
      <w:r w:rsidRPr="007573D9">
        <w:rPr>
          <w:rFonts w:cs="Times New Roman"/>
          <w:color w:val="000000" w:themeColor="text1"/>
          <w:sz w:val="21"/>
          <w:szCs w:val="21"/>
        </w:rPr>
        <w:t>*</w:t>
      </w:r>
    </w:p>
    <w:p w14:paraId="2A14E9FA" w14:textId="3D50EC9B" w:rsidR="002068A3" w:rsidRPr="007573D9" w:rsidRDefault="002068A3" w:rsidP="00B30320">
      <w:pPr>
        <w:adjustRightInd w:val="0"/>
        <w:rPr>
          <w:rFonts w:cs="Times New Roman"/>
          <w:color w:val="000000" w:themeColor="text1"/>
        </w:rPr>
      </w:pPr>
      <w:r w:rsidRPr="007573D9">
        <w:rPr>
          <w:rFonts w:cs="Times New Roman"/>
          <w:color w:val="000000" w:themeColor="text1"/>
        </w:rPr>
        <w:t xml:space="preserve">Figure </w:t>
      </w:r>
      <w:r w:rsidR="00B92552" w:rsidRPr="007573D9">
        <w:rPr>
          <w:rFonts w:cs="Times New Roman"/>
          <w:color w:val="000000" w:themeColor="text1"/>
        </w:rPr>
        <w:t>2</w:t>
      </w:r>
      <w:r w:rsidRPr="007573D9">
        <w:rPr>
          <w:rFonts w:cs="Times New Roman"/>
          <w:color w:val="000000" w:themeColor="text1"/>
        </w:rPr>
        <w:t>: Scarab of Thutmose III, 18</w:t>
      </w:r>
      <w:r w:rsidR="00032CB4" w:rsidRPr="007573D9">
        <w:rPr>
          <w:rFonts w:cs="Times New Roman"/>
          <w:color w:val="000000" w:themeColor="text1"/>
        </w:rPr>
        <w:t>th</w:t>
      </w:r>
      <w:r w:rsidRPr="007573D9">
        <w:rPr>
          <w:rFonts w:cs="Times New Roman"/>
          <w:color w:val="000000" w:themeColor="text1"/>
        </w:rPr>
        <w:t xml:space="preserve"> Dynasty. Photos courtesy of Michael C. </w:t>
      </w:r>
      <w:proofErr w:type="spellStart"/>
      <w:r w:rsidRPr="007573D9">
        <w:rPr>
          <w:rFonts w:cs="Times New Roman"/>
          <w:color w:val="000000" w:themeColor="text1"/>
        </w:rPr>
        <w:t>Luddeni</w:t>
      </w:r>
      <w:proofErr w:type="spellEnd"/>
      <w:r w:rsidRPr="007573D9">
        <w:rPr>
          <w:rFonts w:cs="Times New Roman"/>
          <w:color w:val="000000" w:themeColor="text1"/>
        </w:rPr>
        <w:t>.</w:t>
      </w:r>
    </w:p>
    <w:p w14:paraId="7F60D2E4" w14:textId="77777777" w:rsidR="002068A3" w:rsidRPr="007573D9" w:rsidRDefault="002068A3" w:rsidP="00B30320">
      <w:pPr>
        <w:adjustRightInd w:val="0"/>
        <w:rPr>
          <w:rFonts w:cs="Times New Roman"/>
        </w:rPr>
      </w:pPr>
    </w:p>
    <w:p w14:paraId="77E38D4D" w14:textId="3F01EE36" w:rsidR="00CD2655" w:rsidRPr="001708F9" w:rsidRDefault="002068A3" w:rsidP="001708F9">
      <w:pPr>
        <w:pStyle w:val="NormalWeb"/>
        <w:spacing w:before="0" w:beforeAutospacing="0" w:after="0" w:afterAutospacing="0"/>
      </w:pPr>
      <w:r w:rsidRPr="001708F9">
        <w:t xml:space="preserve">Material: </w:t>
      </w:r>
      <w:r w:rsidR="00902744">
        <w:t xml:space="preserve">Glazed </w:t>
      </w:r>
      <w:r w:rsidR="00F2515A">
        <w:t>Steatite</w:t>
      </w:r>
      <w:r w:rsidR="00460140">
        <w:t>.</w:t>
      </w:r>
    </w:p>
    <w:p w14:paraId="24CA4673" w14:textId="29AE4FDC" w:rsidR="002068A3" w:rsidRPr="00902744" w:rsidRDefault="002068A3" w:rsidP="001708F9">
      <w:pPr>
        <w:pStyle w:val="NormalWeb"/>
        <w:spacing w:before="0" w:beforeAutospacing="0" w:after="0" w:afterAutospacing="0"/>
      </w:pPr>
      <w:r w:rsidRPr="001708F9">
        <w:t>Dimensions: L</w:t>
      </w:r>
      <w:r w:rsidR="0010026F" w:rsidRPr="001708F9">
        <w:t>ength</w:t>
      </w:r>
      <w:r w:rsidRPr="001708F9">
        <w:t xml:space="preserve"> 1.68 </w:t>
      </w:r>
      <w:r w:rsidR="00025B7C" w:rsidRPr="001708F9">
        <w:t>c</w:t>
      </w:r>
      <w:r w:rsidRPr="001708F9">
        <w:t>m, W</w:t>
      </w:r>
      <w:r w:rsidR="0010026F" w:rsidRPr="001708F9">
        <w:t>idth</w:t>
      </w:r>
      <w:r w:rsidRPr="001708F9">
        <w:t xml:space="preserve"> 1.27 </w:t>
      </w:r>
      <w:r w:rsidR="00025B7C" w:rsidRPr="001708F9">
        <w:t>c</w:t>
      </w:r>
      <w:r w:rsidRPr="001708F9">
        <w:t>m, H</w:t>
      </w:r>
      <w:r w:rsidR="0010026F" w:rsidRPr="001708F9">
        <w:t>eight</w:t>
      </w:r>
      <w:r w:rsidRPr="001708F9">
        <w:t xml:space="preserve"> 0.8</w:t>
      </w:r>
      <w:r w:rsidR="00025B7C" w:rsidRPr="001708F9">
        <w:t>0</w:t>
      </w:r>
      <w:r w:rsidRPr="001708F9">
        <w:t xml:space="preserve"> </w:t>
      </w:r>
      <w:r w:rsidR="00025B7C" w:rsidRPr="001708F9">
        <w:t>c</w:t>
      </w:r>
      <w:r w:rsidRPr="001708F9">
        <w:t>m, W</w:t>
      </w:r>
      <w:r w:rsidR="0010026F" w:rsidRPr="001708F9">
        <w:t>eight</w:t>
      </w:r>
      <w:r w:rsidRPr="001708F9">
        <w:t xml:space="preserve"> 2.16 gm</w:t>
      </w:r>
      <w:r w:rsidR="00460140">
        <w:t>.</w:t>
      </w:r>
    </w:p>
    <w:p w14:paraId="6ED25D74" w14:textId="0DAE86E7" w:rsidR="00902744" w:rsidRPr="00902744" w:rsidRDefault="00902744" w:rsidP="001708F9">
      <w:pPr>
        <w:pStyle w:val="NormalWeb"/>
        <w:spacing w:before="0" w:beforeAutospacing="0" w:after="0" w:afterAutospacing="0"/>
      </w:pPr>
      <w:r w:rsidRPr="00902744">
        <w:t xml:space="preserve">Method of Manufacture: </w:t>
      </w:r>
      <w:r w:rsidRPr="00D72D85">
        <w:t xml:space="preserve">Carving, abrading, drilling, </w:t>
      </w:r>
      <w:r w:rsidR="00D72D85" w:rsidRPr="00D72D85">
        <w:t>incising,</w:t>
      </w:r>
      <w:r w:rsidRPr="00D72D85">
        <w:t xml:space="preserve"> and glazing. </w:t>
      </w:r>
    </w:p>
    <w:p w14:paraId="15E321D9" w14:textId="78DA852E" w:rsidR="00603C44" w:rsidRPr="00902744" w:rsidRDefault="005A2D17" w:rsidP="00097C18">
      <w:pPr>
        <w:pStyle w:val="NormalWeb"/>
        <w:spacing w:before="0" w:beforeAutospacing="0" w:after="0" w:afterAutospacing="0"/>
      </w:pPr>
      <w:r w:rsidRPr="00902744">
        <w:t xml:space="preserve">Workmanship: </w:t>
      </w:r>
      <w:r w:rsidR="001708F9" w:rsidRPr="00902744">
        <w:t>Hieroglyphs are crude but clear. Head, legs, and back are clear</w:t>
      </w:r>
      <w:r w:rsidR="00827974" w:rsidRPr="00902744">
        <w:t>ly distinguishable</w:t>
      </w:r>
      <w:r w:rsidR="001708F9" w:rsidRPr="00902744">
        <w:t xml:space="preserve">. </w:t>
      </w:r>
    </w:p>
    <w:p w14:paraId="2DA4DA5B" w14:textId="2EE45ECC" w:rsidR="002068A3" w:rsidRPr="007573D9" w:rsidRDefault="002068A3" w:rsidP="00D72D85">
      <w:pPr>
        <w:pStyle w:val="NormalWeb"/>
        <w:spacing w:before="0" w:beforeAutospacing="0" w:after="0" w:afterAutospacing="0"/>
      </w:pPr>
      <w:r w:rsidRPr="007573D9">
        <w:t xml:space="preserve">Technical Details: </w:t>
      </w:r>
      <w:r w:rsidR="00AA03A0">
        <w:t>The scarab is p</w:t>
      </w:r>
      <w:r w:rsidRPr="007573D9">
        <w:t xml:space="preserve">erforated </w:t>
      </w:r>
      <w:r w:rsidR="00F95F75" w:rsidRPr="007573D9">
        <w:t>lengthwise</w:t>
      </w:r>
      <w:r w:rsidR="00902744">
        <w:t xml:space="preserve"> on front and rear</w:t>
      </w:r>
      <w:r w:rsidR="00AA03A0">
        <w:t xml:space="preserve"> with</w:t>
      </w:r>
      <w:r w:rsidR="00902744">
        <w:t xml:space="preserve"> </w:t>
      </w:r>
      <w:r w:rsidR="00AA03A0">
        <w:t>l</w:t>
      </w:r>
      <w:r w:rsidR="00902744">
        <w:t>inear engraving.</w:t>
      </w:r>
    </w:p>
    <w:p w14:paraId="10DCFEA8" w14:textId="0D249969" w:rsidR="002068A3" w:rsidRPr="007573D9" w:rsidRDefault="002068A3" w:rsidP="00B30320">
      <w:pPr>
        <w:adjustRightInd w:val="0"/>
        <w:rPr>
          <w:rFonts w:cs="Times New Roman"/>
        </w:rPr>
      </w:pPr>
      <w:r w:rsidRPr="007573D9">
        <w:rPr>
          <w:rFonts w:cs="Times New Roman"/>
        </w:rPr>
        <w:t xml:space="preserve">Preservation: </w:t>
      </w:r>
      <w:r w:rsidR="00AF6276" w:rsidRPr="007573D9">
        <w:rPr>
          <w:rFonts w:cs="Times New Roman"/>
        </w:rPr>
        <w:t xml:space="preserve">The scarab </w:t>
      </w:r>
      <w:r w:rsidR="002E210B">
        <w:rPr>
          <w:rFonts w:cs="Times New Roman"/>
        </w:rPr>
        <w:t>i</w:t>
      </w:r>
      <w:r w:rsidR="00AF6276" w:rsidRPr="007573D9">
        <w:rPr>
          <w:rFonts w:cs="Times New Roman"/>
        </w:rPr>
        <w:t xml:space="preserve">s mostly </w:t>
      </w:r>
      <w:r w:rsidRPr="007573D9">
        <w:rPr>
          <w:rFonts w:cs="Times New Roman"/>
        </w:rPr>
        <w:t>complete with some damage to</w:t>
      </w:r>
      <w:r w:rsidR="009840E1" w:rsidRPr="007573D9">
        <w:rPr>
          <w:rFonts w:cs="Times New Roman"/>
        </w:rPr>
        <w:t xml:space="preserve"> the</w:t>
      </w:r>
      <w:r w:rsidRPr="007573D9">
        <w:rPr>
          <w:rFonts w:cs="Times New Roman"/>
        </w:rPr>
        <w:t xml:space="preserve"> back and head.</w:t>
      </w:r>
    </w:p>
    <w:p w14:paraId="09222A08" w14:textId="27C66233" w:rsidR="002068A3" w:rsidRPr="007573D9" w:rsidRDefault="002068A3" w:rsidP="00B30320">
      <w:pPr>
        <w:adjustRightInd w:val="0"/>
        <w:rPr>
          <w:rFonts w:cs="Times New Roman"/>
        </w:rPr>
      </w:pPr>
      <w:r w:rsidRPr="007573D9">
        <w:rPr>
          <w:rFonts w:cs="Times New Roman"/>
        </w:rPr>
        <w:t xml:space="preserve">Base Design: The scarab has seven hieroglyphic signs depicted horizontally along its length. There are three signs inside a </w:t>
      </w:r>
      <w:r w:rsidR="008A294A" w:rsidRPr="007573D9">
        <w:rPr>
          <w:rFonts w:cs="Times New Roman"/>
        </w:rPr>
        <w:t>cartouche</w:t>
      </w:r>
      <w:r w:rsidRPr="007573D9">
        <w:rPr>
          <w:rFonts w:cs="Times New Roman"/>
        </w:rPr>
        <w:t xml:space="preserve"> in the center of the design </w:t>
      </w:r>
      <w:r w:rsidR="008A294A" w:rsidRPr="007573D9">
        <w:rPr>
          <w:rFonts w:cs="Times New Roman"/>
        </w:rPr>
        <w:t xml:space="preserve">flanked </w:t>
      </w:r>
      <w:r w:rsidR="00433B4B" w:rsidRPr="007573D9">
        <w:rPr>
          <w:rFonts w:cs="Times New Roman"/>
        </w:rPr>
        <w:t xml:space="preserve">on both sides </w:t>
      </w:r>
      <w:r w:rsidR="008A294A" w:rsidRPr="007573D9">
        <w:rPr>
          <w:rFonts w:cs="Times New Roman"/>
        </w:rPr>
        <w:t>by two closely intertwined signs,</w:t>
      </w:r>
      <w:r w:rsidR="00A02025" w:rsidRPr="007573D9">
        <w:rPr>
          <w:rFonts w:cs="Times New Roman"/>
        </w:rPr>
        <w:t xml:space="preserve"> a</w:t>
      </w:r>
      <w:r w:rsidR="008A294A" w:rsidRPr="007573D9">
        <w:rPr>
          <w:rFonts w:cs="Times New Roman"/>
        </w:rPr>
        <w:t xml:space="preserve"> Ma‘at-feather and an uraeus serpent.</w:t>
      </w:r>
    </w:p>
    <w:p w14:paraId="7EB334D1" w14:textId="77777777" w:rsidR="002068A3" w:rsidRPr="007573D9" w:rsidRDefault="002068A3" w:rsidP="00B30320">
      <w:pPr>
        <w:adjustRightInd w:val="0"/>
        <w:rPr>
          <w:rFonts w:cs="Times New Roman"/>
        </w:rPr>
      </w:pPr>
    </w:p>
    <w:p w14:paraId="3BFE33CE" w14:textId="289D38A9" w:rsidR="002068A3" w:rsidRPr="007573D9" w:rsidRDefault="001F25CC" w:rsidP="00B30320">
      <w:pPr>
        <w:adjustRightInd w:val="0"/>
        <w:rPr>
          <w:rFonts w:cs="Times New Roman"/>
        </w:rPr>
      </w:pPr>
      <w:r w:rsidRPr="007573D9">
        <w:rPr>
          <w:rFonts w:cs="Times New Roman"/>
          <w:noProof/>
          <w:lang w:bidi="he-IL"/>
        </w:rPr>
        <mc:AlternateContent>
          <mc:Choice Requires="aink">
            <w:drawing>
              <wp:anchor distT="0" distB="0" distL="114300" distR="114300" simplePos="0" relativeHeight="251664384" behindDoc="0" locked="0" layoutInCell="1" allowOverlap="1" wp14:anchorId="3B1E2EC6" wp14:editId="405F71CA">
                <wp:simplePos x="0" y="0"/>
                <wp:positionH relativeFrom="column">
                  <wp:posOffset>-769400</wp:posOffset>
                </wp:positionH>
                <wp:positionV relativeFrom="paragraph">
                  <wp:posOffset>-403933</wp:posOffset>
                </wp:positionV>
                <wp:extent cx="3240" cy="1080"/>
                <wp:effectExtent l="0" t="0" r="0" b="0"/>
                <wp:wrapNone/>
                <wp:docPr id="581309074"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3240" cy="1080"/>
                      </w14:xfrm>
                    </w14:contentPart>
                  </a:graphicData>
                </a:graphic>
              </wp:anchor>
            </w:drawing>
          </mc:Choice>
          <mc:Fallback>
            <w:drawing>
              <wp:anchor distT="0" distB="0" distL="114300" distR="114300" simplePos="0" relativeHeight="251664384" behindDoc="0" locked="0" layoutInCell="1" allowOverlap="1" wp14:anchorId="3B1E2EC6" wp14:editId="405F71CA">
                <wp:simplePos x="0" y="0"/>
                <wp:positionH relativeFrom="column">
                  <wp:posOffset>-769400</wp:posOffset>
                </wp:positionH>
                <wp:positionV relativeFrom="paragraph">
                  <wp:posOffset>-403933</wp:posOffset>
                </wp:positionV>
                <wp:extent cx="3240" cy="1080"/>
                <wp:effectExtent l="0" t="0" r="0" b="0"/>
                <wp:wrapNone/>
                <wp:docPr id="581309074" name="Ink 8"/>
                <wp:cNvGraphicFramePr/>
                <a:graphic xmlns:a="http://schemas.openxmlformats.org/drawingml/2006/main">
                  <a:graphicData uri="http://schemas.openxmlformats.org/drawingml/2006/picture">
                    <pic:pic xmlns:pic="http://schemas.openxmlformats.org/drawingml/2006/picture">
                      <pic:nvPicPr>
                        <pic:cNvPr id="581309074" name="Ink 8"/>
                        <pic:cNvPicPr/>
                      </pic:nvPicPr>
                      <pic:blipFill>
                        <a:blip r:embed="rId14"/>
                        <a:stretch>
                          <a:fillRect/>
                        </a:stretch>
                      </pic:blipFill>
                      <pic:spPr>
                        <a:xfrm>
                          <a:off x="0" y="0"/>
                          <a:ext cx="11880" cy="54720"/>
                        </a:xfrm>
                        <a:prstGeom prst="rect">
                          <a:avLst/>
                        </a:prstGeom>
                      </pic:spPr>
                    </pic:pic>
                  </a:graphicData>
                </a:graphic>
              </wp:anchor>
            </w:drawing>
          </mc:Fallback>
        </mc:AlternateContent>
      </w:r>
      <w:r w:rsidRPr="007573D9">
        <w:rPr>
          <w:rFonts w:cs="Times New Roman"/>
          <w:noProof/>
          <w:lang w:bidi="he-IL"/>
        </w:rPr>
        <mc:AlternateContent>
          <mc:Choice Requires="aink">
            <w:drawing>
              <wp:anchor distT="0" distB="0" distL="114300" distR="114300" simplePos="0" relativeHeight="251663360" behindDoc="0" locked="0" layoutInCell="1" allowOverlap="1" wp14:anchorId="55B6B925" wp14:editId="2207DE53">
                <wp:simplePos x="0" y="0"/>
                <wp:positionH relativeFrom="column">
                  <wp:posOffset>2099800</wp:posOffset>
                </wp:positionH>
                <wp:positionV relativeFrom="paragraph">
                  <wp:posOffset>749867</wp:posOffset>
                </wp:positionV>
                <wp:extent cx="360" cy="360"/>
                <wp:effectExtent l="0" t="0" r="0" b="0"/>
                <wp:wrapNone/>
                <wp:docPr id="578270852"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55B6B925" wp14:editId="2207DE53">
                <wp:simplePos x="0" y="0"/>
                <wp:positionH relativeFrom="column">
                  <wp:posOffset>2099800</wp:posOffset>
                </wp:positionH>
                <wp:positionV relativeFrom="paragraph">
                  <wp:posOffset>749867</wp:posOffset>
                </wp:positionV>
                <wp:extent cx="360" cy="360"/>
                <wp:effectExtent l="0" t="0" r="0" b="0"/>
                <wp:wrapNone/>
                <wp:docPr id="578270852" name="Ink 7"/>
                <wp:cNvGraphicFramePr/>
                <a:graphic xmlns:a="http://schemas.openxmlformats.org/drawingml/2006/main">
                  <a:graphicData uri="http://schemas.openxmlformats.org/drawingml/2006/picture">
                    <pic:pic xmlns:pic="http://schemas.openxmlformats.org/drawingml/2006/picture">
                      <pic:nvPicPr>
                        <pic:cNvPr id="578270852" name="Ink 7"/>
                        <pic:cNvPicPr/>
                      </pic:nvPicPr>
                      <pic:blipFill>
                        <a:blip r:embed="rId16"/>
                        <a:stretch>
                          <a:fillRect/>
                        </a:stretch>
                      </pic:blipFill>
                      <pic:spPr>
                        <a:xfrm>
                          <a:off x="0" y="0"/>
                          <a:ext cx="9000" cy="54000"/>
                        </a:xfrm>
                        <a:prstGeom prst="rect">
                          <a:avLst/>
                        </a:prstGeom>
                      </pic:spPr>
                    </pic:pic>
                  </a:graphicData>
                </a:graphic>
              </wp:anchor>
            </w:drawing>
          </mc:Fallback>
        </mc:AlternateContent>
      </w:r>
      <w:r w:rsidR="00143A82" w:rsidRPr="007573D9">
        <w:rPr>
          <w:rFonts w:cs="Times New Roman"/>
        </w:rPr>
        <w:t>*</w:t>
      </w:r>
    </w:p>
    <w:p w14:paraId="221645AC" w14:textId="7B9A7CF3" w:rsidR="002068A3" w:rsidRPr="007573D9" w:rsidRDefault="002068A3" w:rsidP="00B30320">
      <w:pPr>
        <w:adjustRightInd w:val="0"/>
        <w:rPr>
          <w:rFonts w:cs="Times New Roman"/>
        </w:rPr>
      </w:pPr>
      <w:r w:rsidRPr="007573D9">
        <w:rPr>
          <w:rFonts w:cs="Times New Roman"/>
        </w:rPr>
        <w:t xml:space="preserve">Figure </w:t>
      </w:r>
      <w:r w:rsidR="001A7C4A" w:rsidRPr="007573D9">
        <w:rPr>
          <w:rFonts w:cs="Times New Roman"/>
        </w:rPr>
        <w:t>3</w:t>
      </w:r>
      <w:r w:rsidRPr="007573D9">
        <w:rPr>
          <w:rFonts w:cs="Times New Roman"/>
        </w:rPr>
        <w:t>: Drawing of</w:t>
      </w:r>
      <w:r w:rsidR="00485E18">
        <w:rPr>
          <w:rFonts w:cs="Times New Roman"/>
        </w:rPr>
        <w:t xml:space="preserve"> Scarab One</w:t>
      </w:r>
      <w:r w:rsidRPr="007573D9">
        <w:rPr>
          <w:rFonts w:cs="Times New Roman"/>
        </w:rPr>
        <w:t xml:space="preserve"> </w:t>
      </w:r>
      <w:r w:rsidR="00485E18">
        <w:rPr>
          <w:rFonts w:cs="Times New Roman"/>
        </w:rPr>
        <w:t>(</w:t>
      </w:r>
      <w:r w:rsidR="00A13422" w:rsidRPr="007573D9">
        <w:rPr>
          <w:rFonts w:cs="Times New Roman"/>
        </w:rPr>
        <w:t xml:space="preserve">Object </w:t>
      </w:r>
      <w:r w:rsidRPr="007573D9">
        <w:rPr>
          <w:rFonts w:cs="Times New Roman"/>
        </w:rPr>
        <w:t>1000</w:t>
      </w:r>
      <w:r w:rsidR="00485E18">
        <w:rPr>
          <w:rFonts w:cs="Times New Roman"/>
        </w:rPr>
        <w:t>)</w:t>
      </w:r>
      <w:r w:rsidRPr="007573D9">
        <w:rPr>
          <w:rFonts w:cs="Times New Roman"/>
        </w:rPr>
        <w:t xml:space="preserve"> by </w:t>
      </w:r>
      <w:r w:rsidR="00165733">
        <w:rPr>
          <w:rFonts w:cs="Times New Roman"/>
        </w:rPr>
        <w:t>Gary D. Urie</w:t>
      </w:r>
      <w:r w:rsidR="00C9142B" w:rsidRPr="007573D9">
        <w:rPr>
          <w:rFonts w:cs="Times New Roman"/>
        </w:rPr>
        <w:t>.</w:t>
      </w:r>
    </w:p>
    <w:p w14:paraId="387988A2" w14:textId="77777777" w:rsidR="002068A3" w:rsidRPr="007573D9" w:rsidRDefault="002068A3" w:rsidP="007573D9">
      <w:pPr>
        <w:adjustRightInd w:val="0"/>
        <w:rPr>
          <w:rFonts w:cs="Times New Roman"/>
          <w:color w:val="000000" w:themeColor="text1"/>
          <w:spacing w:val="-2"/>
          <w:w w:val="105"/>
        </w:rPr>
      </w:pPr>
    </w:p>
    <w:p w14:paraId="33D578D7" w14:textId="77777777" w:rsidR="005B52CC" w:rsidRPr="00A04021" w:rsidRDefault="002068A3" w:rsidP="007573D9">
      <w:pPr>
        <w:rPr>
          <w:rFonts w:cs="Times New Roman"/>
          <w:lang w:val="en-GB"/>
        </w:rPr>
      </w:pPr>
      <w:r w:rsidRPr="007573D9">
        <w:rPr>
          <w:rFonts w:cs="Times New Roman"/>
          <w:lang w:val="en-GB"/>
        </w:rPr>
        <w:t>Typology:</w:t>
      </w:r>
    </w:p>
    <w:p w14:paraId="68904958" w14:textId="77777777" w:rsidR="005B52CC" w:rsidRPr="00A04021" w:rsidRDefault="005B52CC" w:rsidP="007573D9">
      <w:pPr>
        <w:rPr>
          <w:rFonts w:cs="Times New Roman"/>
          <w:lang w:val="en-GB"/>
        </w:rPr>
      </w:pPr>
    </w:p>
    <w:p w14:paraId="3B2A3431" w14:textId="07F7D038" w:rsidR="00A04021" w:rsidRPr="004D47C1" w:rsidRDefault="009C1995" w:rsidP="00A04021">
      <w:pPr>
        <w:pStyle w:val="FootnoteText"/>
        <w:rPr>
          <w:rFonts w:ascii="Times New Roman" w:hAnsi="Times New Roman"/>
          <w:sz w:val="24"/>
          <w:szCs w:val="24"/>
          <w:lang w:val="en-GB"/>
        </w:rPr>
      </w:pPr>
      <w:r w:rsidRPr="00CB5DB7">
        <w:rPr>
          <w:rFonts w:ascii="Times New Roman" w:hAnsi="Times New Roman"/>
          <w:sz w:val="24"/>
          <w:szCs w:val="24"/>
          <w:lang w:val="en-GB"/>
        </w:rPr>
        <w:t>The</w:t>
      </w:r>
      <w:r w:rsidR="005B52CC" w:rsidRPr="00CB5DB7">
        <w:rPr>
          <w:rFonts w:ascii="Times New Roman" w:hAnsi="Times New Roman"/>
          <w:sz w:val="24"/>
          <w:szCs w:val="24"/>
          <w:lang w:val="en-GB"/>
        </w:rPr>
        <w:t xml:space="preserve"> head of Scarab One is </w:t>
      </w:r>
      <w:r w:rsidR="0001019F" w:rsidRPr="00CB5DB7">
        <w:rPr>
          <w:rFonts w:ascii="Times New Roman" w:hAnsi="Times New Roman"/>
          <w:sz w:val="24"/>
          <w:szCs w:val="24"/>
          <w:lang w:val="en-GB"/>
        </w:rPr>
        <w:t>t</w:t>
      </w:r>
      <w:r w:rsidR="005B52CC" w:rsidRPr="00CB5DB7">
        <w:rPr>
          <w:rFonts w:ascii="Times New Roman" w:hAnsi="Times New Roman"/>
          <w:sz w:val="24"/>
          <w:szCs w:val="24"/>
          <w:lang w:val="en-GB"/>
        </w:rPr>
        <w:t>ype B2 with a double “hourglass” outline and a horn</w:t>
      </w:r>
      <w:r w:rsidR="00A04021" w:rsidRPr="00CB5DB7">
        <w:rPr>
          <w:rFonts w:ascii="Times New Roman" w:hAnsi="Times New Roman"/>
          <w:sz w:val="24"/>
          <w:szCs w:val="24"/>
          <w:lang w:val="en-GB"/>
        </w:rPr>
        <w:t xml:space="preserve">. </w:t>
      </w:r>
      <w:r w:rsidR="00A04021" w:rsidRPr="00CB5DB7">
        <w:rPr>
          <w:rFonts w:ascii="Times New Roman" w:hAnsi="Times New Roman"/>
          <w:sz w:val="24"/>
          <w:szCs w:val="24"/>
          <w:lang w:val="en-US"/>
        </w:rPr>
        <w:t xml:space="preserve">Type B2 scarab heads can have a single or double “hourglass” outline, with or without a horn </w:t>
      </w:r>
      <w:r w:rsidR="00A04021" w:rsidRPr="00CB5DB7">
        <w:rPr>
          <w:rFonts w:ascii="Times New Roman" w:hAnsi="Times New Roman"/>
          <w:sz w:val="24"/>
          <w:szCs w:val="24"/>
          <w:lang w:val="en-GB"/>
        </w:rPr>
        <w:t>(Tufnell 1984: 32, 34; Ward and Dever 1994: 162–163).</w:t>
      </w:r>
    </w:p>
    <w:p w14:paraId="6257C61F" w14:textId="77777777" w:rsidR="00A04021" w:rsidRPr="004D47C1" w:rsidRDefault="00A04021" w:rsidP="00A04021">
      <w:pPr>
        <w:pStyle w:val="FootnoteText"/>
        <w:rPr>
          <w:rFonts w:ascii="Times New Roman" w:hAnsi="Times New Roman"/>
          <w:sz w:val="24"/>
          <w:szCs w:val="24"/>
          <w:lang w:val="en-US"/>
        </w:rPr>
      </w:pPr>
    </w:p>
    <w:p w14:paraId="6537E286" w14:textId="4075F88D" w:rsidR="00A04021" w:rsidRPr="00A04021" w:rsidRDefault="00B954F7" w:rsidP="007573D9">
      <w:pPr>
        <w:rPr>
          <w:rFonts w:cs="Times New Roman"/>
          <w:lang w:val="en-GB"/>
        </w:rPr>
      </w:pPr>
      <w:r w:rsidRPr="00CB5DB7">
        <w:rPr>
          <w:rFonts w:cs="Times New Roman"/>
          <w:lang w:val="en-GB"/>
        </w:rPr>
        <w:t xml:space="preserve">Its back is </w:t>
      </w:r>
      <w:r w:rsidR="0001019F" w:rsidRPr="00CB5DB7">
        <w:rPr>
          <w:rFonts w:cs="Times New Roman"/>
          <w:lang w:val="en-GB"/>
        </w:rPr>
        <w:t>t</w:t>
      </w:r>
      <w:r w:rsidRPr="00CB5DB7">
        <w:rPr>
          <w:rFonts w:cs="Times New Roman"/>
          <w:lang w:val="en-GB"/>
        </w:rPr>
        <w:t xml:space="preserve">ype </w:t>
      </w:r>
      <w:r w:rsidR="0001019F" w:rsidRPr="00CB5DB7">
        <w:rPr>
          <w:rFonts w:cs="Times New Roman"/>
          <w:lang w:val="en-GB"/>
        </w:rPr>
        <w:t>VLV</w:t>
      </w:r>
      <w:r w:rsidR="00BB6D12" w:rsidRPr="00CB5DB7">
        <w:rPr>
          <w:rFonts w:cs="Times New Roman"/>
          <w:lang w:val="en-GB"/>
        </w:rPr>
        <w:t xml:space="preserve">, </w:t>
      </w:r>
      <w:r w:rsidRPr="00CB5DB7">
        <w:rPr>
          <w:rFonts w:cs="Times New Roman"/>
          <w:lang w:val="en-GB"/>
        </w:rPr>
        <w:t xml:space="preserve">demonstrating </w:t>
      </w:r>
      <w:r w:rsidR="0001019F" w:rsidRPr="00CB5DB7">
        <w:rPr>
          <w:rFonts w:cs="Times New Roman"/>
          <w:lang w:val="en-GB"/>
        </w:rPr>
        <w:t xml:space="preserve">V-shaped </w:t>
      </w:r>
      <w:r w:rsidRPr="00CB5DB7">
        <w:rPr>
          <w:rFonts w:cs="Times New Roman"/>
          <w:lang w:val="en-GB"/>
        </w:rPr>
        <w:t>humeral callosit</w:t>
      </w:r>
      <w:r w:rsidR="0001019F" w:rsidRPr="00CB5DB7">
        <w:rPr>
          <w:rFonts w:cs="Times New Roman"/>
          <w:lang w:val="en-GB"/>
        </w:rPr>
        <w:t>ies</w:t>
      </w:r>
      <w:r w:rsidRPr="00CB5DB7">
        <w:rPr>
          <w:rFonts w:cs="Times New Roman"/>
          <w:lang w:val="en-GB"/>
        </w:rPr>
        <w:t>,</w:t>
      </w:r>
      <w:r w:rsidR="00BB6D12" w:rsidRPr="00CB5DB7">
        <w:rPr>
          <w:rFonts w:cs="Times New Roman"/>
          <w:lang w:val="en-GB"/>
        </w:rPr>
        <w:t xml:space="preserve"> or </w:t>
      </w:r>
      <w:r w:rsidR="0001019F" w:rsidRPr="00CB5DB7">
        <w:rPr>
          <w:rFonts w:cs="Times New Roman"/>
          <w:lang w:val="en-GB"/>
        </w:rPr>
        <w:t>t</w:t>
      </w:r>
      <w:r w:rsidR="00BB6D12" w:rsidRPr="00CB5DB7">
        <w:rPr>
          <w:rFonts w:cs="Times New Roman"/>
          <w:lang w:val="en-GB"/>
        </w:rPr>
        <w:t>ype I,</w:t>
      </w:r>
      <w:r w:rsidR="00EA69F4" w:rsidRPr="00CB5DB7">
        <w:rPr>
          <w:rFonts w:cs="Times New Roman"/>
          <w:lang w:val="en-GB"/>
        </w:rPr>
        <w:t xml:space="preserve"> with</w:t>
      </w:r>
      <w:r w:rsidR="00BB6D12" w:rsidRPr="00CB5DB7">
        <w:rPr>
          <w:rFonts w:cs="Times New Roman"/>
          <w:lang w:val="en-GB"/>
        </w:rPr>
        <w:t xml:space="preserve"> one line dividing the elytra</w:t>
      </w:r>
      <w:r w:rsidR="007F6166" w:rsidRPr="00CB5DB7">
        <w:rPr>
          <w:rFonts w:cs="Times New Roman"/>
          <w:lang w:val="en-GB"/>
        </w:rPr>
        <w:t xml:space="preserve"> (wing case)</w:t>
      </w:r>
      <w:r w:rsidR="00BB6D12" w:rsidRPr="00CB5DB7">
        <w:rPr>
          <w:rFonts w:cs="Times New Roman"/>
          <w:lang w:val="en-GB"/>
        </w:rPr>
        <w:t xml:space="preserve"> (Tufnell 1984: 34</w:t>
      </w:r>
      <w:r w:rsidR="00A04021" w:rsidRPr="00CB5DB7">
        <w:rPr>
          <w:rFonts w:cs="Times New Roman"/>
          <w:lang w:val="en-GB"/>
        </w:rPr>
        <w:t>–35</w:t>
      </w:r>
      <w:r w:rsidR="00BB6D12" w:rsidRPr="00CB5DB7">
        <w:rPr>
          <w:rFonts w:cs="Times New Roman"/>
          <w:lang w:val="en-GB"/>
        </w:rPr>
        <w:t>).</w:t>
      </w:r>
      <w:r w:rsidR="00BB6D12" w:rsidRPr="00CB5DB7">
        <w:rPr>
          <w:rStyle w:val="FootnoteReference"/>
          <w:rFonts w:cs="Times New Roman"/>
          <w:lang w:val="en-GB"/>
        </w:rPr>
        <w:footnoteReference w:id="6"/>
      </w:r>
      <w:r w:rsidR="00BB6D12" w:rsidRPr="00CB5DB7">
        <w:rPr>
          <w:rFonts w:cs="Times New Roman"/>
          <w:lang w:val="en-GB"/>
        </w:rPr>
        <w:t xml:space="preserve"> Ward and Dever</w:t>
      </w:r>
      <w:r w:rsidR="00EA69F4" w:rsidRPr="00CB5DB7">
        <w:rPr>
          <w:rFonts w:cs="Times New Roman"/>
          <w:lang w:val="en-GB"/>
        </w:rPr>
        <w:t xml:space="preserve"> (</w:t>
      </w:r>
      <w:r w:rsidR="00AE6E54" w:rsidRPr="00CB5DB7">
        <w:rPr>
          <w:rFonts w:cs="Times New Roman"/>
          <w:lang w:val="en-GB"/>
        </w:rPr>
        <w:t>1994</w:t>
      </w:r>
      <w:r w:rsidR="00EA69F4" w:rsidRPr="00CB5DB7">
        <w:rPr>
          <w:rFonts w:cs="Times New Roman"/>
          <w:lang w:val="en-GB"/>
        </w:rPr>
        <w:t xml:space="preserve">: </w:t>
      </w:r>
      <w:r w:rsidR="00AE6E54" w:rsidRPr="00CB5DB7">
        <w:rPr>
          <w:rFonts w:cs="Times New Roman"/>
          <w:lang w:val="en-GB"/>
        </w:rPr>
        <w:t>16</w:t>
      </w:r>
      <w:r w:rsidR="006454D2" w:rsidRPr="00CB5DB7">
        <w:rPr>
          <w:rFonts w:cs="Times New Roman"/>
          <w:lang w:val="en-GB"/>
        </w:rPr>
        <w:t>4</w:t>
      </w:r>
      <w:r w:rsidR="00AE6E54" w:rsidRPr="00CB5DB7">
        <w:rPr>
          <w:rFonts w:cs="Times New Roman"/>
          <w:lang w:val="en-GB"/>
        </w:rPr>
        <w:t>–16</w:t>
      </w:r>
      <w:r w:rsidR="006454D2" w:rsidRPr="00CB5DB7">
        <w:rPr>
          <w:rFonts w:cs="Times New Roman"/>
          <w:lang w:val="en-GB"/>
        </w:rPr>
        <w:t>5</w:t>
      </w:r>
      <w:r w:rsidR="00EA69F4" w:rsidRPr="00CB5DB7">
        <w:rPr>
          <w:rFonts w:cs="Times New Roman"/>
          <w:lang w:val="en-GB"/>
        </w:rPr>
        <w:t>)</w:t>
      </w:r>
      <w:r w:rsidR="00BB6D12" w:rsidRPr="00CB5DB7">
        <w:rPr>
          <w:rFonts w:cs="Times New Roman"/>
          <w:lang w:val="en-GB"/>
        </w:rPr>
        <w:t xml:space="preserve"> label this type as </w:t>
      </w:r>
      <w:r w:rsidRPr="00CB5DB7">
        <w:rPr>
          <w:rFonts w:cs="Times New Roman"/>
          <w:lang w:val="en-GB"/>
        </w:rPr>
        <w:t xml:space="preserve">LN (Lined </w:t>
      </w:r>
      <w:r w:rsidR="00A30DB4" w:rsidRPr="00CB5DB7">
        <w:rPr>
          <w:rFonts w:cs="Times New Roman"/>
          <w:lang w:val="en-GB"/>
        </w:rPr>
        <w:t>Naturalistic</w:t>
      </w:r>
      <w:r w:rsidRPr="00CB5DB7">
        <w:rPr>
          <w:rFonts w:cs="Times New Roman"/>
          <w:lang w:val="en-GB"/>
        </w:rPr>
        <w:t>)</w:t>
      </w:r>
      <w:r w:rsidR="00BB6D12" w:rsidRPr="00CB5DB7">
        <w:rPr>
          <w:rFonts w:cs="Times New Roman"/>
          <w:lang w:val="en-GB"/>
        </w:rPr>
        <w:t xml:space="preserve"> with </w:t>
      </w:r>
      <w:r w:rsidR="00A30DB4" w:rsidRPr="00CB5DB7">
        <w:rPr>
          <w:rFonts w:cs="Times New Roman"/>
          <w:lang w:val="en-GB"/>
        </w:rPr>
        <w:t xml:space="preserve">a rounded pronotum </w:t>
      </w:r>
      <w:r w:rsidR="006C540C" w:rsidRPr="00CB5DB7">
        <w:t xml:space="preserve">(plate between elytra and head) </w:t>
      </w:r>
      <w:r w:rsidR="00A30DB4" w:rsidRPr="00CB5DB7">
        <w:rPr>
          <w:rFonts w:cs="Times New Roman"/>
          <w:lang w:val="en-GB"/>
        </w:rPr>
        <w:t xml:space="preserve">and </w:t>
      </w:r>
      <w:r w:rsidR="00BB6D12" w:rsidRPr="00CB5DB7">
        <w:rPr>
          <w:rFonts w:cs="Times New Roman"/>
          <w:lang w:val="en-GB"/>
        </w:rPr>
        <w:t>one or more lines dividing the elytra</w:t>
      </w:r>
      <w:r w:rsidRPr="00CB5DB7">
        <w:rPr>
          <w:rFonts w:cs="Times New Roman"/>
          <w:lang w:val="en-GB"/>
        </w:rPr>
        <w:t>.</w:t>
      </w:r>
    </w:p>
    <w:p w14:paraId="1ABCFAA7" w14:textId="77777777" w:rsidR="00DF1630" w:rsidRPr="00A04021" w:rsidRDefault="00DF1630" w:rsidP="007573D9">
      <w:pPr>
        <w:rPr>
          <w:rFonts w:cs="Times New Roman"/>
          <w:lang w:val="en-GB"/>
        </w:rPr>
      </w:pPr>
    </w:p>
    <w:p w14:paraId="0400F6EC" w14:textId="6C2E218B" w:rsidR="002068A3" w:rsidRPr="002928FD" w:rsidRDefault="00AD18C2" w:rsidP="007573D9">
      <w:pPr>
        <w:rPr>
          <w:rFonts w:cs="Times New Roman"/>
          <w:lang w:val="en-GB"/>
        </w:rPr>
      </w:pPr>
      <w:r w:rsidRPr="00A04021">
        <w:rPr>
          <w:rFonts w:cs="Times New Roman"/>
          <w:lang w:val="en-GB"/>
        </w:rPr>
        <w:t>The notches on the fore, mid, and hind</w:t>
      </w:r>
      <w:r>
        <w:rPr>
          <w:lang w:val="en-GB"/>
        </w:rPr>
        <w:t xml:space="preserve"> legs indicate that the sides are </w:t>
      </w:r>
      <w:r w:rsidR="0001019F">
        <w:rPr>
          <w:lang w:val="en-GB"/>
        </w:rPr>
        <w:t>t</w:t>
      </w:r>
      <w:r>
        <w:rPr>
          <w:lang w:val="en-GB"/>
        </w:rPr>
        <w:t xml:space="preserve">ype </w:t>
      </w:r>
      <w:r w:rsidR="0001019F">
        <w:rPr>
          <w:lang w:val="en-GB"/>
        </w:rPr>
        <w:t xml:space="preserve">d6 </w:t>
      </w:r>
      <w:r w:rsidRPr="002928FD">
        <w:rPr>
          <w:rFonts w:cs="Times New Roman"/>
          <w:lang w:val="en-GB"/>
        </w:rPr>
        <w:t>(Tufnell 1984: 36</w:t>
      </w:r>
      <w:r w:rsidR="00A04021">
        <w:rPr>
          <w:rFonts w:cs="Times New Roman"/>
          <w:lang w:val="en-GB"/>
        </w:rPr>
        <w:t>–37</w:t>
      </w:r>
      <w:r w:rsidRPr="002928FD">
        <w:rPr>
          <w:rFonts w:cs="Times New Roman"/>
          <w:lang w:val="en-GB"/>
        </w:rPr>
        <w:t>; Ward and Dever 1994: 164</w:t>
      </w:r>
      <w:r w:rsidR="00A04021">
        <w:rPr>
          <w:rFonts w:cs="Times New Roman"/>
          <w:lang w:val="en-GB"/>
        </w:rPr>
        <w:t>–165</w:t>
      </w:r>
      <w:r w:rsidRPr="002928FD">
        <w:rPr>
          <w:rFonts w:cs="Times New Roman"/>
          <w:lang w:val="en-GB"/>
        </w:rPr>
        <w:t>).</w:t>
      </w:r>
    </w:p>
    <w:p w14:paraId="05221D41" w14:textId="77777777" w:rsidR="002068A3" w:rsidRPr="002928FD" w:rsidRDefault="002068A3" w:rsidP="007573D9">
      <w:pPr>
        <w:rPr>
          <w:rFonts w:cs="Times New Roman"/>
          <w:highlight w:val="yellow"/>
          <w:lang w:val="en-GB"/>
        </w:rPr>
      </w:pPr>
    </w:p>
    <w:p w14:paraId="6CD85944" w14:textId="480FE1B3" w:rsidR="00125879" w:rsidRDefault="00AD18C2" w:rsidP="00125879">
      <w:pPr>
        <w:rPr>
          <w:rFonts w:cs="Times New Roman"/>
          <w:color w:val="000000" w:themeColor="text1"/>
        </w:rPr>
      </w:pPr>
      <w:r>
        <w:rPr>
          <w:rFonts w:cs="Times New Roman"/>
          <w:lang w:val="en-GB"/>
        </w:rPr>
        <w:t xml:space="preserve">The presence of a royal name places Shiloh Scarab One in </w:t>
      </w:r>
      <w:r w:rsidR="00CA6938" w:rsidRPr="009341CF">
        <w:rPr>
          <w:rFonts w:cs="Times New Roman"/>
          <w:lang w:val="en-GB"/>
        </w:rPr>
        <w:t>d</w:t>
      </w:r>
      <w:r w:rsidRPr="009341CF">
        <w:rPr>
          <w:rFonts w:cs="Times New Roman"/>
          <w:lang w:val="en-GB"/>
        </w:rPr>
        <w:t>esign</w:t>
      </w:r>
      <w:r>
        <w:rPr>
          <w:rFonts w:cs="Times New Roman"/>
          <w:lang w:val="en-GB"/>
        </w:rPr>
        <w:t xml:space="preserve"> </w:t>
      </w:r>
      <w:r w:rsidR="00550995">
        <w:rPr>
          <w:rFonts w:cs="Times New Roman"/>
          <w:lang w:val="en-GB"/>
        </w:rPr>
        <w:t>c</w:t>
      </w:r>
      <w:r>
        <w:rPr>
          <w:rFonts w:cs="Times New Roman"/>
          <w:lang w:val="en-GB"/>
        </w:rPr>
        <w:t>lass 11A</w:t>
      </w:r>
      <w:r w:rsidR="00FE2187">
        <w:rPr>
          <w:rFonts w:cs="Times New Roman"/>
          <w:lang w:val="en-GB"/>
        </w:rPr>
        <w:t xml:space="preserve"> </w:t>
      </w:r>
      <w:r w:rsidR="002068A3" w:rsidRPr="007573D9">
        <w:rPr>
          <w:rFonts w:cs="Times New Roman"/>
          <w:lang w:val="en-GB"/>
        </w:rPr>
        <w:t>(Tufnell 1984</w:t>
      </w:r>
      <w:r w:rsidR="00920CCE" w:rsidRPr="007573D9">
        <w:rPr>
          <w:rFonts w:cs="Times New Roman"/>
          <w:lang w:val="en-GB"/>
        </w:rPr>
        <w:t>:</w:t>
      </w:r>
      <w:r w:rsidR="002068A3" w:rsidRPr="007573D9">
        <w:rPr>
          <w:rFonts w:cs="Times New Roman"/>
          <w:lang w:val="en-GB"/>
        </w:rPr>
        <w:t xml:space="preserve"> 30). </w:t>
      </w:r>
      <w:r w:rsidR="00FE2187">
        <w:rPr>
          <w:rFonts w:cs="Times New Roman"/>
          <w:lang w:val="en-GB"/>
        </w:rPr>
        <w:t xml:space="preserve"> </w:t>
      </w:r>
      <w:r w:rsidR="002068A3" w:rsidRPr="007573D9">
        <w:rPr>
          <w:rFonts w:cs="Times New Roman"/>
          <w:lang w:val="en-GB"/>
        </w:rPr>
        <w:t>Ben Tor</w:t>
      </w:r>
      <w:r w:rsidR="00416000" w:rsidRPr="007573D9">
        <w:rPr>
          <w:rFonts w:cs="Times New Roman"/>
          <w:lang w:val="en-GB"/>
        </w:rPr>
        <w:t xml:space="preserve"> </w:t>
      </w:r>
      <w:r w:rsidR="00416000" w:rsidRPr="007573D9">
        <w:rPr>
          <w:rFonts w:cs="Times New Roman"/>
          <w:color w:val="000000" w:themeColor="text1"/>
          <w:lang w:val="en-GB"/>
        </w:rPr>
        <w:t>(2007</w:t>
      </w:r>
      <w:r w:rsidR="00920CCE" w:rsidRPr="007573D9">
        <w:rPr>
          <w:rFonts w:cs="Times New Roman"/>
          <w:color w:val="000000" w:themeColor="text1"/>
          <w:lang w:val="en-GB"/>
        </w:rPr>
        <w:t>:</w:t>
      </w:r>
      <w:r w:rsidR="00416000" w:rsidRPr="007573D9">
        <w:rPr>
          <w:rFonts w:cs="Times New Roman"/>
          <w:color w:val="000000" w:themeColor="text1"/>
          <w:lang w:val="en-GB"/>
        </w:rPr>
        <w:t xml:space="preserve"> 134, 167)</w:t>
      </w:r>
      <w:r w:rsidR="002068A3" w:rsidRPr="007573D9">
        <w:rPr>
          <w:rFonts w:cs="Times New Roman"/>
          <w:lang w:val="en-GB"/>
        </w:rPr>
        <w:t xml:space="preserve"> based </w:t>
      </w:r>
      <w:r w:rsidR="00FE2187">
        <w:rPr>
          <w:rFonts w:cs="Times New Roman"/>
          <w:lang w:val="en-GB"/>
        </w:rPr>
        <w:t>her</w:t>
      </w:r>
      <w:r w:rsidR="00FE2187" w:rsidRPr="007573D9">
        <w:rPr>
          <w:rFonts w:cs="Times New Roman"/>
          <w:lang w:val="en-GB"/>
        </w:rPr>
        <w:t xml:space="preserve"> </w:t>
      </w:r>
      <w:r w:rsidR="002068A3" w:rsidRPr="007573D9">
        <w:rPr>
          <w:rFonts w:cs="Times New Roman"/>
          <w:lang w:val="en-GB"/>
        </w:rPr>
        <w:t xml:space="preserve">revised classification for the </w:t>
      </w:r>
      <w:r w:rsidR="00200BF0" w:rsidRPr="007573D9">
        <w:rPr>
          <w:rFonts w:cs="Times New Roman"/>
          <w:lang w:val="en-GB"/>
        </w:rPr>
        <w:t>d</w:t>
      </w:r>
      <w:r w:rsidR="002068A3" w:rsidRPr="007573D9">
        <w:rPr>
          <w:rFonts w:cs="Times New Roman"/>
          <w:lang w:val="en-GB"/>
        </w:rPr>
        <w:t xml:space="preserve">esign on Tufnell’s work and labelled it </w:t>
      </w:r>
      <w:r w:rsidR="0001019F">
        <w:rPr>
          <w:rFonts w:cs="Times New Roman"/>
          <w:lang w:val="en-GB"/>
        </w:rPr>
        <w:t>d</w:t>
      </w:r>
      <w:r w:rsidR="002068A3" w:rsidRPr="007573D9">
        <w:rPr>
          <w:rFonts w:cs="Times New Roman"/>
          <w:lang w:val="en-GB"/>
        </w:rPr>
        <w:t>esign</w:t>
      </w:r>
      <w:r w:rsidR="0001019F">
        <w:rPr>
          <w:rFonts w:cs="Times New Roman"/>
          <w:lang w:val="en-GB"/>
        </w:rPr>
        <w:t xml:space="preserve"> </w:t>
      </w:r>
      <w:r w:rsidR="002068A3" w:rsidRPr="007573D9">
        <w:rPr>
          <w:rFonts w:cs="Times New Roman"/>
          <w:lang w:val="en-GB"/>
        </w:rPr>
        <w:t xml:space="preserve">3D2, Actual Cartouches for Early and Late Palestinian </w:t>
      </w:r>
      <w:r w:rsidR="002068A3" w:rsidRPr="007573D9">
        <w:rPr>
          <w:rFonts w:cs="Times New Roman"/>
          <w:color w:val="000000" w:themeColor="text1"/>
          <w:lang w:val="en-GB"/>
        </w:rPr>
        <w:t>Scarabs</w:t>
      </w:r>
      <w:r w:rsidR="00200BF0" w:rsidRPr="007573D9">
        <w:rPr>
          <w:rFonts w:cs="Times New Roman"/>
          <w:color w:val="000000" w:themeColor="text1"/>
          <w:lang w:val="en-GB"/>
        </w:rPr>
        <w:t>.</w:t>
      </w:r>
      <w:r w:rsidR="00EA149D">
        <w:rPr>
          <w:rFonts w:cs="Times New Roman"/>
          <w:color w:val="000000" w:themeColor="text1"/>
          <w:lang w:val="en-GB"/>
        </w:rPr>
        <w:t xml:space="preserve"> </w:t>
      </w:r>
      <w:r w:rsidR="00125879">
        <w:rPr>
          <w:rFonts w:cs="Times New Roman"/>
        </w:rPr>
        <w:t>The</w:t>
      </w:r>
      <w:r w:rsidR="00125879" w:rsidRPr="007573D9">
        <w:rPr>
          <w:rFonts w:cs="Times New Roman"/>
        </w:rPr>
        <w:t xml:space="preserve"> </w:t>
      </w:r>
      <w:r w:rsidR="0001019F" w:rsidRPr="009341CF">
        <w:rPr>
          <w:rFonts w:cs="Times New Roman"/>
        </w:rPr>
        <w:t>d</w:t>
      </w:r>
      <w:r w:rsidR="00125879" w:rsidRPr="009341CF">
        <w:rPr>
          <w:rFonts w:cs="Times New Roman"/>
        </w:rPr>
        <w:t>esign</w:t>
      </w:r>
      <w:r w:rsidR="00125879" w:rsidRPr="007573D9">
        <w:rPr>
          <w:rFonts w:cs="Times New Roman"/>
        </w:rPr>
        <w:t xml:space="preserve"> 11A (Tufnell 1984: 140–141) or 3D2 (Ben-Tor 2007: 85, 134, 167)</w:t>
      </w:r>
      <w:r w:rsidR="002932D3">
        <w:rPr>
          <w:rFonts w:cs="Times New Roman"/>
        </w:rPr>
        <w:t xml:space="preserve"> scarabs</w:t>
      </w:r>
      <w:r w:rsidR="00125879" w:rsidRPr="007573D9">
        <w:rPr>
          <w:rFonts w:cs="Times New Roman"/>
        </w:rPr>
        <w:t xml:space="preserve"> include the royal name of Thutmose III in a cartouche, which </w:t>
      </w:r>
      <w:r w:rsidR="00125879" w:rsidRPr="007573D9">
        <w:rPr>
          <w:rFonts w:cs="Times New Roman"/>
          <w:color w:val="000000" w:themeColor="text1"/>
        </w:rPr>
        <w:t xml:space="preserve">provides a relative chronology. </w:t>
      </w:r>
    </w:p>
    <w:p w14:paraId="42E5646A" w14:textId="77777777" w:rsidR="00125879" w:rsidRPr="007573D9" w:rsidRDefault="00125879" w:rsidP="00125879">
      <w:pPr>
        <w:rPr>
          <w:rFonts w:cs="Times New Roman"/>
          <w:lang w:val="en-GB"/>
        </w:rPr>
      </w:pPr>
    </w:p>
    <w:p w14:paraId="64FCEB77" w14:textId="7EBE442F" w:rsidR="003C6B55" w:rsidRDefault="002068A3" w:rsidP="00C9142B">
      <w:pPr>
        <w:pStyle w:val="NormalWeb"/>
        <w:spacing w:before="0" w:beforeAutospacing="0" w:after="0" w:afterAutospacing="0"/>
        <w:rPr>
          <w:lang w:val="en-GB"/>
        </w:rPr>
      </w:pPr>
      <w:r w:rsidRPr="007573D9">
        <w:rPr>
          <w:color w:val="000000" w:themeColor="text1"/>
          <w:spacing w:val="-2"/>
          <w:w w:val="105"/>
        </w:rPr>
        <w:t>Archaeological Context:</w:t>
      </w:r>
      <w:r w:rsidRPr="007573D9">
        <w:rPr>
          <w:lang w:val="en-GB"/>
        </w:rPr>
        <w:t xml:space="preserve"> The</w:t>
      </w:r>
      <w:r w:rsidRPr="007573D9">
        <w:rPr>
          <w:color w:val="000000"/>
          <w:lang w:val="en-GB"/>
        </w:rPr>
        <w:t xml:space="preserve"> scara</w:t>
      </w:r>
      <w:r w:rsidR="001044F8" w:rsidRPr="007573D9">
        <w:rPr>
          <w:color w:val="000000"/>
          <w:lang w:val="en-GB"/>
        </w:rPr>
        <w:t>b</w:t>
      </w:r>
      <w:r w:rsidRPr="007573D9">
        <w:rPr>
          <w:color w:val="000000"/>
          <w:lang w:val="en-GB"/>
        </w:rPr>
        <w:t xml:space="preserve"> </w:t>
      </w:r>
      <w:r w:rsidR="001A797D" w:rsidRPr="007573D9">
        <w:rPr>
          <w:color w:val="000000"/>
          <w:lang w:val="en-GB"/>
        </w:rPr>
        <w:t xml:space="preserve">derived </w:t>
      </w:r>
      <w:r w:rsidRPr="007573D9">
        <w:rPr>
          <w:color w:val="000000"/>
          <w:lang w:val="en-GB"/>
        </w:rPr>
        <w:t>from a mixed context at an elevation of ca. 701.50 m</w:t>
      </w:r>
      <w:r w:rsidR="00200BF0" w:rsidRPr="007573D9">
        <w:rPr>
          <w:lang w:val="en-GB"/>
        </w:rPr>
        <w:t>,</w:t>
      </w:r>
      <w:r w:rsidR="00B41ED2" w:rsidRPr="007573D9">
        <w:rPr>
          <w:lang w:val="en-GB"/>
        </w:rPr>
        <w:t xml:space="preserve"> </w:t>
      </w:r>
      <w:r w:rsidRPr="007573D9">
        <w:rPr>
          <w:lang w:val="en-GB"/>
        </w:rPr>
        <w:t xml:space="preserve">a locus associated </w:t>
      </w:r>
      <w:r w:rsidR="00E61F20" w:rsidRPr="007573D9">
        <w:rPr>
          <w:lang w:val="en-GB"/>
        </w:rPr>
        <w:t>with</w:t>
      </w:r>
      <w:r w:rsidRPr="007573D9">
        <w:rPr>
          <w:lang w:val="en-GB"/>
        </w:rPr>
        <w:t xml:space="preserve"> an Early Roman </w:t>
      </w:r>
      <w:r w:rsidRPr="00827974">
        <w:rPr>
          <w:lang w:val="en-GB"/>
        </w:rPr>
        <w:t>structure</w:t>
      </w:r>
      <w:r w:rsidR="00A02025" w:rsidRPr="00827974">
        <w:rPr>
          <w:lang w:val="en-GB"/>
        </w:rPr>
        <w:t xml:space="preserve"> in</w:t>
      </w:r>
      <w:r w:rsidR="007C4B11" w:rsidRPr="00827974">
        <w:rPr>
          <w:lang w:val="en-GB"/>
        </w:rPr>
        <w:t xml:space="preserve"> </w:t>
      </w:r>
      <w:r w:rsidRPr="00827974">
        <w:rPr>
          <w:lang w:val="en-GB"/>
        </w:rPr>
        <w:t>Stratum 3 (</w:t>
      </w:r>
      <w:r w:rsidR="00AA03A0">
        <w:rPr>
          <w:lang w:val="en-GB"/>
        </w:rPr>
        <w:t xml:space="preserve">Square AH29, </w:t>
      </w:r>
      <w:r w:rsidRPr="00827974">
        <w:rPr>
          <w:lang w:val="en-GB"/>
        </w:rPr>
        <w:t xml:space="preserve">Locus 7). </w:t>
      </w:r>
      <w:r w:rsidR="007403EF" w:rsidRPr="00097C18">
        <w:t xml:space="preserve">Locus 7 was the southwest area of the square with the dimensions 4.15 m × 2.90 m, </w:t>
      </w:r>
      <w:r w:rsidR="00AA03A0">
        <w:t>covering</w:t>
      </w:r>
      <w:r w:rsidR="00AA03A0" w:rsidRPr="00097C18">
        <w:t xml:space="preserve"> </w:t>
      </w:r>
      <w:r w:rsidR="007403EF" w:rsidRPr="00097C18">
        <w:t xml:space="preserve">an area of approximately 8 square meters. </w:t>
      </w:r>
      <w:r w:rsidR="00A8279A" w:rsidRPr="00097C18">
        <w:t>E</w:t>
      </w:r>
      <w:r w:rsidR="003C6B55" w:rsidRPr="00097C18">
        <w:t>xcavation</w:t>
      </w:r>
      <w:r w:rsidR="00A8279A" w:rsidRPr="00097C18">
        <w:t>s</w:t>
      </w:r>
      <w:r w:rsidR="003C6B55" w:rsidRPr="00097C18">
        <w:t xml:space="preserve"> revealed that L</w:t>
      </w:r>
      <w:r w:rsidR="00A8279A" w:rsidRPr="00097C18">
        <w:t>ocus 7</w:t>
      </w:r>
      <w:r w:rsidR="003C6B55" w:rsidRPr="00097C18">
        <w:t xml:space="preserve"> </w:t>
      </w:r>
      <w:r w:rsidR="00A8279A" w:rsidRPr="00097C18">
        <w:t>came</w:t>
      </w:r>
      <w:r w:rsidR="003C6B55" w:rsidRPr="00097C18">
        <w:t xml:space="preserve"> </w:t>
      </w:r>
      <w:r w:rsidR="00A8279A" w:rsidRPr="00097C18">
        <w:t>after</w:t>
      </w:r>
      <w:r w:rsidR="003C6B55" w:rsidRPr="00097C18">
        <w:t xml:space="preserve"> the </w:t>
      </w:r>
      <w:r w:rsidR="00A8279A" w:rsidRPr="00097C18">
        <w:t>Early Roman</w:t>
      </w:r>
      <w:r w:rsidR="003C6B55" w:rsidRPr="00097C18">
        <w:t xml:space="preserve"> </w:t>
      </w:r>
      <w:r w:rsidR="007403EF">
        <w:t>structure</w:t>
      </w:r>
      <w:r w:rsidR="007403EF" w:rsidRPr="00097C18">
        <w:t xml:space="preserve"> </w:t>
      </w:r>
      <w:r w:rsidR="00A8279A" w:rsidRPr="00097C18">
        <w:t>since it sealed a</w:t>
      </w:r>
      <w:r w:rsidR="003C6B55" w:rsidRPr="00097C18">
        <w:t xml:space="preserve">gainst it without any </w:t>
      </w:r>
      <w:r w:rsidR="00A8279A" w:rsidRPr="00097C18">
        <w:t>evidence</w:t>
      </w:r>
      <w:r w:rsidR="003C6B55" w:rsidRPr="00097C18">
        <w:t xml:space="preserve"> of a foundation trench. </w:t>
      </w:r>
      <w:r w:rsidRPr="00827974">
        <w:rPr>
          <w:lang w:val="en-GB"/>
        </w:rPr>
        <w:t>The material retrieved from this locus rang</w:t>
      </w:r>
      <w:r w:rsidR="001A797D" w:rsidRPr="00827974">
        <w:rPr>
          <w:lang w:val="en-GB"/>
        </w:rPr>
        <w:t>ed</w:t>
      </w:r>
      <w:r w:rsidRPr="00827974">
        <w:rPr>
          <w:lang w:val="en-GB"/>
        </w:rPr>
        <w:t xml:space="preserve"> from the </w:t>
      </w:r>
      <w:r w:rsidRPr="00097C18">
        <w:rPr>
          <w:lang w:val="en-GB"/>
        </w:rPr>
        <w:t xml:space="preserve">Early Roman period to the Middle Bronze Age. </w:t>
      </w:r>
      <w:r w:rsidR="00827974" w:rsidRPr="00097C18">
        <w:t>This Locus</w:t>
      </w:r>
      <w:r w:rsidR="004776CF" w:rsidRPr="00097C18">
        <w:rPr>
          <w:lang w:val="en-GB"/>
        </w:rPr>
        <w:t xml:space="preserve"> yielded s</w:t>
      </w:r>
      <w:r w:rsidRPr="00097C18">
        <w:rPr>
          <w:lang w:val="en-GB"/>
        </w:rPr>
        <w:t>everal other important objects from various time periods, including a ceramic pomegranate, a bronze axe head, and a coin (Stripling 2018</w:t>
      </w:r>
      <w:r w:rsidR="00920CCE" w:rsidRPr="00097C18">
        <w:rPr>
          <w:lang w:val="en-GB"/>
        </w:rPr>
        <w:t>:</w:t>
      </w:r>
      <w:r w:rsidRPr="00097C18">
        <w:rPr>
          <w:lang w:val="en-GB"/>
        </w:rPr>
        <w:t xml:space="preserve"> </w:t>
      </w:r>
      <w:r w:rsidR="00870C81" w:rsidRPr="00097C18">
        <w:rPr>
          <w:lang w:val="en-GB"/>
        </w:rPr>
        <w:t>84–85</w:t>
      </w:r>
      <w:r w:rsidRPr="00097C18">
        <w:rPr>
          <w:lang w:val="en-GB"/>
        </w:rPr>
        <w:t>).</w:t>
      </w:r>
      <w:r w:rsidR="00993AD6">
        <w:rPr>
          <w:lang w:val="en-GB"/>
        </w:rPr>
        <w:t xml:space="preserve"> </w:t>
      </w:r>
      <w:r w:rsidR="00200BF0" w:rsidRPr="00097C18">
        <w:rPr>
          <w:lang w:val="en-GB"/>
        </w:rPr>
        <w:t xml:space="preserve">The pomegranate </w:t>
      </w:r>
      <w:r w:rsidR="009941FB" w:rsidRPr="00097C18">
        <w:rPr>
          <w:lang w:val="en-GB"/>
        </w:rPr>
        <w:t>is the subject of a previous publication</w:t>
      </w:r>
      <w:r w:rsidR="00200BF0" w:rsidRPr="00097C18">
        <w:rPr>
          <w:lang w:val="en-GB"/>
        </w:rPr>
        <w:t xml:space="preserve"> (</w:t>
      </w:r>
      <w:r w:rsidR="00181199" w:rsidRPr="00097C18">
        <w:rPr>
          <w:lang w:val="en-GB"/>
        </w:rPr>
        <w:t xml:space="preserve">Lopez, Stripling, </w:t>
      </w:r>
      <w:r w:rsidR="0038394D" w:rsidRPr="00097C18">
        <w:rPr>
          <w:lang w:val="en-GB"/>
        </w:rPr>
        <w:t xml:space="preserve">and </w:t>
      </w:r>
      <w:r w:rsidR="00181199" w:rsidRPr="00097C18">
        <w:rPr>
          <w:lang w:val="en-GB"/>
        </w:rPr>
        <w:t>Ben-Shlomo 2019</w:t>
      </w:r>
      <w:r w:rsidR="00920CCE" w:rsidRPr="00097C18">
        <w:rPr>
          <w:lang w:val="en-GB"/>
        </w:rPr>
        <w:t>:</w:t>
      </w:r>
      <w:r w:rsidR="00181199" w:rsidRPr="00097C18">
        <w:rPr>
          <w:lang w:val="en-GB"/>
        </w:rPr>
        <w:t xml:space="preserve"> 37–56</w:t>
      </w:r>
      <w:r w:rsidR="00200BF0" w:rsidRPr="00097C18">
        <w:rPr>
          <w:lang w:val="en-GB"/>
        </w:rPr>
        <w:t>).</w:t>
      </w:r>
    </w:p>
    <w:p w14:paraId="1C8EB05E" w14:textId="77777777" w:rsidR="00F05B36" w:rsidRDefault="00F05B36" w:rsidP="00C9142B">
      <w:pPr>
        <w:pStyle w:val="NormalWeb"/>
        <w:spacing w:before="0" w:beforeAutospacing="0" w:after="0" w:afterAutospacing="0"/>
        <w:rPr>
          <w:lang w:val="en-GB"/>
        </w:rPr>
      </w:pPr>
    </w:p>
    <w:p w14:paraId="6D472377" w14:textId="4BCAEAA1" w:rsidR="0077390F" w:rsidRDefault="00622577" w:rsidP="00125879">
      <w:pPr>
        <w:pStyle w:val="NormalWeb"/>
        <w:spacing w:before="0" w:beforeAutospacing="0" w:after="0" w:afterAutospacing="0"/>
        <w:jc w:val="center"/>
        <w:rPr>
          <w:lang w:val="en-GB"/>
        </w:rPr>
      </w:pPr>
      <w:r>
        <w:rPr>
          <w:lang w:val="en-GB"/>
        </w:rPr>
        <w:t>*</w:t>
      </w:r>
    </w:p>
    <w:p w14:paraId="64E3974D" w14:textId="0CAE1224" w:rsidR="0077390F" w:rsidRDefault="0077390F" w:rsidP="00A42DCA">
      <w:pPr>
        <w:autoSpaceDE w:val="0"/>
        <w:autoSpaceDN w:val="0"/>
        <w:adjustRightInd w:val="0"/>
        <w:rPr>
          <w:rFonts w:cs="Times New Roman"/>
          <w:kern w:val="0"/>
        </w:rPr>
      </w:pPr>
      <w:r>
        <w:rPr>
          <w:rFonts w:cs="Times New Roman"/>
          <w:kern w:val="0"/>
        </w:rPr>
        <w:lastRenderedPageBreak/>
        <w:t xml:space="preserve">Figure 4: </w:t>
      </w:r>
      <w:r w:rsidRPr="00A42DCA">
        <w:rPr>
          <w:rFonts w:cs="Times New Roman"/>
          <w:kern w:val="0"/>
        </w:rPr>
        <w:t xml:space="preserve">Aerial view of </w:t>
      </w:r>
      <w:r w:rsidR="00673AE6">
        <w:rPr>
          <w:rFonts w:cs="Times New Roman"/>
          <w:kern w:val="0"/>
        </w:rPr>
        <w:t>S</w:t>
      </w:r>
      <w:r w:rsidRPr="00A42DCA">
        <w:rPr>
          <w:rFonts w:cs="Times New Roman"/>
          <w:kern w:val="0"/>
        </w:rPr>
        <w:t>quare AH29 before the excavation of Locus 7</w:t>
      </w:r>
      <w:r>
        <w:rPr>
          <w:rFonts w:cs="Times New Roman"/>
          <w:kern w:val="0"/>
        </w:rPr>
        <w:t xml:space="preserve">. Photo </w:t>
      </w:r>
      <w:r w:rsidRPr="00A42DCA">
        <w:rPr>
          <w:rFonts w:cs="Times New Roman"/>
          <w:kern w:val="0"/>
        </w:rPr>
        <w:t>by Greg Gulbrandsen</w:t>
      </w:r>
      <w:r>
        <w:rPr>
          <w:rFonts w:cs="Times New Roman"/>
          <w:kern w:val="0"/>
        </w:rPr>
        <w:t>.</w:t>
      </w:r>
    </w:p>
    <w:p w14:paraId="6E74D69F" w14:textId="4297EFAA" w:rsidR="00F05B36" w:rsidRDefault="00622577" w:rsidP="00125879">
      <w:pPr>
        <w:pStyle w:val="NormalWeb"/>
        <w:spacing w:before="0" w:beforeAutospacing="0" w:after="0" w:afterAutospacing="0"/>
        <w:jc w:val="center"/>
        <w:rPr>
          <w:lang w:val="en-GB"/>
        </w:rPr>
      </w:pPr>
      <w:r>
        <w:rPr>
          <w:lang w:val="en-GB"/>
        </w:rPr>
        <w:t>*</w:t>
      </w:r>
    </w:p>
    <w:p w14:paraId="6692D3E2" w14:textId="6C6B7026" w:rsidR="006530C5" w:rsidRPr="006530C5" w:rsidRDefault="006530C5" w:rsidP="00704747">
      <w:pPr>
        <w:autoSpaceDE w:val="0"/>
        <w:autoSpaceDN w:val="0"/>
        <w:adjustRightInd w:val="0"/>
      </w:pPr>
      <w:r w:rsidRPr="006530C5">
        <w:rPr>
          <w:lang w:val="en-GB"/>
        </w:rPr>
        <w:t xml:space="preserve">Figure 5: </w:t>
      </w:r>
      <w:r w:rsidRPr="00A42DCA">
        <w:rPr>
          <w:rFonts w:cs="Times New Roman"/>
          <w:kern w:val="0"/>
        </w:rPr>
        <w:t xml:space="preserve">Section drawing of </w:t>
      </w:r>
      <w:r w:rsidR="00485E18">
        <w:rPr>
          <w:rFonts w:cs="Times New Roman"/>
          <w:kern w:val="0"/>
        </w:rPr>
        <w:t>S</w:t>
      </w:r>
      <w:r w:rsidRPr="00A42DCA">
        <w:rPr>
          <w:rFonts w:cs="Times New Roman"/>
          <w:kern w:val="0"/>
        </w:rPr>
        <w:t>quare AH29; the red line in the top plan marks</w:t>
      </w:r>
      <w:r w:rsidR="00704747">
        <w:t xml:space="preserve"> </w:t>
      </w:r>
      <w:r w:rsidRPr="00A42DCA">
        <w:t>the location of the section</w:t>
      </w:r>
      <w:r>
        <w:t xml:space="preserve">. Drawing </w:t>
      </w:r>
      <w:r w:rsidRPr="00A42DCA">
        <w:t>by Tim Lopez</w:t>
      </w:r>
      <w:r>
        <w:t>.</w:t>
      </w:r>
    </w:p>
    <w:p w14:paraId="6A5CBAF3" w14:textId="77777777" w:rsidR="003C6B55" w:rsidRDefault="003C6B55" w:rsidP="00C9142B">
      <w:pPr>
        <w:jc w:val="center"/>
        <w:rPr>
          <w:rFonts w:cs="Times New Roman"/>
          <w:color w:val="000000" w:themeColor="text1"/>
        </w:rPr>
      </w:pPr>
    </w:p>
    <w:p w14:paraId="0955E2CE" w14:textId="77777777" w:rsidR="002068A3" w:rsidRPr="006530C5" w:rsidRDefault="002068A3" w:rsidP="00C9142B">
      <w:pPr>
        <w:rPr>
          <w:rFonts w:cs="Times New Roman"/>
          <w:b/>
          <w:bCs/>
          <w:i/>
          <w:iCs/>
          <w:color w:val="000000" w:themeColor="text1"/>
        </w:rPr>
      </w:pPr>
      <w:r w:rsidRPr="006530C5">
        <w:rPr>
          <w:rFonts w:cs="Times New Roman"/>
          <w:b/>
          <w:bCs/>
          <w:i/>
          <w:iCs/>
          <w:color w:val="000000" w:themeColor="text1"/>
        </w:rPr>
        <w:t>Scarab Two</w:t>
      </w:r>
    </w:p>
    <w:p w14:paraId="3EEAC0FE" w14:textId="77777777" w:rsidR="002068A3" w:rsidRPr="007573D9" w:rsidRDefault="002068A3" w:rsidP="00C9142B">
      <w:pPr>
        <w:rPr>
          <w:rFonts w:cs="Times New Roman"/>
          <w:b/>
          <w:bCs/>
          <w:color w:val="000000" w:themeColor="text1"/>
        </w:rPr>
      </w:pPr>
    </w:p>
    <w:p w14:paraId="4EFAA70A" w14:textId="644ABE00" w:rsidR="002068A3" w:rsidRDefault="002068A3" w:rsidP="007573D9">
      <w:pPr>
        <w:adjustRightInd w:val="0"/>
        <w:rPr>
          <w:rFonts w:cs="Times New Roman"/>
          <w:color w:val="000000" w:themeColor="text1"/>
        </w:rPr>
      </w:pPr>
      <w:r w:rsidRPr="007573D9">
        <w:rPr>
          <w:rFonts w:cs="Times New Roman"/>
          <w:color w:val="000000" w:themeColor="text1"/>
        </w:rPr>
        <w:t xml:space="preserve">Shiloh </w:t>
      </w:r>
      <w:r w:rsidR="000F4A59" w:rsidRPr="007573D9">
        <w:rPr>
          <w:rFonts w:cs="Times New Roman"/>
          <w:color w:val="000000" w:themeColor="text1"/>
        </w:rPr>
        <w:t xml:space="preserve">Object </w:t>
      </w:r>
      <w:r w:rsidRPr="007573D9">
        <w:rPr>
          <w:rFonts w:cs="Times New Roman"/>
          <w:color w:val="000000" w:themeColor="text1"/>
        </w:rPr>
        <w:t xml:space="preserve">1282 </w:t>
      </w:r>
      <w:r w:rsidR="00593B48">
        <w:rPr>
          <w:rFonts w:cs="Times New Roman"/>
          <w:color w:val="000000" w:themeColor="text1"/>
        </w:rPr>
        <w:t>(</w:t>
      </w:r>
      <w:r w:rsidRPr="007573D9">
        <w:rPr>
          <w:rFonts w:cs="Times New Roman"/>
          <w:color w:val="000000" w:themeColor="text1"/>
        </w:rPr>
        <w:t>K46514</w:t>
      </w:r>
      <w:r w:rsidR="00485E18">
        <w:rPr>
          <w:rFonts w:cs="Times New Roman"/>
          <w:color w:val="000000" w:themeColor="text1"/>
        </w:rPr>
        <w:t>)</w:t>
      </w:r>
      <w:r w:rsidR="002932D3">
        <w:rPr>
          <w:rFonts w:cs="Times New Roman"/>
          <w:color w:val="000000" w:themeColor="text1"/>
        </w:rPr>
        <w:t>,</w:t>
      </w:r>
      <w:r w:rsidRPr="007573D9">
        <w:rPr>
          <w:rFonts w:cs="Times New Roman"/>
          <w:color w:val="000000" w:themeColor="text1"/>
        </w:rPr>
        <w:t xml:space="preserve"> Field H1, Square AE27, Locus 4, Pail 5</w:t>
      </w:r>
      <w:r w:rsidR="00460140">
        <w:rPr>
          <w:rFonts w:cs="Times New Roman"/>
          <w:color w:val="000000" w:themeColor="text1"/>
        </w:rPr>
        <w:t>.</w:t>
      </w:r>
    </w:p>
    <w:p w14:paraId="7B729007" w14:textId="77777777" w:rsidR="00FE2187" w:rsidRPr="007573D9" w:rsidRDefault="00FE2187" w:rsidP="007573D9">
      <w:pPr>
        <w:adjustRightInd w:val="0"/>
        <w:rPr>
          <w:rFonts w:cs="Times New Roman"/>
          <w:color w:val="000000" w:themeColor="text1"/>
        </w:rPr>
      </w:pPr>
    </w:p>
    <w:p w14:paraId="5DD777C1" w14:textId="77777777" w:rsidR="00FE2187" w:rsidRPr="007573D9" w:rsidRDefault="00FE2187" w:rsidP="00FE2187">
      <w:pPr>
        <w:adjustRightInd w:val="0"/>
        <w:rPr>
          <w:rFonts w:cs="Times New Roman"/>
        </w:rPr>
      </w:pPr>
      <w:r w:rsidRPr="007573D9">
        <w:rPr>
          <w:rFonts w:cs="Times New Roman"/>
        </w:rPr>
        <w:t>*</w:t>
      </w:r>
    </w:p>
    <w:p w14:paraId="2E1A0201" w14:textId="77777777" w:rsidR="00FE2187" w:rsidRPr="007573D9" w:rsidRDefault="00FE2187" w:rsidP="00FE2187">
      <w:pPr>
        <w:adjustRightInd w:val="0"/>
        <w:rPr>
          <w:rFonts w:cs="Times New Roman"/>
          <w:color w:val="000000" w:themeColor="text1"/>
        </w:rPr>
      </w:pPr>
      <w:r w:rsidRPr="007573D9">
        <w:rPr>
          <w:rFonts w:cs="Times New Roman"/>
          <w:color w:val="000000" w:themeColor="text1"/>
        </w:rPr>
        <w:t xml:space="preserve">Figure </w:t>
      </w:r>
      <w:r>
        <w:rPr>
          <w:rFonts w:cs="Times New Roman"/>
          <w:color w:val="000000" w:themeColor="text1"/>
        </w:rPr>
        <w:t>6</w:t>
      </w:r>
      <w:r w:rsidRPr="007573D9">
        <w:rPr>
          <w:rFonts w:cs="Times New Roman"/>
          <w:color w:val="000000" w:themeColor="text1"/>
        </w:rPr>
        <w:t xml:space="preserve">: Scarab depicting Egyptian good-luck signs. Photos courtesy of Michael C. </w:t>
      </w:r>
      <w:proofErr w:type="spellStart"/>
      <w:r w:rsidRPr="007573D9">
        <w:rPr>
          <w:rFonts w:cs="Times New Roman"/>
          <w:color w:val="000000" w:themeColor="text1"/>
        </w:rPr>
        <w:t>Luddeni</w:t>
      </w:r>
      <w:proofErr w:type="spellEnd"/>
      <w:r w:rsidRPr="007573D9">
        <w:rPr>
          <w:rFonts w:cs="Times New Roman"/>
          <w:color w:val="000000" w:themeColor="text1"/>
        </w:rPr>
        <w:t>.</w:t>
      </w:r>
    </w:p>
    <w:p w14:paraId="00E71183" w14:textId="77777777" w:rsidR="002068A3" w:rsidRPr="007573D9" w:rsidRDefault="002068A3" w:rsidP="007573D9">
      <w:pPr>
        <w:adjustRightInd w:val="0"/>
        <w:rPr>
          <w:rFonts w:cs="Times New Roman"/>
          <w:color w:val="000000" w:themeColor="text1"/>
        </w:rPr>
      </w:pPr>
    </w:p>
    <w:p w14:paraId="3B979120" w14:textId="7EFE13E0" w:rsidR="002068A3" w:rsidRPr="007573D9" w:rsidRDefault="002068A3" w:rsidP="007573D9">
      <w:pPr>
        <w:adjustRightInd w:val="0"/>
        <w:rPr>
          <w:rFonts w:cs="Times New Roman"/>
        </w:rPr>
      </w:pPr>
      <w:r w:rsidRPr="007573D9">
        <w:rPr>
          <w:rFonts w:cs="Times New Roman"/>
        </w:rPr>
        <w:t>Material</w:t>
      </w:r>
      <w:r w:rsidR="00F2515A">
        <w:rPr>
          <w:rFonts w:cs="Times New Roman"/>
        </w:rPr>
        <w:t xml:space="preserve">: </w:t>
      </w:r>
      <w:r w:rsidR="00D72D85">
        <w:rPr>
          <w:rFonts w:cs="Times New Roman"/>
        </w:rPr>
        <w:t xml:space="preserve">Glazed </w:t>
      </w:r>
      <w:r w:rsidR="00F2515A">
        <w:rPr>
          <w:rFonts w:cs="Times New Roman"/>
        </w:rPr>
        <w:t>Steatite</w:t>
      </w:r>
      <w:r w:rsidR="00460140">
        <w:rPr>
          <w:rFonts w:cs="Times New Roman"/>
        </w:rPr>
        <w:t>.</w:t>
      </w:r>
    </w:p>
    <w:p w14:paraId="40A75DDB" w14:textId="54EEA813" w:rsidR="002068A3" w:rsidRDefault="002068A3" w:rsidP="007573D9">
      <w:pPr>
        <w:adjustRightInd w:val="0"/>
        <w:rPr>
          <w:rFonts w:cs="Times New Roman"/>
        </w:rPr>
      </w:pPr>
      <w:r w:rsidRPr="007573D9">
        <w:rPr>
          <w:rFonts w:cs="Times New Roman"/>
        </w:rPr>
        <w:t>Dimensions: L</w:t>
      </w:r>
      <w:r w:rsidR="0038394D" w:rsidRPr="007573D9">
        <w:rPr>
          <w:rFonts w:cs="Times New Roman"/>
        </w:rPr>
        <w:t>ength</w:t>
      </w:r>
      <w:r w:rsidRPr="007573D9">
        <w:rPr>
          <w:rFonts w:cs="Times New Roman"/>
        </w:rPr>
        <w:t xml:space="preserve"> 1.32 </w:t>
      </w:r>
      <w:r w:rsidR="00025B7C" w:rsidRPr="007573D9">
        <w:rPr>
          <w:rFonts w:cs="Times New Roman"/>
        </w:rPr>
        <w:t>c</w:t>
      </w:r>
      <w:r w:rsidRPr="007573D9">
        <w:rPr>
          <w:rFonts w:cs="Times New Roman"/>
        </w:rPr>
        <w:t>m, W</w:t>
      </w:r>
      <w:r w:rsidR="0038394D" w:rsidRPr="007573D9">
        <w:rPr>
          <w:rFonts w:cs="Times New Roman"/>
        </w:rPr>
        <w:t>idth</w:t>
      </w:r>
      <w:r w:rsidRPr="007573D9">
        <w:rPr>
          <w:rFonts w:cs="Times New Roman"/>
        </w:rPr>
        <w:t xml:space="preserve"> 1.17 </w:t>
      </w:r>
      <w:r w:rsidR="00025B7C" w:rsidRPr="007573D9">
        <w:rPr>
          <w:rFonts w:cs="Times New Roman"/>
        </w:rPr>
        <w:t>c</w:t>
      </w:r>
      <w:r w:rsidRPr="007573D9">
        <w:rPr>
          <w:rFonts w:cs="Times New Roman"/>
        </w:rPr>
        <w:t>m, H</w:t>
      </w:r>
      <w:r w:rsidR="0038394D" w:rsidRPr="007573D9">
        <w:rPr>
          <w:rFonts w:cs="Times New Roman"/>
        </w:rPr>
        <w:t>eight</w:t>
      </w:r>
      <w:r w:rsidRPr="007573D9">
        <w:rPr>
          <w:rFonts w:cs="Times New Roman"/>
        </w:rPr>
        <w:t xml:space="preserve"> 0.75 </w:t>
      </w:r>
      <w:r w:rsidR="00025B7C" w:rsidRPr="007573D9">
        <w:rPr>
          <w:rFonts w:cs="Times New Roman"/>
        </w:rPr>
        <w:t>c</w:t>
      </w:r>
      <w:r w:rsidRPr="007573D9">
        <w:rPr>
          <w:rFonts w:cs="Times New Roman"/>
        </w:rPr>
        <w:t>m, W</w:t>
      </w:r>
      <w:r w:rsidR="0038394D" w:rsidRPr="007573D9">
        <w:rPr>
          <w:rFonts w:cs="Times New Roman"/>
        </w:rPr>
        <w:t>eight</w:t>
      </w:r>
      <w:r w:rsidRPr="007573D9">
        <w:rPr>
          <w:rFonts w:cs="Times New Roman"/>
        </w:rPr>
        <w:t xml:space="preserve"> 0.84 gm</w:t>
      </w:r>
      <w:r w:rsidR="00460140">
        <w:rPr>
          <w:rFonts w:cs="Times New Roman"/>
        </w:rPr>
        <w:t>.</w:t>
      </w:r>
    </w:p>
    <w:p w14:paraId="130B8269" w14:textId="3634A71F" w:rsidR="00D72D85" w:rsidRDefault="00D72D85" w:rsidP="00D72D85">
      <w:pPr>
        <w:pStyle w:val="NormalWeb"/>
        <w:spacing w:before="0" w:beforeAutospacing="0" w:after="0" w:afterAutospacing="0"/>
      </w:pPr>
      <w:r w:rsidRPr="00902744">
        <w:t xml:space="preserve">Method of Manufacture: </w:t>
      </w:r>
      <w:r w:rsidRPr="00D72D85">
        <w:t xml:space="preserve">Carving, abrading, drilling, incising, and glazing. </w:t>
      </w:r>
    </w:p>
    <w:p w14:paraId="00379594" w14:textId="7DC263FD" w:rsidR="00603C44" w:rsidRPr="007573D9" w:rsidRDefault="00603C44" w:rsidP="007573D9">
      <w:pPr>
        <w:adjustRightInd w:val="0"/>
        <w:rPr>
          <w:rFonts w:cs="Times New Roman"/>
        </w:rPr>
      </w:pPr>
      <w:r w:rsidRPr="001708F9">
        <w:t xml:space="preserve">Workmanship: Hieroglyphs are </w:t>
      </w:r>
      <w:r w:rsidR="00827974">
        <w:t>very</w:t>
      </w:r>
      <w:r w:rsidRPr="001708F9">
        <w:t xml:space="preserve"> clear. Head, legs, and back are clear</w:t>
      </w:r>
      <w:r w:rsidR="00827974">
        <w:t>ly distinguishable</w:t>
      </w:r>
      <w:r w:rsidR="007A371A">
        <w:t>,</w:t>
      </w:r>
      <w:r w:rsidR="00827974">
        <w:t xml:space="preserve"> e</w:t>
      </w:r>
      <w:r w:rsidR="007403EF">
        <w:t>x</w:t>
      </w:r>
      <w:r w:rsidR="00827974">
        <w:t>cept for damaged areas</w:t>
      </w:r>
      <w:r w:rsidRPr="001708F9">
        <w:t xml:space="preserve">. </w:t>
      </w:r>
    </w:p>
    <w:p w14:paraId="6FC868B5" w14:textId="6F8D0110" w:rsidR="002068A3" w:rsidRPr="007573D9" w:rsidRDefault="002068A3" w:rsidP="007573D9">
      <w:pPr>
        <w:adjustRightInd w:val="0"/>
        <w:rPr>
          <w:rFonts w:cs="Times New Roman"/>
        </w:rPr>
      </w:pPr>
      <w:r w:rsidRPr="007573D9">
        <w:rPr>
          <w:rFonts w:cs="Times New Roman"/>
        </w:rPr>
        <w:t>Method of Manufacture: Carved</w:t>
      </w:r>
      <w:r w:rsidR="00460140">
        <w:rPr>
          <w:rFonts w:cs="Times New Roman"/>
        </w:rPr>
        <w:t>.</w:t>
      </w:r>
    </w:p>
    <w:p w14:paraId="162680A7" w14:textId="5112F052" w:rsidR="00D72D85" w:rsidRPr="007573D9" w:rsidRDefault="00D72D85" w:rsidP="00D72D85">
      <w:pPr>
        <w:adjustRightInd w:val="0"/>
        <w:rPr>
          <w:rFonts w:cs="Times New Roman"/>
        </w:rPr>
      </w:pPr>
      <w:r w:rsidRPr="007573D9">
        <w:rPr>
          <w:rFonts w:cs="Times New Roman"/>
        </w:rPr>
        <w:t xml:space="preserve">Technical Details: </w:t>
      </w:r>
      <w:r w:rsidR="002C415A">
        <w:rPr>
          <w:rFonts w:cs="Times New Roman"/>
        </w:rPr>
        <w:t>The scarab is p</w:t>
      </w:r>
      <w:r w:rsidRPr="007573D9">
        <w:rPr>
          <w:rFonts w:cs="Times New Roman"/>
        </w:rPr>
        <w:t>erforated lengthwise</w:t>
      </w:r>
      <w:r>
        <w:rPr>
          <w:rFonts w:cs="Times New Roman"/>
        </w:rPr>
        <w:t xml:space="preserve"> on front and rear</w:t>
      </w:r>
      <w:r w:rsidR="002C415A">
        <w:rPr>
          <w:rFonts w:cs="Times New Roman"/>
        </w:rPr>
        <w:t xml:space="preserve"> and has</w:t>
      </w:r>
      <w:r>
        <w:rPr>
          <w:rFonts w:cs="Times New Roman"/>
        </w:rPr>
        <w:t xml:space="preserve"> </w:t>
      </w:r>
      <w:r w:rsidR="002C415A">
        <w:rPr>
          <w:rFonts w:cs="Times New Roman"/>
        </w:rPr>
        <w:t>l</w:t>
      </w:r>
      <w:r>
        <w:rPr>
          <w:rFonts w:cs="Times New Roman"/>
        </w:rPr>
        <w:t>inear engraving.</w:t>
      </w:r>
    </w:p>
    <w:p w14:paraId="14BBC354" w14:textId="5E225EF2" w:rsidR="002068A3" w:rsidRPr="007573D9" w:rsidRDefault="002068A3" w:rsidP="00B30320">
      <w:pPr>
        <w:adjustRightInd w:val="0"/>
        <w:rPr>
          <w:rFonts w:cs="Times New Roman"/>
          <w:color w:val="000000" w:themeColor="text1"/>
          <w:sz w:val="21"/>
          <w:szCs w:val="21"/>
        </w:rPr>
      </w:pPr>
      <w:r w:rsidRPr="007573D9">
        <w:rPr>
          <w:rFonts w:cs="Times New Roman"/>
        </w:rPr>
        <w:t xml:space="preserve">Preservation: </w:t>
      </w:r>
      <w:r w:rsidR="00AF6276" w:rsidRPr="007573D9">
        <w:rPr>
          <w:rFonts w:cs="Times New Roman"/>
        </w:rPr>
        <w:t xml:space="preserve">The scarab </w:t>
      </w:r>
      <w:r w:rsidR="002E210B" w:rsidRPr="001D1A60">
        <w:rPr>
          <w:rFonts w:cs="Times New Roman"/>
        </w:rPr>
        <w:t>is</w:t>
      </w:r>
      <w:r w:rsidR="00AF6276" w:rsidRPr="001D1A60">
        <w:rPr>
          <w:rFonts w:cs="Times New Roman"/>
        </w:rPr>
        <w:t xml:space="preserve"> b</w:t>
      </w:r>
      <w:r w:rsidRPr="001D1A60">
        <w:rPr>
          <w:rFonts w:cs="Times New Roman"/>
        </w:rPr>
        <w:t>roken</w:t>
      </w:r>
      <w:r w:rsidRPr="007573D9">
        <w:rPr>
          <w:rFonts w:cs="Times New Roman"/>
        </w:rPr>
        <w:t xml:space="preserve"> with </w:t>
      </w:r>
      <w:r w:rsidR="00F10AE4" w:rsidRPr="007573D9">
        <w:rPr>
          <w:rFonts w:cs="Times New Roman"/>
        </w:rPr>
        <w:t xml:space="preserve">ca. </w:t>
      </w:r>
      <w:r w:rsidRPr="007573D9">
        <w:rPr>
          <w:rFonts w:cs="Times New Roman"/>
        </w:rPr>
        <w:t>two thirds remaining</w:t>
      </w:r>
      <w:r w:rsidR="00AF6276" w:rsidRPr="007573D9">
        <w:rPr>
          <w:rFonts w:cs="Times New Roman"/>
        </w:rPr>
        <w:t>.</w:t>
      </w:r>
    </w:p>
    <w:p w14:paraId="5797A3FF" w14:textId="74433D87" w:rsidR="00FE6BD0" w:rsidRPr="007573D9" w:rsidRDefault="002068A3" w:rsidP="007573D9">
      <w:pPr>
        <w:adjustRightInd w:val="0"/>
        <w:rPr>
          <w:rFonts w:cs="Times New Roman"/>
        </w:rPr>
      </w:pPr>
      <w:r w:rsidRPr="007573D9">
        <w:rPr>
          <w:rFonts w:cs="Times New Roman"/>
        </w:rPr>
        <w:t xml:space="preserve">Base Design: The scarab </w:t>
      </w:r>
      <w:r w:rsidRPr="001D1A60">
        <w:rPr>
          <w:rFonts w:cs="Times New Roman"/>
        </w:rPr>
        <w:t>is broken</w:t>
      </w:r>
      <w:r w:rsidR="00CE2290" w:rsidRPr="007573D9">
        <w:rPr>
          <w:rFonts w:cs="Times New Roman"/>
        </w:rPr>
        <w:t>,</w:t>
      </w:r>
      <w:r w:rsidRPr="007573D9">
        <w:rPr>
          <w:rFonts w:cs="Times New Roman"/>
        </w:rPr>
        <w:t xml:space="preserve"> but two complete and two partial signs are visible and oriented horizontally along </w:t>
      </w:r>
      <w:r w:rsidR="007A371A">
        <w:rPr>
          <w:rFonts w:cs="Times New Roman"/>
        </w:rPr>
        <w:t>its</w:t>
      </w:r>
      <w:r w:rsidR="007A371A" w:rsidRPr="007573D9">
        <w:rPr>
          <w:rFonts w:cs="Times New Roman"/>
        </w:rPr>
        <w:t xml:space="preserve"> </w:t>
      </w:r>
      <w:r w:rsidRPr="007573D9">
        <w:rPr>
          <w:rFonts w:cs="Times New Roman"/>
        </w:rPr>
        <w:t>length. The third sign from the right appears to be the center sign with similar signs on the right and left of it. The missing sign(s) may be like the sign on the far right, which would make the inscription symmetrical</w:t>
      </w:r>
      <w:r w:rsidR="00F10AE4" w:rsidRPr="007573D9">
        <w:rPr>
          <w:rFonts w:cs="Times New Roman"/>
        </w:rPr>
        <w:t>,</w:t>
      </w:r>
      <w:r w:rsidRPr="007573D9">
        <w:rPr>
          <w:rFonts w:cs="Times New Roman"/>
        </w:rPr>
        <w:t xml:space="preserve"> </w:t>
      </w:r>
      <w:r w:rsidR="00F10AE4" w:rsidRPr="007573D9">
        <w:rPr>
          <w:rFonts w:cs="Times New Roman"/>
        </w:rPr>
        <w:t xml:space="preserve">and thus potentially readable to </w:t>
      </w:r>
      <w:r w:rsidR="00122995" w:rsidRPr="007573D9">
        <w:rPr>
          <w:rFonts w:cs="Times New Roman"/>
        </w:rPr>
        <w:t xml:space="preserve">the </w:t>
      </w:r>
      <w:r w:rsidRPr="007573D9">
        <w:rPr>
          <w:rFonts w:cs="Times New Roman"/>
        </w:rPr>
        <w:t xml:space="preserve">right </w:t>
      </w:r>
      <w:r w:rsidR="00122995" w:rsidRPr="007573D9">
        <w:rPr>
          <w:rFonts w:cs="Times New Roman"/>
        </w:rPr>
        <w:t xml:space="preserve">and </w:t>
      </w:r>
      <w:r w:rsidRPr="007573D9">
        <w:rPr>
          <w:rFonts w:cs="Times New Roman"/>
        </w:rPr>
        <w:t>left from center (Allen 2014</w:t>
      </w:r>
      <w:r w:rsidR="00920CCE" w:rsidRPr="007573D9">
        <w:rPr>
          <w:rFonts w:cs="Times New Roman"/>
        </w:rPr>
        <w:t>:</w:t>
      </w:r>
      <w:r w:rsidRPr="007573D9">
        <w:rPr>
          <w:rFonts w:cs="Times New Roman"/>
        </w:rPr>
        <w:t xml:space="preserve"> 4–5).</w:t>
      </w:r>
    </w:p>
    <w:p w14:paraId="37554C1A" w14:textId="77777777" w:rsidR="002068A3" w:rsidRPr="007573D9" w:rsidRDefault="002068A3" w:rsidP="00B30320">
      <w:pPr>
        <w:adjustRightInd w:val="0"/>
        <w:rPr>
          <w:rFonts w:cs="Times New Roman"/>
          <w:sz w:val="20"/>
          <w:szCs w:val="20"/>
        </w:rPr>
      </w:pPr>
    </w:p>
    <w:p w14:paraId="6A909926" w14:textId="4D5BFF7C" w:rsidR="00574F59" w:rsidRPr="007573D9" w:rsidRDefault="00143A82" w:rsidP="00B30320">
      <w:pPr>
        <w:adjustRightInd w:val="0"/>
        <w:rPr>
          <w:rFonts w:cs="Times New Roman"/>
        </w:rPr>
      </w:pPr>
      <w:r w:rsidRPr="007573D9">
        <w:rPr>
          <w:rFonts w:cs="Times New Roman"/>
        </w:rPr>
        <w:t>*</w:t>
      </w:r>
    </w:p>
    <w:p w14:paraId="0DCC250B" w14:textId="14361A8A" w:rsidR="00574F59" w:rsidRPr="007573D9" w:rsidRDefault="00574F59" w:rsidP="00B30320">
      <w:pPr>
        <w:adjustRightInd w:val="0"/>
        <w:rPr>
          <w:rFonts w:cs="Times New Roman"/>
        </w:rPr>
      </w:pPr>
      <w:r w:rsidRPr="007573D9">
        <w:rPr>
          <w:rFonts w:cs="Times New Roman"/>
        </w:rPr>
        <w:t xml:space="preserve">Figure </w:t>
      </w:r>
      <w:r w:rsidR="006530C5">
        <w:rPr>
          <w:rFonts w:cs="Times New Roman"/>
        </w:rPr>
        <w:t>7</w:t>
      </w:r>
      <w:r w:rsidRPr="007573D9">
        <w:rPr>
          <w:rFonts w:cs="Times New Roman"/>
        </w:rPr>
        <w:t>: Drawing of</w:t>
      </w:r>
      <w:r w:rsidR="00593B48">
        <w:rPr>
          <w:rFonts w:cs="Times New Roman"/>
        </w:rPr>
        <w:t xml:space="preserve"> Scarab Two</w:t>
      </w:r>
      <w:r w:rsidRPr="007573D9">
        <w:rPr>
          <w:rFonts w:cs="Times New Roman"/>
        </w:rPr>
        <w:t xml:space="preserve"> </w:t>
      </w:r>
      <w:r w:rsidR="00593B48">
        <w:rPr>
          <w:rFonts w:cs="Times New Roman"/>
        </w:rPr>
        <w:t>(</w:t>
      </w:r>
      <w:r w:rsidR="00A13422" w:rsidRPr="007573D9">
        <w:rPr>
          <w:rFonts w:cs="Times New Roman"/>
        </w:rPr>
        <w:t xml:space="preserve">Object </w:t>
      </w:r>
      <w:r w:rsidRPr="007573D9">
        <w:rPr>
          <w:rFonts w:cs="Times New Roman"/>
        </w:rPr>
        <w:t>1282</w:t>
      </w:r>
      <w:r w:rsidR="00593B48">
        <w:rPr>
          <w:rFonts w:cs="Times New Roman"/>
        </w:rPr>
        <w:t>)</w:t>
      </w:r>
      <w:r w:rsidRPr="007573D9">
        <w:rPr>
          <w:rFonts w:cs="Times New Roman"/>
        </w:rPr>
        <w:t xml:space="preserve"> by </w:t>
      </w:r>
      <w:r w:rsidR="00165733">
        <w:rPr>
          <w:rFonts w:cs="Times New Roman"/>
        </w:rPr>
        <w:t>Gary D. Urie</w:t>
      </w:r>
      <w:r w:rsidR="00C9142B" w:rsidRPr="007573D9">
        <w:rPr>
          <w:rFonts w:cs="Times New Roman"/>
        </w:rPr>
        <w:t>.</w:t>
      </w:r>
    </w:p>
    <w:p w14:paraId="319BF6E4" w14:textId="77777777" w:rsidR="002C33F5" w:rsidRPr="007573D9" w:rsidRDefault="002C33F5" w:rsidP="00B30320">
      <w:pPr>
        <w:rPr>
          <w:rFonts w:cs="Times New Roman"/>
          <w:lang w:val="en-GB"/>
        </w:rPr>
      </w:pPr>
    </w:p>
    <w:p w14:paraId="046E781D" w14:textId="77777777" w:rsidR="002068A3" w:rsidRPr="00BB6D12" w:rsidRDefault="002068A3" w:rsidP="00B30320">
      <w:pPr>
        <w:rPr>
          <w:rFonts w:cs="Times New Roman"/>
          <w:lang w:val="en-GB"/>
        </w:rPr>
      </w:pPr>
      <w:r w:rsidRPr="007573D9">
        <w:rPr>
          <w:rFonts w:cs="Times New Roman"/>
          <w:lang w:val="en-GB"/>
        </w:rPr>
        <w:t xml:space="preserve">Typology: </w:t>
      </w:r>
    </w:p>
    <w:p w14:paraId="1D02A8CF" w14:textId="77777777" w:rsidR="002068A3" w:rsidRPr="00BB6D12" w:rsidRDefault="002068A3" w:rsidP="00B30320">
      <w:pPr>
        <w:rPr>
          <w:rFonts w:cs="Times New Roman"/>
          <w:lang w:val="en-GB"/>
        </w:rPr>
      </w:pPr>
    </w:p>
    <w:p w14:paraId="0AFDF740" w14:textId="31A831FA" w:rsidR="00143459" w:rsidRPr="00CB5DB7" w:rsidRDefault="00FA076D" w:rsidP="0032346B">
      <w:pPr>
        <w:pStyle w:val="FootnoteText"/>
        <w:rPr>
          <w:rFonts w:ascii="Times New Roman" w:hAnsi="Times New Roman"/>
          <w:sz w:val="24"/>
          <w:szCs w:val="24"/>
          <w:lang w:val="en-GB"/>
        </w:rPr>
      </w:pPr>
      <w:r w:rsidRPr="00CB5DB7">
        <w:rPr>
          <w:rFonts w:ascii="Times New Roman" w:hAnsi="Times New Roman"/>
          <w:sz w:val="24"/>
          <w:szCs w:val="24"/>
          <w:lang w:val="en-GB"/>
        </w:rPr>
        <w:t xml:space="preserve">The head of Scarab </w:t>
      </w:r>
      <w:r w:rsidR="00593B48" w:rsidRPr="00CB5DB7">
        <w:rPr>
          <w:rFonts w:ascii="Times New Roman" w:hAnsi="Times New Roman"/>
          <w:sz w:val="24"/>
          <w:szCs w:val="24"/>
          <w:lang w:val="en-GB"/>
        </w:rPr>
        <w:t xml:space="preserve">Two </w:t>
      </w:r>
      <w:r w:rsidRPr="00CB5DB7">
        <w:rPr>
          <w:rFonts w:ascii="Times New Roman" w:hAnsi="Times New Roman"/>
          <w:sz w:val="24"/>
          <w:szCs w:val="24"/>
          <w:lang w:val="en-GB"/>
        </w:rPr>
        <w:t xml:space="preserve">is </w:t>
      </w:r>
      <w:r w:rsidR="0001019F" w:rsidRPr="00CB5DB7">
        <w:rPr>
          <w:rFonts w:ascii="Times New Roman" w:hAnsi="Times New Roman"/>
          <w:sz w:val="24"/>
          <w:szCs w:val="24"/>
          <w:lang w:val="en-GB"/>
        </w:rPr>
        <w:t>t</w:t>
      </w:r>
      <w:r w:rsidRPr="00CB5DB7">
        <w:rPr>
          <w:rFonts w:ascii="Times New Roman" w:hAnsi="Times New Roman"/>
          <w:sz w:val="24"/>
          <w:szCs w:val="24"/>
          <w:lang w:val="en-GB"/>
        </w:rPr>
        <w:t>ype B2 with a double “hourglass” outline and a horn</w:t>
      </w:r>
      <w:r w:rsidR="00143459" w:rsidRPr="00CB5DB7">
        <w:rPr>
          <w:rFonts w:ascii="Times New Roman" w:hAnsi="Times New Roman"/>
          <w:sz w:val="24"/>
          <w:szCs w:val="24"/>
          <w:lang w:val="en-GB"/>
        </w:rPr>
        <w:t>.</w:t>
      </w:r>
    </w:p>
    <w:p w14:paraId="73F22D20" w14:textId="77777777" w:rsidR="00DF1630" w:rsidRPr="00CB5DB7" w:rsidRDefault="00DF1630" w:rsidP="0032346B">
      <w:pPr>
        <w:pStyle w:val="FootnoteText"/>
        <w:rPr>
          <w:rFonts w:ascii="Times New Roman" w:hAnsi="Times New Roman"/>
          <w:sz w:val="24"/>
          <w:szCs w:val="24"/>
          <w:lang w:val="en-GB"/>
        </w:rPr>
      </w:pPr>
    </w:p>
    <w:p w14:paraId="3B7C8D67" w14:textId="0AF6313C" w:rsidR="00DF1630" w:rsidRDefault="00EA149D" w:rsidP="0032346B">
      <w:pPr>
        <w:pStyle w:val="FootnoteText"/>
        <w:rPr>
          <w:rFonts w:ascii="Times New Roman" w:hAnsi="Times New Roman"/>
          <w:sz w:val="24"/>
          <w:szCs w:val="24"/>
          <w:lang w:val="en-US"/>
        </w:rPr>
      </w:pPr>
      <w:r w:rsidRPr="00CB5DB7">
        <w:rPr>
          <w:rFonts w:ascii="Times New Roman" w:hAnsi="Times New Roman"/>
          <w:sz w:val="24"/>
          <w:szCs w:val="24"/>
          <w:lang w:val="en-GB"/>
        </w:rPr>
        <w:t xml:space="preserve">Its back is </w:t>
      </w:r>
      <w:proofErr w:type="gramStart"/>
      <w:r w:rsidR="0001019F" w:rsidRPr="00CB5DB7">
        <w:rPr>
          <w:rFonts w:ascii="Times New Roman" w:hAnsi="Times New Roman"/>
          <w:sz w:val="24"/>
          <w:szCs w:val="24"/>
          <w:lang w:val="en-GB"/>
        </w:rPr>
        <w:t>t</w:t>
      </w:r>
      <w:r w:rsidRPr="00CB5DB7">
        <w:rPr>
          <w:rFonts w:ascii="Times New Roman" w:hAnsi="Times New Roman"/>
          <w:sz w:val="24"/>
          <w:szCs w:val="24"/>
          <w:lang w:val="en-GB"/>
        </w:rPr>
        <w:t>ype</w:t>
      </w:r>
      <w:proofErr w:type="gramEnd"/>
      <w:r w:rsidR="00DF1630" w:rsidRPr="00CB5DB7">
        <w:rPr>
          <w:rFonts w:ascii="Times New Roman" w:hAnsi="Times New Roman"/>
          <w:sz w:val="24"/>
          <w:szCs w:val="24"/>
          <w:lang w:val="en-GB"/>
        </w:rPr>
        <w:t xml:space="preserve"> </w:t>
      </w:r>
      <w:r w:rsidRPr="00CB5DB7">
        <w:rPr>
          <w:rFonts w:ascii="Times New Roman" w:hAnsi="Times New Roman"/>
          <w:sz w:val="24"/>
          <w:szCs w:val="24"/>
          <w:lang w:val="en-GB"/>
        </w:rPr>
        <w:t xml:space="preserve">O since there </w:t>
      </w:r>
      <w:r w:rsidR="00FA076D" w:rsidRPr="00CB5DB7">
        <w:rPr>
          <w:rFonts w:ascii="Times New Roman" w:hAnsi="Times New Roman"/>
          <w:sz w:val="24"/>
          <w:szCs w:val="24"/>
          <w:lang w:val="en-GB"/>
        </w:rPr>
        <w:t xml:space="preserve">are </w:t>
      </w:r>
      <w:r w:rsidRPr="00CB5DB7">
        <w:rPr>
          <w:rFonts w:ascii="Times New Roman" w:hAnsi="Times New Roman"/>
          <w:sz w:val="24"/>
          <w:szCs w:val="24"/>
          <w:lang w:val="en-GB"/>
        </w:rPr>
        <w:t>no line</w:t>
      </w:r>
      <w:r w:rsidR="00FA076D" w:rsidRPr="00CB5DB7">
        <w:rPr>
          <w:rFonts w:ascii="Times New Roman" w:hAnsi="Times New Roman"/>
          <w:sz w:val="24"/>
          <w:szCs w:val="24"/>
          <w:lang w:val="en-GB"/>
        </w:rPr>
        <w:t>s</w:t>
      </w:r>
      <w:r w:rsidRPr="00CB5DB7">
        <w:rPr>
          <w:rFonts w:ascii="Times New Roman" w:hAnsi="Times New Roman"/>
          <w:sz w:val="24"/>
          <w:szCs w:val="24"/>
          <w:lang w:val="en-GB"/>
        </w:rPr>
        <w:t xml:space="preserve"> dividing the elytra</w:t>
      </w:r>
      <w:r w:rsidR="00143459" w:rsidRPr="00CB5DB7">
        <w:rPr>
          <w:rFonts w:ascii="Times New Roman" w:hAnsi="Times New Roman"/>
          <w:sz w:val="24"/>
          <w:szCs w:val="24"/>
          <w:lang w:val="en-GB"/>
        </w:rPr>
        <w:t xml:space="preserve"> (Tufnell 1984: 34–35)</w:t>
      </w:r>
      <w:r w:rsidR="006C540C" w:rsidRPr="00CB5DB7">
        <w:rPr>
          <w:rFonts w:ascii="Times New Roman" w:hAnsi="Times New Roman"/>
          <w:sz w:val="24"/>
          <w:szCs w:val="24"/>
          <w:lang w:val="en-GB"/>
        </w:rPr>
        <w:t xml:space="preserve">. </w:t>
      </w:r>
      <w:r w:rsidR="00BB6D12" w:rsidRPr="00CB5DB7">
        <w:rPr>
          <w:rFonts w:ascii="Times New Roman" w:hAnsi="Times New Roman"/>
          <w:sz w:val="24"/>
          <w:szCs w:val="24"/>
          <w:lang w:val="en-US"/>
        </w:rPr>
        <w:t>Ward and Dever</w:t>
      </w:r>
      <w:r w:rsidR="000D2590" w:rsidRPr="00CB5DB7">
        <w:rPr>
          <w:rFonts w:ascii="Times New Roman" w:hAnsi="Times New Roman"/>
          <w:sz w:val="24"/>
          <w:szCs w:val="24"/>
          <w:lang w:val="en-US"/>
        </w:rPr>
        <w:t xml:space="preserve"> (1994: 164–165)</w:t>
      </w:r>
      <w:r w:rsidR="00BB6D12" w:rsidRPr="00CB5DB7">
        <w:rPr>
          <w:rFonts w:ascii="Times New Roman" w:hAnsi="Times New Roman"/>
          <w:sz w:val="24"/>
          <w:szCs w:val="24"/>
          <w:lang w:val="en-US"/>
        </w:rPr>
        <w:t xml:space="preserve"> classify plain backs without lines as PN </w:t>
      </w:r>
      <w:r w:rsidR="00CD42E0" w:rsidRPr="00CB5DB7">
        <w:rPr>
          <w:rFonts w:ascii="Times New Roman" w:hAnsi="Times New Roman"/>
          <w:sz w:val="24"/>
          <w:szCs w:val="24"/>
          <w:lang w:val="en-US"/>
        </w:rPr>
        <w:t>(</w:t>
      </w:r>
      <w:r w:rsidR="00BB6D12" w:rsidRPr="00CB5DB7">
        <w:rPr>
          <w:rFonts w:ascii="Times New Roman" w:hAnsi="Times New Roman"/>
          <w:sz w:val="24"/>
          <w:szCs w:val="24"/>
          <w:lang w:val="en-US"/>
        </w:rPr>
        <w:t>Plain Natural</w:t>
      </w:r>
      <w:r w:rsidR="00CD42E0" w:rsidRPr="00CB5DB7">
        <w:rPr>
          <w:rFonts w:ascii="Times New Roman" w:hAnsi="Times New Roman"/>
          <w:sz w:val="24"/>
          <w:szCs w:val="24"/>
          <w:lang w:val="en-US"/>
        </w:rPr>
        <w:t>)</w:t>
      </w:r>
      <w:r w:rsidR="00BB6D12" w:rsidRPr="00CB5DB7">
        <w:rPr>
          <w:rFonts w:ascii="Times New Roman" w:hAnsi="Times New Roman"/>
          <w:sz w:val="24"/>
          <w:szCs w:val="24"/>
          <w:lang w:val="en-US"/>
        </w:rPr>
        <w:t xml:space="preserve"> or PS </w:t>
      </w:r>
      <w:r w:rsidR="00CD42E0" w:rsidRPr="00CB5DB7">
        <w:rPr>
          <w:rFonts w:ascii="Times New Roman" w:hAnsi="Times New Roman"/>
          <w:sz w:val="24"/>
          <w:szCs w:val="24"/>
          <w:lang w:val="en-US"/>
        </w:rPr>
        <w:t>(</w:t>
      </w:r>
      <w:r w:rsidR="00BB6D12" w:rsidRPr="00CB5DB7">
        <w:rPr>
          <w:rFonts w:ascii="Times New Roman" w:hAnsi="Times New Roman"/>
          <w:sz w:val="24"/>
          <w:szCs w:val="24"/>
          <w:lang w:val="en-US"/>
        </w:rPr>
        <w:t>Plain Stylistic</w:t>
      </w:r>
      <w:r w:rsidR="00CD42E0" w:rsidRPr="00CB5DB7">
        <w:rPr>
          <w:rFonts w:ascii="Times New Roman" w:hAnsi="Times New Roman"/>
          <w:sz w:val="24"/>
          <w:szCs w:val="24"/>
          <w:lang w:val="en-US"/>
        </w:rPr>
        <w:t>)</w:t>
      </w:r>
      <w:r w:rsidR="007A371A" w:rsidRPr="00CB5DB7">
        <w:rPr>
          <w:rFonts w:ascii="Times New Roman" w:hAnsi="Times New Roman"/>
          <w:sz w:val="24"/>
          <w:szCs w:val="24"/>
          <w:lang w:val="en-US"/>
        </w:rPr>
        <w:t>,</w:t>
      </w:r>
      <w:r w:rsidR="00BB6D12" w:rsidRPr="00CB5DB7">
        <w:rPr>
          <w:rFonts w:ascii="Times New Roman" w:hAnsi="Times New Roman"/>
          <w:sz w:val="24"/>
          <w:szCs w:val="24"/>
          <w:lang w:val="en-US"/>
        </w:rPr>
        <w:t xml:space="preserve"> indicating the lack of lines between the elytra and the pronotum.</w:t>
      </w:r>
      <w:r w:rsidR="0032346B" w:rsidRPr="00CB5DB7">
        <w:rPr>
          <w:rFonts w:ascii="Times New Roman" w:hAnsi="Times New Roman"/>
          <w:sz w:val="24"/>
          <w:szCs w:val="24"/>
          <w:lang w:val="en-US"/>
        </w:rPr>
        <w:t xml:space="preserve"> </w:t>
      </w:r>
      <w:r w:rsidR="0052098A" w:rsidRPr="00CB5DB7">
        <w:rPr>
          <w:rFonts w:ascii="Times New Roman" w:hAnsi="Times New Roman"/>
          <w:sz w:val="24"/>
          <w:szCs w:val="24"/>
          <w:lang w:val="en-US"/>
        </w:rPr>
        <w:t>Th</w:t>
      </w:r>
      <w:r w:rsidR="007A371A" w:rsidRPr="00CB5DB7">
        <w:rPr>
          <w:rFonts w:ascii="Times New Roman" w:hAnsi="Times New Roman"/>
          <w:sz w:val="24"/>
          <w:szCs w:val="24"/>
          <w:lang w:val="en-US"/>
        </w:rPr>
        <w:t>e</w:t>
      </w:r>
      <w:r w:rsidR="0052098A" w:rsidRPr="00CB5DB7">
        <w:rPr>
          <w:rFonts w:ascii="Times New Roman" w:hAnsi="Times New Roman"/>
          <w:sz w:val="24"/>
          <w:szCs w:val="24"/>
          <w:lang w:val="en-US"/>
        </w:rPr>
        <w:t xml:space="preserve"> back of this scarab appears to be PN (Plain Naturalistic).</w:t>
      </w:r>
    </w:p>
    <w:p w14:paraId="1DEFEF39" w14:textId="77777777" w:rsidR="00DF1630" w:rsidRDefault="00DF1630" w:rsidP="0032346B">
      <w:pPr>
        <w:pStyle w:val="FootnoteText"/>
        <w:rPr>
          <w:rFonts w:ascii="Times New Roman" w:hAnsi="Times New Roman"/>
          <w:sz w:val="24"/>
          <w:szCs w:val="24"/>
          <w:lang w:val="en-US"/>
        </w:rPr>
      </w:pPr>
    </w:p>
    <w:p w14:paraId="7FDAB9CA" w14:textId="4F12DF5A" w:rsidR="002068A3" w:rsidRPr="00BB6D12" w:rsidRDefault="0032346B" w:rsidP="0032346B">
      <w:pPr>
        <w:pStyle w:val="FootnoteText"/>
        <w:rPr>
          <w:rFonts w:ascii="Times New Roman" w:hAnsi="Times New Roman"/>
          <w:sz w:val="24"/>
          <w:szCs w:val="24"/>
          <w:lang w:val="en-GB"/>
        </w:rPr>
      </w:pPr>
      <w:r>
        <w:rPr>
          <w:rFonts w:ascii="Times New Roman" w:hAnsi="Times New Roman"/>
          <w:sz w:val="24"/>
          <w:szCs w:val="24"/>
          <w:lang w:val="en-US"/>
        </w:rPr>
        <w:t xml:space="preserve">The </w:t>
      </w:r>
      <w:r w:rsidR="00EA149D" w:rsidRPr="00BB6D12">
        <w:rPr>
          <w:rFonts w:ascii="Times New Roman" w:hAnsi="Times New Roman"/>
          <w:sz w:val="24"/>
          <w:szCs w:val="24"/>
          <w:lang w:val="en-GB"/>
        </w:rPr>
        <w:t>sides</w:t>
      </w:r>
      <w:r w:rsidR="002C415A">
        <w:rPr>
          <w:rFonts w:ascii="Times New Roman" w:hAnsi="Times New Roman"/>
          <w:sz w:val="24"/>
          <w:szCs w:val="24"/>
          <w:lang w:val="en-GB"/>
        </w:rPr>
        <w:t xml:space="preserve"> </w:t>
      </w:r>
      <w:r w:rsidR="00DF1630">
        <w:rPr>
          <w:rFonts w:ascii="Times New Roman" w:hAnsi="Times New Roman"/>
          <w:sz w:val="24"/>
          <w:szCs w:val="24"/>
          <w:lang w:val="en-GB"/>
        </w:rPr>
        <w:t>may be</w:t>
      </w:r>
      <w:r w:rsidR="00E23FFE">
        <w:rPr>
          <w:rFonts w:ascii="Times New Roman" w:hAnsi="Times New Roman"/>
          <w:sz w:val="24"/>
          <w:szCs w:val="24"/>
          <w:lang w:val="en-GB"/>
        </w:rPr>
        <w:t xml:space="preserve"> type</w:t>
      </w:r>
      <w:r w:rsidR="00DF1630">
        <w:rPr>
          <w:rFonts w:ascii="Times New Roman" w:hAnsi="Times New Roman"/>
          <w:sz w:val="24"/>
          <w:szCs w:val="24"/>
          <w:lang w:val="en-GB"/>
        </w:rPr>
        <w:t xml:space="preserve"> </w:t>
      </w:r>
      <w:r w:rsidR="0001019F" w:rsidRPr="00E23FFE">
        <w:rPr>
          <w:rFonts w:ascii="Times New Roman" w:hAnsi="Times New Roman"/>
          <w:sz w:val="24"/>
          <w:szCs w:val="24"/>
          <w:lang w:val="en-GB"/>
        </w:rPr>
        <w:t>d</w:t>
      </w:r>
      <w:r w:rsidR="00EA149D" w:rsidRPr="00E23FFE">
        <w:rPr>
          <w:rFonts w:ascii="Times New Roman" w:hAnsi="Times New Roman"/>
          <w:sz w:val="24"/>
          <w:szCs w:val="24"/>
          <w:lang w:val="en-GB"/>
        </w:rPr>
        <w:t>5</w:t>
      </w:r>
      <w:r w:rsidR="00EA149D" w:rsidRPr="00BB6D12">
        <w:rPr>
          <w:rFonts w:ascii="Times New Roman" w:hAnsi="Times New Roman"/>
          <w:sz w:val="24"/>
          <w:szCs w:val="24"/>
          <w:lang w:val="en-GB"/>
        </w:rPr>
        <w:t xml:space="preserve"> and appear to have </w:t>
      </w:r>
      <w:r w:rsidR="002068A3" w:rsidRPr="00BB6D12">
        <w:rPr>
          <w:rFonts w:ascii="Times New Roman" w:hAnsi="Times New Roman"/>
          <w:sz w:val="24"/>
          <w:szCs w:val="24"/>
          <w:lang w:val="en-GB"/>
        </w:rPr>
        <w:t>plain</w:t>
      </w:r>
      <w:r w:rsidR="00EA149D" w:rsidRPr="00BB6D12">
        <w:rPr>
          <w:rFonts w:ascii="Times New Roman" w:hAnsi="Times New Roman"/>
          <w:sz w:val="24"/>
          <w:szCs w:val="24"/>
          <w:lang w:val="en-GB"/>
        </w:rPr>
        <w:t xml:space="preserve"> legs with a </w:t>
      </w:r>
      <w:r w:rsidR="002068A3" w:rsidRPr="00BB6D12">
        <w:rPr>
          <w:rFonts w:ascii="Times New Roman" w:hAnsi="Times New Roman"/>
          <w:sz w:val="24"/>
          <w:szCs w:val="24"/>
          <w:lang w:val="en-GB"/>
        </w:rPr>
        <w:t>squared base (Tufnell 1984</w:t>
      </w:r>
      <w:r w:rsidR="00920CCE" w:rsidRPr="00BB6D12">
        <w:rPr>
          <w:rFonts w:ascii="Times New Roman" w:hAnsi="Times New Roman"/>
          <w:sz w:val="24"/>
          <w:szCs w:val="24"/>
          <w:lang w:val="en-GB"/>
        </w:rPr>
        <w:t>:</w:t>
      </w:r>
      <w:r w:rsidR="002068A3" w:rsidRPr="00BB6D12">
        <w:rPr>
          <w:rFonts w:ascii="Times New Roman" w:hAnsi="Times New Roman"/>
          <w:sz w:val="24"/>
          <w:szCs w:val="24"/>
          <w:lang w:val="en-GB"/>
        </w:rPr>
        <w:t xml:space="preserve"> 36; Ward and Dever 1994</w:t>
      </w:r>
      <w:r w:rsidR="00920CCE" w:rsidRPr="00BB6D12">
        <w:rPr>
          <w:rFonts w:ascii="Times New Roman" w:hAnsi="Times New Roman"/>
          <w:sz w:val="24"/>
          <w:szCs w:val="24"/>
          <w:lang w:val="en-GB"/>
        </w:rPr>
        <w:t>:</w:t>
      </w:r>
      <w:r w:rsidR="002068A3" w:rsidRPr="00BB6D12">
        <w:rPr>
          <w:rFonts w:ascii="Times New Roman" w:hAnsi="Times New Roman"/>
          <w:sz w:val="24"/>
          <w:szCs w:val="24"/>
          <w:lang w:val="en-GB"/>
        </w:rPr>
        <w:t xml:space="preserve"> 164–165)</w:t>
      </w:r>
      <w:r w:rsidR="00460140" w:rsidRPr="00BB6D12">
        <w:rPr>
          <w:rFonts w:ascii="Times New Roman" w:hAnsi="Times New Roman"/>
          <w:sz w:val="24"/>
          <w:szCs w:val="24"/>
          <w:lang w:val="en-GB"/>
        </w:rPr>
        <w:t>.</w:t>
      </w:r>
      <w:r w:rsidR="002068A3" w:rsidRPr="00BB6D12">
        <w:rPr>
          <w:rStyle w:val="FootnoteReference"/>
          <w:rFonts w:ascii="Times New Roman" w:hAnsi="Times New Roman"/>
          <w:sz w:val="24"/>
          <w:szCs w:val="24"/>
          <w:lang w:val="en-GB"/>
        </w:rPr>
        <w:footnoteReference w:id="7"/>
      </w:r>
    </w:p>
    <w:p w14:paraId="4C85F211" w14:textId="77777777" w:rsidR="009634B6" w:rsidRPr="00BB6D12" w:rsidRDefault="009634B6" w:rsidP="00EA149D">
      <w:pPr>
        <w:rPr>
          <w:rFonts w:cs="Times New Roman"/>
          <w:lang w:val="en-GB"/>
        </w:rPr>
      </w:pPr>
    </w:p>
    <w:p w14:paraId="3540AA27" w14:textId="0AD8295F" w:rsidR="00B30320" w:rsidRDefault="009634B6" w:rsidP="00B30320">
      <w:pPr>
        <w:rPr>
          <w:rFonts w:cs="Times New Roman"/>
          <w:lang w:val="en-GB"/>
        </w:rPr>
      </w:pPr>
      <w:r w:rsidRPr="00BB6D12">
        <w:rPr>
          <w:rFonts w:cs="Times New Roman"/>
          <w:lang w:val="en-GB"/>
        </w:rPr>
        <w:t>The presence of sedge plants</w:t>
      </w:r>
      <w:r w:rsidR="00C96F40">
        <w:rPr>
          <w:rFonts w:cs="Times New Roman"/>
          <w:lang w:val="en-GB"/>
        </w:rPr>
        <w:t>, sometimes paired,</w:t>
      </w:r>
      <w:r w:rsidRPr="00BB6D12">
        <w:rPr>
          <w:rFonts w:cs="Times New Roman"/>
          <w:lang w:val="en-GB"/>
        </w:rPr>
        <w:t xml:space="preserve"> in a symmetrical patter</w:t>
      </w:r>
      <w:r w:rsidR="00F911A9" w:rsidRPr="00BB6D12">
        <w:rPr>
          <w:rFonts w:cs="Times New Roman"/>
          <w:lang w:val="en-GB"/>
        </w:rPr>
        <w:t>n</w:t>
      </w:r>
      <w:r w:rsidRPr="00BB6D12">
        <w:rPr>
          <w:rFonts w:cs="Times New Roman"/>
          <w:lang w:val="en-GB"/>
        </w:rPr>
        <w:t xml:space="preserve"> indicate the </w:t>
      </w:r>
      <w:r w:rsidR="00F911A9" w:rsidRPr="00BB6D12">
        <w:rPr>
          <w:rFonts w:cs="Times New Roman"/>
          <w:lang w:val="en-GB"/>
        </w:rPr>
        <w:t>d</w:t>
      </w:r>
      <w:r w:rsidRPr="00BB6D12">
        <w:rPr>
          <w:rFonts w:cs="Times New Roman"/>
          <w:lang w:val="en-GB"/>
        </w:rPr>
        <w:t xml:space="preserve">esign </w:t>
      </w:r>
      <w:r w:rsidR="00F911A9" w:rsidRPr="00BB6D12">
        <w:rPr>
          <w:rFonts w:cs="Times New Roman"/>
          <w:lang w:val="en-GB"/>
        </w:rPr>
        <w:t>c</w:t>
      </w:r>
      <w:r w:rsidRPr="00BB6D12">
        <w:rPr>
          <w:rFonts w:cs="Times New Roman"/>
          <w:lang w:val="en-GB"/>
        </w:rPr>
        <w:t xml:space="preserve">lass is 3B5 </w:t>
      </w:r>
      <w:r w:rsidR="002068A3" w:rsidRPr="00BB6D12">
        <w:rPr>
          <w:rFonts w:cs="Times New Roman"/>
          <w:lang w:val="en-GB"/>
        </w:rPr>
        <w:t>(Tufnell 1984</w:t>
      </w:r>
      <w:r w:rsidR="00920CCE" w:rsidRPr="00BB6D12">
        <w:rPr>
          <w:rFonts w:cs="Times New Roman"/>
          <w:lang w:val="en-GB"/>
        </w:rPr>
        <w:t>:</w:t>
      </w:r>
      <w:r w:rsidR="002068A3" w:rsidRPr="00BB6D12">
        <w:rPr>
          <w:rFonts w:cs="Times New Roman"/>
          <w:lang w:val="en-GB"/>
        </w:rPr>
        <w:t xml:space="preserve"> 120, 286; Ben Tor 2007</w:t>
      </w:r>
      <w:r w:rsidR="00920CCE" w:rsidRPr="00BB6D12">
        <w:rPr>
          <w:rFonts w:cs="Times New Roman"/>
          <w:lang w:val="en-GB"/>
        </w:rPr>
        <w:t>:</w:t>
      </w:r>
      <w:r w:rsidR="002068A3" w:rsidRPr="00BB6D12">
        <w:rPr>
          <w:rFonts w:cs="Times New Roman"/>
          <w:lang w:val="en-GB"/>
        </w:rPr>
        <w:t xml:space="preserve"> 131 and 164).</w:t>
      </w:r>
    </w:p>
    <w:p w14:paraId="13E5BA87" w14:textId="77777777" w:rsidR="006D6DCC" w:rsidRPr="00BB6D12" w:rsidRDefault="006D6DCC" w:rsidP="00B30320">
      <w:pPr>
        <w:rPr>
          <w:rFonts w:cs="Times New Roman"/>
          <w:lang w:val="en-GB"/>
        </w:rPr>
      </w:pPr>
    </w:p>
    <w:p w14:paraId="6DD5FEA6" w14:textId="1B5EC6FD" w:rsidR="006D6DCC" w:rsidRDefault="00B30320" w:rsidP="006D6DCC">
      <w:pPr>
        <w:rPr>
          <w:rFonts w:cs="Times New Roman"/>
          <w:color w:val="000000" w:themeColor="text1"/>
        </w:rPr>
      </w:pPr>
      <w:r w:rsidRPr="00E86A34">
        <w:rPr>
          <w:rFonts w:cs="Times New Roman"/>
          <w:color w:val="000000" w:themeColor="text1"/>
          <w:spacing w:val="-2"/>
          <w:w w:val="105"/>
        </w:rPr>
        <w:lastRenderedPageBreak/>
        <w:t>Archaeological Context:</w:t>
      </w:r>
      <w:r w:rsidRPr="00E86A34">
        <w:rPr>
          <w:rFonts w:cs="Times New Roman"/>
          <w:lang w:val="en-GB"/>
        </w:rPr>
        <w:t xml:space="preserve"> Square </w:t>
      </w:r>
      <w:r w:rsidRPr="00E86A34">
        <w:rPr>
          <w:rFonts w:cs="Times New Roman"/>
        </w:rPr>
        <w:t>AE27</w:t>
      </w:r>
      <w:r w:rsidR="00A42DCA">
        <w:rPr>
          <w:rFonts w:cs="Times New Roman"/>
        </w:rPr>
        <w:t>, Locus 4</w:t>
      </w:r>
      <w:r w:rsidR="00E86A34" w:rsidRPr="00A42DCA">
        <w:t xml:space="preserve">. The locus </w:t>
      </w:r>
      <w:r w:rsidR="00646D9C">
        <w:t xml:space="preserve">was in the south side of the square. It </w:t>
      </w:r>
      <w:r w:rsidRPr="00E86A34">
        <w:rPr>
          <w:rFonts w:cs="Times New Roman"/>
        </w:rPr>
        <w:t>yielded 54 objects, most notably this ca. 60 percent intact scarab</w:t>
      </w:r>
      <w:r w:rsidR="00124A27">
        <w:rPr>
          <w:rFonts w:cs="Times New Roman"/>
        </w:rPr>
        <w:t xml:space="preserve"> from</w:t>
      </w:r>
      <w:r w:rsidRPr="00E86A34">
        <w:rPr>
          <w:rFonts w:cs="Times New Roman"/>
        </w:rPr>
        <w:t xml:space="preserve"> Pail 5. The mixed</w:t>
      </w:r>
      <w:r w:rsidRPr="007573D9">
        <w:rPr>
          <w:rFonts w:cs="Times New Roman"/>
        </w:rPr>
        <w:t xml:space="preserve"> pottery assemblage read primarily as Early Roman and Iron </w:t>
      </w:r>
      <w:r w:rsidRPr="007573D9">
        <w:rPr>
          <w:rFonts w:cs="Times New Roman"/>
          <w:color w:val="000000" w:themeColor="text1"/>
        </w:rPr>
        <w:t>Age II (</w:t>
      </w:r>
      <w:r w:rsidRPr="007573D9">
        <w:rPr>
          <w:rFonts w:cs="Times New Roman"/>
          <w:lang w:val="en-GB"/>
        </w:rPr>
        <w:t>Stripling 2019: 17)</w:t>
      </w:r>
      <w:r w:rsidR="006D6DCC">
        <w:rPr>
          <w:rFonts w:cs="Times New Roman"/>
          <w:lang w:val="en-GB"/>
        </w:rPr>
        <w:t xml:space="preserve">. </w:t>
      </w:r>
      <w:r w:rsidRPr="007573D9">
        <w:rPr>
          <w:rFonts w:cs="Times New Roman"/>
          <w:color w:val="000000" w:themeColor="text1"/>
        </w:rPr>
        <w:t xml:space="preserve">Other objects discovered in the same pail include three coins, a sling stone, a grinding stone, and an unknown </w:t>
      </w:r>
      <w:r w:rsidRPr="007403EF">
        <w:rPr>
          <w:rFonts w:cs="Times New Roman"/>
          <w:color w:val="000000" w:themeColor="text1"/>
        </w:rPr>
        <w:t xml:space="preserve">metallic </w:t>
      </w:r>
      <w:r w:rsidRPr="00C9142B">
        <w:rPr>
          <w:rFonts w:cs="Times New Roman"/>
          <w:color w:val="000000" w:themeColor="text1"/>
        </w:rPr>
        <w:t>object (</w:t>
      </w:r>
      <w:r w:rsidRPr="00C9142B">
        <w:rPr>
          <w:rFonts w:cs="Times New Roman"/>
          <w:lang w:val="en-GB"/>
        </w:rPr>
        <w:t>Stripling 2019: 20).</w:t>
      </w:r>
    </w:p>
    <w:p w14:paraId="33B77711" w14:textId="77777777" w:rsidR="006D6DCC" w:rsidRPr="007573D9" w:rsidRDefault="006D6DCC" w:rsidP="006D6DCC">
      <w:pPr>
        <w:jc w:val="center"/>
        <w:rPr>
          <w:rFonts w:cs="Times New Roman"/>
          <w:color w:val="000000" w:themeColor="text1"/>
        </w:rPr>
      </w:pPr>
    </w:p>
    <w:p w14:paraId="1E581FA6" w14:textId="59D22A0B" w:rsidR="007403EF" w:rsidRDefault="00622577" w:rsidP="006D6DCC">
      <w:pPr>
        <w:rPr>
          <w:highlight w:val="yellow"/>
          <w:lang w:val="en-GB"/>
        </w:rPr>
      </w:pPr>
      <w:r w:rsidRPr="00622577">
        <w:rPr>
          <w:lang w:val="en-GB"/>
        </w:rPr>
        <w:t>*</w:t>
      </w:r>
    </w:p>
    <w:p w14:paraId="65491E9A" w14:textId="0110459B" w:rsidR="00F05B36" w:rsidRDefault="00E86A34" w:rsidP="00B30320">
      <w:r>
        <w:t xml:space="preserve">Figure 8: </w:t>
      </w:r>
      <w:r w:rsidRPr="00A42DCA">
        <w:t xml:space="preserve">Square AE27 </w:t>
      </w:r>
      <w:r w:rsidR="00CE3F4B">
        <w:t>on</w:t>
      </w:r>
      <w:r w:rsidR="002C415A">
        <w:t xml:space="preserve"> the discovery</w:t>
      </w:r>
      <w:r w:rsidR="00CE3F4B">
        <w:t xml:space="preserve"> </w:t>
      </w:r>
      <w:r w:rsidR="002C415A">
        <w:t>d</w:t>
      </w:r>
      <w:r w:rsidR="00CE3F4B">
        <w:t>ay of Scarab</w:t>
      </w:r>
      <w:r w:rsidR="00F911A9">
        <w:t xml:space="preserve"> Two</w:t>
      </w:r>
      <w:r w:rsidRPr="00A42DCA">
        <w:t xml:space="preserve">. </w:t>
      </w:r>
      <w:r w:rsidR="0021121D">
        <w:t>Drawing by Gary D. Urie.</w:t>
      </w:r>
    </w:p>
    <w:p w14:paraId="58396AE2" w14:textId="77777777" w:rsidR="009634B6" w:rsidRDefault="009634B6" w:rsidP="00B30320"/>
    <w:p w14:paraId="1C71D4DD" w14:textId="0CBDC93E" w:rsidR="002068A3" w:rsidRPr="007573D9" w:rsidRDefault="00C50AFA" w:rsidP="007573D9">
      <w:pPr>
        <w:rPr>
          <w:rFonts w:cs="Times New Roman"/>
          <w:b/>
          <w:bCs/>
          <w:i/>
          <w:iCs/>
          <w:color w:val="000000" w:themeColor="text1"/>
        </w:rPr>
      </w:pPr>
      <w:r w:rsidRPr="007573D9">
        <w:rPr>
          <w:rFonts w:cs="Times New Roman"/>
          <w:b/>
          <w:bCs/>
          <w:i/>
          <w:iCs/>
          <w:color w:val="000000" w:themeColor="text1"/>
        </w:rPr>
        <w:t>Scarab Three</w:t>
      </w:r>
    </w:p>
    <w:p w14:paraId="55FFEC03" w14:textId="77777777" w:rsidR="002068A3" w:rsidRPr="007573D9" w:rsidRDefault="002068A3" w:rsidP="00B30320">
      <w:pPr>
        <w:rPr>
          <w:rFonts w:cs="Times New Roman"/>
          <w:lang w:val="en-GB"/>
        </w:rPr>
      </w:pPr>
    </w:p>
    <w:p w14:paraId="560E251A" w14:textId="321592DE" w:rsidR="002068A3" w:rsidRPr="007573D9" w:rsidRDefault="002068A3" w:rsidP="00B30320">
      <w:pPr>
        <w:adjustRightInd w:val="0"/>
        <w:rPr>
          <w:rFonts w:cs="Times New Roman"/>
          <w:color w:val="000000" w:themeColor="text1"/>
        </w:rPr>
      </w:pPr>
      <w:r w:rsidRPr="007573D9">
        <w:rPr>
          <w:rFonts w:cs="Times New Roman"/>
          <w:color w:val="000000" w:themeColor="text1"/>
        </w:rPr>
        <w:t xml:space="preserve">Shiloh </w:t>
      </w:r>
      <w:r w:rsidR="000F4A59" w:rsidRPr="007573D9">
        <w:rPr>
          <w:rFonts w:cs="Times New Roman"/>
          <w:color w:val="000000" w:themeColor="text1"/>
        </w:rPr>
        <w:t xml:space="preserve">Object </w:t>
      </w:r>
      <w:r w:rsidRPr="007573D9">
        <w:rPr>
          <w:rFonts w:cs="Times New Roman"/>
          <w:color w:val="000000" w:themeColor="text1"/>
        </w:rPr>
        <w:t xml:space="preserve">1100 </w:t>
      </w:r>
      <w:r w:rsidR="00F911A9">
        <w:rPr>
          <w:rFonts w:cs="Times New Roman"/>
          <w:color w:val="000000" w:themeColor="text1"/>
        </w:rPr>
        <w:t>(</w:t>
      </w:r>
      <w:r w:rsidRPr="007573D9">
        <w:rPr>
          <w:rFonts w:cs="Times New Roman"/>
          <w:color w:val="000000" w:themeColor="text1"/>
        </w:rPr>
        <w:t>K46110</w:t>
      </w:r>
      <w:r w:rsidR="00F911A9">
        <w:rPr>
          <w:rFonts w:cs="Times New Roman"/>
          <w:color w:val="000000" w:themeColor="text1"/>
        </w:rPr>
        <w:t>),</w:t>
      </w:r>
      <w:r w:rsidRPr="007573D9">
        <w:rPr>
          <w:rFonts w:cs="Times New Roman"/>
          <w:color w:val="000000" w:themeColor="text1"/>
        </w:rPr>
        <w:t xml:space="preserve"> Field H1, Square AE30, Locus 14, Pail 44</w:t>
      </w:r>
      <w:r w:rsidR="00460140">
        <w:rPr>
          <w:rFonts w:cs="Times New Roman"/>
          <w:color w:val="000000" w:themeColor="text1"/>
        </w:rPr>
        <w:t>.</w:t>
      </w:r>
    </w:p>
    <w:p w14:paraId="77B23381" w14:textId="77777777" w:rsidR="002068A3" w:rsidRPr="007573D9" w:rsidRDefault="002068A3" w:rsidP="00B30320">
      <w:pPr>
        <w:adjustRightInd w:val="0"/>
        <w:rPr>
          <w:rFonts w:cs="Times New Roman"/>
          <w:color w:val="000000" w:themeColor="text1"/>
        </w:rPr>
      </w:pPr>
    </w:p>
    <w:p w14:paraId="0A6ECCA2" w14:textId="0C2C4375" w:rsidR="002068A3" w:rsidRPr="007573D9" w:rsidRDefault="00143A82" w:rsidP="00622577">
      <w:pPr>
        <w:adjustRightInd w:val="0"/>
        <w:jc w:val="center"/>
        <w:rPr>
          <w:rFonts w:cs="Times New Roman"/>
          <w:color w:val="000000" w:themeColor="text1"/>
        </w:rPr>
      </w:pPr>
      <w:r w:rsidRPr="007573D9">
        <w:rPr>
          <w:rFonts w:cs="Times New Roman"/>
          <w:color w:val="000000" w:themeColor="text1"/>
        </w:rPr>
        <w:t>*</w:t>
      </w:r>
    </w:p>
    <w:p w14:paraId="57AD2490" w14:textId="40D55798" w:rsidR="002068A3" w:rsidRPr="007573D9" w:rsidRDefault="002068A3" w:rsidP="007573D9">
      <w:pPr>
        <w:adjustRightInd w:val="0"/>
        <w:rPr>
          <w:rFonts w:cs="Times New Roman"/>
          <w:color w:val="000000" w:themeColor="text1"/>
        </w:rPr>
      </w:pPr>
      <w:r w:rsidRPr="007573D9">
        <w:rPr>
          <w:rFonts w:cs="Times New Roman"/>
          <w:color w:val="000000" w:themeColor="text1"/>
        </w:rPr>
        <w:t xml:space="preserve">Figure </w:t>
      </w:r>
      <w:r w:rsidR="00A42DCA">
        <w:rPr>
          <w:rFonts w:cs="Times New Roman"/>
          <w:color w:val="000000" w:themeColor="text1"/>
        </w:rPr>
        <w:t>9</w:t>
      </w:r>
      <w:r w:rsidRPr="007573D9">
        <w:rPr>
          <w:rFonts w:cs="Times New Roman"/>
          <w:color w:val="000000" w:themeColor="text1"/>
        </w:rPr>
        <w:t>: Scarab</w:t>
      </w:r>
      <w:r w:rsidR="00F911A9">
        <w:rPr>
          <w:rFonts w:cs="Times New Roman"/>
          <w:color w:val="000000" w:themeColor="text1"/>
        </w:rPr>
        <w:t xml:space="preserve"> Three</w:t>
      </w:r>
      <w:r w:rsidRPr="007573D9">
        <w:rPr>
          <w:rFonts w:cs="Times New Roman"/>
          <w:color w:val="000000" w:themeColor="text1"/>
        </w:rPr>
        <w:t xml:space="preserve"> </w:t>
      </w:r>
      <w:r w:rsidR="00A21661" w:rsidRPr="007573D9">
        <w:rPr>
          <w:rFonts w:cs="Times New Roman"/>
          <w:color w:val="000000" w:themeColor="text1"/>
        </w:rPr>
        <w:t xml:space="preserve">reflecting </w:t>
      </w:r>
      <w:r w:rsidR="00FC267E" w:rsidRPr="007573D9">
        <w:rPr>
          <w:rFonts w:cs="Times New Roman"/>
          <w:color w:val="000000" w:themeColor="text1"/>
        </w:rPr>
        <w:t>“</w:t>
      </w:r>
      <w:proofErr w:type="spellStart"/>
      <w:r w:rsidR="00FC267E" w:rsidRPr="007573D9">
        <w:rPr>
          <w:rFonts w:cs="Times New Roman"/>
          <w:color w:val="000000" w:themeColor="text1"/>
        </w:rPr>
        <w:t>anra</w:t>
      </w:r>
      <w:proofErr w:type="spellEnd"/>
      <w:r w:rsidR="00FC267E" w:rsidRPr="007573D9">
        <w:rPr>
          <w:rFonts w:cs="Times New Roman"/>
          <w:color w:val="000000" w:themeColor="text1"/>
        </w:rPr>
        <w:t xml:space="preserve">” </w:t>
      </w:r>
      <w:r w:rsidR="005C2B47">
        <w:rPr>
          <w:rFonts w:cs="Times New Roman"/>
          <w:color w:val="000000" w:themeColor="text1"/>
        </w:rPr>
        <w:t>(</w:t>
      </w:r>
      <w:proofErr w:type="spellStart"/>
      <w:r w:rsidR="005C2B47" w:rsidRPr="000B2C40">
        <w:rPr>
          <w:rFonts w:cs="Times New Roman"/>
          <w:color w:val="000000" w:themeColor="text1"/>
        </w:rPr>
        <w:t>ʾ</w:t>
      </w:r>
      <w:r w:rsidR="005C2B47">
        <w:rPr>
          <w:rFonts w:cs="Times New Roman"/>
          <w:color w:val="000000" w:themeColor="text1"/>
        </w:rPr>
        <w:t>nr</w:t>
      </w:r>
      <w:r w:rsidR="005C2B47" w:rsidRPr="000B2C40">
        <w:rPr>
          <w:rFonts w:cs="Times New Roman"/>
          <w:color w:val="000000" w:themeColor="text1"/>
        </w:rPr>
        <w:t>ʾ</w:t>
      </w:r>
      <w:proofErr w:type="spellEnd"/>
      <w:r w:rsidR="005C2B47">
        <w:rPr>
          <w:rFonts w:cs="Times New Roman"/>
          <w:color w:val="000000" w:themeColor="text1"/>
        </w:rPr>
        <w:t xml:space="preserve">) </w:t>
      </w:r>
      <w:r w:rsidR="00FC267E" w:rsidRPr="007573D9">
        <w:rPr>
          <w:rFonts w:cs="Times New Roman"/>
          <w:color w:val="000000" w:themeColor="text1"/>
        </w:rPr>
        <w:t>composition</w:t>
      </w:r>
      <w:r w:rsidRPr="007573D9">
        <w:rPr>
          <w:rFonts w:cs="Times New Roman"/>
          <w:color w:val="000000" w:themeColor="text1"/>
        </w:rPr>
        <w:t xml:space="preserve">. Photo courtesy of Michael C. </w:t>
      </w:r>
      <w:proofErr w:type="spellStart"/>
      <w:r w:rsidRPr="007573D9">
        <w:rPr>
          <w:rFonts w:cs="Times New Roman"/>
          <w:color w:val="000000" w:themeColor="text1"/>
        </w:rPr>
        <w:t>Luddeni</w:t>
      </w:r>
      <w:proofErr w:type="spellEnd"/>
      <w:r w:rsidRPr="007573D9">
        <w:rPr>
          <w:rFonts w:cs="Times New Roman"/>
          <w:color w:val="000000" w:themeColor="text1"/>
        </w:rPr>
        <w:t>.</w:t>
      </w:r>
    </w:p>
    <w:p w14:paraId="28608D9E" w14:textId="77777777" w:rsidR="002068A3" w:rsidRPr="007573D9" w:rsidRDefault="002068A3" w:rsidP="00B30320">
      <w:pPr>
        <w:adjustRightInd w:val="0"/>
        <w:rPr>
          <w:rFonts w:cs="Times New Roman"/>
          <w:color w:val="000000" w:themeColor="text1"/>
        </w:rPr>
      </w:pPr>
    </w:p>
    <w:p w14:paraId="1B25B00E" w14:textId="0BDD6524" w:rsidR="002068A3" w:rsidRPr="007573D9" w:rsidRDefault="002068A3" w:rsidP="007573D9">
      <w:pPr>
        <w:adjustRightInd w:val="0"/>
        <w:rPr>
          <w:rFonts w:cs="Times New Roman"/>
        </w:rPr>
      </w:pPr>
      <w:r w:rsidRPr="007573D9">
        <w:rPr>
          <w:rFonts w:cs="Times New Roman"/>
        </w:rPr>
        <w:t xml:space="preserve">Material: </w:t>
      </w:r>
      <w:r w:rsidR="00D72D85">
        <w:rPr>
          <w:rFonts w:cs="Times New Roman"/>
        </w:rPr>
        <w:t xml:space="preserve">Glazed </w:t>
      </w:r>
      <w:r w:rsidR="00F2515A">
        <w:rPr>
          <w:rFonts w:cs="Times New Roman"/>
        </w:rPr>
        <w:t>Steatite</w:t>
      </w:r>
      <w:r w:rsidR="00460140">
        <w:rPr>
          <w:rFonts w:cs="Times New Roman"/>
        </w:rPr>
        <w:t>.</w:t>
      </w:r>
    </w:p>
    <w:p w14:paraId="0FDFD1C5" w14:textId="443C32EA" w:rsidR="002068A3" w:rsidRDefault="002068A3" w:rsidP="007573D9">
      <w:pPr>
        <w:adjustRightInd w:val="0"/>
        <w:rPr>
          <w:rFonts w:cs="Times New Roman"/>
        </w:rPr>
      </w:pPr>
      <w:r w:rsidRPr="007573D9">
        <w:rPr>
          <w:rFonts w:cs="Times New Roman"/>
        </w:rPr>
        <w:t>Dimensions: L</w:t>
      </w:r>
      <w:r w:rsidR="0038394D" w:rsidRPr="007573D9">
        <w:rPr>
          <w:rFonts w:cs="Times New Roman"/>
        </w:rPr>
        <w:t>ength</w:t>
      </w:r>
      <w:r w:rsidRPr="007573D9">
        <w:rPr>
          <w:rFonts w:cs="Times New Roman"/>
        </w:rPr>
        <w:t xml:space="preserve"> 1.2 mm, W</w:t>
      </w:r>
      <w:r w:rsidR="0038394D" w:rsidRPr="007573D9">
        <w:rPr>
          <w:rFonts w:cs="Times New Roman"/>
        </w:rPr>
        <w:t>idth</w:t>
      </w:r>
      <w:r w:rsidRPr="007573D9">
        <w:rPr>
          <w:rFonts w:cs="Times New Roman"/>
        </w:rPr>
        <w:t xml:space="preserve"> 0.9 mm, H</w:t>
      </w:r>
      <w:r w:rsidR="0038394D" w:rsidRPr="007573D9">
        <w:rPr>
          <w:rFonts w:cs="Times New Roman"/>
        </w:rPr>
        <w:t>eight</w:t>
      </w:r>
      <w:r w:rsidRPr="007573D9">
        <w:rPr>
          <w:rFonts w:cs="Times New Roman"/>
        </w:rPr>
        <w:t xml:space="preserve"> .6 mm, W</w:t>
      </w:r>
      <w:r w:rsidR="0038394D" w:rsidRPr="007573D9">
        <w:rPr>
          <w:rFonts w:cs="Times New Roman"/>
        </w:rPr>
        <w:t>eight</w:t>
      </w:r>
      <w:r w:rsidRPr="007573D9">
        <w:rPr>
          <w:rFonts w:cs="Times New Roman"/>
        </w:rPr>
        <w:t xml:space="preserve"> .75 gm</w:t>
      </w:r>
      <w:r w:rsidR="00460140">
        <w:rPr>
          <w:rFonts w:cs="Times New Roman"/>
        </w:rPr>
        <w:t>.</w:t>
      </w:r>
    </w:p>
    <w:p w14:paraId="4017E621" w14:textId="35BDDB17" w:rsidR="00D72D85" w:rsidRDefault="00D72D85" w:rsidP="00D72D85">
      <w:pPr>
        <w:pStyle w:val="NormalWeb"/>
        <w:spacing w:before="0" w:beforeAutospacing="0" w:after="0" w:afterAutospacing="0"/>
      </w:pPr>
      <w:r w:rsidRPr="00902744">
        <w:t xml:space="preserve">Method of Manufacture: </w:t>
      </w:r>
      <w:r w:rsidRPr="00D72D85">
        <w:t xml:space="preserve">Carving, abrading, drilling, incising, and glazing. </w:t>
      </w:r>
    </w:p>
    <w:p w14:paraId="187F2D63" w14:textId="378D9FA9" w:rsidR="002068A3" w:rsidRPr="007573D9" w:rsidRDefault="00665161" w:rsidP="007573D9">
      <w:pPr>
        <w:adjustRightInd w:val="0"/>
        <w:rPr>
          <w:rFonts w:cs="Times New Roman"/>
        </w:rPr>
      </w:pPr>
      <w:r w:rsidRPr="001708F9">
        <w:t xml:space="preserve">Workmanship: </w:t>
      </w:r>
      <w:r w:rsidR="0007607B">
        <w:t>Most</w:t>
      </w:r>
      <w:r>
        <w:t xml:space="preserve"> h</w:t>
      </w:r>
      <w:r w:rsidRPr="001708F9">
        <w:t>ieroglyphs</w:t>
      </w:r>
      <w:r>
        <w:t xml:space="preserve"> are </w:t>
      </w:r>
      <w:r w:rsidR="00C3545B">
        <w:t>clear,</w:t>
      </w:r>
      <w:r>
        <w:t xml:space="preserve"> but </w:t>
      </w:r>
      <w:r w:rsidR="0007607B">
        <w:t>some</w:t>
      </w:r>
      <w:r>
        <w:t xml:space="preserve"> are crude and difficult to read. </w:t>
      </w:r>
      <w:r w:rsidRPr="001708F9">
        <w:t>Head, legs, and back are clear</w:t>
      </w:r>
      <w:r>
        <w:t>ly distinguishable</w:t>
      </w:r>
      <w:r w:rsidRPr="001708F9">
        <w:t xml:space="preserve">. </w:t>
      </w:r>
    </w:p>
    <w:p w14:paraId="48A945B0" w14:textId="485F0261" w:rsidR="002068A3" w:rsidRPr="007573D9" w:rsidRDefault="00D72D85" w:rsidP="007573D9">
      <w:pPr>
        <w:adjustRightInd w:val="0"/>
        <w:rPr>
          <w:rFonts w:cs="Times New Roman"/>
        </w:rPr>
      </w:pPr>
      <w:r w:rsidRPr="007573D9">
        <w:rPr>
          <w:rFonts w:cs="Times New Roman"/>
        </w:rPr>
        <w:t xml:space="preserve">Technical Details: </w:t>
      </w:r>
      <w:r w:rsidR="002C415A">
        <w:rPr>
          <w:rFonts w:cs="Times New Roman"/>
        </w:rPr>
        <w:t xml:space="preserve">The scarab is </w:t>
      </w:r>
      <w:r w:rsidR="0027624C">
        <w:rPr>
          <w:rFonts w:cs="Times New Roman"/>
        </w:rPr>
        <w:t>p</w:t>
      </w:r>
      <w:r w:rsidRPr="007573D9">
        <w:rPr>
          <w:rFonts w:cs="Times New Roman"/>
        </w:rPr>
        <w:t>erforated lengthwise</w:t>
      </w:r>
      <w:r>
        <w:rPr>
          <w:rFonts w:cs="Times New Roman"/>
        </w:rPr>
        <w:t xml:space="preserve"> on front and rear</w:t>
      </w:r>
      <w:r w:rsidR="002C415A">
        <w:rPr>
          <w:rFonts w:cs="Times New Roman"/>
        </w:rPr>
        <w:t xml:space="preserve"> and has</w:t>
      </w:r>
      <w:r>
        <w:rPr>
          <w:rFonts w:cs="Times New Roman"/>
        </w:rPr>
        <w:t xml:space="preserve"> </w:t>
      </w:r>
      <w:r w:rsidR="002C415A">
        <w:rPr>
          <w:rFonts w:cs="Times New Roman"/>
        </w:rPr>
        <w:t>l</w:t>
      </w:r>
      <w:r>
        <w:rPr>
          <w:rFonts w:cs="Times New Roman"/>
        </w:rPr>
        <w:t>inear engraving.</w:t>
      </w:r>
    </w:p>
    <w:p w14:paraId="48A1DE05" w14:textId="4A2532CF" w:rsidR="002068A3" w:rsidRPr="007573D9" w:rsidRDefault="002068A3" w:rsidP="007573D9">
      <w:pPr>
        <w:adjustRightInd w:val="0"/>
        <w:rPr>
          <w:rFonts w:cs="Times New Roman"/>
        </w:rPr>
      </w:pPr>
      <w:r w:rsidRPr="007573D9">
        <w:rPr>
          <w:rFonts w:cs="Times New Roman"/>
        </w:rPr>
        <w:t xml:space="preserve">Preservation: </w:t>
      </w:r>
      <w:r w:rsidR="002C415A">
        <w:rPr>
          <w:rFonts w:cs="Times New Roman"/>
        </w:rPr>
        <w:t>The scarab is m</w:t>
      </w:r>
      <w:r w:rsidRPr="007573D9">
        <w:rPr>
          <w:rFonts w:cs="Times New Roman"/>
        </w:rPr>
        <w:t>ostly intact with minor damage to left side of</w:t>
      </w:r>
      <w:r w:rsidR="007A371A">
        <w:rPr>
          <w:rFonts w:cs="Times New Roman"/>
        </w:rPr>
        <w:t xml:space="preserve"> the</w:t>
      </w:r>
      <w:r w:rsidRPr="007573D9">
        <w:rPr>
          <w:rFonts w:cs="Times New Roman"/>
        </w:rPr>
        <w:t xml:space="preserve"> head</w:t>
      </w:r>
      <w:r w:rsidR="00460140">
        <w:rPr>
          <w:rFonts w:cs="Times New Roman"/>
        </w:rPr>
        <w:t>.</w:t>
      </w:r>
    </w:p>
    <w:p w14:paraId="04CF3E76" w14:textId="028BBC25" w:rsidR="002068A3" w:rsidRPr="007573D9" w:rsidRDefault="002068A3" w:rsidP="007573D9">
      <w:pPr>
        <w:adjustRightInd w:val="0"/>
        <w:rPr>
          <w:rFonts w:cs="Times New Roman"/>
        </w:rPr>
      </w:pPr>
      <w:r w:rsidRPr="007573D9">
        <w:rPr>
          <w:rFonts w:cs="Times New Roman"/>
        </w:rPr>
        <w:t>Base Design: There are eighteen hieroglyphs aligned vertically in three columns. The signs in the left and right columns are the same and are in the same order. The</w:t>
      </w:r>
      <w:r w:rsidR="00AD1505" w:rsidRPr="007573D9">
        <w:rPr>
          <w:rFonts w:cs="Times New Roman"/>
        </w:rPr>
        <w:t xml:space="preserve">re are four signs in </w:t>
      </w:r>
      <w:r w:rsidRPr="007573D9">
        <w:rPr>
          <w:rFonts w:cs="Times New Roman"/>
        </w:rPr>
        <w:t>the center column</w:t>
      </w:r>
      <w:r w:rsidR="00124A27">
        <w:rPr>
          <w:rFonts w:cs="Times New Roman"/>
        </w:rPr>
        <w:t>,</w:t>
      </w:r>
      <w:r w:rsidRPr="007573D9">
        <w:rPr>
          <w:rFonts w:cs="Times New Roman"/>
        </w:rPr>
        <w:t xml:space="preserve"> </w:t>
      </w:r>
      <w:r w:rsidR="00AD1505" w:rsidRPr="007573D9">
        <w:rPr>
          <w:rFonts w:cs="Times New Roman"/>
        </w:rPr>
        <w:t xml:space="preserve">and two appear to be the same. </w:t>
      </w:r>
      <w:r w:rsidR="004A6774" w:rsidRPr="007573D9">
        <w:rPr>
          <w:rFonts w:cs="Times New Roman"/>
        </w:rPr>
        <w:t>A</w:t>
      </w:r>
      <w:r w:rsidRPr="007573D9">
        <w:rPr>
          <w:rFonts w:cs="Times New Roman"/>
        </w:rPr>
        <w:t>ngled lines</w:t>
      </w:r>
      <w:r w:rsidR="00416000" w:rsidRPr="007573D9">
        <w:rPr>
          <w:rFonts w:cs="Times New Roman"/>
        </w:rPr>
        <w:t xml:space="preserve"> appear</w:t>
      </w:r>
      <w:r w:rsidRPr="007573D9">
        <w:rPr>
          <w:rFonts w:cs="Times New Roman"/>
        </w:rPr>
        <w:t xml:space="preserve"> in the lower right and left corners of the design side adjacent to the design border and below the right and left columns. A proper reading of the signs is from top to bottom beginning with the center column (Allen 2014</w:t>
      </w:r>
      <w:r w:rsidR="00920CCE" w:rsidRPr="007573D9">
        <w:rPr>
          <w:rFonts w:cs="Times New Roman"/>
        </w:rPr>
        <w:t>:</w:t>
      </w:r>
      <w:r w:rsidRPr="007573D9">
        <w:rPr>
          <w:rFonts w:cs="Times New Roman"/>
        </w:rPr>
        <w:t xml:space="preserve"> 4–5). </w:t>
      </w:r>
      <w:r w:rsidR="004A6774" w:rsidRPr="007573D9">
        <w:rPr>
          <w:rFonts w:cs="Times New Roman"/>
        </w:rPr>
        <w:t>Below</w:t>
      </w:r>
      <w:r w:rsidR="00B41ED2" w:rsidRPr="007573D9">
        <w:rPr>
          <w:rFonts w:cs="Times New Roman"/>
        </w:rPr>
        <w:t>,</w:t>
      </w:r>
      <w:r w:rsidR="004A6774" w:rsidRPr="007573D9">
        <w:rPr>
          <w:rFonts w:cs="Times New Roman"/>
        </w:rPr>
        <w:t xml:space="preserve"> we provide a</w:t>
      </w:r>
      <w:r w:rsidRPr="007573D9">
        <w:rPr>
          <w:rFonts w:cs="Times New Roman"/>
        </w:rPr>
        <w:t xml:space="preserve"> complete analysis</w:t>
      </w:r>
      <w:r w:rsidR="004A6774" w:rsidRPr="007573D9">
        <w:rPr>
          <w:rFonts w:cs="Times New Roman"/>
        </w:rPr>
        <w:t xml:space="preserve"> of</w:t>
      </w:r>
      <w:r w:rsidRPr="007573D9">
        <w:rPr>
          <w:rFonts w:cs="Times New Roman"/>
        </w:rPr>
        <w:t xml:space="preserve"> the signs. </w:t>
      </w:r>
    </w:p>
    <w:p w14:paraId="25B7038A" w14:textId="77777777" w:rsidR="00A21661" w:rsidRPr="007573D9" w:rsidRDefault="00A21661" w:rsidP="007573D9">
      <w:pPr>
        <w:adjustRightInd w:val="0"/>
        <w:rPr>
          <w:rFonts w:cs="Times New Roman"/>
        </w:rPr>
      </w:pPr>
    </w:p>
    <w:p w14:paraId="2A461578" w14:textId="2941AEB7" w:rsidR="000B0749" w:rsidRPr="007573D9" w:rsidRDefault="00143A82" w:rsidP="00B30320">
      <w:pPr>
        <w:adjustRightInd w:val="0"/>
        <w:rPr>
          <w:rFonts w:cs="Times New Roman"/>
        </w:rPr>
      </w:pPr>
      <w:r w:rsidRPr="007573D9">
        <w:rPr>
          <w:rFonts w:cs="Times New Roman"/>
        </w:rPr>
        <w:t>*</w:t>
      </w:r>
    </w:p>
    <w:p w14:paraId="305706A0" w14:textId="740A00E2" w:rsidR="000B0749" w:rsidRPr="007573D9" w:rsidRDefault="00A21661" w:rsidP="00B30320">
      <w:pPr>
        <w:adjustRightInd w:val="0"/>
        <w:rPr>
          <w:rFonts w:cs="Times New Roman"/>
        </w:rPr>
      </w:pPr>
      <w:r w:rsidRPr="007573D9">
        <w:rPr>
          <w:rFonts w:cs="Times New Roman"/>
          <w:color w:val="000000" w:themeColor="text1"/>
        </w:rPr>
        <w:t xml:space="preserve">Figure </w:t>
      </w:r>
      <w:r w:rsidR="00A42DCA">
        <w:rPr>
          <w:rFonts w:cs="Times New Roman"/>
          <w:color w:val="000000" w:themeColor="text1"/>
        </w:rPr>
        <w:t>10</w:t>
      </w:r>
      <w:r w:rsidRPr="007573D9">
        <w:rPr>
          <w:rFonts w:cs="Times New Roman"/>
          <w:color w:val="000000" w:themeColor="text1"/>
        </w:rPr>
        <w:t xml:space="preserve">: </w:t>
      </w:r>
      <w:r w:rsidR="000B0749" w:rsidRPr="007573D9">
        <w:rPr>
          <w:rFonts w:cs="Times New Roman"/>
        </w:rPr>
        <w:t>Drawing of</w:t>
      </w:r>
      <w:r w:rsidR="00F911A9">
        <w:rPr>
          <w:rFonts w:cs="Times New Roman"/>
        </w:rPr>
        <w:t xml:space="preserve"> Scarab Three</w:t>
      </w:r>
      <w:r w:rsidR="000B0749" w:rsidRPr="007573D9">
        <w:rPr>
          <w:rFonts w:cs="Times New Roman"/>
        </w:rPr>
        <w:t xml:space="preserve"> </w:t>
      </w:r>
      <w:r w:rsidR="00F911A9">
        <w:rPr>
          <w:rFonts w:cs="Times New Roman"/>
        </w:rPr>
        <w:t>(</w:t>
      </w:r>
      <w:r w:rsidR="000B0749" w:rsidRPr="007573D9">
        <w:rPr>
          <w:rFonts w:cs="Times New Roman"/>
        </w:rPr>
        <w:t>Object 1100</w:t>
      </w:r>
      <w:r w:rsidR="00F911A9">
        <w:rPr>
          <w:rFonts w:cs="Times New Roman"/>
        </w:rPr>
        <w:t>)</w:t>
      </w:r>
      <w:r w:rsidR="000B0749" w:rsidRPr="007573D9">
        <w:rPr>
          <w:rFonts w:cs="Times New Roman"/>
        </w:rPr>
        <w:t xml:space="preserve"> by </w:t>
      </w:r>
      <w:r w:rsidR="00165733">
        <w:rPr>
          <w:rFonts w:cs="Times New Roman"/>
        </w:rPr>
        <w:t>Gary D</w:t>
      </w:r>
      <w:r w:rsidR="00C9142B" w:rsidRPr="007573D9">
        <w:rPr>
          <w:rFonts w:cs="Times New Roman"/>
        </w:rPr>
        <w:t>.</w:t>
      </w:r>
      <w:r w:rsidR="00165733">
        <w:rPr>
          <w:rFonts w:cs="Times New Roman"/>
        </w:rPr>
        <w:t xml:space="preserve"> Urie.</w:t>
      </w:r>
    </w:p>
    <w:p w14:paraId="65F6E2FF" w14:textId="77777777" w:rsidR="00B92552" w:rsidRPr="007573D9" w:rsidRDefault="00B92552" w:rsidP="007573D9">
      <w:pPr>
        <w:rPr>
          <w:rFonts w:cs="Times New Roman"/>
        </w:rPr>
      </w:pPr>
    </w:p>
    <w:p w14:paraId="44E5BFBE" w14:textId="77777777" w:rsidR="002068A3" w:rsidRPr="007573D9" w:rsidRDefault="002068A3" w:rsidP="007573D9">
      <w:pPr>
        <w:rPr>
          <w:rFonts w:cs="Times New Roman"/>
          <w:lang w:val="en-GB"/>
        </w:rPr>
      </w:pPr>
      <w:r w:rsidRPr="007573D9">
        <w:rPr>
          <w:rFonts w:cs="Times New Roman"/>
          <w:lang w:val="en-GB"/>
        </w:rPr>
        <w:t xml:space="preserve">Typology: </w:t>
      </w:r>
    </w:p>
    <w:p w14:paraId="3CF9C84C" w14:textId="77777777" w:rsidR="002068A3" w:rsidRPr="007573D9" w:rsidRDefault="002068A3" w:rsidP="007573D9">
      <w:pPr>
        <w:rPr>
          <w:rFonts w:cs="Times New Roman"/>
          <w:lang w:val="en-GB"/>
        </w:rPr>
      </w:pPr>
    </w:p>
    <w:p w14:paraId="6A840142" w14:textId="10BBDDAA" w:rsidR="00143459" w:rsidRPr="00CB5DB7" w:rsidRDefault="00FA076D" w:rsidP="007573D9">
      <w:pPr>
        <w:rPr>
          <w:rFonts w:cs="Times New Roman"/>
          <w:lang w:val="en-GB"/>
        </w:rPr>
      </w:pPr>
      <w:r w:rsidRPr="00CB5DB7">
        <w:rPr>
          <w:rFonts w:cs="Times New Roman"/>
          <w:lang w:val="en-GB"/>
        </w:rPr>
        <w:t xml:space="preserve">The head of Scarab Three is </w:t>
      </w:r>
      <w:r w:rsidR="0001019F" w:rsidRPr="00CB5DB7">
        <w:rPr>
          <w:rFonts w:cs="Times New Roman"/>
          <w:lang w:val="en-GB"/>
        </w:rPr>
        <w:t>t</w:t>
      </w:r>
      <w:r w:rsidRPr="00CB5DB7">
        <w:rPr>
          <w:rFonts w:cs="Times New Roman"/>
          <w:lang w:val="en-GB"/>
        </w:rPr>
        <w:t>ype B</w:t>
      </w:r>
      <w:r w:rsidR="002068A3" w:rsidRPr="00CB5DB7">
        <w:rPr>
          <w:rFonts w:cs="Times New Roman"/>
          <w:lang w:val="en-GB"/>
        </w:rPr>
        <w:t xml:space="preserve">2, </w:t>
      </w:r>
      <w:r w:rsidR="00143459" w:rsidRPr="00CB5DB7">
        <w:rPr>
          <w:rFonts w:cs="Times New Roman"/>
          <w:lang w:val="en-GB"/>
        </w:rPr>
        <w:t xml:space="preserve">with a </w:t>
      </w:r>
      <w:r w:rsidR="002068A3" w:rsidRPr="00CB5DB7">
        <w:rPr>
          <w:rFonts w:cs="Times New Roman"/>
          <w:lang w:val="en-GB"/>
        </w:rPr>
        <w:t>double “hourglass” outline</w:t>
      </w:r>
      <w:r w:rsidR="00143459" w:rsidRPr="00CB5DB7">
        <w:rPr>
          <w:rFonts w:cs="Times New Roman"/>
          <w:lang w:val="en-GB"/>
        </w:rPr>
        <w:t>.</w:t>
      </w:r>
    </w:p>
    <w:p w14:paraId="58DA5C37" w14:textId="77777777" w:rsidR="009341CF" w:rsidRPr="00CB5DB7" w:rsidRDefault="009341CF" w:rsidP="007573D9">
      <w:pPr>
        <w:rPr>
          <w:rFonts w:cs="Times New Roman"/>
          <w:lang w:val="en-GB"/>
        </w:rPr>
      </w:pPr>
    </w:p>
    <w:p w14:paraId="7E86E8E1" w14:textId="38585DC5" w:rsidR="009341CF" w:rsidRDefault="0032346B" w:rsidP="007573D9">
      <w:r w:rsidRPr="00CB5DB7">
        <w:rPr>
          <w:rFonts w:cs="Times New Roman"/>
          <w:lang w:val="en-GB"/>
        </w:rPr>
        <w:t xml:space="preserve">As with Scarab Two, </w:t>
      </w:r>
      <w:r w:rsidR="00143459" w:rsidRPr="00CB5DB7">
        <w:rPr>
          <w:rFonts w:cs="Times New Roman"/>
          <w:lang w:val="en-GB"/>
        </w:rPr>
        <w:t xml:space="preserve">Scarab Three’s </w:t>
      </w:r>
      <w:r w:rsidRPr="00CB5DB7">
        <w:rPr>
          <w:rFonts w:cs="Times New Roman"/>
          <w:lang w:val="en-GB"/>
        </w:rPr>
        <w:t xml:space="preserve">back is </w:t>
      </w:r>
      <w:r w:rsidR="0001019F" w:rsidRPr="00CB5DB7">
        <w:rPr>
          <w:rFonts w:cs="Times New Roman"/>
          <w:lang w:val="en-GB"/>
        </w:rPr>
        <w:t>t</w:t>
      </w:r>
      <w:r w:rsidRPr="00CB5DB7">
        <w:rPr>
          <w:rFonts w:cs="Times New Roman"/>
          <w:lang w:val="en-GB"/>
        </w:rPr>
        <w:t xml:space="preserve">ype O </w:t>
      </w:r>
      <w:r w:rsidR="00143459" w:rsidRPr="00CB5DB7">
        <w:rPr>
          <w:rFonts w:cs="Times New Roman"/>
          <w:lang w:val="en-GB"/>
        </w:rPr>
        <w:t>or</w:t>
      </w:r>
      <w:r w:rsidR="006C540C" w:rsidRPr="00CB5DB7">
        <w:rPr>
          <w:rFonts w:cs="Times New Roman"/>
          <w:lang w:val="en-GB"/>
        </w:rPr>
        <w:t xml:space="preserve"> PS (Plain Stylistic)</w:t>
      </w:r>
      <w:r w:rsidRPr="00CB5DB7">
        <w:rPr>
          <w:rFonts w:cs="Times New Roman"/>
        </w:rPr>
        <w:t>.</w:t>
      </w:r>
      <w:r>
        <w:t xml:space="preserve"> </w:t>
      </w:r>
    </w:p>
    <w:p w14:paraId="1C67ECF8" w14:textId="77777777" w:rsidR="009341CF" w:rsidRDefault="009341CF" w:rsidP="007573D9"/>
    <w:p w14:paraId="3E00C354" w14:textId="39088562" w:rsidR="00FA076D" w:rsidRPr="007573D9" w:rsidRDefault="00FA076D" w:rsidP="007573D9">
      <w:pPr>
        <w:rPr>
          <w:rFonts w:cs="Times New Roman"/>
          <w:highlight w:val="yellow"/>
          <w:lang w:val="en-GB"/>
        </w:rPr>
      </w:pPr>
      <w:r>
        <w:rPr>
          <w:rFonts w:cs="Times New Roman"/>
          <w:lang w:val="en-GB"/>
        </w:rPr>
        <w:t>The sides</w:t>
      </w:r>
      <w:r w:rsidR="00010F1E">
        <w:rPr>
          <w:rFonts w:cs="Times New Roman"/>
          <w:lang w:val="en-GB"/>
        </w:rPr>
        <w:t xml:space="preserve">, with the </w:t>
      </w:r>
      <w:r w:rsidR="00010F1E" w:rsidRPr="007573D9">
        <w:rPr>
          <w:rFonts w:cs="Times New Roman"/>
          <w:lang w:val="en-GB"/>
        </w:rPr>
        <w:t>fore and mid legs fringed</w:t>
      </w:r>
      <w:r w:rsidR="00010F1E">
        <w:rPr>
          <w:rFonts w:cs="Times New Roman"/>
          <w:lang w:val="en-GB"/>
        </w:rPr>
        <w:t xml:space="preserve"> and the</w:t>
      </w:r>
      <w:r w:rsidR="00010F1E" w:rsidRPr="007573D9">
        <w:rPr>
          <w:rFonts w:cs="Times New Roman"/>
          <w:lang w:val="en-GB"/>
        </w:rPr>
        <w:t xml:space="preserve"> hind legs notched</w:t>
      </w:r>
      <w:r>
        <w:rPr>
          <w:rFonts w:cs="Times New Roman"/>
          <w:lang w:val="en-GB"/>
        </w:rPr>
        <w:t xml:space="preserve"> a</w:t>
      </w:r>
      <w:r w:rsidR="00010F1E">
        <w:rPr>
          <w:rFonts w:cs="Times New Roman"/>
          <w:lang w:val="en-GB"/>
        </w:rPr>
        <w:t xml:space="preserve">re either </w:t>
      </w:r>
      <w:r w:rsidR="006C540C">
        <w:rPr>
          <w:rFonts w:cs="Times New Roman"/>
          <w:lang w:val="en-GB"/>
        </w:rPr>
        <w:t>type</w:t>
      </w:r>
      <w:r w:rsidR="006C540C" w:rsidRPr="00EF202D">
        <w:rPr>
          <w:rFonts w:cs="Times New Roman"/>
          <w:lang w:val="en-GB"/>
        </w:rPr>
        <w:t xml:space="preserve"> </w:t>
      </w:r>
      <w:r w:rsidR="0001019F">
        <w:rPr>
          <w:rFonts w:cs="Times New Roman"/>
          <w:lang w:val="en-GB"/>
        </w:rPr>
        <w:t>e</w:t>
      </w:r>
      <w:r w:rsidR="002068A3" w:rsidRPr="00EF202D">
        <w:rPr>
          <w:rFonts w:cs="Times New Roman"/>
          <w:lang w:val="en-GB"/>
        </w:rPr>
        <w:t>6c</w:t>
      </w:r>
      <w:r w:rsidR="00010F1E">
        <w:rPr>
          <w:rFonts w:cs="Times New Roman"/>
          <w:lang w:val="en-GB"/>
        </w:rPr>
        <w:t xml:space="preserve"> </w:t>
      </w:r>
      <w:r w:rsidR="00010F1E" w:rsidRPr="007573D9">
        <w:rPr>
          <w:rFonts w:cs="Times New Roman"/>
          <w:lang w:val="en-GB"/>
        </w:rPr>
        <w:t>(Tufnell 1984: 36</w:t>
      </w:r>
      <w:r w:rsidR="00F10E64">
        <w:rPr>
          <w:rFonts w:cs="Times New Roman"/>
          <w:lang w:val="en-GB"/>
        </w:rPr>
        <w:t>–37</w:t>
      </w:r>
      <w:r w:rsidR="00010F1E" w:rsidRPr="007573D9">
        <w:rPr>
          <w:rFonts w:cs="Times New Roman"/>
          <w:lang w:val="en-GB"/>
        </w:rPr>
        <w:t>)</w:t>
      </w:r>
      <w:r w:rsidR="002068A3" w:rsidRPr="007573D9">
        <w:rPr>
          <w:rFonts w:cs="Times New Roman"/>
          <w:lang w:val="en-GB"/>
        </w:rPr>
        <w:t xml:space="preserve">, </w:t>
      </w:r>
      <w:r w:rsidR="00010F1E">
        <w:rPr>
          <w:rFonts w:cs="Times New Roman"/>
          <w:lang w:val="en-GB"/>
        </w:rPr>
        <w:t xml:space="preserve">or </w:t>
      </w:r>
      <w:r w:rsidR="006C540C">
        <w:rPr>
          <w:rFonts w:cs="Times New Roman"/>
          <w:lang w:val="en-GB"/>
        </w:rPr>
        <w:t>type</w:t>
      </w:r>
      <w:r w:rsidR="006C540C" w:rsidRPr="007573D9">
        <w:rPr>
          <w:rFonts w:cs="Times New Roman"/>
          <w:lang w:val="en-GB"/>
        </w:rPr>
        <w:t xml:space="preserve"> </w:t>
      </w:r>
      <w:r w:rsidR="0001019F">
        <w:rPr>
          <w:rFonts w:cs="Times New Roman"/>
          <w:lang w:val="en-GB"/>
        </w:rPr>
        <w:t>e</w:t>
      </w:r>
      <w:r w:rsidR="002068A3" w:rsidRPr="007573D9">
        <w:rPr>
          <w:rFonts w:cs="Times New Roman"/>
          <w:lang w:val="en-GB"/>
        </w:rPr>
        <w:t>6</w:t>
      </w:r>
      <w:r w:rsidR="00010F1E">
        <w:rPr>
          <w:rFonts w:cs="Times New Roman"/>
          <w:lang w:val="en-GB"/>
        </w:rPr>
        <w:t xml:space="preserve"> per</w:t>
      </w:r>
      <w:r w:rsidR="002068A3" w:rsidRPr="007573D9">
        <w:rPr>
          <w:rFonts w:cs="Times New Roman"/>
          <w:lang w:val="en-GB"/>
        </w:rPr>
        <w:t xml:space="preserve"> Ward and Dever</w:t>
      </w:r>
      <w:r w:rsidR="00010F1E">
        <w:rPr>
          <w:rFonts w:cs="Times New Roman"/>
          <w:lang w:val="en-GB"/>
        </w:rPr>
        <w:t>’s</w:t>
      </w:r>
      <w:r w:rsidR="0032346B">
        <w:rPr>
          <w:rFonts w:cs="Times New Roman"/>
          <w:lang w:val="en-GB"/>
        </w:rPr>
        <w:t xml:space="preserve"> (</w:t>
      </w:r>
      <w:r w:rsidR="002068A3" w:rsidRPr="007573D9">
        <w:rPr>
          <w:rFonts w:cs="Times New Roman"/>
          <w:lang w:val="en-GB"/>
        </w:rPr>
        <w:t>1994</w:t>
      </w:r>
      <w:r w:rsidR="00920CCE" w:rsidRPr="007573D9">
        <w:rPr>
          <w:rFonts w:cs="Times New Roman"/>
          <w:lang w:val="en-GB"/>
        </w:rPr>
        <w:t>:</w:t>
      </w:r>
      <w:r w:rsidR="002068A3" w:rsidRPr="007573D9">
        <w:rPr>
          <w:rFonts w:cs="Times New Roman"/>
          <w:lang w:val="en-GB"/>
        </w:rPr>
        <w:t xml:space="preserve"> 164–165)</w:t>
      </w:r>
      <w:r w:rsidR="00010F1E">
        <w:rPr>
          <w:rFonts w:cs="Times New Roman"/>
          <w:lang w:val="en-GB"/>
        </w:rPr>
        <w:t xml:space="preserve"> revision</w:t>
      </w:r>
      <w:r w:rsidR="002068A3" w:rsidRPr="007573D9">
        <w:rPr>
          <w:rFonts w:cs="Times New Roman"/>
          <w:lang w:val="en-GB"/>
        </w:rPr>
        <w:t>.</w:t>
      </w:r>
    </w:p>
    <w:p w14:paraId="00101758" w14:textId="03BF0097" w:rsidR="006D6DCC" w:rsidRDefault="00FA076D" w:rsidP="00B30320">
      <w:pPr>
        <w:autoSpaceDE w:val="0"/>
        <w:autoSpaceDN w:val="0"/>
        <w:adjustRightInd w:val="0"/>
        <w:rPr>
          <w:rFonts w:cs="Times New Roman"/>
          <w:color w:val="000000" w:themeColor="text1"/>
          <w:spacing w:val="-2"/>
          <w:w w:val="105"/>
        </w:rPr>
      </w:pPr>
      <w:r>
        <w:rPr>
          <w:rFonts w:cs="Times New Roman"/>
          <w:lang w:val="en-GB"/>
        </w:rPr>
        <w:t xml:space="preserve">The </w:t>
      </w:r>
      <w:r w:rsidR="007A371A">
        <w:rPr>
          <w:rFonts w:cs="Times New Roman"/>
          <w:lang w:val="en-GB"/>
        </w:rPr>
        <w:t>d</w:t>
      </w:r>
      <w:r w:rsidR="002068A3" w:rsidRPr="007573D9">
        <w:rPr>
          <w:rFonts w:cs="Times New Roman"/>
          <w:lang w:val="en-GB"/>
        </w:rPr>
        <w:t>esign</w:t>
      </w:r>
      <w:r>
        <w:rPr>
          <w:rFonts w:cs="Times New Roman"/>
          <w:lang w:val="en-GB"/>
        </w:rPr>
        <w:t xml:space="preserve"> is</w:t>
      </w:r>
      <w:r w:rsidR="00C96F40">
        <w:rPr>
          <w:rFonts w:cs="Times New Roman"/>
          <w:lang w:val="en-GB"/>
        </w:rPr>
        <w:t xml:space="preserve"> </w:t>
      </w:r>
      <w:r w:rsidR="00550995">
        <w:rPr>
          <w:rFonts w:cs="Times New Roman"/>
          <w:lang w:val="en-GB"/>
        </w:rPr>
        <w:t>c</w:t>
      </w:r>
      <w:r w:rsidR="00C96F40">
        <w:rPr>
          <w:rFonts w:cs="Times New Roman"/>
          <w:lang w:val="en-GB"/>
        </w:rPr>
        <w:t>lass</w:t>
      </w:r>
      <w:r>
        <w:rPr>
          <w:rFonts w:cs="Times New Roman"/>
          <w:lang w:val="en-GB"/>
        </w:rPr>
        <w:t xml:space="preserve"> </w:t>
      </w:r>
      <w:r w:rsidR="002068A3" w:rsidRPr="007573D9">
        <w:rPr>
          <w:rFonts w:cs="Times New Roman"/>
          <w:lang w:val="en-GB"/>
        </w:rPr>
        <w:t xml:space="preserve">3C, </w:t>
      </w:r>
      <w:r w:rsidR="00453841">
        <w:rPr>
          <w:rFonts w:cs="Times New Roman"/>
          <w:lang w:val="en-GB"/>
        </w:rPr>
        <w:t xml:space="preserve">also known as </w:t>
      </w:r>
      <w:r w:rsidR="00453841" w:rsidRPr="007573D9">
        <w:rPr>
          <w:rFonts w:cs="Times New Roman"/>
          <w:lang w:val="en-GB"/>
        </w:rPr>
        <w:t>formulae</w:t>
      </w:r>
      <w:r w:rsidR="00453841">
        <w:rPr>
          <w:rFonts w:cs="Times New Roman"/>
          <w:lang w:val="en-GB"/>
        </w:rPr>
        <w:t xml:space="preserve"> or </w:t>
      </w:r>
      <w:r w:rsidR="000B2C40" w:rsidRPr="00D2403F">
        <w:rPr>
          <w:rFonts w:cs="Times New Roman"/>
          <w:lang w:val="en-GB"/>
        </w:rPr>
        <w:t>ʾ</w:t>
      </w:r>
      <w:proofErr w:type="spellStart"/>
      <w:r w:rsidR="000B2C40" w:rsidRPr="00D95F8D">
        <w:rPr>
          <w:rFonts w:cs="Times New Roman"/>
          <w:kern w:val="0"/>
        </w:rPr>
        <w:t>nrʾ</w:t>
      </w:r>
      <w:proofErr w:type="spellEnd"/>
      <w:r w:rsidR="00124A27">
        <w:rPr>
          <w:rFonts w:cs="Times New Roman"/>
          <w:kern w:val="0"/>
          <w:sz w:val="22"/>
          <w:szCs w:val="22"/>
        </w:rPr>
        <w:t xml:space="preserve"> </w:t>
      </w:r>
      <w:r w:rsidR="00453841">
        <w:rPr>
          <w:rFonts w:cs="Times New Roman"/>
          <w:lang w:val="en-GB"/>
        </w:rPr>
        <w:t>style</w:t>
      </w:r>
      <w:r w:rsidR="002068A3" w:rsidRPr="007573D9">
        <w:rPr>
          <w:rFonts w:cs="Times New Roman"/>
          <w:lang w:val="en-GB"/>
        </w:rPr>
        <w:t xml:space="preserve"> (Ben-Tor 2007</w:t>
      </w:r>
      <w:r w:rsidR="00920CCE" w:rsidRPr="007573D9">
        <w:rPr>
          <w:rFonts w:cs="Times New Roman"/>
          <w:lang w:val="en-GB"/>
        </w:rPr>
        <w:t>:</w:t>
      </w:r>
      <w:r w:rsidR="002068A3" w:rsidRPr="007573D9">
        <w:rPr>
          <w:rFonts w:cs="Times New Roman"/>
          <w:lang w:val="en-GB"/>
        </w:rPr>
        <w:t xml:space="preserve"> 165</w:t>
      </w:r>
      <w:r w:rsidR="00453841">
        <w:rPr>
          <w:rFonts w:cs="Times New Roman"/>
          <w:lang w:val="en-GB"/>
        </w:rPr>
        <w:t>–166</w:t>
      </w:r>
      <w:r w:rsidR="002068A3" w:rsidRPr="007573D9">
        <w:rPr>
          <w:rFonts w:cs="Times New Roman"/>
          <w:lang w:val="en-GB"/>
        </w:rPr>
        <w:t>; Tufnell 1984</w:t>
      </w:r>
      <w:r w:rsidR="00920CCE" w:rsidRPr="007573D9">
        <w:rPr>
          <w:rFonts w:cs="Times New Roman"/>
          <w:lang w:val="en-GB"/>
        </w:rPr>
        <w:t>:</w:t>
      </w:r>
      <w:r w:rsidR="002068A3" w:rsidRPr="007573D9">
        <w:rPr>
          <w:rFonts w:cs="Times New Roman"/>
          <w:lang w:val="en-GB"/>
        </w:rPr>
        <w:t xml:space="preserve"> 121).</w:t>
      </w:r>
      <w:r w:rsidR="006D6DCC">
        <w:rPr>
          <w:rStyle w:val="FootnoteReference"/>
          <w:rFonts w:cs="Times New Roman"/>
          <w:lang w:val="en-GB"/>
        </w:rPr>
        <w:footnoteReference w:id="8"/>
      </w:r>
    </w:p>
    <w:p w14:paraId="7C725C74" w14:textId="77777777" w:rsidR="006D6DCC" w:rsidRDefault="006D6DCC" w:rsidP="00B30320">
      <w:pPr>
        <w:autoSpaceDE w:val="0"/>
        <w:autoSpaceDN w:val="0"/>
        <w:adjustRightInd w:val="0"/>
        <w:rPr>
          <w:rFonts w:cs="Times New Roman"/>
          <w:color w:val="000000" w:themeColor="text1"/>
          <w:spacing w:val="-2"/>
          <w:w w:val="105"/>
        </w:rPr>
      </w:pPr>
    </w:p>
    <w:p w14:paraId="47D416D0" w14:textId="51865CDF" w:rsidR="007403EF" w:rsidRPr="007573D9" w:rsidRDefault="00B30320" w:rsidP="00B30320">
      <w:pPr>
        <w:autoSpaceDE w:val="0"/>
        <w:autoSpaceDN w:val="0"/>
        <w:adjustRightInd w:val="0"/>
        <w:rPr>
          <w:rFonts w:cs="Times New Roman"/>
        </w:rPr>
      </w:pPr>
      <w:r w:rsidRPr="007573D9">
        <w:rPr>
          <w:rFonts w:cs="Times New Roman"/>
          <w:color w:val="000000" w:themeColor="text1"/>
          <w:spacing w:val="-2"/>
          <w:w w:val="105"/>
        </w:rPr>
        <w:t>Archaeological Context:</w:t>
      </w:r>
      <w:r w:rsidRPr="007573D9">
        <w:rPr>
          <w:rFonts w:cs="Times New Roman"/>
          <w:lang w:val="en-GB"/>
        </w:rPr>
        <w:t xml:space="preserve"> This scarab derives from a clean context in Square </w:t>
      </w:r>
      <w:r w:rsidRPr="007573D9">
        <w:rPr>
          <w:rFonts w:cs="Times New Roman"/>
        </w:rPr>
        <w:t xml:space="preserve">AE30 (Locus 14, Room AA, Stratum 7) (Stripling 2018: 31). Other objects from this locus include three loom weights, two jar-stoppers, a grinder, a Middle Bronze Age juglet, and a shell bead. The pottery dated exclusively to the </w:t>
      </w:r>
      <w:r w:rsidR="001B2F17" w:rsidRPr="007573D9">
        <w:rPr>
          <w:rFonts w:cs="Times New Roman"/>
          <w:kern w:val="0"/>
        </w:rPr>
        <w:t>Middle Bronze Age IIB–</w:t>
      </w:r>
      <w:r w:rsidR="00D2403F">
        <w:rPr>
          <w:rFonts w:cs="Times New Roman"/>
          <w:kern w:val="0"/>
        </w:rPr>
        <w:t xml:space="preserve">Middle Bronze Age </w:t>
      </w:r>
      <w:r w:rsidR="001B2F17" w:rsidRPr="007573D9">
        <w:rPr>
          <w:rFonts w:cs="Times New Roman"/>
          <w:kern w:val="0"/>
        </w:rPr>
        <w:t xml:space="preserve">IIC (=MB III) </w:t>
      </w:r>
      <w:r w:rsidRPr="007573D9">
        <w:rPr>
          <w:rFonts w:cs="Times New Roman"/>
        </w:rPr>
        <w:t>(Stripling 2018: 31).</w:t>
      </w:r>
    </w:p>
    <w:p w14:paraId="39B79E42" w14:textId="11754C29" w:rsidR="00245BFA" w:rsidRDefault="008C7D15" w:rsidP="006159CE">
      <w:pPr>
        <w:kinsoku w:val="0"/>
        <w:overflowPunct w:val="0"/>
        <w:autoSpaceDE w:val="0"/>
        <w:autoSpaceDN w:val="0"/>
        <w:adjustRightInd w:val="0"/>
        <w:jc w:val="center"/>
        <w:rPr>
          <w:rFonts w:cs="Times New Roman"/>
          <w:color w:val="000000" w:themeColor="text1"/>
          <w:kern w:val="0"/>
        </w:rPr>
      </w:pPr>
      <w:r>
        <w:rPr>
          <w:rFonts w:cs="Times New Roman"/>
          <w:color w:val="000000" w:themeColor="text1"/>
          <w:kern w:val="0"/>
        </w:rPr>
        <w:t>*</w:t>
      </w:r>
    </w:p>
    <w:p w14:paraId="73A242CE" w14:textId="008C73DD" w:rsidR="00F05B36" w:rsidRDefault="00A42DCA" w:rsidP="007573D9">
      <w:pPr>
        <w:kinsoku w:val="0"/>
        <w:overflowPunct w:val="0"/>
        <w:autoSpaceDE w:val="0"/>
        <w:autoSpaceDN w:val="0"/>
        <w:adjustRightInd w:val="0"/>
        <w:rPr>
          <w:rFonts w:cs="Times New Roman"/>
          <w:color w:val="000000" w:themeColor="text1"/>
          <w:kern w:val="0"/>
        </w:rPr>
      </w:pPr>
      <w:r>
        <w:rPr>
          <w:rFonts w:cs="Times New Roman"/>
          <w:color w:val="000000" w:themeColor="text1"/>
          <w:kern w:val="0"/>
        </w:rPr>
        <w:t xml:space="preserve">Figure 11: </w:t>
      </w:r>
      <w:r w:rsidR="00C3545B">
        <w:rPr>
          <w:rFonts w:cs="Times New Roman"/>
          <w:color w:val="000000" w:themeColor="text1"/>
          <w:kern w:val="0"/>
        </w:rPr>
        <w:t xml:space="preserve">Square AE30, </w:t>
      </w:r>
      <w:r w:rsidR="00C3545B" w:rsidRPr="00C3545B">
        <w:rPr>
          <w:rFonts w:cs="Times New Roman"/>
          <w:color w:val="000000" w:themeColor="text1"/>
          <w:kern w:val="0"/>
        </w:rPr>
        <w:t>Locus 14</w:t>
      </w:r>
      <w:r w:rsidR="001B0F31">
        <w:rPr>
          <w:rFonts w:cs="Times New Roman"/>
          <w:color w:val="000000" w:themeColor="text1"/>
          <w:kern w:val="0"/>
        </w:rPr>
        <w:t>, Room AA</w:t>
      </w:r>
      <w:r w:rsidR="00C3545B" w:rsidRPr="00C3545B">
        <w:rPr>
          <w:rFonts w:cs="Times New Roman"/>
          <w:color w:val="000000" w:themeColor="text1"/>
          <w:kern w:val="0"/>
        </w:rPr>
        <w:t xml:space="preserve">. </w:t>
      </w:r>
      <w:r w:rsidR="00C3545B" w:rsidRPr="001B0F31">
        <w:rPr>
          <w:rFonts w:cs="Times New Roman"/>
          <w:color w:val="000000" w:themeColor="text1"/>
          <w:kern w:val="0"/>
        </w:rPr>
        <w:t>Photo by Greg Gulbrandsen.</w:t>
      </w:r>
    </w:p>
    <w:p w14:paraId="0B658722" w14:textId="77777777" w:rsidR="00C3545B" w:rsidRPr="007573D9" w:rsidRDefault="00C3545B" w:rsidP="007573D9">
      <w:pPr>
        <w:kinsoku w:val="0"/>
        <w:overflowPunct w:val="0"/>
        <w:autoSpaceDE w:val="0"/>
        <w:autoSpaceDN w:val="0"/>
        <w:adjustRightInd w:val="0"/>
        <w:rPr>
          <w:rFonts w:cs="Times New Roman"/>
          <w:color w:val="000000" w:themeColor="text1"/>
          <w:kern w:val="0"/>
        </w:rPr>
      </w:pPr>
    </w:p>
    <w:p w14:paraId="37C1D03C" w14:textId="4BBE400D" w:rsidR="002068A3" w:rsidRPr="007573D9" w:rsidRDefault="00A345B4" w:rsidP="0007607B">
      <w:pPr>
        <w:jc w:val="center"/>
        <w:rPr>
          <w:rFonts w:cs="Times New Roman"/>
          <w:b/>
          <w:bCs/>
          <w:color w:val="000000" w:themeColor="text1"/>
        </w:rPr>
      </w:pPr>
      <w:r w:rsidRPr="007573D9">
        <w:rPr>
          <w:rFonts w:cs="Times New Roman"/>
          <w:b/>
          <w:bCs/>
          <w:color w:val="000000" w:themeColor="text1"/>
        </w:rPr>
        <w:t>Discussion</w:t>
      </w:r>
    </w:p>
    <w:p w14:paraId="2F19E703" w14:textId="6D1E39B0" w:rsidR="001708F9" w:rsidRPr="00D942CE" w:rsidRDefault="001708F9" w:rsidP="00097C18">
      <w:pPr>
        <w:rPr>
          <w:rFonts w:cs="Times New Roman"/>
          <w:color w:val="000000"/>
        </w:rPr>
      </w:pPr>
    </w:p>
    <w:p w14:paraId="0101AC3D" w14:textId="15199662" w:rsidR="00B05E5F" w:rsidRDefault="00B05E5F" w:rsidP="00993AD6">
      <w:pPr>
        <w:autoSpaceDE w:val="0"/>
        <w:autoSpaceDN w:val="0"/>
        <w:adjustRightInd w:val="0"/>
        <w:rPr>
          <w:rFonts w:cs="Times New Roman"/>
          <w:kern w:val="0"/>
        </w:rPr>
      </w:pPr>
      <w:r w:rsidRPr="00D942CE">
        <w:rPr>
          <w:rFonts w:cs="Times New Roman"/>
          <w:kern w:val="0"/>
        </w:rPr>
        <w:t xml:space="preserve">The </w:t>
      </w:r>
      <w:r>
        <w:rPr>
          <w:rFonts w:cs="Times New Roman"/>
          <w:kern w:val="0"/>
        </w:rPr>
        <w:t xml:space="preserve">scarab </w:t>
      </w:r>
      <w:r w:rsidRPr="00D942CE">
        <w:rPr>
          <w:rFonts w:cs="Times New Roman"/>
          <w:kern w:val="0"/>
        </w:rPr>
        <w:t xml:space="preserve">typology </w:t>
      </w:r>
      <w:r>
        <w:rPr>
          <w:rFonts w:cs="Times New Roman"/>
          <w:kern w:val="0"/>
        </w:rPr>
        <w:t xml:space="preserve">utilized in this analysis </w:t>
      </w:r>
      <w:r w:rsidRPr="00D942CE">
        <w:rPr>
          <w:rFonts w:cs="Times New Roman"/>
          <w:kern w:val="0"/>
        </w:rPr>
        <w:t xml:space="preserve">is </w:t>
      </w:r>
      <w:r w:rsidR="006258C0">
        <w:rPr>
          <w:rFonts w:cs="Times New Roman"/>
          <w:kern w:val="0"/>
        </w:rPr>
        <w:t>likely</w:t>
      </w:r>
      <w:r w:rsidRPr="00D942CE">
        <w:rPr>
          <w:rFonts w:cs="Times New Roman"/>
          <w:kern w:val="0"/>
        </w:rPr>
        <w:t xml:space="preserve"> accurate </w:t>
      </w:r>
      <w:r>
        <w:rPr>
          <w:rFonts w:cs="Times New Roman"/>
          <w:kern w:val="0"/>
        </w:rPr>
        <w:t>since it relies</w:t>
      </w:r>
      <w:r w:rsidRPr="00D942CE">
        <w:rPr>
          <w:rFonts w:cs="Times New Roman"/>
          <w:kern w:val="0"/>
        </w:rPr>
        <w:t xml:space="preserve"> on large groups of scarabs</w:t>
      </w:r>
      <w:r w:rsidR="00FC474C">
        <w:rPr>
          <w:rFonts w:cs="Times New Roman"/>
          <w:kern w:val="0"/>
        </w:rPr>
        <w:t xml:space="preserve"> from clean archaeological contexts</w:t>
      </w:r>
      <w:r>
        <w:rPr>
          <w:rFonts w:cs="Times New Roman"/>
          <w:kern w:val="0"/>
        </w:rPr>
        <w:t xml:space="preserve">. </w:t>
      </w:r>
      <w:r>
        <w:rPr>
          <w:rFonts w:cs="Times New Roman"/>
          <w:color w:val="000000"/>
        </w:rPr>
        <w:t>Scarab parallels supplement the typological analysis and where available the head, back, and sides of the parallels are compar</w:t>
      </w:r>
      <w:r w:rsidR="00586BA1">
        <w:rPr>
          <w:rFonts w:cs="Times New Roman"/>
          <w:color w:val="000000"/>
        </w:rPr>
        <w:t>ed</w:t>
      </w:r>
      <w:r>
        <w:rPr>
          <w:rFonts w:cs="Times New Roman"/>
          <w:color w:val="000000"/>
        </w:rPr>
        <w:t xml:space="preserve"> to the respective scarabs.  </w:t>
      </w:r>
    </w:p>
    <w:p w14:paraId="39BAF2C6" w14:textId="5939DEE0" w:rsidR="005C3946" w:rsidRPr="007573D9" w:rsidRDefault="00CA4EA2" w:rsidP="00902744">
      <w:pPr>
        <w:autoSpaceDE w:val="0"/>
        <w:autoSpaceDN w:val="0"/>
        <w:adjustRightInd w:val="0"/>
        <w:ind w:firstLine="720"/>
        <w:rPr>
          <w:rFonts w:cs="Times New Roman"/>
        </w:rPr>
      </w:pPr>
      <w:r w:rsidRPr="007573D9">
        <w:rPr>
          <w:rFonts w:cs="Times New Roman"/>
          <w:color w:val="000000" w:themeColor="text1"/>
        </w:rPr>
        <w:t>Ben-Tor</w:t>
      </w:r>
      <w:r w:rsidR="007D228D" w:rsidRPr="007573D9">
        <w:rPr>
          <w:rFonts w:cs="Times New Roman"/>
          <w:color w:val="000000" w:themeColor="text1"/>
        </w:rPr>
        <w:t xml:space="preserve"> (2007</w:t>
      </w:r>
      <w:r w:rsidR="000A27EB" w:rsidRPr="007573D9">
        <w:rPr>
          <w:rFonts w:cs="Times New Roman"/>
          <w:color w:val="000000" w:themeColor="text1"/>
        </w:rPr>
        <w:t>:</w:t>
      </w:r>
      <w:r w:rsidR="007D228D" w:rsidRPr="007573D9">
        <w:rPr>
          <w:rFonts w:cs="Times New Roman"/>
          <w:color w:val="000000" w:themeColor="text1"/>
        </w:rPr>
        <w:t xml:space="preserve"> 43)</w:t>
      </w:r>
      <w:r w:rsidRPr="007573D9">
        <w:rPr>
          <w:rFonts w:cs="Times New Roman"/>
          <w:color w:val="000000" w:themeColor="text1"/>
        </w:rPr>
        <w:t xml:space="preserve"> provide</w:t>
      </w:r>
      <w:r w:rsidR="009C4C84" w:rsidRPr="007573D9">
        <w:rPr>
          <w:rFonts w:cs="Times New Roman"/>
          <w:color w:val="000000" w:themeColor="text1"/>
        </w:rPr>
        <w:t>s</w:t>
      </w:r>
      <w:r w:rsidRPr="007573D9">
        <w:rPr>
          <w:rFonts w:cs="Times New Roman"/>
          <w:color w:val="000000" w:themeColor="text1"/>
        </w:rPr>
        <w:t xml:space="preserve"> an update to Tufnell’s scarab typology by distinguishing between scarabs manufactured in Egypt and scarabs manufactured in Canaan. </w:t>
      </w:r>
      <w:r w:rsidRPr="007573D9">
        <w:rPr>
          <w:rFonts w:cs="Times New Roman"/>
        </w:rPr>
        <w:t>In Ben</w:t>
      </w:r>
      <w:r w:rsidR="00AE5DFA" w:rsidRPr="007573D9">
        <w:rPr>
          <w:rFonts w:cs="Times New Roman"/>
        </w:rPr>
        <w:t>-</w:t>
      </w:r>
      <w:r w:rsidRPr="007573D9">
        <w:rPr>
          <w:rFonts w:cs="Times New Roman"/>
        </w:rPr>
        <w:t>Tor’s (2007</w:t>
      </w:r>
      <w:r w:rsidR="000A27EB" w:rsidRPr="007573D9">
        <w:rPr>
          <w:rFonts w:cs="Times New Roman"/>
        </w:rPr>
        <w:t>:</w:t>
      </w:r>
      <w:r w:rsidRPr="007573D9">
        <w:rPr>
          <w:rFonts w:cs="Times New Roman"/>
        </w:rPr>
        <w:t xml:space="preserve"> 117) refinement of the studies on scarabs, she argues for a Canaanite origin for </w:t>
      </w:r>
      <w:r w:rsidR="00CB3314" w:rsidRPr="007573D9">
        <w:rPr>
          <w:rFonts w:cs="Times New Roman"/>
        </w:rPr>
        <w:t>most</w:t>
      </w:r>
      <w:r w:rsidRPr="007573D9">
        <w:rPr>
          <w:rFonts w:cs="Times New Roman"/>
        </w:rPr>
        <w:t xml:space="preserve"> scarabs found in ancient Palestine (Canaan). </w:t>
      </w:r>
      <w:r w:rsidR="001C24ED" w:rsidRPr="007573D9">
        <w:rPr>
          <w:rFonts w:cs="Times New Roman"/>
        </w:rPr>
        <w:t>She</w:t>
      </w:r>
      <w:r w:rsidR="00862113">
        <w:rPr>
          <w:rFonts w:cs="Times New Roman"/>
        </w:rPr>
        <w:t xml:space="preserve"> </w:t>
      </w:r>
      <w:r w:rsidR="00862113" w:rsidRPr="007573D9">
        <w:rPr>
          <w:rFonts w:cs="Times New Roman"/>
          <w:kern w:val="0"/>
        </w:rPr>
        <w:t>(2007: 115)</w:t>
      </w:r>
      <w:r w:rsidR="001C24ED" w:rsidRPr="007573D9">
        <w:rPr>
          <w:rFonts w:cs="Times New Roman"/>
        </w:rPr>
        <w:t xml:space="preserve"> base</w:t>
      </w:r>
      <w:r w:rsidR="009C4C84" w:rsidRPr="007573D9">
        <w:rPr>
          <w:rFonts w:cs="Times New Roman"/>
        </w:rPr>
        <w:t>s</w:t>
      </w:r>
      <w:r w:rsidR="001C24ED" w:rsidRPr="007573D9">
        <w:rPr>
          <w:rFonts w:cs="Times New Roman"/>
        </w:rPr>
        <w:t xml:space="preserve"> her approach on the work of </w:t>
      </w:r>
      <w:r w:rsidR="00377754" w:rsidRPr="007573D9">
        <w:rPr>
          <w:rFonts w:cs="Times New Roman"/>
          <w:kern w:val="0"/>
        </w:rPr>
        <w:t>Schroer (1985; 1989) and Keel (1989; 1994</w:t>
      </w:r>
      <w:r w:rsidR="000A27EB" w:rsidRPr="007573D9">
        <w:rPr>
          <w:rFonts w:cs="Times New Roman"/>
          <w:kern w:val="0"/>
        </w:rPr>
        <w:t>:</w:t>
      </w:r>
      <w:r w:rsidR="00377754" w:rsidRPr="007573D9">
        <w:rPr>
          <w:rFonts w:cs="Times New Roman"/>
          <w:kern w:val="0"/>
        </w:rPr>
        <w:t xml:space="preserve"> 207</w:t>
      </w:r>
      <w:r w:rsidR="00A345B4" w:rsidRPr="007573D9">
        <w:rPr>
          <w:rFonts w:cs="Times New Roman"/>
          <w:kern w:val="0"/>
        </w:rPr>
        <w:t>–</w:t>
      </w:r>
      <w:r w:rsidR="00377754" w:rsidRPr="007573D9">
        <w:rPr>
          <w:rFonts w:cs="Times New Roman"/>
          <w:kern w:val="0"/>
        </w:rPr>
        <w:t>225; 1995; 1997)</w:t>
      </w:r>
      <w:r w:rsidR="001C24ED" w:rsidRPr="007573D9">
        <w:rPr>
          <w:rFonts w:cs="Times New Roman"/>
          <w:kern w:val="0"/>
        </w:rPr>
        <w:t>, who first presented solid evidence of the Canaanite origin of Middle Bronze Age scarabs</w:t>
      </w:r>
      <w:r w:rsidR="00377754" w:rsidRPr="007573D9">
        <w:rPr>
          <w:rFonts w:cs="Times New Roman"/>
          <w:kern w:val="0"/>
        </w:rPr>
        <w:t xml:space="preserve">. </w:t>
      </w:r>
      <w:r w:rsidRPr="007573D9">
        <w:rPr>
          <w:rFonts w:cs="Times New Roman"/>
        </w:rPr>
        <w:t>She</w:t>
      </w:r>
      <w:r w:rsidR="00586BA1">
        <w:rPr>
          <w:rFonts w:cs="Times New Roman"/>
        </w:rPr>
        <w:t xml:space="preserve"> </w:t>
      </w:r>
      <w:r w:rsidR="00586BA1" w:rsidRPr="007573D9">
        <w:rPr>
          <w:rFonts w:cs="Times New Roman"/>
        </w:rPr>
        <w:t>(2007: 117, 155)</w:t>
      </w:r>
      <w:r w:rsidRPr="007573D9">
        <w:rPr>
          <w:rFonts w:cs="Times New Roman"/>
        </w:rPr>
        <w:t xml:space="preserve"> label</w:t>
      </w:r>
      <w:r w:rsidR="009C4C84" w:rsidRPr="007573D9">
        <w:rPr>
          <w:rFonts w:cs="Times New Roman"/>
        </w:rPr>
        <w:t>s</w:t>
      </w:r>
      <w:r w:rsidRPr="007573D9">
        <w:rPr>
          <w:rFonts w:cs="Times New Roman"/>
        </w:rPr>
        <w:t xml:space="preserve"> scarabs from Canaan as belonging to</w:t>
      </w:r>
      <w:r w:rsidR="00586BA1">
        <w:rPr>
          <w:rFonts w:cs="Times New Roman"/>
        </w:rPr>
        <w:t xml:space="preserve"> either</w:t>
      </w:r>
      <w:r w:rsidRPr="007573D9">
        <w:rPr>
          <w:rFonts w:cs="Times New Roman"/>
        </w:rPr>
        <w:t xml:space="preserve"> the Early</w:t>
      </w:r>
      <w:r w:rsidR="00586BA1">
        <w:rPr>
          <w:rFonts w:cs="Times New Roman"/>
        </w:rPr>
        <w:t xml:space="preserve"> Palestinian Series</w:t>
      </w:r>
      <w:r w:rsidRPr="007573D9">
        <w:rPr>
          <w:rFonts w:cs="Times New Roman"/>
        </w:rPr>
        <w:t xml:space="preserve"> </w:t>
      </w:r>
      <w:r w:rsidR="00586BA1">
        <w:rPr>
          <w:rFonts w:cs="Times New Roman"/>
        </w:rPr>
        <w:t>or the</w:t>
      </w:r>
      <w:r w:rsidR="00586BA1" w:rsidRPr="007573D9">
        <w:rPr>
          <w:rFonts w:cs="Times New Roman"/>
        </w:rPr>
        <w:t xml:space="preserve"> </w:t>
      </w:r>
      <w:r w:rsidRPr="007573D9">
        <w:rPr>
          <w:rFonts w:cs="Times New Roman"/>
        </w:rPr>
        <w:t>Late Palestinian Series</w:t>
      </w:r>
      <w:r w:rsidR="001C24ED" w:rsidRPr="007573D9">
        <w:rPr>
          <w:rFonts w:cs="Times New Roman"/>
        </w:rPr>
        <w:t>.</w:t>
      </w:r>
      <w:r w:rsidRPr="007573D9">
        <w:rPr>
          <w:rFonts w:cs="Times New Roman"/>
        </w:rPr>
        <w:t xml:space="preserve"> Brandl (2014</w:t>
      </w:r>
      <w:r w:rsidR="000A27EB" w:rsidRPr="007573D9">
        <w:rPr>
          <w:rFonts w:cs="Times New Roman"/>
        </w:rPr>
        <w:t>:</w:t>
      </w:r>
      <w:r w:rsidRPr="007573D9">
        <w:rPr>
          <w:rFonts w:cs="Times New Roman"/>
        </w:rPr>
        <w:t xml:space="preserve"> 2) a</w:t>
      </w:r>
      <w:r w:rsidR="00CB3314" w:rsidRPr="007573D9">
        <w:rPr>
          <w:rFonts w:cs="Times New Roman"/>
        </w:rPr>
        <w:t>ccepts</w:t>
      </w:r>
      <w:r w:rsidRPr="007573D9">
        <w:rPr>
          <w:rFonts w:cs="Times New Roman"/>
        </w:rPr>
        <w:t xml:space="preserve"> Ben-Tor’s designations but broaden</w:t>
      </w:r>
      <w:r w:rsidR="009C4C84" w:rsidRPr="007573D9">
        <w:rPr>
          <w:rFonts w:cs="Times New Roman"/>
        </w:rPr>
        <w:t>s</w:t>
      </w:r>
      <w:r w:rsidRPr="007573D9">
        <w:rPr>
          <w:rFonts w:cs="Times New Roman"/>
        </w:rPr>
        <w:t xml:space="preserve"> her terms to Early and Late Middle Bronze Age Canaanite Scarabs.</w:t>
      </w:r>
      <w:r w:rsidR="001C24ED" w:rsidRPr="007573D9">
        <w:rPr>
          <w:rFonts w:cs="Times New Roman"/>
        </w:rPr>
        <w:t xml:space="preserve"> </w:t>
      </w:r>
    </w:p>
    <w:p w14:paraId="2866FE8E" w14:textId="7C561302" w:rsidR="000C5196" w:rsidRPr="0098334B" w:rsidRDefault="00950560" w:rsidP="0098334B">
      <w:pPr>
        <w:autoSpaceDE w:val="0"/>
        <w:autoSpaceDN w:val="0"/>
        <w:adjustRightInd w:val="0"/>
        <w:ind w:firstLine="720"/>
        <w:rPr>
          <w:rFonts w:cs="Times New Roman"/>
        </w:rPr>
      </w:pPr>
      <w:r w:rsidRPr="007573D9">
        <w:rPr>
          <w:rFonts w:cs="Times New Roman"/>
        </w:rPr>
        <w:t>The Early and Late Palestinian Series scarabs come primarily from Canaanite tombs (Tufnell 1984</w:t>
      </w:r>
      <w:r w:rsidR="000A27EB" w:rsidRPr="007573D9">
        <w:rPr>
          <w:rFonts w:cs="Times New Roman"/>
        </w:rPr>
        <w:t>:</w:t>
      </w:r>
      <w:r w:rsidRPr="007573D9">
        <w:rPr>
          <w:rFonts w:cs="Times New Roman"/>
        </w:rPr>
        <w:t xml:space="preserve"> 4–23; 2007</w:t>
      </w:r>
      <w:r w:rsidR="000A27EB" w:rsidRPr="007573D9">
        <w:rPr>
          <w:rFonts w:cs="Times New Roman"/>
        </w:rPr>
        <w:t>:</w:t>
      </w:r>
      <w:r w:rsidRPr="007573D9">
        <w:rPr>
          <w:rFonts w:cs="Times New Roman"/>
        </w:rPr>
        <w:t xml:space="preserve"> 186). </w:t>
      </w:r>
      <w:r w:rsidR="002068A3" w:rsidRPr="007573D9">
        <w:rPr>
          <w:rFonts w:cs="Times New Roman"/>
          <w:color w:val="000000" w:themeColor="text1"/>
        </w:rPr>
        <w:t>Ben-Tor’s</w:t>
      </w:r>
      <w:r w:rsidR="00314118">
        <w:rPr>
          <w:rFonts w:cs="Times New Roman"/>
          <w:color w:val="000000" w:themeColor="text1"/>
        </w:rPr>
        <w:t xml:space="preserve"> </w:t>
      </w:r>
      <w:r w:rsidR="00314118" w:rsidRPr="007573D9">
        <w:rPr>
          <w:rFonts w:cs="Times New Roman"/>
          <w:color w:val="000000" w:themeColor="text1"/>
        </w:rPr>
        <w:t>(2007: 186)</w:t>
      </w:r>
      <w:r w:rsidR="002068A3" w:rsidRPr="007573D9">
        <w:rPr>
          <w:rFonts w:cs="Times New Roman"/>
          <w:color w:val="000000" w:themeColor="text1"/>
        </w:rPr>
        <w:t xml:space="preserve"> Early Palestinian Series indicat</w:t>
      </w:r>
      <w:r w:rsidR="00586BA1">
        <w:rPr>
          <w:rFonts w:cs="Times New Roman"/>
          <w:color w:val="000000" w:themeColor="text1"/>
        </w:rPr>
        <w:t>es</w:t>
      </w:r>
      <w:r w:rsidR="002068A3" w:rsidRPr="007573D9">
        <w:rPr>
          <w:rFonts w:cs="Times New Roman"/>
          <w:color w:val="000000" w:themeColor="text1"/>
        </w:rPr>
        <w:t xml:space="preserve"> close cultural interaction between Canaan and Egypt in the first half of the second millennium </w:t>
      </w:r>
      <w:r w:rsidR="00236ED2" w:rsidRPr="007573D9">
        <w:rPr>
          <w:rFonts w:cs="Times New Roman"/>
          <w:color w:val="000000" w:themeColor="text1"/>
        </w:rPr>
        <w:t>BCE</w:t>
      </w:r>
      <w:r w:rsidR="002068A3" w:rsidRPr="007573D9">
        <w:rPr>
          <w:rFonts w:cs="Times New Roman"/>
          <w:color w:val="000000" w:themeColor="text1"/>
        </w:rPr>
        <w:t xml:space="preserve"> and corresponds with the occupation levels at Tell </w:t>
      </w:r>
      <w:proofErr w:type="spellStart"/>
      <w:r w:rsidR="002068A3" w:rsidRPr="007573D9">
        <w:rPr>
          <w:rFonts w:cs="Times New Roman"/>
          <w:color w:val="000000" w:themeColor="text1"/>
        </w:rPr>
        <w:t>el-Da</w:t>
      </w:r>
      <w:r w:rsidR="008A30B4" w:rsidRPr="007573D9">
        <w:rPr>
          <w:rFonts w:cs="Times New Roman"/>
          <w:color w:val="000000" w:themeColor="text1"/>
        </w:rPr>
        <w:t>b</w:t>
      </w:r>
      <w:r w:rsidR="008A30B4" w:rsidRPr="007573D9">
        <w:rPr>
          <w:rFonts w:cs="Times New Roman"/>
        </w:rPr>
        <w:t>`</w:t>
      </w:r>
      <w:proofErr w:type="gramStart"/>
      <w:r w:rsidR="002068A3" w:rsidRPr="007573D9">
        <w:rPr>
          <w:rFonts w:cs="Times New Roman"/>
          <w:color w:val="000000" w:themeColor="text1"/>
        </w:rPr>
        <w:t>a</w:t>
      </w:r>
      <w:proofErr w:type="spellEnd"/>
      <w:proofErr w:type="gramEnd"/>
      <w:r w:rsidR="002068A3" w:rsidRPr="007573D9">
        <w:rPr>
          <w:rFonts w:cs="Times New Roman"/>
          <w:color w:val="000000" w:themeColor="text1"/>
        </w:rPr>
        <w:t xml:space="preserve"> </w:t>
      </w:r>
      <w:r w:rsidR="00AA03A6" w:rsidRPr="007573D9">
        <w:rPr>
          <w:rFonts w:cs="Times New Roman"/>
          <w:color w:val="000000" w:themeColor="text1"/>
        </w:rPr>
        <w:t xml:space="preserve">earlier </w:t>
      </w:r>
      <w:r w:rsidR="002068A3" w:rsidRPr="007573D9">
        <w:rPr>
          <w:rFonts w:cs="Times New Roman"/>
          <w:color w:val="000000" w:themeColor="text1"/>
        </w:rPr>
        <w:t>in Middle Bronze Age IIB. The scarabs from this period reflect Late Middle Kingdom styles (Ben-Tor 2007</w:t>
      </w:r>
      <w:r w:rsidR="000A27EB" w:rsidRPr="007573D9">
        <w:rPr>
          <w:rFonts w:cs="Times New Roman"/>
          <w:color w:val="000000" w:themeColor="text1"/>
        </w:rPr>
        <w:t>:</w:t>
      </w:r>
      <w:r w:rsidR="002068A3" w:rsidRPr="007573D9">
        <w:rPr>
          <w:rFonts w:cs="Times New Roman"/>
          <w:color w:val="000000" w:themeColor="text1"/>
        </w:rPr>
        <w:t xml:space="preserve"> 186). </w:t>
      </w:r>
      <w:r w:rsidR="002068A3" w:rsidRPr="007573D9">
        <w:rPr>
          <w:rFonts w:cs="Times New Roman"/>
        </w:rPr>
        <w:t>Ben-Tor’s</w:t>
      </w:r>
      <w:r w:rsidR="00067355" w:rsidRPr="007573D9">
        <w:rPr>
          <w:rFonts w:cs="Times New Roman"/>
        </w:rPr>
        <w:t xml:space="preserve"> (2007</w:t>
      </w:r>
      <w:r w:rsidR="000A27EB" w:rsidRPr="007573D9">
        <w:rPr>
          <w:rFonts w:cs="Times New Roman"/>
        </w:rPr>
        <w:t>:</w:t>
      </w:r>
      <w:r w:rsidR="00067355" w:rsidRPr="007573D9">
        <w:rPr>
          <w:rFonts w:cs="Times New Roman"/>
        </w:rPr>
        <w:t xml:space="preserve"> 186)</w:t>
      </w:r>
      <w:r w:rsidR="002068A3" w:rsidRPr="007573D9">
        <w:rPr>
          <w:rFonts w:cs="Times New Roman"/>
        </w:rPr>
        <w:t xml:space="preserve"> Late Palestinian Series </w:t>
      </w:r>
      <w:r w:rsidR="00CB3314" w:rsidRPr="007573D9">
        <w:rPr>
          <w:rFonts w:cs="Times New Roman"/>
        </w:rPr>
        <w:t xml:space="preserve">reflects the local manufacture </w:t>
      </w:r>
      <w:r w:rsidR="002068A3" w:rsidRPr="007573D9">
        <w:rPr>
          <w:rFonts w:cs="Times New Roman"/>
        </w:rPr>
        <w:t>of considerably more scarabs during the last part of the Middle Bronze Age</w:t>
      </w:r>
      <w:r w:rsidR="00044FA0" w:rsidRPr="007573D9">
        <w:rPr>
          <w:rFonts w:cs="Times New Roman"/>
        </w:rPr>
        <w:t xml:space="preserve"> </w:t>
      </w:r>
      <w:r w:rsidR="00AA03A6" w:rsidRPr="007573D9">
        <w:rPr>
          <w:rFonts w:cs="Times New Roman"/>
        </w:rPr>
        <w:t>IIB to Middle Bronze</w:t>
      </w:r>
      <w:r w:rsidR="0011376D" w:rsidRPr="007573D9">
        <w:rPr>
          <w:rFonts w:cs="Times New Roman"/>
        </w:rPr>
        <w:t xml:space="preserve"> Age</w:t>
      </w:r>
      <w:r w:rsidR="00AA03A6" w:rsidRPr="007573D9">
        <w:rPr>
          <w:rFonts w:cs="Times New Roman"/>
        </w:rPr>
        <w:t xml:space="preserve"> </w:t>
      </w:r>
      <w:r w:rsidR="00B840E3">
        <w:rPr>
          <w:rFonts w:cs="Times New Roman"/>
        </w:rPr>
        <w:t xml:space="preserve">IIC (=MB </w:t>
      </w:r>
      <w:r w:rsidR="00AA03A6" w:rsidRPr="007573D9">
        <w:rPr>
          <w:rFonts w:cs="Times New Roman"/>
        </w:rPr>
        <w:t>III</w:t>
      </w:r>
      <w:r w:rsidR="00B840E3">
        <w:rPr>
          <w:rFonts w:cs="Times New Roman"/>
        </w:rPr>
        <w:t>)</w:t>
      </w:r>
      <w:r w:rsidR="00CB3314" w:rsidRPr="007573D9">
        <w:rPr>
          <w:rFonts w:cs="Times New Roman"/>
        </w:rPr>
        <w:t xml:space="preserve"> than previously thought</w:t>
      </w:r>
      <w:r w:rsidR="00044FA0" w:rsidRPr="007573D9">
        <w:rPr>
          <w:rFonts w:cs="Times New Roman"/>
        </w:rPr>
        <w:t xml:space="preserve">. </w:t>
      </w:r>
      <w:r w:rsidR="002068A3" w:rsidRPr="007573D9">
        <w:rPr>
          <w:rFonts w:cs="Times New Roman"/>
        </w:rPr>
        <w:t>These scarabs reflect Middle Kingdom styles but have a variety of designs from Egypt and the Levant (Ben-Tor 2007</w:t>
      </w:r>
      <w:r w:rsidR="000A27EB" w:rsidRPr="007573D9">
        <w:rPr>
          <w:rFonts w:cs="Times New Roman"/>
        </w:rPr>
        <w:t>:</w:t>
      </w:r>
      <w:r w:rsidR="002068A3" w:rsidRPr="007573D9">
        <w:rPr>
          <w:rFonts w:cs="Times New Roman"/>
        </w:rPr>
        <w:t xml:space="preserve"> 186). </w:t>
      </w:r>
      <w:r w:rsidR="00AD0672">
        <w:rPr>
          <w:rFonts w:cs="Times New Roman"/>
        </w:rPr>
        <w:t>Ben-Tor</w:t>
      </w:r>
      <w:r w:rsidR="00AD0672" w:rsidRPr="007573D9">
        <w:rPr>
          <w:rFonts w:cs="Times New Roman"/>
        </w:rPr>
        <w:t xml:space="preserve"> </w:t>
      </w:r>
      <w:r w:rsidR="00067355" w:rsidRPr="007573D9">
        <w:rPr>
          <w:rFonts w:cs="Times New Roman"/>
        </w:rPr>
        <w:t>(2007</w:t>
      </w:r>
      <w:r w:rsidR="000A27EB" w:rsidRPr="007573D9">
        <w:rPr>
          <w:rFonts w:cs="Times New Roman"/>
        </w:rPr>
        <w:t>:</w:t>
      </w:r>
      <w:r w:rsidR="00067355" w:rsidRPr="007573D9">
        <w:rPr>
          <w:rFonts w:cs="Times New Roman"/>
        </w:rPr>
        <w:t xml:space="preserve"> 186)</w:t>
      </w:r>
      <w:r w:rsidR="002068A3" w:rsidRPr="007573D9">
        <w:rPr>
          <w:rFonts w:cs="Times New Roman"/>
        </w:rPr>
        <w:t xml:space="preserve"> ascribes scarabs of the later period in Palestine to </w:t>
      </w:r>
      <w:r w:rsidR="001F30F3" w:rsidRPr="007573D9">
        <w:rPr>
          <w:rFonts w:cs="Times New Roman"/>
        </w:rPr>
        <w:t xml:space="preserve">the </w:t>
      </w:r>
      <w:r w:rsidR="002068A3" w:rsidRPr="007573D9">
        <w:rPr>
          <w:rFonts w:cs="Times New Roman"/>
        </w:rPr>
        <w:t>ascendancy of the 15th Dynasty (</w:t>
      </w:r>
      <w:r w:rsidR="009341EB" w:rsidRPr="007573D9">
        <w:rPr>
          <w:rFonts w:cs="Times New Roman"/>
        </w:rPr>
        <w:t>Second Intermediate Period</w:t>
      </w:r>
      <w:r w:rsidR="002068A3" w:rsidRPr="007573D9">
        <w:rPr>
          <w:rFonts w:cs="Times New Roman"/>
        </w:rPr>
        <w:t xml:space="preserve">) at Tell </w:t>
      </w:r>
      <w:proofErr w:type="spellStart"/>
      <w:r w:rsidR="002068A3" w:rsidRPr="007573D9">
        <w:rPr>
          <w:rFonts w:cs="Times New Roman"/>
        </w:rPr>
        <w:t>el-Dab`a</w:t>
      </w:r>
      <w:proofErr w:type="spellEnd"/>
      <w:r w:rsidR="005A1E61" w:rsidRPr="007573D9">
        <w:rPr>
          <w:rFonts w:cs="Times New Roman"/>
        </w:rPr>
        <w:t xml:space="preserve"> during the </w:t>
      </w:r>
      <w:r w:rsidR="00122995" w:rsidRPr="007573D9">
        <w:rPr>
          <w:rFonts w:cs="Times New Roman"/>
        </w:rPr>
        <w:t xml:space="preserve">late </w:t>
      </w:r>
      <w:r w:rsidR="005A1E61" w:rsidRPr="007573D9">
        <w:rPr>
          <w:rFonts w:cs="Times New Roman"/>
        </w:rPr>
        <w:t>M</w:t>
      </w:r>
      <w:r w:rsidR="005D0986" w:rsidRPr="007573D9">
        <w:rPr>
          <w:rFonts w:cs="Times New Roman"/>
        </w:rPr>
        <w:t xml:space="preserve">iddle </w:t>
      </w:r>
      <w:r w:rsidR="005A1E61" w:rsidRPr="007573D9">
        <w:rPr>
          <w:rFonts w:cs="Times New Roman"/>
        </w:rPr>
        <w:t>B</w:t>
      </w:r>
      <w:r w:rsidR="005D0986" w:rsidRPr="007573D9">
        <w:rPr>
          <w:rFonts w:cs="Times New Roman"/>
        </w:rPr>
        <w:t>ronze Age</w:t>
      </w:r>
      <w:r w:rsidR="005A1E61" w:rsidRPr="007573D9">
        <w:rPr>
          <w:rFonts w:cs="Times New Roman"/>
        </w:rPr>
        <w:t xml:space="preserve"> IIB</w:t>
      </w:r>
      <w:r w:rsidR="00122995" w:rsidRPr="007573D9">
        <w:rPr>
          <w:rFonts w:cs="Times New Roman"/>
        </w:rPr>
        <w:t>–</w:t>
      </w:r>
      <w:r w:rsidR="007C4B11" w:rsidRPr="007573D9">
        <w:rPr>
          <w:rFonts w:cs="Times New Roman"/>
        </w:rPr>
        <w:t>M</w:t>
      </w:r>
      <w:r w:rsidR="005D0986" w:rsidRPr="007573D9">
        <w:rPr>
          <w:rFonts w:cs="Times New Roman"/>
        </w:rPr>
        <w:t xml:space="preserve">iddle </w:t>
      </w:r>
      <w:r w:rsidR="007C4B11" w:rsidRPr="007573D9">
        <w:rPr>
          <w:rFonts w:cs="Times New Roman"/>
        </w:rPr>
        <w:t>B</w:t>
      </w:r>
      <w:r w:rsidR="005D0986" w:rsidRPr="007573D9">
        <w:rPr>
          <w:rFonts w:cs="Times New Roman"/>
        </w:rPr>
        <w:t>ronze Age</w:t>
      </w:r>
      <w:r w:rsidR="007C4B11" w:rsidRPr="007573D9">
        <w:rPr>
          <w:rFonts w:cs="Times New Roman"/>
        </w:rPr>
        <w:t xml:space="preserve"> IIC (=MB III)</w:t>
      </w:r>
      <w:r w:rsidR="00122995" w:rsidRPr="007573D9">
        <w:rPr>
          <w:rFonts w:cs="Times New Roman"/>
        </w:rPr>
        <w:t>.</w:t>
      </w:r>
      <w:r w:rsidR="00A80F4A" w:rsidRPr="007573D9">
        <w:rPr>
          <w:rFonts w:cs="Times New Roman"/>
        </w:rPr>
        <w:t xml:space="preserve"> </w:t>
      </w:r>
    </w:p>
    <w:p w14:paraId="6AD702B5" w14:textId="77777777" w:rsidR="000C5196" w:rsidRDefault="000C5196" w:rsidP="007573D9">
      <w:pPr>
        <w:autoSpaceDE w:val="0"/>
        <w:autoSpaceDN w:val="0"/>
        <w:adjustRightInd w:val="0"/>
        <w:rPr>
          <w:rFonts w:cs="Times New Roman"/>
          <w:color w:val="000000" w:themeColor="text1"/>
        </w:rPr>
      </w:pPr>
    </w:p>
    <w:p w14:paraId="12A2AAFA" w14:textId="74E2C1EA" w:rsidR="0049146A" w:rsidRPr="007573D9" w:rsidRDefault="004D522B" w:rsidP="007573D9">
      <w:pPr>
        <w:autoSpaceDE w:val="0"/>
        <w:autoSpaceDN w:val="0"/>
        <w:adjustRightInd w:val="0"/>
        <w:rPr>
          <w:rFonts w:cs="Times New Roman"/>
          <w:b/>
          <w:bCs/>
          <w:i/>
          <w:iCs/>
          <w:color w:val="000000" w:themeColor="text1"/>
        </w:rPr>
      </w:pPr>
      <w:r w:rsidRPr="007573D9">
        <w:rPr>
          <w:rFonts w:cs="Times New Roman"/>
          <w:b/>
          <w:bCs/>
          <w:i/>
          <w:iCs/>
          <w:color w:val="000000" w:themeColor="text1"/>
        </w:rPr>
        <w:t>Scarab One</w:t>
      </w:r>
    </w:p>
    <w:p w14:paraId="362A941C" w14:textId="77777777" w:rsidR="00D84731" w:rsidRPr="007573D9" w:rsidRDefault="00D84731" w:rsidP="007573D9">
      <w:pPr>
        <w:rPr>
          <w:rFonts w:cs="Times New Roman"/>
          <w:lang w:val="en-GB"/>
        </w:rPr>
      </w:pPr>
    </w:p>
    <w:p w14:paraId="0E5D5A46" w14:textId="58C416DF" w:rsidR="00FB34C4" w:rsidRPr="00FB34C4" w:rsidRDefault="007573D9" w:rsidP="00FB34C4">
      <w:pPr>
        <w:rPr>
          <w:rFonts w:cs="Times New Roman"/>
          <w:kern w:val="0"/>
        </w:rPr>
      </w:pPr>
      <w:r w:rsidRPr="00FB34C4">
        <w:rPr>
          <w:rFonts w:cs="Times New Roman"/>
          <w:lang w:val="en-GB"/>
        </w:rPr>
        <w:t xml:space="preserve">Preliminary </w:t>
      </w:r>
      <w:r w:rsidR="00D84731" w:rsidRPr="00FB34C4">
        <w:rPr>
          <w:rFonts w:cs="Times New Roman"/>
          <w:lang w:val="en-GB"/>
        </w:rPr>
        <w:t xml:space="preserve">Analysis: </w:t>
      </w:r>
      <w:r w:rsidR="00D84731" w:rsidRPr="00FB34C4">
        <w:rPr>
          <w:rFonts w:cs="Times New Roman"/>
          <w:color w:val="000000" w:themeColor="text1"/>
        </w:rPr>
        <w:t xml:space="preserve">Ben-Tor describes this scarab as containing the throne name of Thutmose III of the 18th Dynasty </w:t>
      </w:r>
      <w:r w:rsidR="00862113">
        <w:rPr>
          <w:rFonts w:cs="Times New Roman"/>
          <w:color w:val="000000" w:themeColor="text1"/>
        </w:rPr>
        <w:t xml:space="preserve">and </w:t>
      </w:r>
      <w:r w:rsidR="00D84731" w:rsidRPr="00FB34C4">
        <w:rPr>
          <w:rFonts w:cs="Times New Roman"/>
          <w:color w:val="000000" w:themeColor="text1"/>
        </w:rPr>
        <w:t>indicates</w:t>
      </w:r>
      <w:r w:rsidR="0050789B" w:rsidRPr="00FB34C4">
        <w:rPr>
          <w:rFonts w:cs="Times New Roman"/>
          <w:color w:val="000000" w:themeColor="text1"/>
        </w:rPr>
        <w:t xml:space="preserve"> that</w:t>
      </w:r>
      <w:r w:rsidR="00D84731" w:rsidRPr="00FB34C4">
        <w:rPr>
          <w:rFonts w:cs="Times New Roman"/>
          <w:color w:val="000000" w:themeColor="text1"/>
        </w:rPr>
        <w:t xml:space="preserve"> it </w:t>
      </w:r>
      <w:r w:rsidR="00AD0672">
        <w:rPr>
          <w:rFonts w:cs="Times New Roman"/>
          <w:color w:val="000000" w:themeColor="text1"/>
        </w:rPr>
        <w:t>i</w:t>
      </w:r>
      <w:r w:rsidR="00D84731" w:rsidRPr="00FB34C4">
        <w:rPr>
          <w:rFonts w:cs="Times New Roman"/>
          <w:color w:val="000000" w:themeColor="text1"/>
        </w:rPr>
        <w:t>s an Egyptian scarab of the 19th Dynasty</w:t>
      </w:r>
      <w:r w:rsidR="00E87AED">
        <w:rPr>
          <w:rFonts w:cs="Times New Roman"/>
          <w:color w:val="000000" w:themeColor="text1"/>
        </w:rPr>
        <w:t xml:space="preserve"> from the</w:t>
      </w:r>
      <w:r w:rsidR="007403EF" w:rsidRPr="00FB34C4">
        <w:rPr>
          <w:rFonts w:cs="Times New Roman"/>
          <w:color w:val="000000" w:themeColor="text1"/>
        </w:rPr>
        <w:t xml:space="preserve"> Ramesside period in the Late Bronze Age IIB</w:t>
      </w:r>
      <w:r w:rsidR="00E87AED">
        <w:rPr>
          <w:rFonts w:cs="Times New Roman"/>
          <w:color w:val="000000" w:themeColor="text1"/>
        </w:rPr>
        <w:t>.</w:t>
      </w:r>
      <w:r w:rsidR="007403EF" w:rsidRPr="00FB34C4">
        <w:rPr>
          <w:rStyle w:val="FootnoteReference"/>
          <w:rFonts w:cs="Times New Roman"/>
          <w:color w:val="000000" w:themeColor="text1"/>
        </w:rPr>
        <w:footnoteReference w:id="9"/>
      </w:r>
      <w:r w:rsidR="00D84731" w:rsidRPr="00FB34C4">
        <w:rPr>
          <w:rFonts w:cs="Times New Roman"/>
          <w:color w:val="000000" w:themeColor="text1"/>
        </w:rPr>
        <w:t xml:space="preserve"> </w:t>
      </w:r>
      <w:r w:rsidR="001C5ECB">
        <w:rPr>
          <w:rFonts w:cs="Times New Roman"/>
          <w:color w:val="000000" w:themeColor="text1"/>
        </w:rPr>
        <w:t>V</w:t>
      </w:r>
      <w:r w:rsidR="00D84731" w:rsidRPr="00FB34C4">
        <w:rPr>
          <w:rFonts w:cs="Times New Roman"/>
          <w:color w:val="000000" w:themeColor="text1"/>
        </w:rPr>
        <w:t>an der Veen</w:t>
      </w:r>
      <w:r w:rsidR="00C92DCA">
        <w:rPr>
          <w:rFonts w:cs="Times New Roman"/>
          <w:color w:val="000000" w:themeColor="text1"/>
        </w:rPr>
        <w:t xml:space="preserve"> </w:t>
      </w:r>
      <w:r w:rsidR="000D2ABB">
        <w:rPr>
          <w:rFonts w:cs="Times New Roman"/>
          <w:color w:val="000000" w:themeColor="text1"/>
        </w:rPr>
        <w:t>describes the style</w:t>
      </w:r>
      <w:r w:rsidR="00D84731" w:rsidRPr="00FB34C4">
        <w:rPr>
          <w:rFonts w:cs="Times New Roman"/>
          <w:color w:val="000000" w:themeColor="text1"/>
        </w:rPr>
        <w:t xml:space="preserve"> as late 18th Dynasty</w:t>
      </w:r>
      <w:r w:rsidRPr="00FB34C4">
        <w:rPr>
          <w:rFonts w:cs="Times New Roman"/>
          <w:color w:val="000000" w:themeColor="text1"/>
        </w:rPr>
        <w:t xml:space="preserve"> </w:t>
      </w:r>
      <w:r w:rsidR="00862113">
        <w:rPr>
          <w:rFonts w:cs="Times New Roman"/>
          <w:color w:val="000000" w:themeColor="text1"/>
        </w:rPr>
        <w:t xml:space="preserve">and </w:t>
      </w:r>
      <w:r w:rsidRPr="00FB34C4">
        <w:rPr>
          <w:rFonts w:cs="Times New Roman"/>
          <w:color w:val="000000" w:themeColor="text1"/>
        </w:rPr>
        <w:t>dates it to the Late Bronze I</w:t>
      </w:r>
      <w:r w:rsidR="00314118">
        <w:rPr>
          <w:rFonts w:cs="Times New Roman"/>
          <w:color w:val="000000" w:themeColor="text1"/>
        </w:rPr>
        <w:t>B</w:t>
      </w:r>
      <w:r w:rsidRPr="00FB34C4">
        <w:rPr>
          <w:rFonts w:cs="Times New Roman"/>
          <w:color w:val="000000" w:themeColor="text1"/>
        </w:rPr>
        <w:t xml:space="preserve"> to IIA during the Egyptian New Kingdom.</w:t>
      </w:r>
      <w:r w:rsidR="00862113">
        <w:rPr>
          <w:rStyle w:val="FootnoteReference"/>
          <w:rFonts w:cs="Times New Roman"/>
          <w:color w:val="000000" w:themeColor="text1"/>
        </w:rPr>
        <w:footnoteReference w:id="10"/>
      </w:r>
    </w:p>
    <w:p w14:paraId="274BE9D7" w14:textId="1315EA77" w:rsidR="007573D9" w:rsidRPr="007573D9" w:rsidRDefault="007573D9" w:rsidP="00FB34C4">
      <w:pPr>
        <w:rPr>
          <w:rFonts w:cs="Times New Roman"/>
          <w:color w:val="000000" w:themeColor="text1"/>
        </w:rPr>
      </w:pPr>
    </w:p>
    <w:p w14:paraId="4721E75D" w14:textId="61F0F140" w:rsidR="00144EF8" w:rsidRDefault="007573D9" w:rsidP="00F2515A">
      <w:pPr>
        <w:rPr>
          <w:rFonts w:cs="Times New Roman"/>
          <w:color w:val="000000" w:themeColor="text1"/>
        </w:rPr>
      </w:pPr>
      <w:r w:rsidRPr="007573D9">
        <w:rPr>
          <w:rFonts w:cs="Times New Roman"/>
          <w:color w:val="000000" w:themeColor="text1"/>
        </w:rPr>
        <w:lastRenderedPageBreak/>
        <w:t>Analysis:</w:t>
      </w:r>
      <w:r w:rsidR="00C9142B">
        <w:rPr>
          <w:rFonts w:cs="Times New Roman"/>
          <w:color w:val="000000" w:themeColor="text1"/>
        </w:rPr>
        <w:t xml:space="preserve"> </w:t>
      </w:r>
      <w:r w:rsidR="004D522B" w:rsidRPr="007573D9">
        <w:rPr>
          <w:rFonts w:cs="Times New Roman"/>
          <w:color w:val="000000" w:themeColor="text1"/>
        </w:rPr>
        <w:t xml:space="preserve">Head </w:t>
      </w:r>
      <w:r w:rsidR="0001019F">
        <w:rPr>
          <w:rFonts w:cs="Times New Roman"/>
          <w:color w:val="000000" w:themeColor="text1"/>
        </w:rPr>
        <w:t>type</w:t>
      </w:r>
      <w:r w:rsidR="0001019F" w:rsidRPr="007573D9">
        <w:rPr>
          <w:rFonts w:cs="Times New Roman"/>
          <w:color w:val="000000" w:themeColor="text1"/>
        </w:rPr>
        <w:t xml:space="preserve"> </w:t>
      </w:r>
      <w:r w:rsidR="004D522B" w:rsidRPr="007573D9">
        <w:rPr>
          <w:rFonts w:cs="Times New Roman"/>
          <w:color w:val="000000" w:themeColor="text1"/>
        </w:rPr>
        <w:t>B2 is more prevalent in the Early Palestinian Series (Keel 2004</w:t>
      </w:r>
      <w:r w:rsidR="000A27EB" w:rsidRPr="007573D9">
        <w:rPr>
          <w:rFonts w:cs="Times New Roman"/>
          <w:color w:val="000000" w:themeColor="text1"/>
        </w:rPr>
        <w:t>:</w:t>
      </w:r>
      <w:r w:rsidR="004D522B" w:rsidRPr="007573D9">
        <w:rPr>
          <w:rFonts w:cs="Times New Roman"/>
          <w:color w:val="000000" w:themeColor="text1"/>
        </w:rPr>
        <w:t xml:space="preserve"> 92–93; Ben-Tor 2007</w:t>
      </w:r>
      <w:r w:rsidR="000A27EB" w:rsidRPr="007573D9">
        <w:rPr>
          <w:rFonts w:cs="Times New Roman"/>
          <w:color w:val="000000" w:themeColor="text1"/>
        </w:rPr>
        <w:t>:</w:t>
      </w:r>
      <w:r w:rsidR="004D522B" w:rsidRPr="007573D9">
        <w:rPr>
          <w:rFonts w:cs="Times New Roman"/>
          <w:color w:val="000000" w:themeColor="text1"/>
        </w:rPr>
        <w:t xml:space="preserve"> 151)</w:t>
      </w:r>
      <w:r w:rsidR="00CD6F9B" w:rsidRPr="007573D9">
        <w:rPr>
          <w:rFonts w:cs="Times New Roman"/>
          <w:color w:val="000000" w:themeColor="text1"/>
        </w:rPr>
        <w:t>,</w:t>
      </w:r>
      <w:r w:rsidR="004D522B" w:rsidRPr="007573D9">
        <w:rPr>
          <w:rFonts w:cs="Times New Roman"/>
          <w:color w:val="000000" w:themeColor="text1"/>
        </w:rPr>
        <w:t xml:space="preserve"> indicating an earlier date during the New Kingdom. Its features </w:t>
      </w:r>
      <w:r w:rsidR="00BE2D25" w:rsidRPr="007573D9">
        <w:rPr>
          <w:rFonts w:cs="Times New Roman"/>
          <w:color w:val="000000" w:themeColor="text1"/>
        </w:rPr>
        <w:t>resemble</w:t>
      </w:r>
      <w:r w:rsidR="004D522B" w:rsidRPr="007573D9">
        <w:rPr>
          <w:rFonts w:cs="Times New Roman"/>
          <w:color w:val="000000" w:themeColor="text1"/>
        </w:rPr>
        <w:t xml:space="preserve"> the late Middle Kingdom style as indicated by Ben-Tor</w:t>
      </w:r>
      <w:r w:rsidR="00F16C2A" w:rsidRPr="007573D9">
        <w:rPr>
          <w:rFonts w:cs="Times New Roman"/>
          <w:color w:val="000000" w:themeColor="text1"/>
        </w:rPr>
        <w:t xml:space="preserve"> (2007</w:t>
      </w:r>
      <w:r w:rsidR="000A27EB" w:rsidRPr="007573D9">
        <w:rPr>
          <w:rFonts w:cs="Times New Roman"/>
          <w:color w:val="000000" w:themeColor="text1"/>
        </w:rPr>
        <w:t>:</w:t>
      </w:r>
      <w:r w:rsidR="00F16C2A" w:rsidRPr="007573D9">
        <w:rPr>
          <w:rFonts w:cs="Times New Roman"/>
          <w:color w:val="000000" w:themeColor="text1"/>
        </w:rPr>
        <w:t xml:space="preserve"> 151)</w:t>
      </w:r>
      <w:r w:rsidR="004D522B" w:rsidRPr="007573D9">
        <w:rPr>
          <w:rFonts w:cs="Times New Roman"/>
          <w:color w:val="000000" w:themeColor="text1"/>
        </w:rPr>
        <w:t xml:space="preserve">. </w:t>
      </w:r>
    </w:p>
    <w:p w14:paraId="12EB5F01" w14:textId="77777777" w:rsidR="00DF1630" w:rsidRPr="00144EF8" w:rsidRDefault="00DF1630" w:rsidP="00F2515A">
      <w:pPr>
        <w:rPr>
          <w:rFonts w:cs="Times New Roman"/>
          <w:color w:val="000000" w:themeColor="text1"/>
        </w:rPr>
      </w:pPr>
    </w:p>
    <w:p w14:paraId="4BE0349E" w14:textId="734F5C06" w:rsidR="000832C6" w:rsidRDefault="00144EF8" w:rsidP="000832C6">
      <w:pPr>
        <w:ind w:firstLine="720"/>
        <w:rPr>
          <w:rFonts w:cs="Times New Roman"/>
        </w:rPr>
      </w:pPr>
      <w:r w:rsidRPr="00144EF8">
        <w:rPr>
          <w:rFonts w:cs="Times New Roman"/>
          <w:lang w:val="en-GB"/>
        </w:rPr>
        <w:t xml:space="preserve">Tufnell (1984: 34, 36), noted the back type VLV-Humeral </w:t>
      </w:r>
      <w:r w:rsidR="0001019F" w:rsidRPr="00144EF8">
        <w:rPr>
          <w:rFonts w:cs="Times New Roman"/>
          <w:lang w:val="en-GB"/>
        </w:rPr>
        <w:t>Callosit</w:t>
      </w:r>
      <w:r w:rsidR="0001019F">
        <w:rPr>
          <w:rFonts w:cs="Times New Roman"/>
          <w:lang w:val="en-GB"/>
        </w:rPr>
        <w:t>ies</w:t>
      </w:r>
      <w:r w:rsidRPr="00144EF8">
        <w:rPr>
          <w:rFonts w:cs="Times New Roman"/>
          <w:lang w:val="en-GB"/>
        </w:rPr>
        <w:t xml:space="preserve"> may not be earlier than the New Kingdom</w:t>
      </w:r>
      <w:r w:rsidR="00AD0672">
        <w:rPr>
          <w:rFonts w:cs="Times New Roman"/>
          <w:lang w:val="en-GB"/>
        </w:rPr>
        <w:t>,</w:t>
      </w:r>
      <w:r w:rsidRPr="00144EF8">
        <w:rPr>
          <w:rFonts w:cs="Times New Roman"/>
          <w:lang w:val="en-GB"/>
        </w:rPr>
        <w:t xml:space="preserve"> but Ben-Tor</w:t>
      </w:r>
      <w:r w:rsidR="004B1924">
        <w:rPr>
          <w:rFonts w:cs="Times New Roman"/>
          <w:lang w:val="en-GB"/>
        </w:rPr>
        <w:t xml:space="preserve"> </w:t>
      </w:r>
      <w:r w:rsidR="004B1924" w:rsidRPr="00144EF8">
        <w:rPr>
          <w:rFonts w:cs="Times New Roman"/>
          <w:lang w:val="en-GB"/>
        </w:rPr>
        <w:t>(2007: 109, 111)</w:t>
      </w:r>
      <w:r w:rsidRPr="00144EF8">
        <w:rPr>
          <w:rFonts w:cs="Times New Roman"/>
          <w:lang w:val="en-GB"/>
        </w:rPr>
        <w:t xml:space="preserve"> cites earlier examples. </w:t>
      </w:r>
      <w:r w:rsidR="007275FB" w:rsidRPr="00144EF8">
        <w:rPr>
          <w:rFonts w:cs="Times New Roman"/>
          <w:color w:val="000000" w:themeColor="text1"/>
        </w:rPr>
        <w:t xml:space="preserve">Ben-Tor </w:t>
      </w:r>
      <w:r w:rsidR="007275FB" w:rsidRPr="00144EF8">
        <w:rPr>
          <w:rFonts w:cs="Times New Roman"/>
        </w:rPr>
        <w:t>(2007</w:t>
      </w:r>
      <w:r w:rsidR="000A27EB" w:rsidRPr="00144EF8">
        <w:rPr>
          <w:rFonts w:cs="Times New Roman"/>
        </w:rPr>
        <w:t>:</w:t>
      </w:r>
      <w:r w:rsidR="007275FB" w:rsidRPr="00144EF8">
        <w:rPr>
          <w:rFonts w:cs="Times New Roman"/>
        </w:rPr>
        <w:t xml:space="preserve"> 177) </w:t>
      </w:r>
      <w:r w:rsidR="007275FB" w:rsidRPr="00144EF8">
        <w:rPr>
          <w:rFonts w:cs="Times New Roman"/>
          <w:color w:val="000000" w:themeColor="text1"/>
        </w:rPr>
        <w:t xml:space="preserve">indicates </w:t>
      </w:r>
      <w:r w:rsidR="00EF6E47" w:rsidRPr="00144EF8">
        <w:rPr>
          <w:rFonts w:cs="Times New Roman"/>
          <w:color w:val="000000" w:themeColor="text1"/>
        </w:rPr>
        <w:t xml:space="preserve">that </w:t>
      </w:r>
      <w:r w:rsidR="007275FB" w:rsidRPr="00144EF8">
        <w:rPr>
          <w:rFonts w:cs="Times New Roman"/>
          <w:color w:val="000000" w:themeColor="text1"/>
        </w:rPr>
        <w:t>t</w:t>
      </w:r>
      <w:r w:rsidR="004D522B" w:rsidRPr="00144EF8">
        <w:rPr>
          <w:rFonts w:cs="Times New Roman"/>
        </w:rPr>
        <w:t xml:space="preserve">he V-shaped markings on the </w:t>
      </w:r>
      <w:r w:rsidR="00A8262C" w:rsidRPr="00144EF8">
        <w:rPr>
          <w:rFonts w:cs="Times New Roman"/>
        </w:rPr>
        <w:t>shoulders (</w:t>
      </w:r>
      <w:r w:rsidR="00D53887" w:rsidRPr="00144EF8">
        <w:rPr>
          <w:rFonts w:cs="Times New Roman"/>
        </w:rPr>
        <w:t>H</w:t>
      </w:r>
      <w:r w:rsidR="004D522B" w:rsidRPr="00144EF8">
        <w:rPr>
          <w:rFonts w:cs="Times New Roman"/>
        </w:rPr>
        <w:t xml:space="preserve">umeral </w:t>
      </w:r>
      <w:r w:rsidR="00D53887" w:rsidRPr="00144EF8">
        <w:rPr>
          <w:rFonts w:cs="Times New Roman"/>
        </w:rPr>
        <w:t>C</w:t>
      </w:r>
      <w:r w:rsidR="004D522B" w:rsidRPr="00144EF8">
        <w:rPr>
          <w:rFonts w:cs="Times New Roman"/>
        </w:rPr>
        <w:t>allosit</w:t>
      </w:r>
      <w:r w:rsidR="007275FB" w:rsidRPr="00144EF8">
        <w:rPr>
          <w:rFonts w:cs="Times New Roman"/>
        </w:rPr>
        <w:t>ies</w:t>
      </w:r>
      <w:r w:rsidR="00A8262C" w:rsidRPr="00144EF8">
        <w:rPr>
          <w:rFonts w:cs="Times New Roman"/>
        </w:rPr>
        <w:t>)</w:t>
      </w:r>
      <w:r w:rsidR="004D522B" w:rsidRPr="00144EF8">
        <w:rPr>
          <w:rFonts w:cs="Times New Roman"/>
        </w:rPr>
        <w:t xml:space="preserve"> are characteristic of the 18</w:t>
      </w:r>
      <w:r w:rsidR="001F30F3" w:rsidRPr="00144EF8">
        <w:rPr>
          <w:rFonts w:cs="Times New Roman"/>
        </w:rPr>
        <w:t>th</w:t>
      </w:r>
      <w:r w:rsidR="004D522B" w:rsidRPr="00144EF8">
        <w:rPr>
          <w:rFonts w:cs="Times New Roman"/>
        </w:rPr>
        <w:t xml:space="preserve"> Dynasty</w:t>
      </w:r>
      <w:r w:rsidR="007275FB" w:rsidRPr="00144EF8">
        <w:rPr>
          <w:rFonts w:cs="Times New Roman"/>
        </w:rPr>
        <w:t xml:space="preserve"> </w:t>
      </w:r>
      <w:r w:rsidR="006D6DCC" w:rsidRPr="00144EF8">
        <w:rPr>
          <w:rFonts w:cs="Times New Roman"/>
        </w:rPr>
        <w:t>(Ben-Tor 2007: 177, 183)</w:t>
      </w:r>
      <w:r w:rsidR="006D6DCC">
        <w:rPr>
          <w:rFonts w:cs="Times New Roman"/>
        </w:rPr>
        <w:t xml:space="preserve">. She </w:t>
      </w:r>
      <w:r w:rsidR="007275FB" w:rsidRPr="00144EF8">
        <w:rPr>
          <w:rFonts w:cs="Times New Roman"/>
        </w:rPr>
        <w:t>advise</w:t>
      </w:r>
      <w:r w:rsidR="006D6DCC">
        <w:rPr>
          <w:rFonts w:cs="Times New Roman"/>
        </w:rPr>
        <w:t>d</w:t>
      </w:r>
      <w:r w:rsidR="007275FB" w:rsidRPr="00144EF8">
        <w:rPr>
          <w:rFonts w:cs="Times New Roman"/>
        </w:rPr>
        <w:t xml:space="preserve"> </w:t>
      </w:r>
      <w:r w:rsidR="00EF6E47" w:rsidRPr="00144EF8">
        <w:rPr>
          <w:rFonts w:cs="Times New Roman"/>
        </w:rPr>
        <w:t xml:space="preserve">that </w:t>
      </w:r>
      <w:r w:rsidR="00B05E5F">
        <w:rPr>
          <w:rFonts w:cs="Times New Roman"/>
        </w:rPr>
        <w:t xml:space="preserve">the feature </w:t>
      </w:r>
      <w:r w:rsidR="006D6DCC">
        <w:rPr>
          <w:rFonts w:cs="Times New Roman"/>
        </w:rPr>
        <w:t xml:space="preserve">may date </w:t>
      </w:r>
      <w:r w:rsidR="007275FB" w:rsidRPr="00144EF8">
        <w:rPr>
          <w:rFonts w:cs="Times New Roman"/>
        </w:rPr>
        <w:t>as early as the 15</w:t>
      </w:r>
      <w:r w:rsidR="00A20652" w:rsidRPr="00144EF8">
        <w:rPr>
          <w:rFonts w:cs="Times New Roman"/>
        </w:rPr>
        <w:t>th</w:t>
      </w:r>
      <w:r w:rsidR="007275FB" w:rsidRPr="00144EF8">
        <w:rPr>
          <w:rFonts w:cs="Times New Roman"/>
        </w:rPr>
        <w:t xml:space="preserve"> Dynasty and as late as the 19</w:t>
      </w:r>
      <w:r w:rsidR="00A20652" w:rsidRPr="00144EF8">
        <w:rPr>
          <w:rFonts w:cs="Times New Roman"/>
        </w:rPr>
        <w:t>th</w:t>
      </w:r>
      <w:r w:rsidR="007275FB" w:rsidRPr="00144EF8">
        <w:rPr>
          <w:rFonts w:cs="Times New Roman"/>
        </w:rPr>
        <w:t xml:space="preserve"> Dynasty.</w:t>
      </w:r>
      <w:r w:rsidR="00201AEA" w:rsidRPr="00144EF8">
        <w:rPr>
          <w:rStyle w:val="FootnoteReference"/>
          <w:rFonts w:cs="Times New Roman"/>
        </w:rPr>
        <w:footnoteReference w:id="11"/>
      </w:r>
      <w:r w:rsidR="00ED633A" w:rsidRPr="00144EF8">
        <w:rPr>
          <w:rFonts w:cs="Times New Roman"/>
        </w:rPr>
        <w:t xml:space="preserve"> </w:t>
      </w:r>
    </w:p>
    <w:p w14:paraId="55E29D09" w14:textId="14F7C34A" w:rsidR="00DF1630" w:rsidRPr="002928FD" w:rsidRDefault="00015F39" w:rsidP="00B34715">
      <w:pPr>
        <w:ind w:firstLine="720"/>
        <w:rPr>
          <w:rFonts w:cs="Times New Roman"/>
          <w:lang w:val="en-GB"/>
        </w:rPr>
      </w:pPr>
      <w:r w:rsidRPr="006C540C">
        <w:rPr>
          <w:rFonts w:cs="Times New Roman"/>
          <w:lang w:val="en-GB"/>
        </w:rPr>
        <w:t>Ward and Dever</w:t>
      </w:r>
      <w:r w:rsidR="00AD0672" w:rsidRPr="006C540C">
        <w:rPr>
          <w:rFonts w:cs="Times New Roman"/>
          <w:lang w:val="en-GB"/>
        </w:rPr>
        <w:t xml:space="preserve"> (1994)</w:t>
      </w:r>
      <w:r w:rsidRPr="006C540C">
        <w:rPr>
          <w:rFonts w:cs="Times New Roman"/>
          <w:lang w:val="en-GB"/>
        </w:rPr>
        <w:t xml:space="preserve"> exclude the use of humeral callosities in their revised typology of scarabs</w:t>
      </w:r>
      <w:r w:rsidR="00FB34C4" w:rsidRPr="006C540C">
        <w:rPr>
          <w:rFonts w:cs="Times New Roman"/>
          <w:lang w:val="en-GB"/>
        </w:rPr>
        <w:t xml:space="preserve">. </w:t>
      </w:r>
      <w:r w:rsidR="00A30DB4" w:rsidRPr="006C540C">
        <w:rPr>
          <w:rFonts w:cs="Times New Roman"/>
          <w:lang w:val="en-GB"/>
        </w:rPr>
        <w:t>Their classification is LN (Lined Naturalistic)</w:t>
      </w:r>
      <w:r w:rsidR="006C540C">
        <w:rPr>
          <w:rFonts w:cs="Times New Roman"/>
          <w:lang w:val="en-GB"/>
        </w:rPr>
        <w:t xml:space="preserve">. </w:t>
      </w:r>
      <w:r w:rsidR="00A30DB4" w:rsidRPr="006C540C">
        <w:rPr>
          <w:rFonts w:cs="Times New Roman"/>
          <w:lang w:val="en-GB"/>
        </w:rPr>
        <w:t>This back type is common among early Can</w:t>
      </w:r>
      <w:r w:rsidR="00175699" w:rsidRPr="006C540C">
        <w:rPr>
          <w:rFonts w:cs="Times New Roman"/>
          <w:lang w:val="en-GB"/>
        </w:rPr>
        <w:t>aa</w:t>
      </w:r>
      <w:r w:rsidR="00A30DB4" w:rsidRPr="006C540C">
        <w:rPr>
          <w:rFonts w:cs="Times New Roman"/>
          <w:lang w:val="en-GB"/>
        </w:rPr>
        <w:t xml:space="preserve">nite scarabs </w:t>
      </w:r>
      <w:r w:rsidR="00B34715" w:rsidRPr="006C540C">
        <w:rPr>
          <w:rFonts w:cs="Times New Roman"/>
          <w:lang w:val="en-GB"/>
        </w:rPr>
        <w:t>(Early Palestinian Series) but much less common tha</w:t>
      </w:r>
      <w:r w:rsidR="00E23FFE">
        <w:rPr>
          <w:rFonts w:cs="Times New Roman"/>
          <w:lang w:val="en-GB"/>
        </w:rPr>
        <w:t>n</w:t>
      </w:r>
      <w:r w:rsidR="00B34715" w:rsidRPr="006C540C">
        <w:rPr>
          <w:rFonts w:cs="Times New Roman"/>
          <w:lang w:val="en-GB"/>
        </w:rPr>
        <w:t xml:space="preserve"> plain backs</w:t>
      </w:r>
      <w:r w:rsidR="0008113D" w:rsidRPr="006C540C">
        <w:rPr>
          <w:rFonts w:cs="Times New Roman"/>
          <w:lang w:val="en-GB"/>
        </w:rPr>
        <w:t xml:space="preserve"> by a</w:t>
      </w:r>
      <w:r w:rsidR="00E23FFE">
        <w:rPr>
          <w:rFonts w:cs="Times New Roman"/>
          <w:lang w:val="en-GB"/>
        </w:rPr>
        <w:t xml:space="preserve"> 2:1</w:t>
      </w:r>
      <w:r w:rsidR="0008113D" w:rsidRPr="006C540C">
        <w:rPr>
          <w:rFonts w:cs="Times New Roman"/>
          <w:lang w:val="en-GB"/>
        </w:rPr>
        <w:t xml:space="preserve"> ratio</w:t>
      </w:r>
      <w:r w:rsidR="00B34715" w:rsidRPr="006C540C">
        <w:rPr>
          <w:rFonts w:cs="Times New Roman"/>
          <w:lang w:val="en-GB"/>
        </w:rPr>
        <w:t xml:space="preserve"> (Keel 2004: 92–93; Ben-Tor 2007: 151).</w:t>
      </w:r>
    </w:p>
    <w:p w14:paraId="0ED5B7E5" w14:textId="77777777" w:rsidR="00C10E00" w:rsidRDefault="00C10E00" w:rsidP="007573D9">
      <w:pPr>
        <w:autoSpaceDE w:val="0"/>
        <w:autoSpaceDN w:val="0"/>
        <w:adjustRightInd w:val="0"/>
        <w:ind w:firstLine="720"/>
        <w:rPr>
          <w:rFonts w:cs="Times New Roman"/>
        </w:rPr>
      </w:pPr>
    </w:p>
    <w:p w14:paraId="2A2B9450" w14:textId="55B61ABB" w:rsidR="00442F43" w:rsidRDefault="004D522B" w:rsidP="007573D9">
      <w:pPr>
        <w:autoSpaceDE w:val="0"/>
        <w:autoSpaceDN w:val="0"/>
        <w:adjustRightInd w:val="0"/>
        <w:ind w:firstLine="720"/>
        <w:rPr>
          <w:rFonts w:cs="Times New Roman"/>
          <w:lang w:val="en-GB"/>
        </w:rPr>
      </w:pPr>
      <w:r w:rsidRPr="00E23FFE">
        <w:rPr>
          <w:rFonts w:cs="Times New Roman"/>
        </w:rPr>
        <w:t xml:space="preserve">The </w:t>
      </w:r>
      <w:r w:rsidR="00E23FFE" w:rsidRPr="006C540C">
        <w:rPr>
          <w:rFonts w:cs="Times New Roman"/>
        </w:rPr>
        <w:t xml:space="preserve">type </w:t>
      </w:r>
      <w:r w:rsidR="0001019F" w:rsidRPr="00E23FFE">
        <w:rPr>
          <w:rFonts w:cs="Times New Roman"/>
        </w:rPr>
        <w:t>d</w:t>
      </w:r>
      <w:r w:rsidRPr="00E23FFE">
        <w:rPr>
          <w:rFonts w:cs="Times New Roman"/>
        </w:rPr>
        <w:t>6</w:t>
      </w:r>
      <w:r w:rsidRPr="005F7962">
        <w:rPr>
          <w:rFonts w:cs="Times New Roman"/>
        </w:rPr>
        <w:t xml:space="preserve"> sides are one of the dominant types in the Late Palestinian Series (Ben-Tor 2007</w:t>
      </w:r>
      <w:r w:rsidR="000A27EB" w:rsidRPr="005F7962">
        <w:rPr>
          <w:rFonts w:cs="Times New Roman"/>
        </w:rPr>
        <w:t>:</w:t>
      </w:r>
      <w:r w:rsidRPr="005F7962">
        <w:rPr>
          <w:rFonts w:cs="Times New Roman"/>
        </w:rPr>
        <w:t xml:space="preserve"> 183)</w:t>
      </w:r>
      <w:r w:rsidR="00782EFC" w:rsidRPr="005F7962">
        <w:rPr>
          <w:rFonts w:cs="Times New Roman"/>
        </w:rPr>
        <w:t>,</w:t>
      </w:r>
      <w:r w:rsidRPr="005F7962">
        <w:rPr>
          <w:rFonts w:cs="Times New Roman"/>
        </w:rPr>
        <w:t xml:space="preserve"> indicating </w:t>
      </w:r>
      <w:r w:rsidR="005F7962" w:rsidRPr="00993AD6">
        <w:rPr>
          <w:rFonts w:cs="Times New Roman"/>
        </w:rPr>
        <w:t>Scarab One</w:t>
      </w:r>
      <w:r w:rsidR="005F7962" w:rsidRPr="005F7962">
        <w:rPr>
          <w:rFonts w:cs="Times New Roman"/>
        </w:rPr>
        <w:t xml:space="preserve"> </w:t>
      </w:r>
      <w:r w:rsidRPr="005F7962">
        <w:rPr>
          <w:rFonts w:cs="Times New Roman"/>
        </w:rPr>
        <w:t>originates from a period earlier than the Late Bronze</w:t>
      </w:r>
      <w:r w:rsidR="001F30F3" w:rsidRPr="005F7962">
        <w:rPr>
          <w:rFonts w:cs="Times New Roman"/>
        </w:rPr>
        <w:t xml:space="preserve"> Age</w:t>
      </w:r>
      <w:r w:rsidRPr="005F7962">
        <w:rPr>
          <w:rFonts w:cs="Times New Roman"/>
        </w:rPr>
        <w:t xml:space="preserve"> IIB</w:t>
      </w:r>
      <w:r w:rsidRPr="007573D9">
        <w:rPr>
          <w:rFonts w:cs="Times New Roman"/>
        </w:rPr>
        <w:t>.</w:t>
      </w:r>
      <w:r w:rsidR="00FE6BD0" w:rsidRPr="007573D9">
        <w:rPr>
          <w:rFonts w:cs="Times New Roman"/>
        </w:rPr>
        <w:t xml:space="preserve"> </w:t>
      </w:r>
      <w:r w:rsidR="00470D20" w:rsidRPr="007573D9">
        <w:rPr>
          <w:rFonts w:cs="Times New Roman"/>
          <w:lang w:val="en-GB"/>
        </w:rPr>
        <w:t xml:space="preserve">The </w:t>
      </w:r>
      <w:r w:rsidR="00E23FFE">
        <w:rPr>
          <w:rFonts w:cs="Times New Roman"/>
          <w:lang w:val="en-GB"/>
        </w:rPr>
        <w:t xml:space="preserve">type </w:t>
      </w:r>
      <w:r w:rsidR="0001019F" w:rsidRPr="00E23FFE">
        <w:rPr>
          <w:rFonts w:cs="Times New Roman"/>
          <w:lang w:val="en-GB"/>
        </w:rPr>
        <w:t>d</w:t>
      </w:r>
      <w:r w:rsidR="00385E50" w:rsidRPr="00E23FFE">
        <w:rPr>
          <w:rFonts w:cs="Times New Roman"/>
          <w:lang w:val="en-GB"/>
        </w:rPr>
        <w:t xml:space="preserve">6 </w:t>
      </w:r>
      <w:r w:rsidR="00470D20" w:rsidRPr="00E23FFE">
        <w:rPr>
          <w:rFonts w:cs="Times New Roman"/>
          <w:lang w:val="en-GB"/>
        </w:rPr>
        <w:t>sides</w:t>
      </w:r>
      <w:r w:rsidR="00470D20" w:rsidRPr="007573D9">
        <w:rPr>
          <w:rFonts w:cs="Times New Roman"/>
          <w:lang w:val="en-GB"/>
        </w:rPr>
        <w:t xml:space="preserve"> </w:t>
      </w:r>
      <w:r w:rsidR="001678A7" w:rsidRPr="007573D9">
        <w:rPr>
          <w:rFonts w:cs="Times New Roman"/>
          <w:lang w:val="en-GB"/>
        </w:rPr>
        <w:t xml:space="preserve">appear on </w:t>
      </w:r>
      <w:r w:rsidR="00E327BF" w:rsidRPr="007573D9">
        <w:rPr>
          <w:rFonts w:cs="Times New Roman"/>
          <w:lang w:val="en-GB"/>
        </w:rPr>
        <w:t>royal</w:t>
      </w:r>
      <w:r w:rsidR="001678A7" w:rsidRPr="007573D9">
        <w:rPr>
          <w:rFonts w:cs="Times New Roman"/>
          <w:lang w:val="en-GB"/>
        </w:rPr>
        <w:t xml:space="preserve"> named scarabs of the Second Intermediate Period (Ben-Tor 2007</w:t>
      </w:r>
      <w:r w:rsidR="000A27EB" w:rsidRPr="007573D9">
        <w:rPr>
          <w:rFonts w:cs="Times New Roman"/>
          <w:lang w:val="en-GB"/>
        </w:rPr>
        <w:t>:</w:t>
      </w:r>
      <w:r w:rsidR="001678A7" w:rsidRPr="007573D9">
        <w:rPr>
          <w:rFonts w:cs="Times New Roman"/>
          <w:lang w:val="en-GB"/>
        </w:rPr>
        <w:t xml:space="preserve"> 112). The</w:t>
      </w:r>
      <w:r w:rsidR="00FE6BD0" w:rsidRPr="007573D9">
        <w:rPr>
          <w:rFonts w:cs="Times New Roman"/>
          <w:lang w:val="en-GB"/>
        </w:rPr>
        <w:t>y</w:t>
      </w:r>
      <w:r w:rsidR="001678A7" w:rsidRPr="007573D9">
        <w:rPr>
          <w:rFonts w:cs="Times New Roman"/>
          <w:lang w:val="en-GB"/>
        </w:rPr>
        <w:t xml:space="preserve"> also appear in the Late Palestinian Series in late M</w:t>
      </w:r>
      <w:r w:rsidR="005D0986" w:rsidRPr="007573D9">
        <w:rPr>
          <w:rFonts w:cs="Times New Roman"/>
          <w:lang w:val="en-GB"/>
        </w:rPr>
        <w:t xml:space="preserve">iddle </w:t>
      </w:r>
      <w:r w:rsidR="001678A7" w:rsidRPr="007573D9">
        <w:rPr>
          <w:rFonts w:cs="Times New Roman"/>
          <w:lang w:val="en-GB"/>
        </w:rPr>
        <w:t>B</w:t>
      </w:r>
      <w:r w:rsidR="005D0986" w:rsidRPr="007573D9">
        <w:rPr>
          <w:rFonts w:cs="Times New Roman"/>
          <w:lang w:val="en-GB"/>
        </w:rPr>
        <w:t>ronze Age</w:t>
      </w:r>
      <w:r w:rsidR="001678A7" w:rsidRPr="007573D9">
        <w:rPr>
          <w:rFonts w:cs="Times New Roman"/>
          <w:lang w:val="en-GB"/>
        </w:rPr>
        <w:t xml:space="preserve"> II</w:t>
      </w:r>
      <w:r w:rsidR="00E327BF" w:rsidRPr="007573D9">
        <w:rPr>
          <w:rFonts w:cs="Times New Roman"/>
          <w:lang w:val="en-GB"/>
        </w:rPr>
        <w:t>B</w:t>
      </w:r>
      <w:r w:rsidR="007048A9" w:rsidRPr="007573D9">
        <w:rPr>
          <w:rFonts w:cs="Times New Roman"/>
          <w:lang w:val="en-GB"/>
        </w:rPr>
        <w:t>–</w:t>
      </w:r>
      <w:r w:rsidR="007C4B11" w:rsidRPr="007573D9">
        <w:rPr>
          <w:rFonts w:cs="Times New Roman"/>
          <w:lang w:val="en-GB"/>
        </w:rPr>
        <w:t>M</w:t>
      </w:r>
      <w:r w:rsidR="005D0986" w:rsidRPr="007573D9">
        <w:rPr>
          <w:rFonts w:cs="Times New Roman"/>
          <w:lang w:val="en-GB"/>
        </w:rPr>
        <w:t xml:space="preserve">iddle </w:t>
      </w:r>
      <w:r w:rsidR="007C4B11" w:rsidRPr="007573D9">
        <w:rPr>
          <w:rFonts w:cs="Times New Roman"/>
          <w:lang w:val="en-GB"/>
        </w:rPr>
        <w:t>B</w:t>
      </w:r>
      <w:r w:rsidR="005D0986" w:rsidRPr="007573D9">
        <w:rPr>
          <w:rFonts w:cs="Times New Roman"/>
          <w:lang w:val="en-GB"/>
        </w:rPr>
        <w:t>ronze Age</w:t>
      </w:r>
      <w:r w:rsidR="007C4B11" w:rsidRPr="007573D9">
        <w:rPr>
          <w:rFonts w:cs="Times New Roman"/>
          <w:lang w:val="en-GB"/>
        </w:rPr>
        <w:t xml:space="preserve"> IIC (=MB III)</w:t>
      </w:r>
      <w:r w:rsidR="00E40184" w:rsidRPr="007573D9">
        <w:rPr>
          <w:rFonts w:cs="Times New Roman"/>
          <w:lang w:val="en-GB"/>
        </w:rPr>
        <w:t xml:space="preserve"> </w:t>
      </w:r>
      <w:r w:rsidR="001678A7" w:rsidRPr="007573D9">
        <w:rPr>
          <w:rFonts w:cs="Times New Roman"/>
          <w:lang w:val="en-GB"/>
        </w:rPr>
        <w:t>(Ben-Tor 2007</w:t>
      </w:r>
      <w:r w:rsidR="000A27EB" w:rsidRPr="007573D9">
        <w:rPr>
          <w:rFonts w:cs="Times New Roman"/>
          <w:lang w:val="en-GB"/>
        </w:rPr>
        <w:t>:</w:t>
      </w:r>
      <w:r w:rsidR="001678A7" w:rsidRPr="007573D9">
        <w:rPr>
          <w:rFonts w:cs="Times New Roman"/>
          <w:lang w:val="en-GB"/>
        </w:rPr>
        <w:t xml:space="preserve"> </w:t>
      </w:r>
      <w:r w:rsidR="00E327BF" w:rsidRPr="007573D9">
        <w:rPr>
          <w:rFonts w:cs="Times New Roman"/>
          <w:lang w:val="en-GB"/>
        </w:rPr>
        <w:t>183).</w:t>
      </w:r>
      <w:r w:rsidR="00F31310" w:rsidRPr="007573D9">
        <w:rPr>
          <w:rFonts w:cs="Times New Roman"/>
          <w:lang w:val="en-GB"/>
        </w:rPr>
        <w:t xml:space="preserve"> </w:t>
      </w:r>
    </w:p>
    <w:p w14:paraId="7B2E8CCD" w14:textId="77777777" w:rsidR="00FA076D" w:rsidRDefault="00FA076D" w:rsidP="007573D9">
      <w:pPr>
        <w:autoSpaceDE w:val="0"/>
        <w:autoSpaceDN w:val="0"/>
        <w:adjustRightInd w:val="0"/>
        <w:ind w:firstLine="720"/>
        <w:rPr>
          <w:rFonts w:cs="Times New Roman"/>
          <w:lang w:val="en-GB"/>
        </w:rPr>
      </w:pPr>
    </w:p>
    <w:p w14:paraId="754C6D80" w14:textId="77777777" w:rsidR="002C33F5" w:rsidRPr="007573D9" w:rsidRDefault="002C33F5" w:rsidP="002C33F5">
      <w:pPr>
        <w:adjustRightInd w:val="0"/>
        <w:rPr>
          <w:rFonts w:cs="Times New Roman"/>
        </w:rPr>
      </w:pPr>
      <w:r w:rsidRPr="007573D9">
        <w:rPr>
          <w:rFonts w:cs="Times New Roman"/>
        </w:rPr>
        <w:t>Name Ring Signs: The cartouche contains three signs. Reading from top to bottom, the first sign is a sun, N5 [</w:t>
      </w:r>
      <w:r w:rsidRPr="007573D9">
        <w:rPr>
          <w:rFonts w:ascii="Segoe UI Historic" w:hAnsi="Segoe UI Historic" w:cs="Segoe UI Historic"/>
        </w:rPr>
        <w:t>𓇳</w:t>
      </w:r>
      <w:r w:rsidRPr="007573D9">
        <w:rPr>
          <w:rFonts w:cs="Times New Roman"/>
        </w:rPr>
        <w:t>] (Gardiner 1927: 474). The second sign is a game board or draught board, Y5 [</w:t>
      </w:r>
      <w:r w:rsidRPr="007573D9">
        <w:rPr>
          <w:rFonts w:ascii="Segoe UI Historic" w:hAnsi="Segoe UI Historic" w:cs="Segoe UI Historic"/>
        </w:rPr>
        <w:t>𓏠</w:t>
      </w:r>
      <w:r w:rsidRPr="007573D9">
        <w:rPr>
          <w:rFonts w:cs="Times New Roman"/>
        </w:rPr>
        <w:t>] (Gardiner 1927: 518). The third sign is a scarab-beetle, L1 [</w:t>
      </w:r>
      <w:r w:rsidRPr="007573D9">
        <w:rPr>
          <w:rFonts w:ascii="Segoe UI Historic" w:hAnsi="Segoe UI Historic" w:cs="Segoe UI Historic"/>
        </w:rPr>
        <w:t>𓆣</w:t>
      </w:r>
      <w:r w:rsidRPr="007573D9">
        <w:rPr>
          <w:rFonts w:cs="Times New Roman"/>
        </w:rPr>
        <w:t>] (Gardiner 1927: 467).</w:t>
      </w:r>
    </w:p>
    <w:p w14:paraId="1011B799" w14:textId="77777777" w:rsidR="002C33F5" w:rsidRPr="007573D9" w:rsidRDefault="002C33F5" w:rsidP="002C33F5">
      <w:pPr>
        <w:adjustRightInd w:val="0"/>
        <w:rPr>
          <w:rFonts w:cs="Times New Roman"/>
        </w:rPr>
      </w:pPr>
    </w:p>
    <w:p w14:paraId="12BD11DF" w14:textId="77777777" w:rsidR="002C33F5" w:rsidRPr="007573D9" w:rsidRDefault="002C33F5" w:rsidP="00307C95">
      <w:pPr>
        <w:adjustRightInd w:val="0"/>
        <w:ind w:firstLine="720"/>
        <w:rPr>
          <w:rFonts w:cs="Times New Roman"/>
        </w:rPr>
      </w:pPr>
      <w:r w:rsidRPr="007573D9">
        <w:rPr>
          <w:rFonts w:cs="Times New Roman"/>
        </w:rPr>
        <w:t xml:space="preserve">The signs inside the cartouche are phonograms. From top to bottom, they read </w:t>
      </w:r>
      <w:proofErr w:type="spellStart"/>
      <w:r w:rsidRPr="007573D9">
        <w:rPr>
          <w:rFonts w:cs="Times New Roman"/>
        </w:rPr>
        <w:t>Rā</w:t>
      </w:r>
      <w:proofErr w:type="spellEnd"/>
      <w:r w:rsidRPr="007573D9">
        <w:rPr>
          <w:rFonts w:cs="Times New Roman"/>
        </w:rPr>
        <w:t>-men-</w:t>
      </w:r>
      <w:proofErr w:type="spellStart"/>
      <w:r w:rsidRPr="007573D9">
        <w:rPr>
          <w:rFonts w:cs="Times New Roman"/>
        </w:rPr>
        <w:t>kheper</w:t>
      </w:r>
      <w:proofErr w:type="spellEnd"/>
      <w:r w:rsidRPr="007573D9">
        <w:rPr>
          <w:rFonts w:cs="Times New Roman"/>
        </w:rPr>
        <w:t xml:space="preserve"> or Men-</w:t>
      </w:r>
      <w:proofErr w:type="spellStart"/>
      <w:r w:rsidRPr="007573D9">
        <w:rPr>
          <w:rFonts w:cs="Times New Roman"/>
        </w:rPr>
        <w:t>kheper</w:t>
      </w:r>
      <w:proofErr w:type="spellEnd"/>
      <w:r w:rsidRPr="007573D9">
        <w:rPr>
          <w:rFonts w:cs="Times New Roman"/>
        </w:rPr>
        <w:t>-Re. This is the throne name of Thutmose III (Rowe 1936: 111; Allen 2014: 83).</w:t>
      </w:r>
    </w:p>
    <w:p w14:paraId="7A634EB5" w14:textId="77777777" w:rsidR="002C33F5" w:rsidRPr="007573D9" w:rsidRDefault="002C33F5" w:rsidP="002C33F5">
      <w:pPr>
        <w:adjustRightInd w:val="0"/>
        <w:rPr>
          <w:rFonts w:cs="Times New Roman"/>
        </w:rPr>
      </w:pPr>
    </w:p>
    <w:p w14:paraId="4ECF6685" w14:textId="6C942B1F" w:rsidR="002C33F5" w:rsidRPr="007573D9" w:rsidRDefault="002C33F5" w:rsidP="002C33F5">
      <w:pPr>
        <w:adjustRightInd w:val="0"/>
        <w:rPr>
          <w:rFonts w:cs="Times New Roman"/>
        </w:rPr>
      </w:pPr>
      <w:r w:rsidRPr="007573D9">
        <w:rPr>
          <w:rFonts w:cs="Times New Roman"/>
        </w:rPr>
        <w:t>Other Signs: The signs inscribed to the immediate left and right of the cartouche are feathers</w:t>
      </w:r>
      <w:r w:rsidR="000D2ABB">
        <w:rPr>
          <w:rFonts w:cs="Times New Roman"/>
        </w:rPr>
        <w:t xml:space="preserve"> </w:t>
      </w:r>
      <w:r w:rsidR="00C92DCA">
        <w:rPr>
          <w:rFonts w:cs="Times New Roman"/>
        </w:rPr>
        <w:t>(</w:t>
      </w:r>
      <w:r w:rsidRPr="007573D9">
        <w:rPr>
          <w:rFonts w:cs="Times New Roman"/>
        </w:rPr>
        <w:t>H6</w:t>
      </w:r>
      <w:r w:rsidR="00C92DCA">
        <w:rPr>
          <w:rFonts w:cs="Times New Roman"/>
        </w:rPr>
        <w:t>)</w:t>
      </w:r>
      <w:r w:rsidRPr="007573D9">
        <w:rPr>
          <w:rFonts w:cs="Times New Roman"/>
        </w:rPr>
        <w:t xml:space="preserve"> [</w:t>
      </w:r>
      <w:r w:rsidRPr="007573D9">
        <w:rPr>
          <w:rFonts w:ascii="Segoe UI Historic" w:hAnsi="Segoe UI Historic" w:cs="Segoe UI Historic"/>
        </w:rPr>
        <w:t>𓆄</w:t>
      </w:r>
      <w:r w:rsidRPr="007573D9">
        <w:rPr>
          <w:rFonts w:cs="Times New Roman"/>
        </w:rPr>
        <w:t>] (Gardiner 1927: 464). The signs immediately to the right and left of the feathers are outward facing erect cobras (uraei), I12 [</w:t>
      </w:r>
      <w:r w:rsidRPr="007573D9">
        <w:rPr>
          <w:rFonts w:ascii="Segoe UI Historic" w:hAnsi="Segoe UI Historic" w:cs="Segoe UI Historic"/>
        </w:rPr>
        <w:t>𓆗</w:t>
      </w:r>
      <w:r w:rsidRPr="007573D9">
        <w:rPr>
          <w:rFonts w:cs="Times New Roman"/>
        </w:rPr>
        <w:t xml:space="preserve">] (Gardiner 1927: 466). </w:t>
      </w:r>
    </w:p>
    <w:p w14:paraId="059CE465" w14:textId="77777777" w:rsidR="002C33F5" w:rsidRPr="007573D9" w:rsidRDefault="002C33F5" w:rsidP="002C33F5">
      <w:pPr>
        <w:adjustRightInd w:val="0"/>
        <w:rPr>
          <w:rFonts w:cs="Times New Roman"/>
        </w:rPr>
      </w:pPr>
    </w:p>
    <w:p w14:paraId="6EF2B5A1" w14:textId="77777777" w:rsidR="002C33F5" w:rsidRPr="007573D9" w:rsidRDefault="002C33F5" w:rsidP="00307C95">
      <w:pPr>
        <w:adjustRightInd w:val="0"/>
        <w:ind w:firstLine="720"/>
        <w:rPr>
          <w:rFonts w:cs="Times New Roman"/>
        </w:rPr>
      </w:pPr>
      <w:r w:rsidRPr="007573D9">
        <w:rPr>
          <w:rFonts w:cs="Times New Roman"/>
        </w:rPr>
        <w:t>The signs on the sides of the cartouche are ideograms. The feather (H6) represents the goddess Ma</w:t>
      </w:r>
      <w:r w:rsidRPr="007573D9">
        <w:rPr>
          <w:rFonts w:cs="Times New Roman"/>
          <w:sz w:val="22"/>
          <w:szCs w:val="22"/>
        </w:rPr>
        <w:t>‘</w:t>
      </w:r>
      <w:r w:rsidRPr="007573D9">
        <w:rPr>
          <w:rFonts w:cs="Times New Roman"/>
        </w:rPr>
        <w:t>at and means truth or proper behavior (Gardiner 1927: 464; Allen 2014: 119, 147, 482). The erect cobra or uraeus (I12) is a determinative for goddesses (Gardiner 1927: 466; Allen 2014: 483; Rowe 1936: 112).</w:t>
      </w:r>
    </w:p>
    <w:p w14:paraId="4E658B40" w14:textId="77777777" w:rsidR="005456A0" w:rsidRPr="007573D9" w:rsidRDefault="005456A0" w:rsidP="007573D9">
      <w:pPr>
        <w:autoSpaceDE w:val="0"/>
        <w:autoSpaceDN w:val="0"/>
        <w:adjustRightInd w:val="0"/>
        <w:ind w:firstLine="720"/>
        <w:rPr>
          <w:rFonts w:cs="Times New Roman"/>
          <w:lang w:val="en-GB"/>
        </w:rPr>
      </w:pPr>
    </w:p>
    <w:p w14:paraId="68279D32" w14:textId="529C4BD1" w:rsidR="00527E91" w:rsidRPr="00A66648" w:rsidRDefault="007275FB" w:rsidP="007573D9">
      <w:pPr>
        <w:ind w:firstLine="720"/>
        <w:rPr>
          <w:rFonts w:cs="Times New Roman"/>
        </w:rPr>
      </w:pPr>
      <w:r w:rsidRPr="00E23FFE">
        <w:rPr>
          <w:rFonts w:cs="Times New Roman"/>
          <w:lang w:val="en-GB"/>
        </w:rPr>
        <w:t xml:space="preserve">A parallel </w:t>
      </w:r>
      <w:r w:rsidR="002E3F9D" w:rsidRPr="00E23FFE">
        <w:rPr>
          <w:rFonts w:cs="Times New Roman"/>
          <w:lang w:val="en-GB"/>
        </w:rPr>
        <w:t>(</w:t>
      </w:r>
      <w:r w:rsidR="002E3F9D" w:rsidRPr="00E23FFE">
        <w:rPr>
          <w:rFonts w:cs="Times New Roman"/>
          <w:color w:val="000000" w:themeColor="text1"/>
        </w:rPr>
        <w:t xml:space="preserve">Figure 12) </w:t>
      </w:r>
      <w:r w:rsidRPr="00E23FFE">
        <w:rPr>
          <w:rFonts w:cs="Times New Roman"/>
          <w:color w:val="000000" w:themeColor="text1"/>
        </w:rPr>
        <w:t xml:space="preserve">from Tel </w:t>
      </w:r>
      <w:proofErr w:type="spellStart"/>
      <w:r w:rsidRPr="00E23FFE">
        <w:rPr>
          <w:rFonts w:cs="Times New Roman"/>
          <w:color w:val="000000" w:themeColor="text1"/>
        </w:rPr>
        <w:t>el</w:t>
      </w:r>
      <w:proofErr w:type="spellEnd"/>
      <w:r w:rsidRPr="00E23FFE">
        <w:rPr>
          <w:rFonts w:cs="Times New Roman"/>
          <w:color w:val="000000" w:themeColor="text1"/>
        </w:rPr>
        <w:t>-</w:t>
      </w:r>
      <w:proofErr w:type="spellStart"/>
      <w:r w:rsidRPr="00E23FFE">
        <w:rPr>
          <w:rFonts w:cs="Times New Roman"/>
          <w:color w:val="000000" w:themeColor="text1"/>
        </w:rPr>
        <w:t>Far`ah</w:t>
      </w:r>
      <w:proofErr w:type="spellEnd"/>
      <w:r w:rsidR="00E23FFE">
        <w:rPr>
          <w:rFonts w:cs="Times New Roman"/>
          <w:color w:val="000000" w:themeColor="text1"/>
        </w:rPr>
        <w:t>-</w:t>
      </w:r>
      <w:r w:rsidR="00A66648" w:rsidRPr="00E23FFE">
        <w:rPr>
          <w:rFonts w:cs="Times New Roman"/>
          <w:color w:val="000000" w:themeColor="text1"/>
        </w:rPr>
        <w:t>South</w:t>
      </w:r>
      <w:r w:rsidRPr="00E23FFE">
        <w:rPr>
          <w:rFonts w:cs="Times New Roman"/>
          <w:color w:val="000000" w:themeColor="text1"/>
        </w:rPr>
        <w:t>, No. 64</w:t>
      </w:r>
      <w:r w:rsidR="00A020EE" w:rsidRPr="00E23FFE">
        <w:rPr>
          <w:rFonts w:cs="Times New Roman"/>
          <w:color w:val="000000" w:themeColor="text1"/>
        </w:rPr>
        <w:t>6</w:t>
      </w:r>
      <w:r w:rsidRPr="00E23FFE">
        <w:rPr>
          <w:rFonts w:cs="Times New Roman"/>
          <w:color w:val="000000" w:themeColor="text1"/>
        </w:rPr>
        <w:t>, Cemetery 900, Grave 935, dates to LB IIB</w:t>
      </w:r>
      <w:r w:rsidR="00E018C0" w:rsidRPr="00E23FFE">
        <w:rPr>
          <w:rFonts w:cs="Times New Roman"/>
          <w:color w:val="000000" w:themeColor="text1"/>
        </w:rPr>
        <w:t>–</w:t>
      </w:r>
      <w:r w:rsidRPr="00E23FFE">
        <w:rPr>
          <w:rFonts w:cs="Times New Roman"/>
          <w:color w:val="000000" w:themeColor="text1"/>
        </w:rPr>
        <w:t xml:space="preserve">IA </w:t>
      </w:r>
      <w:proofErr w:type="spellStart"/>
      <w:r w:rsidRPr="00E23FFE">
        <w:rPr>
          <w:rFonts w:cs="Times New Roman"/>
          <w:color w:val="000000" w:themeColor="text1"/>
        </w:rPr>
        <w:t>IA</w:t>
      </w:r>
      <w:proofErr w:type="spellEnd"/>
      <w:r w:rsidRPr="00E23FFE">
        <w:rPr>
          <w:rFonts w:cs="Times New Roman"/>
          <w:color w:val="000000" w:themeColor="text1"/>
        </w:rPr>
        <w:t xml:space="preserve"> (Keel 2010</w:t>
      </w:r>
      <w:r w:rsidR="000A27EB" w:rsidRPr="00E23FFE">
        <w:rPr>
          <w:rFonts w:cs="Times New Roman"/>
          <w:color w:val="000000" w:themeColor="text1"/>
        </w:rPr>
        <w:t>:</w:t>
      </w:r>
      <w:r w:rsidRPr="00E23FFE">
        <w:rPr>
          <w:rFonts w:cs="Times New Roman"/>
          <w:color w:val="000000" w:themeColor="text1"/>
        </w:rPr>
        <w:t xml:space="preserve"> </w:t>
      </w:r>
      <w:r w:rsidR="00511A79" w:rsidRPr="00E23FFE">
        <w:rPr>
          <w:rFonts w:cs="Times New Roman"/>
          <w:color w:val="000000" w:themeColor="text1"/>
        </w:rPr>
        <w:t xml:space="preserve">646, </w:t>
      </w:r>
      <w:r w:rsidRPr="00E23FFE">
        <w:rPr>
          <w:rFonts w:cs="Times New Roman"/>
          <w:color w:val="000000" w:themeColor="text1"/>
        </w:rPr>
        <w:t>304–305)</w:t>
      </w:r>
      <w:r w:rsidRPr="00A66648">
        <w:rPr>
          <w:rFonts w:cs="Times New Roman"/>
          <w:color w:val="000000" w:themeColor="text1"/>
        </w:rPr>
        <w:t xml:space="preserve">. Keel cites additional parallels from </w:t>
      </w:r>
      <w:r w:rsidRPr="00A66648">
        <w:rPr>
          <w:rFonts w:cs="Times New Roman"/>
        </w:rPr>
        <w:t xml:space="preserve">Tell </w:t>
      </w:r>
      <w:proofErr w:type="spellStart"/>
      <w:r w:rsidRPr="00A66648">
        <w:rPr>
          <w:rFonts w:cs="Times New Roman"/>
        </w:rPr>
        <w:t>el-</w:t>
      </w:r>
      <w:r w:rsidR="004006A7" w:rsidRPr="00A66648">
        <w:rPr>
          <w:rFonts w:cs="Times New Roman"/>
        </w:rPr>
        <w:t>Ajjul</w:t>
      </w:r>
      <w:proofErr w:type="spellEnd"/>
      <w:r w:rsidR="002E3F9D" w:rsidRPr="00A66648">
        <w:rPr>
          <w:rFonts w:cs="Times New Roman"/>
        </w:rPr>
        <w:t xml:space="preserve">, </w:t>
      </w:r>
      <w:proofErr w:type="gramStart"/>
      <w:r w:rsidRPr="00A66648">
        <w:rPr>
          <w:rFonts w:cs="Times New Roman"/>
        </w:rPr>
        <w:t>Tell</w:t>
      </w:r>
      <w:proofErr w:type="gramEnd"/>
      <w:r w:rsidRPr="00A66648">
        <w:rPr>
          <w:rFonts w:cs="Times New Roman"/>
        </w:rPr>
        <w:t xml:space="preserve"> </w:t>
      </w:r>
      <w:proofErr w:type="spellStart"/>
      <w:r w:rsidRPr="00A66648">
        <w:rPr>
          <w:rFonts w:cs="Times New Roman"/>
        </w:rPr>
        <w:t>el</w:t>
      </w:r>
      <w:proofErr w:type="spellEnd"/>
      <w:r w:rsidRPr="00A66648">
        <w:rPr>
          <w:rFonts w:cs="Times New Roman"/>
        </w:rPr>
        <w:t>-</w:t>
      </w:r>
      <w:proofErr w:type="spellStart"/>
      <w:r w:rsidR="00A63804" w:rsidRPr="00A66648">
        <w:rPr>
          <w:rFonts w:cs="Times New Roman"/>
          <w:color w:val="000000" w:themeColor="text1"/>
        </w:rPr>
        <w:t>Far`ah</w:t>
      </w:r>
      <w:proofErr w:type="spellEnd"/>
      <w:r w:rsidRPr="00E23FFE">
        <w:rPr>
          <w:rFonts w:cs="Times New Roman"/>
        </w:rPr>
        <w:t>-</w:t>
      </w:r>
      <w:r w:rsidRPr="00A66648">
        <w:rPr>
          <w:rFonts w:cs="Times New Roman"/>
        </w:rPr>
        <w:t>South</w:t>
      </w:r>
      <w:r w:rsidR="002E3F9D" w:rsidRPr="00A66648">
        <w:rPr>
          <w:rFonts w:cs="Times New Roman"/>
        </w:rPr>
        <w:t xml:space="preserve">, </w:t>
      </w:r>
      <w:r w:rsidRPr="00A66648">
        <w:rPr>
          <w:rFonts w:cs="Times New Roman"/>
        </w:rPr>
        <w:t xml:space="preserve">Tell </w:t>
      </w:r>
      <w:proofErr w:type="spellStart"/>
      <w:r w:rsidR="004006A7" w:rsidRPr="00A66648">
        <w:rPr>
          <w:rFonts w:cs="Times New Roman"/>
        </w:rPr>
        <w:t>Jemmeh</w:t>
      </w:r>
      <w:proofErr w:type="spellEnd"/>
      <w:r w:rsidR="002E3F9D" w:rsidRPr="00A66648">
        <w:rPr>
          <w:rFonts w:cs="Times New Roman"/>
        </w:rPr>
        <w:t xml:space="preserve">, </w:t>
      </w:r>
      <w:r w:rsidRPr="00A66648">
        <w:rPr>
          <w:rFonts w:cs="Times New Roman"/>
        </w:rPr>
        <w:t>Ge</w:t>
      </w:r>
      <w:r w:rsidR="004006A7" w:rsidRPr="00A66648">
        <w:rPr>
          <w:rFonts w:cs="Times New Roman"/>
        </w:rPr>
        <w:t>z</w:t>
      </w:r>
      <w:r w:rsidRPr="00A66648">
        <w:rPr>
          <w:rFonts w:cs="Times New Roman"/>
        </w:rPr>
        <w:t>er</w:t>
      </w:r>
      <w:r w:rsidR="002E3F9D" w:rsidRPr="00A66648">
        <w:rPr>
          <w:rFonts w:cs="Times New Roman"/>
        </w:rPr>
        <w:t xml:space="preserve">, and Lachish but </w:t>
      </w:r>
      <w:r w:rsidR="00405E60" w:rsidRPr="00A66648">
        <w:rPr>
          <w:rFonts w:cs="Times New Roman"/>
        </w:rPr>
        <w:t xml:space="preserve">does not suggest </w:t>
      </w:r>
      <w:r w:rsidRPr="00A66648">
        <w:rPr>
          <w:rFonts w:cs="Times New Roman"/>
        </w:rPr>
        <w:t xml:space="preserve">dates. </w:t>
      </w:r>
      <w:r w:rsidR="002E3F9D" w:rsidRPr="00A66648">
        <w:rPr>
          <w:rFonts w:cs="Times New Roman"/>
        </w:rPr>
        <w:t xml:space="preserve">The </w:t>
      </w:r>
      <w:r w:rsidR="006610F1" w:rsidRPr="00A66648">
        <w:rPr>
          <w:rFonts w:cs="Times New Roman"/>
        </w:rPr>
        <w:t xml:space="preserve">Tel </w:t>
      </w:r>
      <w:proofErr w:type="spellStart"/>
      <w:r w:rsidR="006610F1" w:rsidRPr="00A66648">
        <w:rPr>
          <w:rFonts w:cs="Times New Roman"/>
          <w:color w:val="000000" w:themeColor="text1"/>
        </w:rPr>
        <w:t>el</w:t>
      </w:r>
      <w:proofErr w:type="spellEnd"/>
      <w:r w:rsidR="006610F1" w:rsidRPr="00A66648">
        <w:rPr>
          <w:rFonts w:cs="Times New Roman"/>
          <w:color w:val="000000" w:themeColor="text1"/>
        </w:rPr>
        <w:t>-</w:t>
      </w:r>
      <w:proofErr w:type="spellStart"/>
      <w:r w:rsidR="006610F1" w:rsidRPr="00A66648">
        <w:rPr>
          <w:rFonts w:cs="Times New Roman"/>
          <w:color w:val="000000" w:themeColor="text1"/>
        </w:rPr>
        <w:t>Far`ah</w:t>
      </w:r>
      <w:proofErr w:type="spellEnd"/>
      <w:r w:rsidR="00E23FFE">
        <w:rPr>
          <w:rFonts w:cs="Times New Roman"/>
          <w:color w:val="000000" w:themeColor="text1"/>
        </w:rPr>
        <w:t>-</w:t>
      </w:r>
      <w:r w:rsidR="00A66648" w:rsidRPr="00A66648">
        <w:rPr>
          <w:rFonts w:cs="Times New Roman"/>
          <w:color w:val="000000" w:themeColor="text1"/>
        </w:rPr>
        <w:t>South</w:t>
      </w:r>
      <w:r w:rsidR="006610F1" w:rsidRPr="00A66648">
        <w:rPr>
          <w:rFonts w:cs="Times New Roman"/>
          <w:color w:val="000000" w:themeColor="text1"/>
        </w:rPr>
        <w:t xml:space="preserve"> scarab (No. 646) has </w:t>
      </w:r>
      <w:r w:rsidR="00C92DCA" w:rsidRPr="00A66648">
        <w:rPr>
          <w:rFonts w:cs="Times New Roman"/>
          <w:color w:val="000000" w:themeColor="text1"/>
        </w:rPr>
        <w:t xml:space="preserve">a </w:t>
      </w:r>
      <w:r w:rsidR="006610F1" w:rsidRPr="00A66648">
        <w:rPr>
          <w:rFonts w:cs="Times New Roman"/>
          <w:color w:val="000000" w:themeColor="text1"/>
        </w:rPr>
        <w:t>similar head, back, and side</w:t>
      </w:r>
      <w:r w:rsidR="00C92DCA" w:rsidRPr="00A66648">
        <w:rPr>
          <w:rFonts w:cs="Times New Roman"/>
          <w:color w:val="000000" w:themeColor="text1"/>
        </w:rPr>
        <w:t>s</w:t>
      </w:r>
      <w:r w:rsidR="006610F1" w:rsidRPr="00A66648">
        <w:rPr>
          <w:rFonts w:cs="Times New Roman"/>
          <w:color w:val="000000" w:themeColor="text1"/>
        </w:rPr>
        <w:t xml:space="preserve"> as Scarab One. The </w:t>
      </w:r>
      <w:r w:rsidR="000D2ABB" w:rsidRPr="00A66648">
        <w:rPr>
          <w:rFonts w:cs="Times New Roman"/>
          <w:color w:val="000000" w:themeColor="text1"/>
        </w:rPr>
        <w:t>hieroglyphs</w:t>
      </w:r>
      <w:r w:rsidR="00515DB0" w:rsidRPr="00A66648">
        <w:rPr>
          <w:rFonts w:cs="Times New Roman"/>
          <w:color w:val="000000" w:themeColor="text1"/>
        </w:rPr>
        <w:t xml:space="preserve"> are</w:t>
      </w:r>
      <w:r w:rsidR="006610F1" w:rsidRPr="00A66648">
        <w:rPr>
          <w:rFonts w:cs="Times New Roman"/>
          <w:color w:val="000000" w:themeColor="text1"/>
        </w:rPr>
        <w:t xml:space="preserve"> very similar and orient </w:t>
      </w:r>
      <w:r w:rsidR="00572230" w:rsidRPr="00A66648">
        <w:rPr>
          <w:rFonts w:cs="Times New Roman"/>
          <w:color w:val="000000" w:themeColor="text1"/>
        </w:rPr>
        <w:t>horizontally like</w:t>
      </w:r>
      <w:r w:rsidR="006610F1" w:rsidRPr="00A66648">
        <w:rPr>
          <w:rFonts w:cs="Times New Roman"/>
          <w:color w:val="000000" w:themeColor="text1"/>
        </w:rPr>
        <w:t xml:space="preserve"> Scarab One.</w:t>
      </w:r>
    </w:p>
    <w:p w14:paraId="0B4E3CB3" w14:textId="4A345BDB" w:rsidR="00143A82" w:rsidRDefault="00143A82" w:rsidP="006159CE">
      <w:pPr>
        <w:jc w:val="center"/>
        <w:rPr>
          <w:rFonts w:cs="Times New Roman"/>
          <w:color w:val="000000" w:themeColor="text1"/>
        </w:rPr>
      </w:pPr>
    </w:p>
    <w:p w14:paraId="403F6AC3" w14:textId="77777777" w:rsidR="0098334B" w:rsidRPr="00A66648" w:rsidRDefault="0098334B" w:rsidP="006159CE">
      <w:pPr>
        <w:jc w:val="center"/>
        <w:rPr>
          <w:rFonts w:cs="Times New Roman"/>
          <w:color w:val="000000" w:themeColor="text1"/>
        </w:rPr>
      </w:pPr>
    </w:p>
    <w:p w14:paraId="50C4E3D4" w14:textId="44810223" w:rsidR="00FA076D" w:rsidRPr="00A66648" w:rsidRDefault="00FA076D" w:rsidP="009C1995">
      <w:pPr>
        <w:jc w:val="center"/>
        <w:rPr>
          <w:rFonts w:cs="Times New Roman"/>
          <w:color w:val="000000" w:themeColor="text1"/>
        </w:rPr>
      </w:pPr>
      <w:r w:rsidRPr="00A66648">
        <w:rPr>
          <w:rFonts w:cs="Times New Roman"/>
          <w:color w:val="000000" w:themeColor="text1"/>
        </w:rPr>
        <w:lastRenderedPageBreak/>
        <w:t>*</w:t>
      </w:r>
    </w:p>
    <w:p w14:paraId="790CE7FB" w14:textId="3E12CB8A" w:rsidR="00C10E00" w:rsidRPr="00A66648" w:rsidRDefault="00254E1D" w:rsidP="009341CF">
      <w:pPr>
        <w:rPr>
          <w:rFonts w:cs="Times New Roman"/>
        </w:rPr>
      </w:pPr>
      <w:r w:rsidRPr="00A66648">
        <w:rPr>
          <w:rFonts w:cs="Times New Roman"/>
          <w:color w:val="000000" w:themeColor="text1"/>
        </w:rPr>
        <w:t xml:space="preserve">Figure </w:t>
      </w:r>
      <w:r w:rsidR="00371B6E" w:rsidRPr="00A66648">
        <w:rPr>
          <w:rFonts w:cs="Times New Roman"/>
          <w:color w:val="000000" w:themeColor="text1"/>
        </w:rPr>
        <w:t>12</w:t>
      </w:r>
      <w:r w:rsidRPr="00A66648">
        <w:rPr>
          <w:rFonts w:cs="Times New Roman"/>
          <w:color w:val="000000" w:themeColor="text1"/>
        </w:rPr>
        <w:t xml:space="preserve">: Scarab from </w:t>
      </w:r>
      <w:r w:rsidRPr="00A66648">
        <w:rPr>
          <w:rFonts w:cs="Times New Roman"/>
        </w:rPr>
        <w:t xml:space="preserve">Tell </w:t>
      </w:r>
      <w:proofErr w:type="spellStart"/>
      <w:r w:rsidRPr="00A66648">
        <w:rPr>
          <w:rFonts w:cs="Times New Roman"/>
        </w:rPr>
        <w:t>el</w:t>
      </w:r>
      <w:proofErr w:type="spellEnd"/>
      <w:r w:rsidRPr="00A66648">
        <w:rPr>
          <w:rFonts w:cs="Times New Roman"/>
        </w:rPr>
        <w:t>-</w:t>
      </w:r>
      <w:proofErr w:type="spellStart"/>
      <w:r w:rsidR="00A63804" w:rsidRPr="00A66648">
        <w:rPr>
          <w:rFonts w:cs="Times New Roman"/>
          <w:color w:val="000000" w:themeColor="text1"/>
        </w:rPr>
        <w:t>Far`ah</w:t>
      </w:r>
      <w:proofErr w:type="spellEnd"/>
      <w:r w:rsidRPr="00E23FFE">
        <w:rPr>
          <w:rFonts w:cs="Times New Roman"/>
        </w:rPr>
        <w:t>-</w:t>
      </w:r>
      <w:r w:rsidRPr="00A66648">
        <w:rPr>
          <w:rFonts w:cs="Times New Roman"/>
        </w:rPr>
        <w:t>South</w:t>
      </w:r>
      <w:r w:rsidR="00920006" w:rsidRPr="00A66648">
        <w:rPr>
          <w:rFonts w:cs="Times New Roman"/>
        </w:rPr>
        <w:t>,</w:t>
      </w:r>
      <w:r w:rsidRPr="00A66648">
        <w:rPr>
          <w:rFonts w:cs="Times New Roman"/>
        </w:rPr>
        <w:t xml:space="preserve"> No. 64</w:t>
      </w:r>
      <w:r w:rsidR="00572230" w:rsidRPr="00A66648">
        <w:rPr>
          <w:rFonts w:cs="Times New Roman"/>
        </w:rPr>
        <w:t>6</w:t>
      </w:r>
      <w:r w:rsidRPr="00A66648">
        <w:rPr>
          <w:rFonts w:cs="Times New Roman"/>
        </w:rPr>
        <w:t xml:space="preserve"> </w:t>
      </w:r>
      <w:r w:rsidR="00572230" w:rsidRPr="00A66648">
        <w:rPr>
          <w:rFonts w:cs="Times New Roman"/>
        </w:rPr>
        <w:t xml:space="preserve">Cemetery 900, Grave 935 </w:t>
      </w:r>
      <w:r w:rsidRPr="00A66648">
        <w:rPr>
          <w:rFonts w:cs="Times New Roman"/>
        </w:rPr>
        <w:t>(Keel 2010</w:t>
      </w:r>
      <w:r w:rsidR="000A27EB" w:rsidRPr="00A66648">
        <w:rPr>
          <w:rFonts w:cs="Times New Roman"/>
        </w:rPr>
        <w:t>:</w:t>
      </w:r>
      <w:r w:rsidRPr="00A66648">
        <w:rPr>
          <w:rFonts w:cs="Times New Roman"/>
        </w:rPr>
        <w:t xml:space="preserve"> #646, 30</w:t>
      </w:r>
      <w:r w:rsidR="00F0172E" w:rsidRPr="00A66648">
        <w:rPr>
          <w:rFonts w:cs="Times New Roman"/>
        </w:rPr>
        <w:t>4</w:t>
      </w:r>
      <w:r w:rsidRPr="00A66648">
        <w:rPr>
          <w:rFonts w:cs="Times New Roman"/>
        </w:rPr>
        <w:t>–30</w:t>
      </w:r>
      <w:r w:rsidR="00F0172E" w:rsidRPr="00A66648">
        <w:rPr>
          <w:rFonts w:cs="Times New Roman"/>
        </w:rPr>
        <w:t>5</w:t>
      </w:r>
      <w:r w:rsidRPr="00A66648">
        <w:rPr>
          <w:rFonts w:cs="Times New Roman"/>
        </w:rPr>
        <w:t>).</w:t>
      </w:r>
    </w:p>
    <w:p w14:paraId="35C398D0" w14:textId="77777777" w:rsidR="00C10E00" w:rsidRPr="00A66648" w:rsidRDefault="00C10E00" w:rsidP="00E12839">
      <w:pPr>
        <w:ind w:firstLine="720"/>
        <w:rPr>
          <w:rFonts w:cs="Times New Roman"/>
        </w:rPr>
      </w:pPr>
    </w:p>
    <w:p w14:paraId="1B981440" w14:textId="071A6E7A" w:rsidR="00B30320" w:rsidRPr="00E12839" w:rsidRDefault="00E12839" w:rsidP="00E12839">
      <w:pPr>
        <w:ind w:firstLine="720"/>
        <w:rPr>
          <w:rFonts w:cs="Times New Roman"/>
          <w:color w:val="000000" w:themeColor="text1"/>
        </w:rPr>
      </w:pPr>
      <w:r w:rsidRPr="00A66648">
        <w:rPr>
          <w:rFonts w:cs="Times New Roman"/>
        </w:rPr>
        <w:t xml:space="preserve">A </w:t>
      </w:r>
      <w:r w:rsidRPr="00A66648">
        <w:rPr>
          <w:rFonts w:cs="Times New Roman"/>
          <w:color w:val="000000" w:themeColor="text1"/>
        </w:rPr>
        <w:t xml:space="preserve">parallel (Figure 13) cited by Keel for the Tel </w:t>
      </w:r>
      <w:proofErr w:type="spellStart"/>
      <w:r w:rsidRPr="00A66648">
        <w:rPr>
          <w:rFonts w:cs="Times New Roman"/>
          <w:color w:val="000000" w:themeColor="text1"/>
        </w:rPr>
        <w:t>el</w:t>
      </w:r>
      <w:proofErr w:type="spellEnd"/>
      <w:r w:rsidRPr="00A66648">
        <w:rPr>
          <w:rFonts w:cs="Times New Roman"/>
          <w:color w:val="000000" w:themeColor="text1"/>
        </w:rPr>
        <w:t>-</w:t>
      </w:r>
      <w:proofErr w:type="spellStart"/>
      <w:r w:rsidRPr="00A66648">
        <w:rPr>
          <w:rFonts w:cs="Times New Roman"/>
          <w:color w:val="000000" w:themeColor="text1"/>
        </w:rPr>
        <w:t>Far`ah</w:t>
      </w:r>
      <w:proofErr w:type="spellEnd"/>
      <w:r w:rsidR="00E23FFE">
        <w:rPr>
          <w:rFonts w:cs="Times New Roman"/>
          <w:color w:val="000000" w:themeColor="text1"/>
        </w:rPr>
        <w:t>-</w:t>
      </w:r>
      <w:r w:rsidR="00A66648" w:rsidRPr="00A66648">
        <w:rPr>
          <w:rFonts w:cs="Times New Roman"/>
          <w:color w:val="000000" w:themeColor="text1"/>
        </w:rPr>
        <w:t xml:space="preserve">South scarab </w:t>
      </w:r>
      <w:r w:rsidRPr="00A66648">
        <w:rPr>
          <w:rFonts w:cs="Times New Roman"/>
          <w:color w:val="000000" w:themeColor="text1"/>
        </w:rPr>
        <w:t>parallel came from Lachish Tomb 4004 and dates to MB IIC (=MB III)–LB III; 1600–1370 BCE (Tufnell 1958: Pl. 38: 283). Tufnell indicates that the Thutmose III scarabs from the tomb</w:t>
      </w:r>
      <w:r w:rsidRPr="007573D9">
        <w:rPr>
          <w:rFonts w:cs="Times New Roman"/>
          <w:color w:val="000000" w:themeColor="text1"/>
        </w:rPr>
        <w:t xml:space="preserve"> were contemporary to his reign. She</w:t>
      </w:r>
      <w:r w:rsidR="008B2865">
        <w:rPr>
          <w:rFonts w:cs="Times New Roman"/>
          <w:color w:val="000000" w:themeColor="text1"/>
        </w:rPr>
        <w:t xml:space="preserve"> </w:t>
      </w:r>
      <w:r w:rsidR="008B2865" w:rsidRPr="007573D9">
        <w:rPr>
          <w:rFonts w:cs="Times New Roman"/>
          <w:color w:val="000000" w:themeColor="text1"/>
        </w:rPr>
        <w:t>(1958: 97 and 281)</w:t>
      </w:r>
      <w:r w:rsidRPr="007573D9">
        <w:rPr>
          <w:rFonts w:cs="Times New Roman"/>
          <w:color w:val="000000" w:themeColor="text1"/>
        </w:rPr>
        <w:t xml:space="preserve"> also mentions reuse of the cave (tomb) in</w:t>
      </w:r>
      <w:r>
        <w:rPr>
          <w:rFonts w:cs="Times New Roman"/>
          <w:color w:val="000000" w:themeColor="text1"/>
        </w:rPr>
        <w:t xml:space="preserve"> ca.</w:t>
      </w:r>
      <w:r w:rsidRPr="007573D9">
        <w:rPr>
          <w:rFonts w:cs="Times New Roman"/>
          <w:color w:val="000000" w:themeColor="text1"/>
        </w:rPr>
        <w:t xml:space="preserve"> 1220 BCE.</w:t>
      </w:r>
      <w:r>
        <w:rPr>
          <w:rFonts w:cs="Times New Roman"/>
          <w:color w:val="000000" w:themeColor="text1"/>
        </w:rPr>
        <w:t xml:space="preserve"> The head and back types are like Scarab One. There are no sides for this parallel depicted in </w:t>
      </w:r>
      <w:r w:rsidRPr="005B6778">
        <w:rPr>
          <w:rFonts w:cs="Times New Roman"/>
          <w:color w:val="000000" w:themeColor="text1"/>
        </w:rPr>
        <w:t>the</w:t>
      </w:r>
      <w:r w:rsidR="005B6778" w:rsidRPr="00CA6938">
        <w:rPr>
          <w:rFonts w:cs="Times New Roman"/>
          <w:color w:val="000000" w:themeColor="text1"/>
        </w:rPr>
        <w:t xml:space="preserve"> Lachish</w:t>
      </w:r>
      <w:r w:rsidRPr="005B6778">
        <w:rPr>
          <w:rFonts w:cs="Times New Roman"/>
          <w:color w:val="000000" w:themeColor="text1"/>
        </w:rPr>
        <w:t xml:space="preserve"> report</w:t>
      </w:r>
      <w:r>
        <w:rPr>
          <w:rFonts w:cs="Times New Roman"/>
          <w:color w:val="000000" w:themeColor="text1"/>
        </w:rPr>
        <w:t>.</w:t>
      </w:r>
    </w:p>
    <w:p w14:paraId="6913C390" w14:textId="630878C9" w:rsidR="006610F1" w:rsidRPr="00622577" w:rsidRDefault="00622577" w:rsidP="003B5DDC">
      <w:pPr>
        <w:jc w:val="center"/>
        <w:rPr>
          <w:rFonts w:cs="Times New Roman"/>
        </w:rPr>
      </w:pPr>
      <w:r w:rsidRPr="00622577">
        <w:rPr>
          <w:rFonts w:cs="Times New Roman"/>
        </w:rPr>
        <w:t>*</w:t>
      </w:r>
    </w:p>
    <w:p w14:paraId="0B3DE71D" w14:textId="74309AF8" w:rsidR="00B30320" w:rsidRDefault="00527E91" w:rsidP="00B30320">
      <w:pPr>
        <w:rPr>
          <w:rFonts w:cs="Times New Roman"/>
          <w:color w:val="000000" w:themeColor="text1"/>
        </w:rPr>
      </w:pPr>
      <w:r>
        <w:rPr>
          <w:rFonts w:cs="Times New Roman"/>
          <w:color w:val="000000" w:themeColor="text1"/>
        </w:rPr>
        <w:t xml:space="preserve">Figure 13: </w:t>
      </w:r>
      <w:r w:rsidR="00572230">
        <w:rPr>
          <w:rFonts w:cs="Times New Roman"/>
          <w:color w:val="000000" w:themeColor="text1"/>
        </w:rPr>
        <w:t xml:space="preserve">Scarab from </w:t>
      </w:r>
      <w:r w:rsidR="00572230" w:rsidRPr="007573D9">
        <w:rPr>
          <w:rFonts w:cs="Times New Roman"/>
          <w:color w:val="000000" w:themeColor="text1"/>
        </w:rPr>
        <w:t>Lachish Tomb 4004</w:t>
      </w:r>
      <w:r w:rsidR="00572230">
        <w:rPr>
          <w:rFonts w:cs="Times New Roman"/>
          <w:color w:val="000000" w:themeColor="text1"/>
        </w:rPr>
        <w:t xml:space="preserve"> </w:t>
      </w:r>
      <w:r w:rsidR="00572230" w:rsidRPr="007573D9">
        <w:rPr>
          <w:rFonts w:cs="Times New Roman"/>
          <w:color w:val="000000" w:themeColor="text1"/>
        </w:rPr>
        <w:t>(Tufnell 1958: Pl. 38: 283</w:t>
      </w:r>
      <w:r w:rsidR="00572230">
        <w:rPr>
          <w:rFonts w:cs="Times New Roman"/>
          <w:color w:val="000000" w:themeColor="text1"/>
        </w:rPr>
        <w:t>)</w:t>
      </w:r>
      <w:r w:rsidR="008A2301">
        <w:rPr>
          <w:rFonts w:cs="Times New Roman"/>
          <w:color w:val="000000" w:themeColor="text1"/>
        </w:rPr>
        <w:t>.</w:t>
      </w:r>
    </w:p>
    <w:p w14:paraId="698C8367" w14:textId="77777777" w:rsidR="00622577" w:rsidRDefault="00622577" w:rsidP="00B30320">
      <w:pPr>
        <w:rPr>
          <w:rFonts w:cs="Times New Roman"/>
          <w:color w:val="000000" w:themeColor="text1"/>
        </w:rPr>
      </w:pPr>
    </w:p>
    <w:p w14:paraId="76FDD0A4" w14:textId="77777777" w:rsidR="00FE6BD0" w:rsidRPr="007573D9" w:rsidRDefault="00FE6BD0" w:rsidP="00B30320">
      <w:pPr>
        <w:rPr>
          <w:rFonts w:cs="Times New Roman"/>
          <w:b/>
          <w:bCs/>
          <w:i/>
          <w:iCs/>
        </w:rPr>
      </w:pPr>
      <w:r w:rsidRPr="007573D9">
        <w:rPr>
          <w:rFonts w:cs="Times New Roman"/>
          <w:b/>
          <w:bCs/>
          <w:i/>
          <w:iCs/>
        </w:rPr>
        <w:t>Scarab Two</w:t>
      </w:r>
    </w:p>
    <w:p w14:paraId="78C5DE70" w14:textId="77777777" w:rsidR="00E87AED" w:rsidRPr="007573D9" w:rsidRDefault="00E87AED" w:rsidP="00B30320">
      <w:pPr>
        <w:rPr>
          <w:rFonts w:cs="Times New Roman"/>
          <w:b/>
          <w:bCs/>
          <w:i/>
          <w:iCs/>
        </w:rPr>
      </w:pPr>
    </w:p>
    <w:p w14:paraId="6D892446" w14:textId="369C7CAE" w:rsidR="0095416D" w:rsidRDefault="007573D9" w:rsidP="00B30320">
      <w:pPr>
        <w:rPr>
          <w:rFonts w:cs="Times New Roman"/>
          <w:kern w:val="0"/>
        </w:rPr>
      </w:pPr>
      <w:r w:rsidRPr="007573D9">
        <w:rPr>
          <w:rFonts w:cs="Times New Roman"/>
          <w:color w:val="000000" w:themeColor="text1"/>
          <w:lang w:val="en-GB"/>
        </w:rPr>
        <w:t xml:space="preserve">Preliminary </w:t>
      </w:r>
      <w:r w:rsidR="0095416D" w:rsidRPr="007573D9">
        <w:rPr>
          <w:rFonts w:cs="Times New Roman"/>
          <w:color w:val="000000" w:themeColor="text1"/>
          <w:lang w:val="en-GB"/>
        </w:rPr>
        <w:t>Analysis</w:t>
      </w:r>
      <w:r w:rsidR="0095416D" w:rsidRPr="001D1A60">
        <w:rPr>
          <w:rFonts w:cs="Times New Roman"/>
          <w:color w:val="000000" w:themeColor="text1"/>
          <w:lang w:val="en-GB"/>
        </w:rPr>
        <w:t xml:space="preserve">: </w:t>
      </w:r>
      <w:r w:rsidR="0095416D" w:rsidRPr="001D1A60">
        <w:rPr>
          <w:rFonts w:cs="Times New Roman"/>
          <w:color w:val="000000" w:themeColor="text1"/>
        </w:rPr>
        <w:t>Ben-Tor describes</w:t>
      </w:r>
      <w:r w:rsidR="0095416D" w:rsidRPr="007573D9">
        <w:rPr>
          <w:rFonts w:cs="Times New Roman"/>
          <w:color w:val="000000" w:themeColor="text1"/>
        </w:rPr>
        <w:t xml:space="preserve"> this scarab as a Middle Bronze Age Canaanite scarab displaying a d</w:t>
      </w:r>
      <w:r w:rsidR="0095416D" w:rsidRPr="007573D9">
        <w:rPr>
          <w:rFonts w:cs="Times New Roman"/>
          <w:color w:val="000000"/>
          <w:kern w:val="0"/>
        </w:rPr>
        <w:t xml:space="preserve">esign that is </w:t>
      </w:r>
      <w:r w:rsidR="00A55863">
        <w:rPr>
          <w:rFonts w:cs="Times New Roman"/>
          <w:color w:val="000000"/>
          <w:kern w:val="0"/>
        </w:rPr>
        <w:t>absent</w:t>
      </w:r>
      <w:r w:rsidR="00A55863" w:rsidRPr="007573D9">
        <w:rPr>
          <w:rFonts w:cs="Times New Roman"/>
          <w:color w:val="000000"/>
          <w:kern w:val="0"/>
        </w:rPr>
        <w:t xml:space="preserve"> </w:t>
      </w:r>
      <w:r w:rsidR="0095416D" w:rsidRPr="007573D9">
        <w:rPr>
          <w:rFonts w:cs="Times New Roman"/>
          <w:color w:val="000000"/>
          <w:kern w:val="0"/>
        </w:rPr>
        <w:t>on Egyptian Middle Kingdom or Second Intermediate Period scarabs</w:t>
      </w:r>
      <w:r w:rsidR="0095416D" w:rsidRPr="007573D9">
        <w:rPr>
          <w:rFonts w:cs="Times New Roman"/>
          <w:color w:val="000000" w:themeColor="text1"/>
        </w:rPr>
        <w:t>.</w:t>
      </w:r>
      <w:r w:rsidR="001D1A60">
        <w:rPr>
          <w:rStyle w:val="FootnoteReference"/>
          <w:rFonts w:cs="Times New Roman"/>
          <w:color w:val="000000" w:themeColor="text1"/>
        </w:rPr>
        <w:footnoteReference w:id="12"/>
      </w:r>
      <w:r w:rsidR="0095416D" w:rsidRPr="007573D9">
        <w:rPr>
          <w:rFonts w:cs="Times New Roman"/>
          <w:color w:val="000000" w:themeColor="text1"/>
        </w:rPr>
        <w:t xml:space="preserve"> </w:t>
      </w:r>
      <w:r w:rsidR="00E87AED">
        <w:rPr>
          <w:rFonts w:cs="Times New Roman"/>
          <w:kern w:val="0"/>
        </w:rPr>
        <w:t>Ben-Tor</w:t>
      </w:r>
      <w:r w:rsidR="00E87AED" w:rsidRPr="007573D9">
        <w:rPr>
          <w:rFonts w:cs="Times New Roman"/>
          <w:kern w:val="0"/>
        </w:rPr>
        <w:t xml:space="preserve"> (2007: 19) contends most scarabs found in Israel are of Canaanite manufacture and</w:t>
      </w:r>
      <w:r w:rsidR="00515DB0">
        <w:rPr>
          <w:rFonts w:cs="Times New Roman"/>
          <w:kern w:val="0"/>
        </w:rPr>
        <w:t xml:space="preserve"> that</w:t>
      </w:r>
      <w:r w:rsidR="00E87AED" w:rsidRPr="007573D9">
        <w:rPr>
          <w:rFonts w:cs="Times New Roman"/>
          <w:kern w:val="0"/>
        </w:rPr>
        <w:t xml:space="preserve"> this scarab is an imitation of a Middle Kingdom prototype. </w:t>
      </w:r>
      <w:r w:rsidR="001A5202">
        <w:rPr>
          <w:rFonts w:cs="Times New Roman"/>
          <w:color w:val="000000" w:themeColor="text1"/>
        </w:rPr>
        <w:t>V</w:t>
      </w:r>
      <w:r w:rsidR="0095416D" w:rsidRPr="007573D9">
        <w:rPr>
          <w:rFonts w:cs="Times New Roman"/>
          <w:color w:val="000000" w:themeColor="text1"/>
        </w:rPr>
        <w:t>an der Veen</w:t>
      </w:r>
      <w:r w:rsidR="001D1A60">
        <w:rPr>
          <w:rFonts w:cs="Times New Roman"/>
          <w:color w:val="000000" w:themeColor="text1"/>
        </w:rPr>
        <w:t xml:space="preserve"> </w:t>
      </w:r>
      <w:r w:rsidR="00E87AED">
        <w:rPr>
          <w:rFonts w:cs="Times New Roman"/>
          <w:color w:val="000000" w:themeColor="text1"/>
        </w:rPr>
        <w:t xml:space="preserve">describes </w:t>
      </w:r>
      <w:r w:rsidR="0095416D" w:rsidRPr="007573D9">
        <w:rPr>
          <w:rFonts w:cs="Times New Roman"/>
          <w:color w:val="000000" w:themeColor="text1"/>
        </w:rPr>
        <w:t xml:space="preserve">it </w:t>
      </w:r>
      <w:r w:rsidR="00E87AED">
        <w:rPr>
          <w:rFonts w:cs="Times New Roman"/>
          <w:color w:val="000000" w:themeColor="text1"/>
        </w:rPr>
        <w:t>as</w:t>
      </w:r>
      <w:r w:rsidR="00E87AED" w:rsidRPr="007573D9">
        <w:rPr>
          <w:rFonts w:cs="Times New Roman"/>
          <w:color w:val="000000" w:themeColor="text1"/>
        </w:rPr>
        <w:t xml:space="preserve"> </w:t>
      </w:r>
      <w:r w:rsidR="0095416D" w:rsidRPr="007573D9">
        <w:rPr>
          <w:rFonts w:cs="Times New Roman"/>
          <w:color w:val="000000" w:themeColor="text1"/>
        </w:rPr>
        <w:t>a Late Middle Kingdom, Second Intermediate Period scarab</w:t>
      </w:r>
      <w:r w:rsidR="008B2865">
        <w:rPr>
          <w:rFonts w:cs="Times New Roman"/>
          <w:color w:val="000000" w:themeColor="text1"/>
        </w:rPr>
        <w:t xml:space="preserve"> and</w:t>
      </w:r>
      <w:r w:rsidR="00515DB0">
        <w:rPr>
          <w:rFonts w:cs="Times New Roman"/>
          <w:color w:val="000000" w:themeColor="text1"/>
        </w:rPr>
        <w:t xml:space="preserve"> </w:t>
      </w:r>
      <w:r w:rsidR="0095416D" w:rsidRPr="007573D9">
        <w:rPr>
          <w:rFonts w:cs="Times New Roman"/>
          <w:color w:val="000000" w:themeColor="text1"/>
        </w:rPr>
        <w:t>suggests it may translate as “Enduring is the goodness of the king of upper Egypt.”</w:t>
      </w:r>
      <w:r w:rsidR="001D1A60">
        <w:rPr>
          <w:rStyle w:val="FootnoteReference"/>
          <w:rFonts w:cs="Times New Roman"/>
          <w:color w:val="000000" w:themeColor="text1"/>
        </w:rPr>
        <w:footnoteReference w:id="13"/>
      </w:r>
      <w:r w:rsidR="0095416D" w:rsidRPr="007573D9">
        <w:rPr>
          <w:rFonts w:cs="Times New Roman"/>
          <w:color w:val="000000" w:themeColor="text1"/>
        </w:rPr>
        <w:t xml:space="preserve"> </w:t>
      </w:r>
    </w:p>
    <w:p w14:paraId="5B94CD10" w14:textId="77777777" w:rsidR="00E87AED" w:rsidRPr="007573D9" w:rsidRDefault="00E87AED" w:rsidP="00B30320">
      <w:pPr>
        <w:rPr>
          <w:rFonts w:cs="Times New Roman"/>
          <w:color w:val="000000" w:themeColor="text1"/>
        </w:rPr>
      </w:pPr>
    </w:p>
    <w:p w14:paraId="4C6177ED" w14:textId="2ACDBF06" w:rsidR="00DF1630" w:rsidRDefault="007573D9" w:rsidP="00C80030">
      <w:pPr>
        <w:rPr>
          <w:rFonts w:cs="Times New Roman"/>
          <w:lang w:val="en-GB"/>
        </w:rPr>
      </w:pPr>
      <w:r w:rsidRPr="004C5AE7">
        <w:rPr>
          <w:rFonts w:cs="Times New Roman"/>
          <w:lang w:val="en-GB"/>
        </w:rPr>
        <w:t>Analysis</w:t>
      </w:r>
      <w:r w:rsidR="00B30320" w:rsidRPr="004C5AE7">
        <w:rPr>
          <w:rFonts w:cs="Times New Roman"/>
          <w:lang w:val="en-GB"/>
        </w:rPr>
        <w:t xml:space="preserve">: </w:t>
      </w:r>
      <w:r w:rsidR="0062672C">
        <w:rPr>
          <w:rFonts w:cs="Times New Roman"/>
          <w:lang w:val="en-GB"/>
        </w:rPr>
        <w:t xml:space="preserve">Like Scarab One, </w:t>
      </w:r>
      <w:r w:rsidR="00160C43">
        <w:rPr>
          <w:rFonts w:cs="Times New Roman"/>
          <w:lang w:val="en-GB"/>
        </w:rPr>
        <w:t>head type</w:t>
      </w:r>
      <w:r w:rsidR="00160C43" w:rsidRPr="007573D9">
        <w:rPr>
          <w:rFonts w:cs="Times New Roman"/>
          <w:kern w:val="0"/>
        </w:rPr>
        <w:t xml:space="preserve"> </w:t>
      </w:r>
      <w:r w:rsidR="00C80030" w:rsidRPr="007573D9">
        <w:rPr>
          <w:rFonts w:cs="Times New Roman"/>
          <w:kern w:val="0"/>
        </w:rPr>
        <w:t xml:space="preserve">B2 typically </w:t>
      </w:r>
      <w:r w:rsidR="00C80030">
        <w:rPr>
          <w:rFonts w:cs="Times New Roman"/>
          <w:kern w:val="0"/>
        </w:rPr>
        <w:t>occurs</w:t>
      </w:r>
      <w:r w:rsidR="00C80030" w:rsidRPr="007573D9">
        <w:rPr>
          <w:rFonts w:cs="Times New Roman"/>
          <w:kern w:val="0"/>
        </w:rPr>
        <w:t xml:space="preserve"> in the Early Palestinian Series and rarely appears in the Late Palestinian Series. </w:t>
      </w:r>
    </w:p>
    <w:p w14:paraId="413653FF" w14:textId="77777777" w:rsidR="00AD5200" w:rsidRPr="007573D9" w:rsidRDefault="00AD5200" w:rsidP="00C80030">
      <w:pPr>
        <w:rPr>
          <w:rFonts w:cs="Times New Roman"/>
          <w:lang w:val="en-GB"/>
        </w:rPr>
      </w:pPr>
    </w:p>
    <w:p w14:paraId="52570544" w14:textId="57587417" w:rsidR="00A66648" w:rsidRDefault="00A66648" w:rsidP="0052098A">
      <w:pPr>
        <w:ind w:firstLine="720"/>
        <w:rPr>
          <w:rFonts w:cs="Times New Roman"/>
          <w:lang w:val="en-GB"/>
        </w:rPr>
      </w:pPr>
      <w:r w:rsidRPr="006C540C">
        <w:rPr>
          <w:rFonts w:cs="Times New Roman"/>
        </w:rPr>
        <w:t xml:space="preserve">The back type </w:t>
      </w:r>
      <w:r w:rsidR="00AD5200">
        <w:rPr>
          <w:rFonts w:cs="Times New Roman"/>
        </w:rPr>
        <w:t xml:space="preserve">is </w:t>
      </w:r>
      <w:r w:rsidRPr="006C540C">
        <w:rPr>
          <w:rFonts w:cs="Times New Roman"/>
        </w:rPr>
        <w:t xml:space="preserve">O </w:t>
      </w:r>
      <w:r w:rsidR="003C31CB">
        <w:rPr>
          <w:rFonts w:cs="Times New Roman"/>
        </w:rPr>
        <w:t xml:space="preserve">following Tufnell’s classification </w:t>
      </w:r>
      <w:r w:rsidRPr="006C540C">
        <w:t xml:space="preserve">or </w:t>
      </w:r>
      <w:r w:rsidR="00DF1630" w:rsidRPr="006C540C">
        <w:t xml:space="preserve">PN (Plain Natural) </w:t>
      </w:r>
      <w:r w:rsidR="003C31CB">
        <w:t xml:space="preserve">following </w:t>
      </w:r>
      <w:r w:rsidRPr="006C540C">
        <w:t>Ward and Dever</w:t>
      </w:r>
      <w:r w:rsidR="003C31CB">
        <w:t>’s classification</w:t>
      </w:r>
      <w:r w:rsidRPr="006C540C">
        <w:t xml:space="preserve"> </w:t>
      </w:r>
      <w:r w:rsidR="00AD5200">
        <w:t xml:space="preserve">and </w:t>
      </w:r>
      <w:r w:rsidRPr="006C540C">
        <w:t xml:space="preserve">is </w:t>
      </w:r>
      <w:r w:rsidR="0052098A" w:rsidRPr="006C540C">
        <w:t>more common than lined backs</w:t>
      </w:r>
      <w:r w:rsidR="0052098A" w:rsidRPr="006C540C">
        <w:rPr>
          <w:rFonts w:cs="Times New Roman"/>
          <w:lang w:val="en-GB"/>
        </w:rPr>
        <w:t xml:space="preserve"> </w:t>
      </w:r>
      <w:r w:rsidR="0052098A" w:rsidRPr="006C540C">
        <w:t>o</w:t>
      </w:r>
      <w:r w:rsidRPr="006C540C">
        <w:t xml:space="preserve">n the early Canaanite scarabs </w:t>
      </w:r>
      <w:r w:rsidR="0052098A" w:rsidRPr="006C540C">
        <w:rPr>
          <w:rFonts w:cs="Times New Roman"/>
          <w:lang w:val="en-GB"/>
        </w:rPr>
        <w:t xml:space="preserve">(Early Palestinian Series) </w:t>
      </w:r>
      <w:r w:rsidRPr="006C540C">
        <w:t>with type B2 head</w:t>
      </w:r>
      <w:r w:rsidR="00A55863">
        <w:t>s</w:t>
      </w:r>
      <w:r w:rsidR="0052098A" w:rsidRPr="006C540C">
        <w:t xml:space="preserve"> </w:t>
      </w:r>
      <w:r w:rsidR="0052098A" w:rsidRPr="006C540C">
        <w:rPr>
          <w:rFonts w:cs="Times New Roman"/>
          <w:lang w:val="en-GB"/>
        </w:rPr>
        <w:t>(Keel 2004: 92–93; Ben-Tor 2007: 151).</w:t>
      </w:r>
    </w:p>
    <w:p w14:paraId="39AC0422" w14:textId="77777777" w:rsidR="00AD5200" w:rsidRDefault="00AD5200" w:rsidP="0052098A">
      <w:pPr>
        <w:ind w:firstLine="720"/>
        <w:rPr>
          <w:rFonts w:cs="Times New Roman"/>
          <w:lang w:val="en-GB"/>
        </w:rPr>
      </w:pPr>
    </w:p>
    <w:p w14:paraId="744FFC3E" w14:textId="19E1644D" w:rsidR="00DF1630" w:rsidRDefault="00C80030" w:rsidP="00DF1630">
      <w:pPr>
        <w:ind w:firstLine="720"/>
        <w:rPr>
          <w:rFonts w:cs="Times New Roman"/>
        </w:rPr>
      </w:pPr>
      <w:r w:rsidRPr="007573D9">
        <w:rPr>
          <w:rFonts w:cs="Times New Roman"/>
          <w:lang w:val="en-GB"/>
        </w:rPr>
        <w:t xml:space="preserve">The sides </w:t>
      </w:r>
      <w:r w:rsidR="00A55863">
        <w:rPr>
          <w:rFonts w:cs="Times New Roman"/>
          <w:lang w:val="en-GB"/>
        </w:rPr>
        <w:t xml:space="preserve">are likely </w:t>
      </w:r>
      <w:r w:rsidR="00160C43">
        <w:rPr>
          <w:rFonts w:cs="Times New Roman"/>
          <w:lang w:val="en-GB"/>
        </w:rPr>
        <w:t>type d</w:t>
      </w:r>
      <w:r w:rsidRPr="007573D9">
        <w:rPr>
          <w:rFonts w:cs="Times New Roman"/>
          <w:lang w:val="en-GB"/>
        </w:rPr>
        <w:t xml:space="preserve">5. The legs are plain, and the base is square (Tufnell 1984: </w:t>
      </w:r>
      <w:r w:rsidR="00F10E64">
        <w:rPr>
          <w:rFonts w:cs="Times New Roman"/>
          <w:lang w:val="en-GB"/>
        </w:rPr>
        <w:t>35–</w:t>
      </w:r>
      <w:r w:rsidRPr="007573D9">
        <w:rPr>
          <w:rFonts w:cs="Times New Roman"/>
          <w:lang w:val="en-GB"/>
        </w:rPr>
        <w:t xml:space="preserve">36; Ward and Dever 1994: 164–165). </w:t>
      </w:r>
      <w:r>
        <w:rPr>
          <w:rFonts w:cs="Times New Roman"/>
        </w:rPr>
        <w:t>As previously noted, t</w:t>
      </w:r>
      <w:r w:rsidRPr="007573D9">
        <w:rPr>
          <w:rFonts w:cs="Times New Roman"/>
        </w:rPr>
        <w:t>he damage to this scarab inhibits a more refined classification for the sides.</w:t>
      </w:r>
    </w:p>
    <w:p w14:paraId="23F24765" w14:textId="77777777" w:rsidR="00C80030" w:rsidRDefault="00C80030" w:rsidP="00DF1630">
      <w:pPr>
        <w:ind w:firstLine="720"/>
        <w:rPr>
          <w:rFonts w:cs="Times New Roman"/>
        </w:rPr>
      </w:pPr>
    </w:p>
    <w:p w14:paraId="2BEDC859" w14:textId="76D19378" w:rsidR="006610F1" w:rsidRPr="004C5AE7" w:rsidRDefault="00E87AED" w:rsidP="00C10E00">
      <w:pPr>
        <w:ind w:firstLine="720"/>
        <w:rPr>
          <w:rFonts w:cs="Times New Roman"/>
          <w:kern w:val="0"/>
        </w:rPr>
      </w:pPr>
      <w:r w:rsidRPr="004C5AE7">
        <w:rPr>
          <w:rFonts w:cs="Times New Roman"/>
          <w:color w:val="000000" w:themeColor="text1"/>
        </w:rPr>
        <w:t xml:space="preserve">Scarab Two’s </w:t>
      </w:r>
      <w:r w:rsidRPr="004C5AE7">
        <w:rPr>
          <w:rFonts w:cs="Times New Roman"/>
          <w:lang w:val="en-GB"/>
        </w:rPr>
        <w:t>design is</w:t>
      </w:r>
      <w:r w:rsidR="00A55863">
        <w:rPr>
          <w:rFonts w:cs="Times New Roman"/>
          <w:lang w:val="en-GB"/>
        </w:rPr>
        <w:t xml:space="preserve"> class</w:t>
      </w:r>
      <w:r w:rsidRPr="004C5AE7">
        <w:rPr>
          <w:rFonts w:cs="Times New Roman"/>
          <w:lang w:val="en-GB"/>
        </w:rPr>
        <w:t xml:space="preserve"> 3B5-Paired Sedge Plant or Symmetrical Pattern Sedge Plants (Tufnell 1984: 120, 286; Ben Tor 2007: 131 and 164). </w:t>
      </w:r>
      <w:r w:rsidR="00D336FD">
        <w:rPr>
          <w:rFonts w:cs="Times New Roman"/>
          <w:lang w:val="en-GB"/>
        </w:rPr>
        <w:t xml:space="preserve">According to </w:t>
      </w:r>
      <w:r w:rsidRPr="004C5AE7">
        <w:rPr>
          <w:rFonts w:cs="Times New Roman"/>
          <w:color w:val="000000" w:themeColor="text1"/>
        </w:rPr>
        <w:t xml:space="preserve">Tufnell (1984: 120) paired sedge plants are most popular in Dynasties 13–15. </w:t>
      </w:r>
      <w:r w:rsidRPr="004C5AE7">
        <w:rPr>
          <w:rFonts w:cs="Times New Roman"/>
          <w:lang w:val="en-GB"/>
        </w:rPr>
        <w:t xml:space="preserve">The </w:t>
      </w:r>
      <w:r w:rsidRPr="005B6778">
        <w:rPr>
          <w:rFonts w:cs="Times New Roman"/>
          <w:lang w:val="en-GB"/>
        </w:rPr>
        <w:t>design (</w:t>
      </w:r>
      <w:r w:rsidR="005B6778">
        <w:rPr>
          <w:rFonts w:cs="Times New Roman"/>
          <w:lang w:val="en-GB"/>
        </w:rPr>
        <w:t xml:space="preserve">class </w:t>
      </w:r>
      <w:r w:rsidRPr="005B6778">
        <w:rPr>
          <w:rFonts w:cs="Times New Roman"/>
          <w:lang w:val="en-GB"/>
        </w:rPr>
        <w:t>3B5)</w:t>
      </w:r>
      <w:r w:rsidRPr="004C5AE7">
        <w:rPr>
          <w:rFonts w:cs="Times New Roman"/>
          <w:lang w:val="en-GB"/>
        </w:rPr>
        <w:t xml:space="preserve"> is more common in the Late Palestinian Series (MB IIB–MB IIC </w:t>
      </w:r>
      <w:r w:rsidR="00515DB0">
        <w:rPr>
          <w:rFonts w:cs="Times New Roman"/>
          <w:lang w:val="en-GB"/>
        </w:rPr>
        <w:t>[</w:t>
      </w:r>
      <w:r w:rsidRPr="004C5AE7">
        <w:rPr>
          <w:rFonts w:cs="Times New Roman"/>
          <w:lang w:val="en-GB"/>
        </w:rPr>
        <w:t>=MB III</w:t>
      </w:r>
      <w:r w:rsidR="00515DB0">
        <w:rPr>
          <w:rFonts w:cs="Times New Roman"/>
          <w:lang w:val="en-GB"/>
        </w:rPr>
        <w:t>]</w:t>
      </w:r>
      <w:r w:rsidR="001A5202">
        <w:rPr>
          <w:rFonts w:cs="Times New Roman"/>
          <w:lang w:val="en-GB"/>
        </w:rPr>
        <w:t>)</w:t>
      </w:r>
      <w:r w:rsidR="006D6DCC">
        <w:rPr>
          <w:rFonts w:cs="Times New Roman"/>
          <w:lang w:val="en-GB"/>
        </w:rPr>
        <w:t xml:space="preserve"> (</w:t>
      </w:r>
      <w:r w:rsidRPr="004C5AE7">
        <w:rPr>
          <w:rFonts w:cs="Times New Roman"/>
          <w:lang w:val="en-GB"/>
        </w:rPr>
        <w:t xml:space="preserve">Ben-Tor 2007: 131). Evidence of this class from </w:t>
      </w:r>
      <w:r w:rsidRPr="004C5AE7">
        <w:rPr>
          <w:rFonts w:cs="Times New Roman"/>
          <w:kern w:val="0"/>
        </w:rPr>
        <w:t>Tell el-Ajjul indicates its popularity in</w:t>
      </w:r>
      <w:r w:rsidR="008B2865">
        <w:rPr>
          <w:rFonts w:cs="Times New Roman"/>
          <w:kern w:val="0"/>
        </w:rPr>
        <w:t xml:space="preserve"> the</w:t>
      </w:r>
      <w:r w:rsidRPr="004C5AE7">
        <w:rPr>
          <w:rFonts w:cs="Times New Roman"/>
          <w:kern w:val="0"/>
        </w:rPr>
        <w:t xml:space="preserve"> Middle Bronze Age IIB and the Second Intermediate Period (Ben-Tor 2007: 164).</w:t>
      </w:r>
    </w:p>
    <w:p w14:paraId="57014162" w14:textId="611356F5" w:rsidR="006610F1" w:rsidRPr="004C5AE7" w:rsidRDefault="00E87AED" w:rsidP="006610F1">
      <w:pPr>
        <w:ind w:firstLine="720"/>
        <w:rPr>
          <w:rFonts w:cs="Times New Roman"/>
        </w:rPr>
      </w:pPr>
      <w:r w:rsidRPr="004C5AE7">
        <w:rPr>
          <w:rFonts w:cs="Times New Roman"/>
        </w:rPr>
        <w:t>The sign in the center of the scarab is a reed column, R11 [</w:t>
      </w:r>
      <w:r w:rsidRPr="004C5AE7">
        <w:rPr>
          <w:rFonts w:ascii="Segoe UI Historic" w:hAnsi="Segoe UI Historic" w:cs="Segoe UI Historic"/>
        </w:rPr>
        <w:t>𓊽</w:t>
      </w:r>
      <w:r w:rsidRPr="004C5AE7">
        <w:rPr>
          <w:rFonts w:cs="Times New Roman"/>
        </w:rPr>
        <w:t xml:space="preserve">] (Gardiner 1927: 489), probably meaning stable or enduring </w:t>
      </w:r>
      <w:r w:rsidRPr="004C5AE7">
        <w:rPr>
          <w:rStyle w:val="Emphasis"/>
          <w:rFonts w:cs="Times New Roman"/>
          <w:i w:val="0"/>
          <w:iCs w:val="0"/>
          <w:color w:val="000000" w:themeColor="text1"/>
        </w:rPr>
        <w:t xml:space="preserve">(Gardiner 1927: 489). The </w:t>
      </w:r>
      <w:r w:rsidRPr="004C5AE7">
        <w:rPr>
          <w:rFonts w:cs="Times New Roman"/>
        </w:rPr>
        <w:t>signs to the right and to the immediate left of center are all M24 [</w:t>
      </w:r>
      <w:r w:rsidRPr="004C5AE7">
        <w:rPr>
          <w:rFonts w:ascii="Segoe UI Historic" w:hAnsi="Segoe UI Historic" w:cs="Segoe UI Historic"/>
        </w:rPr>
        <w:t>𓇔</w:t>
      </w:r>
      <w:r w:rsidRPr="004C5AE7">
        <w:rPr>
          <w:rFonts w:cs="Times New Roman"/>
        </w:rPr>
        <w:t>] (Gardiner 1927: 472), which is a combination of sign M23 [</w:t>
      </w:r>
      <w:r w:rsidRPr="004C5AE7">
        <w:rPr>
          <w:rFonts w:ascii="Segoe UI Historic" w:hAnsi="Segoe UI Historic" w:cs="Segoe UI Historic"/>
        </w:rPr>
        <w:t>𓇓</w:t>
      </w:r>
      <w:r w:rsidRPr="004C5AE7">
        <w:rPr>
          <w:rFonts w:cs="Times New Roman"/>
        </w:rPr>
        <w:t>] (Gardiner 1927: 471), over a mouth, D21 [</w:t>
      </w:r>
      <w:r w:rsidRPr="004C5AE7">
        <w:rPr>
          <w:rFonts w:ascii="Segoe UI Historic" w:hAnsi="Segoe UI Historic" w:cs="Segoe UI Historic"/>
        </w:rPr>
        <w:t>𓂋</w:t>
      </w:r>
      <w:r w:rsidRPr="004C5AE7">
        <w:rPr>
          <w:rFonts w:cs="Times New Roman"/>
        </w:rPr>
        <w:t>] (Gardiner 1927: 444). Gardiner</w:t>
      </w:r>
      <w:r w:rsidR="00A55863">
        <w:rPr>
          <w:rFonts w:cs="Times New Roman"/>
        </w:rPr>
        <w:t xml:space="preserve"> </w:t>
      </w:r>
      <w:r w:rsidR="00A55863" w:rsidRPr="004C5AE7">
        <w:rPr>
          <w:rFonts w:cs="Times New Roman"/>
        </w:rPr>
        <w:t xml:space="preserve">(1927: </w:t>
      </w:r>
      <w:r w:rsidR="00A55863" w:rsidRPr="004C5AE7">
        <w:rPr>
          <w:rFonts w:cs="Times New Roman"/>
        </w:rPr>
        <w:lastRenderedPageBreak/>
        <w:t>472)</w:t>
      </w:r>
      <w:r w:rsidRPr="004C5AE7">
        <w:rPr>
          <w:rFonts w:cs="Times New Roman"/>
        </w:rPr>
        <w:t xml:space="preserve"> describes M24 as a sportive pictorial for South. Allen (2014: 485) describes it as</w:t>
      </w:r>
      <w:r w:rsidR="00515DB0">
        <w:rPr>
          <w:rFonts w:cs="Times New Roman"/>
        </w:rPr>
        <w:t xml:space="preserve"> an</w:t>
      </w:r>
      <w:r w:rsidRPr="004C5AE7">
        <w:rPr>
          <w:rFonts w:cs="Times New Roman"/>
        </w:rPr>
        <w:t xml:space="preserve"> ideogram for </w:t>
      </w:r>
      <w:proofErr w:type="spellStart"/>
      <w:r w:rsidRPr="004C5AE7">
        <w:rPr>
          <w:rFonts w:cs="Times New Roman"/>
          <w:i/>
          <w:iCs/>
        </w:rPr>
        <w:t>rsw</w:t>
      </w:r>
      <w:proofErr w:type="spellEnd"/>
      <w:r w:rsidRPr="004C5AE7">
        <w:rPr>
          <w:rFonts w:cs="Times New Roman"/>
        </w:rPr>
        <w:t xml:space="preserve"> or South. The sign on the far right is a heart and windpipe </w:t>
      </w:r>
      <w:r w:rsidR="00515DB0">
        <w:rPr>
          <w:rFonts w:cs="Times New Roman"/>
        </w:rPr>
        <w:t>(</w:t>
      </w:r>
      <w:r w:rsidRPr="004C5AE7">
        <w:rPr>
          <w:rFonts w:cs="Times New Roman"/>
        </w:rPr>
        <w:t>F35</w:t>
      </w:r>
      <w:r w:rsidR="00515DB0">
        <w:rPr>
          <w:rFonts w:cs="Times New Roman"/>
        </w:rPr>
        <w:t>)</w:t>
      </w:r>
      <w:r w:rsidRPr="004C5AE7">
        <w:rPr>
          <w:rFonts w:cs="Times New Roman"/>
        </w:rPr>
        <w:t xml:space="preserve"> [</w:t>
      </w:r>
      <w:r w:rsidRPr="004C5AE7">
        <w:rPr>
          <w:rFonts w:ascii="Segoe UI Historic" w:hAnsi="Segoe UI Historic" w:cs="Segoe UI Historic"/>
        </w:rPr>
        <w:t>𓄤</w:t>
      </w:r>
      <w:r w:rsidRPr="004C5AE7">
        <w:rPr>
          <w:rFonts w:cs="Times New Roman"/>
        </w:rPr>
        <w:t xml:space="preserve">] </w:t>
      </w:r>
      <w:proofErr w:type="spellStart"/>
      <w:r w:rsidRPr="004C5AE7">
        <w:rPr>
          <w:rFonts w:cs="Times New Roman"/>
          <w:i/>
          <w:iCs/>
        </w:rPr>
        <w:t>nfr</w:t>
      </w:r>
      <w:proofErr w:type="spellEnd"/>
      <w:r w:rsidRPr="004C5AE7">
        <w:rPr>
          <w:rFonts w:cs="Times New Roman"/>
          <w:i/>
          <w:iCs/>
        </w:rPr>
        <w:t xml:space="preserve"> (</w:t>
      </w:r>
      <w:proofErr w:type="spellStart"/>
      <w:r w:rsidRPr="004C5AE7">
        <w:rPr>
          <w:rFonts w:cs="Times New Roman"/>
          <w:i/>
          <w:iCs/>
        </w:rPr>
        <w:t>nefer</w:t>
      </w:r>
      <w:proofErr w:type="spellEnd"/>
      <w:r w:rsidRPr="004C5AE7">
        <w:rPr>
          <w:rFonts w:cs="Times New Roman"/>
          <w:i/>
          <w:iCs/>
        </w:rPr>
        <w:t>)</w:t>
      </w:r>
      <w:r w:rsidRPr="004C5AE7">
        <w:rPr>
          <w:rFonts w:cs="Times New Roman"/>
        </w:rPr>
        <w:t xml:space="preserve"> (Gardiner 1927: 456). </w:t>
      </w:r>
    </w:p>
    <w:p w14:paraId="08CEA674" w14:textId="3DFBD24A" w:rsidR="00E87AED" w:rsidRPr="007573D9" w:rsidRDefault="00E87AED" w:rsidP="00307C95">
      <w:pPr>
        <w:ind w:firstLine="720"/>
        <w:rPr>
          <w:rFonts w:cs="Times New Roman"/>
          <w:lang w:val="en-GB"/>
        </w:rPr>
      </w:pPr>
      <w:r w:rsidRPr="004C5AE7">
        <w:rPr>
          <w:rFonts w:cs="Times New Roman"/>
        </w:rPr>
        <w:t xml:space="preserve">The missing sign or signs are likely the same as the signs on the right. The </w:t>
      </w:r>
      <w:proofErr w:type="spellStart"/>
      <w:r w:rsidRPr="004C5AE7">
        <w:rPr>
          <w:rFonts w:cs="Times New Roman"/>
        </w:rPr>
        <w:t>nefer</w:t>
      </w:r>
      <w:proofErr w:type="spellEnd"/>
      <w:r w:rsidRPr="004C5AE7">
        <w:rPr>
          <w:rFonts w:cs="Times New Roman"/>
        </w:rPr>
        <w:t xml:space="preserve"> sign means good or beautiful (Gardiner 1927: 456). </w:t>
      </w:r>
      <w:r w:rsidRPr="004C5AE7">
        <w:rPr>
          <w:rFonts w:cs="Times New Roman"/>
          <w:kern w:val="0"/>
        </w:rPr>
        <w:t xml:space="preserve">The </w:t>
      </w:r>
      <w:proofErr w:type="spellStart"/>
      <w:r w:rsidRPr="004C5AE7">
        <w:rPr>
          <w:rFonts w:cs="Times New Roman"/>
          <w:kern w:val="0"/>
        </w:rPr>
        <w:t>śwt</w:t>
      </w:r>
      <w:proofErr w:type="spellEnd"/>
      <w:r w:rsidRPr="004C5AE7">
        <w:rPr>
          <w:rFonts w:cs="Times New Roman"/>
          <w:kern w:val="0"/>
        </w:rPr>
        <w:t xml:space="preserve"> plant or sedge plant is typical of Upper Egypt (Gardiner 1927: 471</w:t>
      </w:r>
      <w:r w:rsidR="00515DB0">
        <w:rPr>
          <w:rFonts w:cs="Times New Roman"/>
          <w:kern w:val="0"/>
        </w:rPr>
        <w:t>)</w:t>
      </w:r>
      <w:r w:rsidRPr="004C5AE7">
        <w:rPr>
          <w:rFonts w:cs="Times New Roman"/>
          <w:kern w:val="0"/>
        </w:rPr>
        <w:t xml:space="preserve">. </w:t>
      </w:r>
      <w:r w:rsidRPr="004C5AE7">
        <w:rPr>
          <w:rStyle w:val="apple-converted-space"/>
          <w:rFonts w:cs="Times New Roman"/>
          <w:color w:val="000000" w:themeColor="text1"/>
          <w:shd w:val="clear" w:color="auto" w:fill="FFFFFF"/>
        </w:rPr>
        <w:t>Sign M24 [ </w:t>
      </w:r>
      <w:r w:rsidRPr="004C5AE7">
        <w:rPr>
          <w:rStyle w:val="apple-converted-space"/>
          <w:rFonts w:ascii="Segoe UI Historic" w:hAnsi="Segoe UI Historic" w:cs="Segoe UI Historic"/>
          <w:color w:val="000000" w:themeColor="text1"/>
          <w:shd w:val="clear" w:color="auto" w:fill="FFFFFF"/>
        </w:rPr>
        <w:t>𓇔</w:t>
      </w:r>
      <w:r w:rsidRPr="004C5AE7">
        <w:rPr>
          <w:rStyle w:val="apple-converted-space"/>
          <w:rFonts w:cs="Times New Roman"/>
          <w:color w:val="000000" w:themeColor="text1"/>
          <w:shd w:val="clear" w:color="auto" w:fill="FFFFFF"/>
        </w:rPr>
        <w:t>]</w:t>
      </w:r>
      <w:r w:rsidRPr="004C5AE7">
        <w:rPr>
          <w:rStyle w:val="apple-converted-space"/>
          <w:rFonts w:cs="Times New Roman"/>
          <w:i/>
          <w:iCs/>
          <w:color w:val="000000" w:themeColor="text1"/>
          <w:shd w:val="clear" w:color="auto" w:fill="FFFFFF"/>
        </w:rPr>
        <w:t xml:space="preserve"> </w:t>
      </w:r>
      <w:proofErr w:type="spellStart"/>
      <w:r w:rsidRPr="004C5AE7">
        <w:rPr>
          <w:rStyle w:val="Emphasis"/>
          <w:rFonts w:cs="Times New Roman"/>
          <w:color w:val="000000" w:themeColor="text1"/>
        </w:rPr>
        <w:t>rsw</w:t>
      </w:r>
      <w:proofErr w:type="spellEnd"/>
      <w:r w:rsidRPr="004C5AE7">
        <w:rPr>
          <w:rStyle w:val="Emphasis"/>
          <w:rFonts w:cs="Times New Roman"/>
          <w:i w:val="0"/>
          <w:iCs w:val="0"/>
          <w:color w:val="000000" w:themeColor="text1"/>
        </w:rPr>
        <w:t xml:space="preserve"> (South) and other sedge plant sign variations (signs M23, M25, M26, and M28) refer to</w:t>
      </w:r>
      <w:r w:rsidR="001A5202">
        <w:rPr>
          <w:rStyle w:val="Emphasis"/>
          <w:rFonts w:cs="Times New Roman"/>
          <w:i w:val="0"/>
          <w:iCs w:val="0"/>
          <w:color w:val="000000" w:themeColor="text1"/>
        </w:rPr>
        <w:t xml:space="preserve"> the</w:t>
      </w:r>
      <w:r w:rsidRPr="004C5AE7">
        <w:rPr>
          <w:rStyle w:val="Emphasis"/>
          <w:rFonts w:cs="Times New Roman"/>
          <w:i w:val="0"/>
          <w:iCs w:val="0"/>
          <w:color w:val="000000" w:themeColor="text1"/>
        </w:rPr>
        <w:t xml:space="preserve"> South or Upper Egypt (Allen 2014: 485). This indicates a non-Hyksos design for the scarab since they were rulers of Lower Egypt in the </w:t>
      </w:r>
      <w:r w:rsidR="00EF202D">
        <w:rPr>
          <w:rStyle w:val="Emphasis"/>
          <w:rFonts w:cs="Times New Roman"/>
          <w:i w:val="0"/>
          <w:iCs w:val="0"/>
          <w:color w:val="000000" w:themeColor="text1"/>
        </w:rPr>
        <w:t>n</w:t>
      </w:r>
      <w:r w:rsidR="006610F1" w:rsidRPr="004C5AE7">
        <w:rPr>
          <w:rStyle w:val="Emphasis"/>
          <w:rFonts w:cs="Times New Roman"/>
          <w:i w:val="0"/>
          <w:iCs w:val="0"/>
          <w:color w:val="000000" w:themeColor="text1"/>
        </w:rPr>
        <w:t>orth,</w:t>
      </w:r>
      <w:r w:rsidRPr="004C5AE7">
        <w:rPr>
          <w:rStyle w:val="Emphasis"/>
          <w:rFonts w:cs="Times New Roman"/>
          <w:i w:val="0"/>
          <w:iCs w:val="0"/>
          <w:color w:val="000000" w:themeColor="text1"/>
        </w:rPr>
        <w:t xml:space="preserve"> and the </w:t>
      </w:r>
      <w:r w:rsidRPr="004C5AE7">
        <w:rPr>
          <w:rFonts w:cs="Times New Roman"/>
          <w:color w:val="000000" w:themeColor="text1"/>
        </w:rPr>
        <w:t xml:space="preserve">design is indicative of Upper Egypt in the </w:t>
      </w:r>
      <w:r w:rsidR="00EF202D">
        <w:rPr>
          <w:rFonts w:cs="Times New Roman"/>
          <w:color w:val="000000" w:themeColor="text1"/>
        </w:rPr>
        <w:t>s</w:t>
      </w:r>
      <w:r w:rsidRPr="004C5AE7">
        <w:rPr>
          <w:rFonts w:cs="Times New Roman"/>
          <w:color w:val="000000" w:themeColor="text1"/>
        </w:rPr>
        <w:t xml:space="preserve">outh under the rule of indigenous (Theban) Egyptians (Silverman 1997: 31; </w:t>
      </w:r>
      <w:proofErr w:type="spellStart"/>
      <w:r w:rsidRPr="004C5AE7">
        <w:rPr>
          <w:rFonts w:cs="Times New Roman"/>
          <w:color w:val="000000" w:themeColor="text1"/>
        </w:rPr>
        <w:t>Grimal</w:t>
      </w:r>
      <w:proofErr w:type="spellEnd"/>
      <w:r w:rsidRPr="004C5AE7">
        <w:rPr>
          <w:rFonts w:cs="Times New Roman"/>
          <w:color w:val="000000" w:themeColor="text1"/>
        </w:rPr>
        <w:t xml:space="preserve"> 1988: 187–189).</w:t>
      </w:r>
      <w:r w:rsidRPr="004C5AE7">
        <w:rPr>
          <w:rStyle w:val="Emphasis"/>
          <w:rFonts w:cs="Times New Roman"/>
          <w:i w:val="0"/>
          <w:iCs w:val="0"/>
          <w:color w:val="000000" w:themeColor="text1"/>
        </w:rPr>
        <w:t xml:space="preserve"> </w:t>
      </w:r>
      <w:r w:rsidRPr="004C5AE7">
        <w:rPr>
          <w:rFonts w:cs="Times New Roman"/>
        </w:rPr>
        <w:t xml:space="preserve">This scarab’s description comports with </w:t>
      </w:r>
      <w:r w:rsidR="007115B1">
        <w:rPr>
          <w:rFonts w:cs="Times New Roman"/>
        </w:rPr>
        <w:t xml:space="preserve">a </w:t>
      </w:r>
      <w:r w:rsidRPr="004C5AE7">
        <w:rPr>
          <w:rFonts w:cs="Times New Roman"/>
        </w:rPr>
        <w:t>parallel</w:t>
      </w:r>
      <w:r w:rsidR="00B05E5F">
        <w:rPr>
          <w:rFonts w:cs="Times New Roman"/>
        </w:rPr>
        <w:t xml:space="preserve"> from Jericho (below)</w:t>
      </w:r>
      <w:r w:rsidR="007115B1">
        <w:rPr>
          <w:rFonts w:cs="Times New Roman"/>
        </w:rPr>
        <w:t>.</w:t>
      </w:r>
    </w:p>
    <w:p w14:paraId="3B16C44A" w14:textId="77777777" w:rsidR="001176E4" w:rsidRPr="001176E4" w:rsidRDefault="001176E4" w:rsidP="00B30320">
      <w:pPr>
        <w:ind w:firstLine="720"/>
        <w:rPr>
          <w:rFonts w:cs="Times New Roman"/>
          <w:highlight w:val="yellow"/>
          <w:lang w:val="en-GB"/>
        </w:rPr>
      </w:pPr>
    </w:p>
    <w:p w14:paraId="6D41DC24" w14:textId="767C01CA" w:rsidR="001176E4" w:rsidRDefault="001176E4" w:rsidP="004C5AE7">
      <w:pPr>
        <w:pStyle w:val="FootnoteText"/>
        <w:rPr>
          <w:rFonts w:ascii="Times New Roman" w:hAnsi="Times New Roman"/>
          <w:sz w:val="24"/>
          <w:szCs w:val="24"/>
          <w:lang w:val="en-US"/>
        </w:rPr>
      </w:pPr>
      <w:r w:rsidRPr="004C5AE7">
        <w:rPr>
          <w:rFonts w:ascii="Times New Roman" w:hAnsi="Times New Roman"/>
          <w:sz w:val="24"/>
          <w:szCs w:val="24"/>
          <w:lang w:val="en-GB"/>
        </w:rPr>
        <w:t xml:space="preserve"> </w:t>
      </w:r>
      <w:r w:rsidRPr="004C5AE7">
        <w:rPr>
          <w:rFonts w:ascii="Times New Roman" w:hAnsi="Times New Roman"/>
          <w:sz w:val="24"/>
          <w:szCs w:val="24"/>
          <w:lang w:val="en-GB"/>
        </w:rPr>
        <w:tab/>
      </w:r>
      <w:r w:rsidR="00F16DBD" w:rsidRPr="00E23FFE">
        <w:rPr>
          <w:rFonts w:ascii="Times New Roman" w:hAnsi="Times New Roman"/>
          <w:sz w:val="24"/>
          <w:szCs w:val="24"/>
          <w:lang w:val="en-GB"/>
        </w:rPr>
        <w:t xml:space="preserve">There is a </w:t>
      </w:r>
      <w:r w:rsidRPr="00E23FFE">
        <w:rPr>
          <w:rFonts w:ascii="Times New Roman" w:hAnsi="Times New Roman"/>
          <w:sz w:val="24"/>
          <w:szCs w:val="24"/>
          <w:lang w:val="en-GB"/>
        </w:rPr>
        <w:t xml:space="preserve">parallel from Jericho (Ben-Tor 2007: Pl. 80:10) </w:t>
      </w:r>
      <w:r w:rsidR="00F16DBD" w:rsidRPr="00E23FFE">
        <w:rPr>
          <w:rFonts w:ascii="Times New Roman" w:hAnsi="Times New Roman"/>
          <w:sz w:val="24"/>
          <w:szCs w:val="24"/>
          <w:lang w:val="en-GB"/>
        </w:rPr>
        <w:t xml:space="preserve">that </w:t>
      </w:r>
      <w:r w:rsidRPr="00E23FFE">
        <w:rPr>
          <w:rFonts w:ascii="Times New Roman" w:hAnsi="Times New Roman"/>
          <w:sz w:val="24"/>
          <w:szCs w:val="24"/>
          <w:lang w:val="en-GB"/>
        </w:rPr>
        <w:t>Keel (</w:t>
      </w:r>
      <w:r w:rsidRPr="00E23FFE">
        <w:rPr>
          <w:rFonts w:ascii="Times New Roman" w:hAnsi="Times New Roman"/>
          <w:color w:val="000000" w:themeColor="text1"/>
          <w:sz w:val="24"/>
          <w:szCs w:val="24"/>
        </w:rPr>
        <w:t xml:space="preserve">2017: </w:t>
      </w:r>
      <w:r w:rsidR="00A34A95" w:rsidRPr="00E23FFE">
        <w:rPr>
          <w:rFonts w:ascii="Times New Roman" w:hAnsi="Times New Roman"/>
          <w:color w:val="000000" w:themeColor="text1"/>
          <w:sz w:val="24"/>
          <w:szCs w:val="24"/>
          <w:lang w:val="en-US"/>
        </w:rPr>
        <w:t xml:space="preserve">No. </w:t>
      </w:r>
      <w:r w:rsidRPr="00E23FFE">
        <w:rPr>
          <w:rFonts w:ascii="Times New Roman" w:hAnsi="Times New Roman"/>
          <w:color w:val="000000" w:themeColor="text1"/>
          <w:sz w:val="24"/>
          <w:szCs w:val="24"/>
          <w:lang w:val="en-US"/>
        </w:rPr>
        <w:t xml:space="preserve">308, </w:t>
      </w:r>
      <w:r w:rsidRPr="00E23FFE">
        <w:rPr>
          <w:rFonts w:ascii="Times New Roman" w:hAnsi="Times New Roman"/>
          <w:color w:val="000000" w:themeColor="text1"/>
          <w:sz w:val="24"/>
          <w:szCs w:val="24"/>
        </w:rPr>
        <w:t>158–159)</w:t>
      </w:r>
      <w:r w:rsidR="00405E60" w:rsidRPr="00E23FFE">
        <w:rPr>
          <w:rFonts w:ascii="Times New Roman" w:hAnsi="Times New Roman"/>
          <w:color w:val="000000" w:themeColor="text1"/>
          <w:sz w:val="24"/>
          <w:szCs w:val="24"/>
          <w:lang w:val="en-US"/>
        </w:rPr>
        <w:t xml:space="preserve"> also notes</w:t>
      </w:r>
      <w:r w:rsidR="0005104C" w:rsidRPr="00E23FFE">
        <w:rPr>
          <w:rFonts w:ascii="Times New Roman" w:hAnsi="Times New Roman"/>
          <w:color w:val="000000" w:themeColor="text1"/>
          <w:sz w:val="24"/>
          <w:szCs w:val="24"/>
        </w:rPr>
        <w:t>,</w:t>
      </w:r>
      <w:r w:rsidRPr="00E23FFE">
        <w:rPr>
          <w:rFonts w:ascii="Times New Roman" w:hAnsi="Times New Roman"/>
          <w:color w:val="000000" w:themeColor="text1"/>
          <w:sz w:val="24"/>
          <w:szCs w:val="24"/>
        </w:rPr>
        <w:t xml:space="preserve"> </w:t>
      </w:r>
      <w:r w:rsidR="00114950" w:rsidRPr="00E23FFE">
        <w:rPr>
          <w:rFonts w:ascii="Times New Roman" w:hAnsi="Times New Roman"/>
          <w:sz w:val="24"/>
          <w:szCs w:val="24"/>
          <w:lang w:val="en-US"/>
        </w:rPr>
        <w:t>stat</w:t>
      </w:r>
      <w:r w:rsidR="0005104C" w:rsidRPr="00E23FFE">
        <w:rPr>
          <w:rFonts w:ascii="Times New Roman" w:hAnsi="Times New Roman"/>
          <w:sz w:val="24"/>
          <w:szCs w:val="24"/>
          <w:lang w:val="en-US"/>
        </w:rPr>
        <w:t>ing</w:t>
      </w:r>
      <w:r w:rsidR="00114950" w:rsidRPr="00E23FFE">
        <w:rPr>
          <w:rFonts w:ascii="Times New Roman" w:hAnsi="Times New Roman"/>
          <w:sz w:val="24"/>
          <w:szCs w:val="24"/>
          <w:lang w:val="en-US"/>
        </w:rPr>
        <w:t xml:space="preserve"> </w:t>
      </w:r>
      <w:r w:rsidRPr="00E23FFE">
        <w:rPr>
          <w:rFonts w:ascii="Times New Roman" w:hAnsi="Times New Roman"/>
          <w:sz w:val="24"/>
          <w:szCs w:val="24"/>
          <w:lang w:val="en-US"/>
        </w:rPr>
        <w:t>that it is MB</w:t>
      </w:r>
      <w:r w:rsidRPr="00E23FFE">
        <w:rPr>
          <w:rFonts w:ascii="Times New Roman" w:hAnsi="Times New Roman"/>
          <w:sz w:val="24"/>
          <w:szCs w:val="24"/>
        </w:rPr>
        <w:t xml:space="preserve"> IIB</w:t>
      </w:r>
      <w:r w:rsidRPr="00E23FFE">
        <w:rPr>
          <w:rFonts w:ascii="Times New Roman" w:hAnsi="Times New Roman"/>
          <w:sz w:val="24"/>
          <w:szCs w:val="24"/>
          <w:lang w:val="en-US"/>
        </w:rPr>
        <w:t xml:space="preserve">, </w:t>
      </w:r>
      <w:r w:rsidRPr="00E23FFE">
        <w:rPr>
          <w:rFonts w:ascii="Times New Roman" w:hAnsi="Times New Roman"/>
          <w:sz w:val="24"/>
          <w:szCs w:val="24"/>
        </w:rPr>
        <w:t>1650</w:t>
      </w:r>
      <w:r w:rsidRPr="00E23FFE">
        <w:rPr>
          <w:rFonts w:ascii="Times New Roman" w:hAnsi="Times New Roman"/>
          <w:sz w:val="24"/>
          <w:szCs w:val="24"/>
          <w:lang w:val="en-US"/>
        </w:rPr>
        <w:t>–</w:t>
      </w:r>
      <w:r w:rsidRPr="00E23FFE">
        <w:rPr>
          <w:rFonts w:ascii="Times New Roman" w:hAnsi="Times New Roman"/>
          <w:sz w:val="24"/>
          <w:szCs w:val="24"/>
        </w:rPr>
        <w:t>1550</w:t>
      </w:r>
      <w:r w:rsidRPr="00E23FFE">
        <w:rPr>
          <w:rFonts w:ascii="Times New Roman" w:hAnsi="Times New Roman"/>
          <w:sz w:val="24"/>
          <w:szCs w:val="24"/>
          <w:lang w:val="en-US"/>
        </w:rPr>
        <w:t xml:space="preserve"> BCE</w:t>
      </w:r>
      <w:r w:rsidRPr="001176E4">
        <w:rPr>
          <w:rFonts w:ascii="Times New Roman" w:hAnsi="Times New Roman"/>
          <w:sz w:val="24"/>
          <w:szCs w:val="24"/>
          <w:lang w:val="en-US"/>
        </w:rPr>
        <w:t xml:space="preserve">. It </w:t>
      </w:r>
      <w:r w:rsidR="007115B1">
        <w:rPr>
          <w:rFonts w:ascii="Times New Roman" w:hAnsi="Times New Roman"/>
          <w:sz w:val="24"/>
          <w:szCs w:val="24"/>
          <w:lang w:val="en-US"/>
        </w:rPr>
        <w:t>came</w:t>
      </w:r>
      <w:r w:rsidRPr="001176E4">
        <w:rPr>
          <w:rFonts w:ascii="Times New Roman" w:hAnsi="Times New Roman"/>
          <w:sz w:val="24"/>
          <w:szCs w:val="24"/>
          <w:lang w:val="en-US"/>
        </w:rPr>
        <w:t xml:space="preserve"> from </w:t>
      </w:r>
      <w:r w:rsidRPr="001176E4">
        <w:rPr>
          <w:rFonts w:ascii="Times New Roman" w:hAnsi="Times New Roman"/>
          <w:sz w:val="24"/>
          <w:szCs w:val="24"/>
        </w:rPr>
        <w:t xml:space="preserve">Grave D13, Reg. </w:t>
      </w:r>
      <w:r w:rsidRPr="001176E4">
        <w:rPr>
          <w:rFonts w:ascii="Times New Roman" w:hAnsi="Times New Roman"/>
          <w:sz w:val="24"/>
          <w:szCs w:val="24"/>
          <w:lang w:val="en-US"/>
        </w:rPr>
        <w:t>No</w:t>
      </w:r>
      <w:r w:rsidRPr="001176E4">
        <w:rPr>
          <w:rFonts w:ascii="Times New Roman" w:hAnsi="Times New Roman"/>
          <w:sz w:val="24"/>
          <w:szCs w:val="24"/>
        </w:rPr>
        <w:t>. 24</w:t>
      </w:r>
      <w:r w:rsidRPr="001176E4">
        <w:rPr>
          <w:rFonts w:ascii="Times New Roman" w:hAnsi="Times New Roman"/>
          <w:sz w:val="24"/>
          <w:szCs w:val="24"/>
          <w:lang w:val="en-US"/>
        </w:rPr>
        <w:t>.</w:t>
      </w:r>
      <w:r w:rsidRPr="001176E4">
        <w:rPr>
          <w:rFonts w:ascii="Times New Roman" w:hAnsi="Times New Roman"/>
          <w:sz w:val="24"/>
          <w:szCs w:val="24"/>
        </w:rPr>
        <w:t xml:space="preserve"> </w:t>
      </w:r>
      <w:r w:rsidRPr="001176E4">
        <w:rPr>
          <w:rFonts w:ascii="Times New Roman" w:hAnsi="Times New Roman"/>
          <w:sz w:val="24"/>
          <w:szCs w:val="24"/>
          <w:lang w:val="en-US"/>
        </w:rPr>
        <w:t xml:space="preserve">It is </w:t>
      </w:r>
      <w:r w:rsidRPr="001176E4">
        <w:rPr>
          <w:rFonts w:ascii="Times New Roman" w:hAnsi="Times New Roman"/>
          <w:sz w:val="24"/>
          <w:szCs w:val="24"/>
        </w:rPr>
        <w:t>unknown to which of Kenyon</w:t>
      </w:r>
      <w:r w:rsidRPr="001176E4">
        <w:rPr>
          <w:rFonts w:ascii="Times New Roman" w:hAnsi="Times New Roman"/>
          <w:sz w:val="24"/>
          <w:szCs w:val="24"/>
          <w:lang w:val="en-US"/>
        </w:rPr>
        <w:t>’</w:t>
      </w:r>
      <w:r w:rsidRPr="001176E4">
        <w:rPr>
          <w:rFonts w:ascii="Times New Roman" w:hAnsi="Times New Roman"/>
          <w:sz w:val="24"/>
          <w:szCs w:val="24"/>
        </w:rPr>
        <w:t>s groups the tomb belongs</w:t>
      </w:r>
      <w:r w:rsidRPr="001176E4">
        <w:rPr>
          <w:rFonts w:ascii="Times New Roman" w:hAnsi="Times New Roman"/>
          <w:sz w:val="24"/>
          <w:szCs w:val="24"/>
          <w:lang w:val="en-US"/>
        </w:rPr>
        <w:t>.</w:t>
      </w:r>
      <w:r w:rsidR="007115B1">
        <w:rPr>
          <w:rFonts w:ascii="Times New Roman" w:hAnsi="Times New Roman"/>
          <w:sz w:val="24"/>
          <w:szCs w:val="24"/>
          <w:lang w:val="en-US"/>
        </w:rPr>
        <w:t xml:space="preserve"> </w:t>
      </w:r>
      <w:r w:rsidR="007115B1" w:rsidRPr="00114950">
        <w:rPr>
          <w:rFonts w:ascii="Times New Roman" w:hAnsi="Times New Roman"/>
          <w:sz w:val="24"/>
          <w:szCs w:val="24"/>
          <w:lang w:val="en-US"/>
        </w:rPr>
        <w:t>The hea</w:t>
      </w:r>
      <w:r w:rsidR="00C43368" w:rsidRPr="00114950">
        <w:rPr>
          <w:rFonts w:ascii="Times New Roman" w:hAnsi="Times New Roman"/>
          <w:sz w:val="24"/>
          <w:szCs w:val="24"/>
          <w:lang w:val="en-US"/>
        </w:rPr>
        <w:t xml:space="preserve">d and back are like Scarab Two. </w:t>
      </w:r>
      <w:r w:rsidR="00114950" w:rsidRPr="00114950">
        <w:rPr>
          <w:rFonts w:ascii="Times New Roman" w:hAnsi="Times New Roman"/>
          <w:sz w:val="24"/>
          <w:szCs w:val="24"/>
          <w:lang w:val="en-US"/>
        </w:rPr>
        <w:t xml:space="preserve">The sides also appear to be like Scarab Two, but the damage inhibits a precise comparison. </w:t>
      </w:r>
    </w:p>
    <w:p w14:paraId="124195EB" w14:textId="77777777" w:rsidR="00622577" w:rsidRDefault="00622577" w:rsidP="004C5AE7">
      <w:pPr>
        <w:pStyle w:val="FootnoteText"/>
        <w:rPr>
          <w:color w:val="000000" w:themeColor="text1"/>
        </w:rPr>
      </w:pPr>
    </w:p>
    <w:p w14:paraId="1DA254CF" w14:textId="4E9A05CC" w:rsidR="00F2425A" w:rsidRPr="001176E4" w:rsidRDefault="00622577" w:rsidP="006159CE">
      <w:pPr>
        <w:jc w:val="center"/>
        <w:rPr>
          <w:rFonts w:cs="Times New Roman"/>
          <w:lang w:val="en-GB"/>
        </w:rPr>
      </w:pPr>
      <w:r>
        <w:rPr>
          <w:rFonts w:cs="Times New Roman"/>
          <w:lang w:val="en-GB"/>
        </w:rPr>
        <w:t>*</w:t>
      </w:r>
    </w:p>
    <w:p w14:paraId="5E926F3E" w14:textId="65EDF3A4" w:rsidR="007115B1" w:rsidRDefault="00A21661" w:rsidP="004C5AE7">
      <w:pPr>
        <w:pStyle w:val="FootnoteText"/>
        <w:rPr>
          <w:rFonts w:ascii="Times New Roman" w:hAnsi="Times New Roman"/>
          <w:sz w:val="24"/>
          <w:szCs w:val="24"/>
          <w:lang w:val="en-GB"/>
        </w:rPr>
      </w:pPr>
      <w:r w:rsidRPr="004C5AE7">
        <w:rPr>
          <w:rFonts w:ascii="Times New Roman" w:hAnsi="Times New Roman"/>
          <w:sz w:val="24"/>
          <w:szCs w:val="24"/>
          <w:lang w:val="en-GB"/>
        </w:rPr>
        <w:t xml:space="preserve">Figure </w:t>
      </w:r>
      <w:r w:rsidR="00B26593" w:rsidRPr="004C5AE7">
        <w:rPr>
          <w:rFonts w:ascii="Times New Roman" w:hAnsi="Times New Roman"/>
          <w:sz w:val="24"/>
          <w:szCs w:val="24"/>
          <w:lang w:val="en-GB"/>
        </w:rPr>
        <w:t>1</w:t>
      </w:r>
      <w:r w:rsidR="001176E4" w:rsidRPr="004C5AE7">
        <w:rPr>
          <w:rFonts w:ascii="Times New Roman" w:hAnsi="Times New Roman"/>
          <w:sz w:val="24"/>
          <w:szCs w:val="24"/>
          <w:lang w:val="en-GB"/>
        </w:rPr>
        <w:t>4</w:t>
      </w:r>
      <w:r w:rsidR="00B26593" w:rsidRPr="004C5AE7">
        <w:rPr>
          <w:rFonts w:ascii="Times New Roman" w:hAnsi="Times New Roman"/>
          <w:sz w:val="24"/>
          <w:szCs w:val="24"/>
          <w:lang w:val="en-GB"/>
        </w:rPr>
        <w:t xml:space="preserve">: </w:t>
      </w:r>
      <w:r w:rsidR="007115B1">
        <w:rPr>
          <w:rFonts w:ascii="Times New Roman" w:hAnsi="Times New Roman"/>
          <w:sz w:val="24"/>
          <w:szCs w:val="24"/>
          <w:lang w:val="en-GB"/>
        </w:rPr>
        <w:t>Similar Scarab from Jericho (</w:t>
      </w:r>
      <w:r w:rsidR="00114950" w:rsidRPr="001176E4">
        <w:rPr>
          <w:rFonts w:ascii="Times New Roman" w:hAnsi="Times New Roman"/>
          <w:color w:val="000000" w:themeColor="text1"/>
          <w:sz w:val="24"/>
          <w:szCs w:val="24"/>
        </w:rPr>
        <w:t xml:space="preserve">Keel 2017: </w:t>
      </w:r>
      <w:r w:rsidR="00114950">
        <w:rPr>
          <w:rFonts w:ascii="Times New Roman" w:hAnsi="Times New Roman"/>
          <w:color w:val="000000" w:themeColor="text1"/>
          <w:sz w:val="24"/>
          <w:szCs w:val="24"/>
          <w:lang w:val="en-US"/>
        </w:rPr>
        <w:t xml:space="preserve">#308, </w:t>
      </w:r>
      <w:r w:rsidR="00114950" w:rsidRPr="001176E4">
        <w:rPr>
          <w:rFonts w:ascii="Times New Roman" w:hAnsi="Times New Roman"/>
          <w:color w:val="000000" w:themeColor="text1"/>
          <w:sz w:val="24"/>
          <w:szCs w:val="24"/>
        </w:rPr>
        <w:t>158–159</w:t>
      </w:r>
      <w:r w:rsidR="007115B1">
        <w:rPr>
          <w:rFonts w:ascii="Times New Roman" w:hAnsi="Times New Roman"/>
          <w:sz w:val="24"/>
          <w:szCs w:val="24"/>
          <w:lang w:val="en-GB"/>
        </w:rPr>
        <w:t>).</w:t>
      </w:r>
    </w:p>
    <w:p w14:paraId="1F0C8F25" w14:textId="77777777" w:rsidR="003B5DDC" w:rsidRDefault="003B5DDC" w:rsidP="004C5AE7">
      <w:pPr>
        <w:pStyle w:val="FootnoteText"/>
        <w:rPr>
          <w:rFonts w:ascii="Times New Roman" w:hAnsi="Times New Roman"/>
          <w:sz w:val="24"/>
          <w:szCs w:val="24"/>
          <w:lang w:val="en-GB"/>
        </w:rPr>
      </w:pPr>
    </w:p>
    <w:p w14:paraId="3AC73168" w14:textId="7F0FAC01" w:rsidR="00F2425A" w:rsidRPr="003F75D3" w:rsidRDefault="00F2425A" w:rsidP="00B30320">
      <w:pPr>
        <w:rPr>
          <w:rFonts w:cs="Times New Roman"/>
          <w:b/>
          <w:bCs/>
          <w:i/>
          <w:iCs/>
          <w:color w:val="000000" w:themeColor="text1"/>
        </w:rPr>
      </w:pPr>
      <w:r w:rsidRPr="003F75D3">
        <w:rPr>
          <w:rFonts w:cs="Times New Roman"/>
          <w:b/>
          <w:bCs/>
          <w:i/>
          <w:iCs/>
          <w:color w:val="000000" w:themeColor="text1"/>
        </w:rPr>
        <w:t>Scarab Three</w:t>
      </w:r>
    </w:p>
    <w:p w14:paraId="5E40CEA1" w14:textId="77777777" w:rsidR="00D84731" w:rsidRPr="003F75D3" w:rsidRDefault="00D84731" w:rsidP="007573D9">
      <w:pPr>
        <w:rPr>
          <w:rFonts w:cs="Times New Roman"/>
          <w:lang w:val="en-GB"/>
        </w:rPr>
      </w:pPr>
    </w:p>
    <w:p w14:paraId="7743D8AE" w14:textId="5CF63E51" w:rsidR="00D84731" w:rsidRPr="003C1B25" w:rsidRDefault="00B30320" w:rsidP="007573D9">
      <w:pPr>
        <w:adjustRightInd w:val="0"/>
        <w:rPr>
          <w:rFonts w:cs="Times New Roman"/>
          <w:color w:val="000000" w:themeColor="text1"/>
          <w:highlight w:val="yellow"/>
        </w:rPr>
      </w:pPr>
      <w:r w:rsidRPr="003F75D3">
        <w:rPr>
          <w:rFonts w:cs="Times New Roman"/>
          <w:color w:val="000000" w:themeColor="text1"/>
          <w:lang w:val="en-GB"/>
        </w:rPr>
        <w:t xml:space="preserve">Preliminary </w:t>
      </w:r>
      <w:r w:rsidR="00D84731" w:rsidRPr="003F75D3">
        <w:rPr>
          <w:rFonts w:cs="Times New Roman"/>
          <w:color w:val="000000" w:themeColor="text1"/>
          <w:lang w:val="en-GB"/>
        </w:rPr>
        <w:t>Analysis: According to</w:t>
      </w:r>
      <w:r w:rsidR="00EF202D">
        <w:rPr>
          <w:rFonts w:cs="Times New Roman"/>
          <w:color w:val="000000" w:themeColor="text1"/>
          <w:lang w:val="en-GB"/>
        </w:rPr>
        <w:t xml:space="preserve"> Ben-Tor</w:t>
      </w:r>
      <w:r w:rsidR="00D84731" w:rsidRPr="003F75D3">
        <w:rPr>
          <w:rFonts w:cs="Times New Roman"/>
          <w:color w:val="000000" w:themeColor="text1"/>
          <w:lang w:val="en-GB"/>
        </w:rPr>
        <w:t>, the</w:t>
      </w:r>
      <w:r w:rsidR="00D84731" w:rsidRPr="003F75D3">
        <w:rPr>
          <w:rFonts w:cs="Times New Roman"/>
          <w:color w:val="000000" w:themeColor="text1"/>
        </w:rPr>
        <w:t xml:space="preserve"> design of this scarab indicates a Middle Bronze Age Canaanite production consistent with its context.</w:t>
      </w:r>
      <w:r w:rsidR="001D1A60">
        <w:rPr>
          <w:rStyle w:val="FootnoteReference"/>
          <w:rFonts w:cs="Times New Roman"/>
          <w:color w:val="000000" w:themeColor="text1"/>
        </w:rPr>
        <w:footnoteReference w:id="14"/>
      </w:r>
      <w:r w:rsidR="00D84731" w:rsidRPr="003F75D3">
        <w:rPr>
          <w:rFonts w:cs="Times New Roman"/>
          <w:color w:val="000000" w:themeColor="text1"/>
        </w:rPr>
        <w:t xml:space="preserve"> She</w:t>
      </w:r>
      <w:r w:rsidR="001A5202">
        <w:rPr>
          <w:rFonts w:cs="Times New Roman"/>
          <w:color w:val="000000" w:themeColor="text1"/>
        </w:rPr>
        <w:t xml:space="preserve"> </w:t>
      </w:r>
      <w:r w:rsidR="001A5202" w:rsidRPr="003F75D3">
        <w:rPr>
          <w:rFonts w:cs="Times New Roman"/>
          <w:color w:val="000000" w:themeColor="text1"/>
        </w:rPr>
        <w:t>(2007: 164–165)</w:t>
      </w:r>
      <w:r w:rsidR="00D84731" w:rsidRPr="003F75D3">
        <w:rPr>
          <w:rFonts w:cs="Times New Roman"/>
          <w:color w:val="000000" w:themeColor="text1"/>
        </w:rPr>
        <w:t xml:space="preserve"> assigns the scarab to the Late Palestinian Series</w:t>
      </w:r>
      <w:r w:rsidR="00D84731" w:rsidRPr="00C80030">
        <w:rPr>
          <w:rFonts w:cs="Times New Roman"/>
          <w:color w:val="000000" w:themeColor="text1"/>
        </w:rPr>
        <w:t>.</w:t>
      </w:r>
      <w:r w:rsidR="00704C7D" w:rsidRPr="00C80030">
        <w:rPr>
          <w:rStyle w:val="FootnoteReference"/>
          <w:rFonts w:cs="Times New Roman"/>
          <w:color w:val="000000" w:themeColor="text1"/>
        </w:rPr>
        <w:footnoteReference w:id="15"/>
      </w:r>
      <w:r w:rsidR="00D84731" w:rsidRPr="00C80030">
        <w:rPr>
          <w:rFonts w:cs="Times New Roman"/>
          <w:color w:val="000000" w:themeColor="text1"/>
        </w:rPr>
        <w:t xml:space="preserve"> She</w:t>
      </w:r>
      <w:r w:rsidR="008378F1">
        <w:rPr>
          <w:rFonts w:cs="Times New Roman"/>
          <w:color w:val="000000" w:themeColor="text1"/>
        </w:rPr>
        <w:t xml:space="preserve"> </w:t>
      </w:r>
      <w:r w:rsidR="008378F1">
        <w:rPr>
          <w:rFonts w:cs="Times New Roman"/>
          <w:color w:val="000000"/>
          <w:kern w:val="0"/>
        </w:rPr>
        <w:t>(2007: 133)</w:t>
      </w:r>
      <w:r w:rsidR="00D84731" w:rsidRPr="00C80030">
        <w:rPr>
          <w:rFonts w:cs="Times New Roman"/>
          <w:color w:val="000000" w:themeColor="text1"/>
        </w:rPr>
        <w:t xml:space="preserve"> </w:t>
      </w:r>
      <w:r w:rsidR="00D84731" w:rsidRPr="003F75D3">
        <w:rPr>
          <w:rFonts w:cs="Times New Roman"/>
          <w:color w:val="000000" w:themeColor="text1"/>
        </w:rPr>
        <w:t xml:space="preserve">describes the design as the </w:t>
      </w:r>
      <w:r w:rsidR="005C2B47">
        <w:rPr>
          <w:rFonts w:cs="Times New Roman"/>
          <w:color w:val="000000" w:themeColor="text1"/>
        </w:rPr>
        <w:t>“</w:t>
      </w:r>
      <w:proofErr w:type="spellStart"/>
      <w:r w:rsidR="00D84731" w:rsidRPr="003F75D3">
        <w:rPr>
          <w:rFonts w:cs="Times New Roman"/>
          <w:color w:val="000000"/>
          <w:kern w:val="0"/>
        </w:rPr>
        <w:t>anra</w:t>
      </w:r>
      <w:proofErr w:type="spellEnd"/>
      <w:r w:rsidR="005C2B47">
        <w:rPr>
          <w:rFonts w:cs="Times New Roman"/>
          <w:color w:val="000000"/>
          <w:kern w:val="0"/>
        </w:rPr>
        <w:t>” (</w:t>
      </w:r>
      <w:proofErr w:type="spellStart"/>
      <w:r w:rsidR="005C2B47" w:rsidRPr="000B2C40">
        <w:rPr>
          <w:rFonts w:cs="Times New Roman"/>
          <w:color w:val="000000" w:themeColor="text1"/>
        </w:rPr>
        <w:t>ʾ</w:t>
      </w:r>
      <w:r w:rsidR="005C2B47">
        <w:rPr>
          <w:rFonts w:cs="Times New Roman"/>
          <w:color w:val="000000" w:themeColor="text1"/>
        </w:rPr>
        <w:t>nr</w:t>
      </w:r>
      <w:r w:rsidR="005C2B47" w:rsidRPr="000B2C40">
        <w:rPr>
          <w:rFonts w:cs="Times New Roman"/>
          <w:color w:val="000000" w:themeColor="text1"/>
        </w:rPr>
        <w:t>ʾ</w:t>
      </w:r>
      <w:proofErr w:type="spellEnd"/>
      <w:r w:rsidR="005C2B47">
        <w:rPr>
          <w:rFonts w:cs="Times New Roman"/>
          <w:color w:val="000000" w:themeColor="text1"/>
        </w:rPr>
        <w:t xml:space="preserve">) </w:t>
      </w:r>
      <w:r w:rsidR="00D84731" w:rsidRPr="003F75D3">
        <w:rPr>
          <w:rFonts w:cs="Times New Roman"/>
          <w:color w:val="000000"/>
          <w:kern w:val="0"/>
        </w:rPr>
        <w:t>design (</w:t>
      </w:r>
      <w:r w:rsidR="00160C43">
        <w:rPr>
          <w:rFonts w:cs="Times New Roman"/>
          <w:color w:val="000000"/>
          <w:kern w:val="0"/>
        </w:rPr>
        <w:t xml:space="preserve">class </w:t>
      </w:r>
      <w:r w:rsidR="00D84731" w:rsidRPr="003F75D3">
        <w:rPr>
          <w:rFonts w:cs="Times New Roman"/>
          <w:color w:val="000000"/>
          <w:kern w:val="0"/>
        </w:rPr>
        <w:t xml:space="preserve">3C) which is a typical Canaanite design first appearing in the </w:t>
      </w:r>
      <w:r w:rsidR="00B05E5F">
        <w:rPr>
          <w:rFonts w:cs="Times New Roman"/>
          <w:color w:val="000000"/>
          <w:kern w:val="0"/>
        </w:rPr>
        <w:t>E</w:t>
      </w:r>
      <w:r w:rsidR="00D84731" w:rsidRPr="003F75D3">
        <w:rPr>
          <w:rFonts w:cs="Times New Roman"/>
          <w:color w:val="000000"/>
          <w:kern w:val="0"/>
        </w:rPr>
        <w:t xml:space="preserve">arly Palestinian series </w:t>
      </w:r>
      <w:r w:rsidR="00C80030">
        <w:rPr>
          <w:rFonts w:cs="Times New Roman"/>
          <w:color w:val="000000"/>
          <w:kern w:val="0"/>
        </w:rPr>
        <w:t>and more often in the Late Palestinian Series</w:t>
      </w:r>
      <w:r w:rsidR="00D84731" w:rsidRPr="003F75D3">
        <w:rPr>
          <w:rFonts w:cs="Times New Roman"/>
          <w:color w:val="000000"/>
          <w:kern w:val="0"/>
        </w:rPr>
        <w:t xml:space="preserve">. Based on the description from </w:t>
      </w:r>
      <w:r w:rsidR="00D84731" w:rsidRPr="001D1A60">
        <w:rPr>
          <w:rFonts w:cs="Times New Roman"/>
          <w:color w:val="000000"/>
          <w:kern w:val="0"/>
        </w:rPr>
        <w:t>van der Veen</w:t>
      </w:r>
      <w:r w:rsidR="001D1A60" w:rsidRPr="001D1A60">
        <w:rPr>
          <w:rFonts w:cs="Times New Roman"/>
          <w:color w:val="000000" w:themeColor="text1"/>
        </w:rPr>
        <w:t xml:space="preserve">, </w:t>
      </w:r>
      <w:r w:rsidR="00D84731" w:rsidRPr="001D1A60">
        <w:rPr>
          <w:rFonts w:cs="Times New Roman"/>
          <w:color w:val="000000" w:themeColor="text1"/>
        </w:rPr>
        <w:t>it is</w:t>
      </w:r>
      <w:r w:rsidR="00D84731" w:rsidRPr="003F75D3">
        <w:rPr>
          <w:rFonts w:cs="Times New Roman"/>
          <w:color w:val="000000" w:themeColor="text1"/>
        </w:rPr>
        <w:t xml:space="preserve"> a scarab with pseudo-hieroglyphs in three columns with the central column reading </w:t>
      </w:r>
      <w:proofErr w:type="spellStart"/>
      <w:r w:rsidR="00D84731" w:rsidRPr="003F75D3">
        <w:rPr>
          <w:rFonts w:cs="Times New Roman"/>
          <w:color w:val="000000" w:themeColor="text1"/>
        </w:rPr>
        <w:t>Kheper</w:t>
      </w:r>
      <w:proofErr w:type="spellEnd"/>
      <w:r w:rsidR="00D84731" w:rsidRPr="003F75D3">
        <w:rPr>
          <w:rFonts w:cs="Times New Roman"/>
          <w:color w:val="000000" w:themeColor="text1"/>
        </w:rPr>
        <w:t>-ka-Re (</w:t>
      </w:r>
      <w:proofErr w:type="spellStart"/>
      <w:r w:rsidR="00D84731" w:rsidRPr="003F75D3">
        <w:rPr>
          <w:rFonts w:cs="Times New Roman"/>
          <w:color w:val="000000" w:themeColor="text1"/>
        </w:rPr>
        <w:t>ḫpr</w:t>
      </w:r>
      <w:proofErr w:type="spellEnd"/>
      <w:r w:rsidR="00D84731" w:rsidRPr="003F75D3">
        <w:rPr>
          <w:rFonts w:cs="Times New Roman"/>
          <w:color w:val="000000" w:themeColor="text1"/>
        </w:rPr>
        <w:t>, r, k3, r, ).</w:t>
      </w:r>
      <w:r w:rsidR="001D1A60">
        <w:rPr>
          <w:rStyle w:val="FootnoteReference"/>
          <w:rFonts w:cs="Times New Roman"/>
          <w:color w:val="000000" w:themeColor="text1"/>
        </w:rPr>
        <w:footnoteReference w:id="16"/>
      </w:r>
      <w:r w:rsidR="00C10E00">
        <w:rPr>
          <w:rFonts w:cs="Times New Roman"/>
          <w:color w:val="000000" w:themeColor="text1"/>
        </w:rPr>
        <w:t xml:space="preserve"> </w:t>
      </w:r>
      <w:r w:rsidR="00C10E00" w:rsidRPr="007573D9">
        <w:rPr>
          <w:rFonts w:cs="Times New Roman"/>
          <w:color w:val="000000" w:themeColor="text1"/>
        </w:rPr>
        <w:t xml:space="preserve">The scarab has the </w:t>
      </w:r>
      <w:r w:rsidR="00C10E00">
        <w:rPr>
          <w:rFonts w:cs="Times New Roman"/>
          <w:color w:val="000000" w:themeColor="text1"/>
        </w:rPr>
        <w:t>“</w:t>
      </w:r>
      <w:proofErr w:type="spellStart"/>
      <w:r w:rsidR="00C10E00" w:rsidRPr="007573D9">
        <w:rPr>
          <w:rFonts w:cs="Times New Roman"/>
          <w:color w:val="000000" w:themeColor="text1"/>
        </w:rPr>
        <w:t>anra</w:t>
      </w:r>
      <w:proofErr w:type="spellEnd"/>
      <w:r w:rsidR="00C10E00">
        <w:rPr>
          <w:rFonts w:cs="Times New Roman"/>
          <w:color w:val="000000" w:themeColor="text1"/>
        </w:rPr>
        <w:t>” (</w:t>
      </w:r>
      <w:proofErr w:type="spellStart"/>
      <w:r w:rsidR="00C10E00" w:rsidRPr="000B2C40">
        <w:rPr>
          <w:rFonts w:cs="Times New Roman"/>
          <w:color w:val="000000" w:themeColor="text1"/>
        </w:rPr>
        <w:t>ʾ</w:t>
      </w:r>
      <w:r w:rsidR="00C10E00">
        <w:rPr>
          <w:rFonts w:cs="Times New Roman"/>
          <w:color w:val="000000" w:themeColor="text1"/>
        </w:rPr>
        <w:t>nr</w:t>
      </w:r>
      <w:r w:rsidR="00C10E00" w:rsidRPr="000B2C40">
        <w:rPr>
          <w:rFonts w:cs="Times New Roman"/>
          <w:color w:val="000000" w:themeColor="text1"/>
        </w:rPr>
        <w:t>ʾ</w:t>
      </w:r>
      <w:proofErr w:type="spellEnd"/>
      <w:r w:rsidR="00C10E00">
        <w:rPr>
          <w:rFonts w:cs="Times New Roman"/>
          <w:color w:val="000000" w:themeColor="text1"/>
        </w:rPr>
        <w:t>)</w:t>
      </w:r>
      <w:r w:rsidR="00C10E00" w:rsidRPr="007573D9">
        <w:rPr>
          <w:rFonts w:cs="Times New Roman"/>
          <w:color w:val="000000" w:themeColor="text1"/>
        </w:rPr>
        <w:t xml:space="preserve"> composition which </w:t>
      </w:r>
      <w:r w:rsidR="00C10E00" w:rsidRPr="00C80030">
        <w:rPr>
          <w:rFonts w:cs="Times New Roman"/>
          <w:color w:val="000000" w:themeColor="text1"/>
        </w:rPr>
        <w:t>van der Veen indicates</w:t>
      </w:r>
      <w:r w:rsidR="00C10E00" w:rsidRPr="007573D9">
        <w:rPr>
          <w:rFonts w:cs="Times New Roman"/>
          <w:color w:val="000000" w:themeColor="text1"/>
        </w:rPr>
        <w:t xml:space="preserve"> sugges</w:t>
      </w:r>
      <w:r w:rsidR="00C10E00">
        <w:rPr>
          <w:rFonts w:cs="Times New Roman"/>
          <w:color w:val="000000" w:themeColor="text1"/>
        </w:rPr>
        <w:t>ts</w:t>
      </w:r>
      <w:r w:rsidR="00C10E00" w:rsidRPr="007573D9">
        <w:rPr>
          <w:rFonts w:cs="Times New Roman"/>
          <w:color w:val="000000" w:themeColor="text1"/>
        </w:rPr>
        <w:t xml:space="preserve"> a later Canaanite production.</w:t>
      </w:r>
      <w:r w:rsidR="00C10E00">
        <w:rPr>
          <w:rStyle w:val="FootnoteReference"/>
          <w:rFonts w:cs="Times New Roman"/>
          <w:color w:val="000000" w:themeColor="text1"/>
        </w:rPr>
        <w:footnoteReference w:id="17"/>
      </w:r>
    </w:p>
    <w:p w14:paraId="512B7401" w14:textId="77777777" w:rsidR="003F75D3" w:rsidRDefault="003F75D3" w:rsidP="003C1B25">
      <w:pPr>
        <w:autoSpaceDE w:val="0"/>
        <w:autoSpaceDN w:val="0"/>
        <w:adjustRightInd w:val="0"/>
        <w:rPr>
          <w:rFonts w:cs="Times New Roman"/>
          <w:color w:val="000000" w:themeColor="text1"/>
          <w:highlight w:val="yellow"/>
        </w:rPr>
      </w:pPr>
    </w:p>
    <w:p w14:paraId="42AE11C1" w14:textId="796F6F25" w:rsidR="003C1B25" w:rsidRDefault="00B30320" w:rsidP="003C1B25">
      <w:pPr>
        <w:autoSpaceDE w:val="0"/>
        <w:autoSpaceDN w:val="0"/>
        <w:adjustRightInd w:val="0"/>
        <w:rPr>
          <w:rFonts w:cs="Times New Roman"/>
        </w:rPr>
      </w:pPr>
      <w:r w:rsidRPr="00F16DBD">
        <w:rPr>
          <w:rFonts w:cs="Times New Roman"/>
          <w:color w:val="000000" w:themeColor="text1"/>
        </w:rPr>
        <w:t xml:space="preserve">Analysis: </w:t>
      </w:r>
      <w:r w:rsidR="003C1B25" w:rsidRPr="00F16DBD">
        <w:rPr>
          <w:rFonts w:cs="Times New Roman"/>
          <w:color w:val="000000" w:themeColor="text1"/>
          <w:spacing w:val="-2"/>
          <w:w w:val="105"/>
        </w:rPr>
        <w:t xml:space="preserve">This scarab derives its date from </w:t>
      </w:r>
      <w:r w:rsidR="00A12AB7">
        <w:rPr>
          <w:rFonts w:cs="Times New Roman"/>
          <w:color w:val="000000" w:themeColor="text1"/>
          <w:spacing w:val="-2"/>
          <w:w w:val="105"/>
        </w:rPr>
        <w:t>the</w:t>
      </w:r>
      <w:r w:rsidR="00A12AB7" w:rsidRPr="00F16DBD">
        <w:rPr>
          <w:rFonts w:cs="Times New Roman"/>
          <w:color w:val="000000" w:themeColor="text1"/>
          <w:spacing w:val="-2"/>
          <w:w w:val="105"/>
        </w:rPr>
        <w:t xml:space="preserve"> </w:t>
      </w:r>
      <w:r w:rsidR="003C1B25" w:rsidRPr="00F16DBD">
        <w:rPr>
          <w:rFonts w:cs="Times New Roman"/>
          <w:color w:val="000000" w:themeColor="text1"/>
          <w:spacing w:val="-2"/>
          <w:w w:val="105"/>
        </w:rPr>
        <w:t xml:space="preserve">context, hieroglyphs, and typology. It came </w:t>
      </w:r>
      <w:r w:rsidR="003C1B25" w:rsidRPr="00F16DBD">
        <w:rPr>
          <w:rFonts w:cs="Times New Roman"/>
          <w:lang w:val="en-GB"/>
        </w:rPr>
        <w:t xml:space="preserve">from a clean context in Square </w:t>
      </w:r>
      <w:r w:rsidR="003C1B25" w:rsidRPr="00F16DBD">
        <w:rPr>
          <w:rFonts w:cs="Times New Roman"/>
        </w:rPr>
        <w:t xml:space="preserve">AE30 </w:t>
      </w:r>
      <w:r w:rsidR="003F75D3" w:rsidRPr="00F16DBD">
        <w:rPr>
          <w:rFonts w:cs="Times New Roman"/>
        </w:rPr>
        <w:t xml:space="preserve">as noted above </w:t>
      </w:r>
      <w:r w:rsidR="003C1B25" w:rsidRPr="00F16DBD">
        <w:rPr>
          <w:rFonts w:cs="Times New Roman"/>
        </w:rPr>
        <w:t>(Locus 14, Room AA, Stratum 7, MB III) (Stripling 2018: 31).</w:t>
      </w:r>
    </w:p>
    <w:p w14:paraId="092951CD" w14:textId="77777777" w:rsidR="00C10E00" w:rsidRDefault="00C10E00" w:rsidP="00307C95">
      <w:pPr>
        <w:autoSpaceDE w:val="0"/>
        <w:autoSpaceDN w:val="0"/>
        <w:adjustRightInd w:val="0"/>
        <w:ind w:firstLine="720"/>
        <w:rPr>
          <w:rFonts w:cs="Times New Roman"/>
        </w:rPr>
      </w:pPr>
    </w:p>
    <w:p w14:paraId="4761317C" w14:textId="23FC3841" w:rsidR="00160C43" w:rsidRDefault="003C1B25" w:rsidP="00AD5200">
      <w:pPr>
        <w:autoSpaceDE w:val="0"/>
        <w:autoSpaceDN w:val="0"/>
        <w:adjustRightInd w:val="0"/>
        <w:rPr>
          <w:rFonts w:cs="Times New Roman"/>
          <w:kern w:val="0"/>
        </w:rPr>
      </w:pPr>
      <w:r w:rsidRPr="007573D9">
        <w:rPr>
          <w:rFonts w:cs="Times New Roman"/>
        </w:rPr>
        <w:t xml:space="preserve">As stated in </w:t>
      </w:r>
      <w:r w:rsidR="0062672C">
        <w:rPr>
          <w:rFonts w:cs="Times New Roman"/>
        </w:rPr>
        <w:t>the previous</w:t>
      </w:r>
      <w:r w:rsidRPr="007573D9">
        <w:rPr>
          <w:rFonts w:cs="Times New Roman"/>
        </w:rPr>
        <w:t xml:space="preserve"> analysis,</w:t>
      </w:r>
      <w:r w:rsidR="00160C43">
        <w:rPr>
          <w:rFonts w:cs="Times New Roman"/>
          <w:kern w:val="0"/>
        </w:rPr>
        <w:t xml:space="preserve"> head type </w:t>
      </w:r>
      <w:r w:rsidRPr="007573D9">
        <w:rPr>
          <w:rFonts w:cs="Times New Roman"/>
          <w:kern w:val="0"/>
        </w:rPr>
        <w:t>B2 is typically found in the Early Palestinian Series and is rarely found in the Late Palestinian Series</w:t>
      </w:r>
      <w:r w:rsidR="00AD5200">
        <w:rPr>
          <w:rFonts w:cs="Times New Roman"/>
          <w:kern w:val="0"/>
        </w:rPr>
        <w:t xml:space="preserve">. </w:t>
      </w:r>
    </w:p>
    <w:p w14:paraId="6315F87C" w14:textId="77777777" w:rsidR="00AD5200" w:rsidRDefault="00AD5200" w:rsidP="00AD5200">
      <w:pPr>
        <w:autoSpaceDE w:val="0"/>
        <w:autoSpaceDN w:val="0"/>
        <w:adjustRightInd w:val="0"/>
        <w:rPr>
          <w:rFonts w:cs="Times New Roman"/>
          <w:kern w:val="0"/>
        </w:rPr>
      </w:pPr>
    </w:p>
    <w:p w14:paraId="051748B5" w14:textId="0803AA83" w:rsidR="0052098A" w:rsidRDefault="009341CF" w:rsidP="0052098A">
      <w:pPr>
        <w:ind w:firstLine="720"/>
        <w:rPr>
          <w:rFonts w:cs="Times New Roman"/>
          <w:lang w:val="en-GB"/>
        </w:rPr>
      </w:pPr>
      <w:r w:rsidRPr="006C540C">
        <w:rPr>
          <w:rFonts w:cs="Times New Roman"/>
          <w:lang w:val="en-GB"/>
        </w:rPr>
        <w:t xml:space="preserve">As with Scarab Two, </w:t>
      </w:r>
      <w:r w:rsidR="0052098A" w:rsidRPr="006C540C">
        <w:rPr>
          <w:rFonts w:cs="Times New Roman"/>
          <w:lang w:val="en-GB"/>
        </w:rPr>
        <w:t xml:space="preserve">the </w:t>
      </w:r>
      <w:r w:rsidRPr="006C540C">
        <w:rPr>
          <w:rFonts w:cs="Times New Roman"/>
          <w:lang w:val="en-GB"/>
        </w:rPr>
        <w:t xml:space="preserve">back type </w:t>
      </w:r>
      <w:r w:rsidR="0052098A" w:rsidRPr="006C540C">
        <w:rPr>
          <w:rFonts w:cs="Times New Roman"/>
          <w:lang w:val="en-GB"/>
        </w:rPr>
        <w:t xml:space="preserve">is </w:t>
      </w:r>
      <w:r w:rsidRPr="006C540C">
        <w:rPr>
          <w:rFonts w:cs="Times New Roman"/>
          <w:lang w:val="en-GB"/>
        </w:rPr>
        <w:t xml:space="preserve">O </w:t>
      </w:r>
      <w:r w:rsidR="003C31CB">
        <w:rPr>
          <w:rFonts w:cs="Times New Roman"/>
          <w:lang w:val="en-GB"/>
        </w:rPr>
        <w:t xml:space="preserve">following Tufnell’s classification </w:t>
      </w:r>
      <w:r w:rsidRPr="006C540C">
        <w:rPr>
          <w:rFonts w:cs="Times New Roman"/>
          <w:lang w:val="en-GB"/>
        </w:rPr>
        <w:t xml:space="preserve">or </w:t>
      </w:r>
      <w:r w:rsidR="006C540C" w:rsidRPr="006C540C">
        <w:rPr>
          <w:rFonts w:cs="Times New Roman"/>
          <w:lang w:val="en-GB"/>
        </w:rPr>
        <w:t>PS (Plain Stylistic)</w:t>
      </w:r>
      <w:r w:rsidR="006C540C">
        <w:rPr>
          <w:rFonts w:cs="Times New Roman"/>
          <w:lang w:val="en-GB"/>
        </w:rPr>
        <w:t xml:space="preserve"> </w:t>
      </w:r>
      <w:r w:rsidRPr="006C540C">
        <w:rPr>
          <w:rFonts w:cs="Times New Roman"/>
          <w:lang w:val="en-GB"/>
        </w:rPr>
        <w:t>following Ward and Dever</w:t>
      </w:r>
      <w:r w:rsidR="006C540C">
        <w:rPr>
          <w:rFonts w:cs="Times New Roman"/>
          <w:lang w:val="en-GB"/>
        </w:rPr>
        <w:t>’s classification</w:t>
      </w:r>
      <w:r w:rsidR="003C31CB">
        <w:rPr>
          <w:rFonts w:cs="Times New Roman"/>
          <w:lang w:val="en-GB"/>
        </w:rPr>
        <w:t xml:space="preserve"> and </w:t>
      </w:r>
      <w:r w:rsidR="0052098A" w:rsidRPr="006C540C">
        <w:t>is more common than lined backs</w:t>
      </w:r>
      <w:r w:rsidR="0052098A" w:rsidRPr="006C540C">
        <w:rPr>
          <w:rFonts w:cs="Times New Roman"/>
          <w:lang w:val="en-GB"/>
        </w:rPr>
        <w:t xml:space="preserve"> </w:t>
      </w:r>
      <w:r w:rsidR="0052098A" w:rsidRPr="006C540C">
        <w:t xml:space="preserve">on the early Canaanite scarabs </w:t>
      </w:r>
      <w:r w:rsidR="0052098A" w:rsidRPr="006C540C">
        <w:rPr>
          <w:rFonts w:cs="Times New Roman"/>
          <w:lang w:val="en-GB"/>
        </w:rPr>
        <w:t xml:space="preserve">(Early Palestinian Series) </w:t>
      </w:r>
      <w:r w:rsidR="0052098A" w:rsidRPr="006C540C">
        <w:t>with type B2 head</w:t>
      </w:r>
      <w:r w:rsidR="00A12AB7">
        <w:t>s</w:t>
      </w:r>
      <w:r w:rsidR="0052098A" w:rsidRPr="006C540C">
        <w:rPr>
          <w:rFonts w:cs="Times New Roman"/>
          <w:lang w:val="en-GB"/>
        </w:rPr>
        <w:t>.</w:t>
      </w:r>
    </w:p>
    <w:p w14:paraId="47F4D682" w14:textId="710D521E" w:rsidR="00C80030" w:rsidRDefault="00307C95" w:rsidP="00307C95">
      <w:pPr>
        <w:autoSpaceDE w:val="0"/>
        <w:autoSpaceDN w:val="0"/>
        <w:adjustRightInd w:val="0"/>
        <w:ind w:firstLine="720"/>
        <w:rPr>
          <w:rFonts w:cs="Times New Roman"/>
          <w:kern w:val="0"/>
        </w:rPr>
      </w:pPr>
      <w:r w:rsidRPr="001C4A02">
        <w:rPr>
          <w:rFonts w:cs="Times New Roman"/>
          <w:kern w:val="0"/>
        </w:rPr>
        <w:lastRenderedPageBreak/>
        <w:t>The sides</w:t>
      </w:r>
      <w:r w:rsidR="00550995">
        <w:rPr>
          <w:rFonts w:cs="Times New Roman"/>
          <w:kern w:val="0"/>
        </w:rPr>
        <w:t xml:space="preserve"> are</w:t>
      </w:r>
      <w:r w:rsidRPr="001C4A02">
        <w:rPr>
          <w:rFonts w:cs="Times New Roman"/>
          <w:kern w:val="0"/>
        </w:rPr>
        <w:t xml:space="preserve"> </w:t>
      </w:r>
      <w:r w:rsidR="006C540C">
        <w:rPr>
          <w:rFonts w:cs="Times New Roman"/>
          <w:lang w:val="en-GB"/>
        </w:rPr>
        <w:t>type</w:t>
      </w:r>
      <w:r w:rsidR="006C540C" w:rsidRPr="001C4A02">
        <w:rPr>
          <w:rFonts w:cs="Times New Roman"/>
          <w:lang w:val="en-GB"/>
        </w:rPr>
        <w:t xml:space="preserve"> </w:t>
      </w:r>
      <w:r w:rsidR="00160C43">
        <w:rPr>
          <w:rFonts w:cs="Times New Roman"/>
          <w:lang w:val="en-GB"/>
        </w:rPr>
        <w:t>e</w:t>
      </w:r>
      <w:r w:rsidRPr="001C4A02">
        <w:rPr>
          <w:rFonts w:cs="Times New Roman"/>
          <w:lang w:val="en-GB"/>
        </w:rPr>
        <w:t>6c (Tufnell 1984: 36</w:t>
      </w:r>
      <w:r w:rsidR="00F10E64">
        <w:rPr>
          <w:rFonts w:cs="Times New Roman"/>
          <w:lang w:val="en-GB"/>
        </w:rPr>
        <w:t>–37</w:t>
      </w:r>
      <w:r w:rsidRPr="001C4A02">
        <w:rPr>
          <w:rFonts w:cs="Times New Roman"/>
          <w:lang w:val="en-GB"/>
        </w:rPr>
        <w:t xml:space="preserve">), or </w:t>
      </w:r>
      <w:r w:rsidR="006C540C">
        <w:rPr>
          <w:rFonts w:cs="Times New Roman"/>
          <w:lang w:val="en-GB"/>
        </w:rPr>
        <w:t>type</w:t>
      </w:r>
      <w:r w:rsidR="006C540C" w:rsidRPr="001C4A02">
        <w:rPr>
          <w:rFonts w:cs="Times New Roman"/>
          <w:lang w:val="en-GB"/>
        </w:rPr>
        <w:t xml:space="preserve"> </w:t>
      </w:r>
      <w:r w:rsidR="00160C43">
        <w:rPr>
          <w:rFonts w:cs="Times New Roman"/>
          <w:lang w:val="en-GB"/>
        </w:rPr>
        <w:t>e</w:t>
      </w:r>
      <w:r w:rsidRPr="001C4A02">
        <w:rPr>
          <w:rFonts w:cs="Times New Roman"/>
          <w:lang w:val="en-GB"/>
        </w:rPr>
        <w:t xml:space="preserve">6 per Ward and </w:t>
      </w:r>
      <w:r w:rsidRPr="002E210B">
        <w:rPr>
          <w:rFonts w:cs="Times New Roman"/>
          <w:lang w:val="en-GB"/>
        </w:rPr>
        <w:t>Dever’s</w:t>
      </w:r>
      <w:r w:rsidR="008378F1">
        <w:rPr>
          <w:rFonts w:cs="Times New Roman"/>
          <w:lang w:val="en-GB"/>
        </w:rPr>
        <w:t xml:space="preserve"> </w:t>
      </w:r>
      <w:r w:rsidR="008378F1" w:rsidRPr="001C4A02">
        <w:rPr>
          <w:rFonts w:cs="Times New Roman"/>
          <w:lang w:val="en-GB"/>
        </w:rPr>
        <w:t>(1994: 164–165)</w:t>
      </w:r>
      <w:r w:rsidR="002E210B">
        <w:rPr>
          <w:rFonts w:cs="Times New Roman"/>
          <w:lang w:val="en-GB"/>
        </w:rPr>
        <w:t xml:space="preserve"> classification</w:t>
      </w:r>
      <w:r w:rsidR="008378F1">
        <w:rPr>
          <w:rFonts w:cs="Times New Roman"/>
          <w:lang w:val="en-GB"/>
        </w:rPr>
        <w:t>. This type of side</w:t>
      </w:r>
      <w:r w:rsidRPr="001C4A02">
        <w:rPr>
          <w:rFonts w:cs="Times New Roman"/>
          <w:lang w:val="en-GB"/>
        </w:rPr>
        <w:t xml:space="preserve"> </w:t>
      </w:r>
      <w:r w:rsidRPr="001C4A02">
        <w:rPr>
          <w:rFonts w:cs="Times New Roman"/>
          <w:kern w:val="0"/>
        </w:rPr>
        <w:t>appear</w:t>
      </w:r>
      <w:r w:rsidR="008378F1">
        <w:rPr>
          <w:rFonts w:cs="Times New Roman"/>
          <w:kern w:val="0"/>
        </w:rPr>
        <w:t>s</w:t>
      </w:r>
      <w:r w:rsidRPr="001C4A02">
        <w:rPr>
          <w:rFonts w:cs="Times New Roman"/>
          <w:kern w:val="0"/>
        </w:rPr>
        <w:t xml:space="preserve"> in Late Middle Kingdom Egyptian scarabs (Ben-Tor 2007: 41, 103) </w:t>
      </w:r>
      <w:r w:rsidR="008378F1">
        <w:rPr>
          <w:rFonts w:cs="Times New Roman"/>
          <w:kern w:val="0"/>
        </w:rPr>
        <w:t>and</w:t>
      </w:r>
      <w:r w:rsidR="008378F1" w:rsidRPr="001C4A02">
        <w:rPr>
          <w:rFonts w:cs="Times New Roman"/>
          <w:kern w:val="0"/>
        </w:rPr>
        <w:t xml:space="preserve"> </w:t>
      </w:r>
      <w:r w:rsidRPr="001C4A02">
        <w:rPr>
          <w:rFonts w:cs="Times New Roman"/>
          <w:kern w:val="0"/>
        </w:rPr>
        <w:t xml:space="preserve">in the Late Palestinian Series (Ben-Tor 2007: 165), which imitate Egyptian Middle Kingdom styles (Ben-Tor 2007: 186). </w:t>
      </w:r>
    </w:p>
    <w:p w14:paraId="38A92E41" w14:textId="77777777" w:rsidR="003C1B25" w:rsidRPr="007573D9" w:rsidRDefault="003C1B25" w:rsidP="00C13283">
      <w:pPr>
        <w:autoSpaceDE w:val="0"/>
        <w:autoSpaceDN w:val="0"/>
        <w:adjustRightInd w:val="0"/>
        <w:ind w:firstLine="720"/>
        <w:rPr>
          <w:rFonts w:cs="Times New Roman"/>
          <w:color w:val="000000" w:themeColor="text1"/>
        </w:rPr>
      </w:pPr>
    </w:p>
    <w:p w14:paraId="4D603E17" w14:textId="2310F1BE" w:rsidR="003C1B25" w:rsidRPr="007573D9" w:rsidRDefault="003C1B25" w:rsidP="003C1B25">
      <w:pPr>
        <w:adjustRightInd w:val="0"/>
        <w:rPr>
          <w:rFonts w:cs="Times New Roman"/>
        </w:rPr>
      </w:pPr>
      <w:r w:rsidRPr="007573D9">
        <w:rPr>
          <w:rFonts w:cs="Times New Roman"/>
        </w:rPr>
        <w:t>Signs (center column): Reading from top to bottom, the first sign is a scarab beetle, L1 [</w:t>
      </w:r>
      <w:r w:rsidRPr="007573D9">
        <w:rPr>
          <w:rFonts w:ascii="Segoe UI Historic" w:hAnsi="Segoe UI Historic" w:cs="Segoe UI Historic"/>
        </w:rPr>
        <w:t>𓆣</w:t>
      </w:r>
      <w:r w:rsidRPr="007573D9">
        <w:rPr>
          <w:rFonts w:cs="Times New Roman"/>
        </w:rPr>
        <w:t>] (Gardiner 1927: 467). The second sign appears to be a mouth, D21 [</w:t>
      </w:r>
      <w:r w:rsidRPr="007573D9">
        <w:rPr>
          <w:rFonts w:ascii="Segoe UI Historic" w:hAnsi="Segoe UI Historic" w:cs="Segoe UI Historic"/>
        </w:rPr>
        <w:t>𓂋</w:t>
      </w:r>
      <w:r w:rsidRPr="007573D9">
        <w:rPr>
          <w:rFonts w:cs="Times New Roman"/>
        </w:rPr>
        <w:t>] (Gardiner 1927: 444). The third sign is two arms, D28 [</w:t>
      </w:r>
      <w:r w:rsidRPr="007573D9">
        <w:rPr>
          <w:rFonts w:ascii="Segoe UI Historic" w:hAnsi="Segoe UI Historic" w:cs="Segoe UI Historic"/>
        </w:rPr>
        <w:t>𓂓</w:t>
      </w:r>
      <w:r w:rsidRPr="007573D9">
        <w:rPr>
          <w:rFonts w:cs="Times New Roman"/>
        </w:rPr>
        <w:t>] (Gardiner 1927: 445). The last sign, like the second sign, appears to be a mouth.</w:t>
      </w:r>
    </w:p>
    <w:p w14:paraId="003AE754" w14:textId="77777777" w:rsidR="003C1B25" w:rsidRPr="007573D9" w:rsidRDefault="003C1B25" w:rsidP="003C1B25">
      <w:pPr>
        <w:adjustRightInd w:val="0"/>
        <w:rPr>
          <w:rFonts w:cs="Times New Roman"/>
        </w:rPr>
      </w:pPr>
    </w:p>
    <w:p w14:paraId="6EC9355D" w14:textId="0BCCE181" w:rsidR="003C1B25" w:rsidRDefault="003C1B25" w:rsidP="003C1B25">
      <w:pPr>
        <w:adjustRightInd w:val="0"/>
        <w:rPr>
          <w:rFonts w:cs="Times New Roman"/>
        </w:rPr>
      </w:pPr>
      <w:r w:rsidRPr="007573D9">
        <w:rPr>
          <w:rFonts w:cs="Times New Roman"/>
        </w:rPr>
        <w:t>Other Signs (left and right columns): The outside columns contain the same signs inscribed to the immediate left and right of the center column. The first sign is probably a sedge plant, M23 [</w:t>
      </w:r>
      <w:r w:rsidRPr="007573D9">
        <w:rPr>
          <w:rFonts w:ascii="Segoe UI Historic" w:hAnsi="Segoe UI Historic" w:cs="Segoe UI Historic"/>
        </w:rPr>
        <w:t>𓇓</w:t>
      </w:r>
      <w:r w:rsidRPr="007573D9">
        <w:rPr>
          <w:rFonts w:cs="Times New Roman"/>
        </w:rPr>
        <w:t>] (Gardiner 1927: 471) but could be a</w:t>
      </w:r>
      <w:r w:rsidR="00745AB4">
        <w:rPr>
          <w:rFonts w:cs="Times New Roman"/>
        </w:rPr>
        <w:t xml:space="preserve"> supinated</w:t>
      </w:r>
      <w:r w:rsidRPr="007573D9">
        <w:rPr>
          <w:rFonts w:cs="Times New Roman"/>
        </w:rPr>
        <w:t xml:space="preserve"> hand with curved palm, D47 [</w:t>
      </w:r>
      <w:r w:rsidRPr="007573D9">
        <w:rPr>
          <w:rFonts w:ascii="Segoe UI Historic" w:hAnsi="Segoe UI Historic" w:cs="Segoe UI Historic"/>
        </w:rPr>
        <w:t>𓂩</w:t>
      </w:r>
      <w:r w:rsidRPr="007573D9">
        <w:rPr>
          <w:rFonts w:cs="Times New Roman"/>
        </w:rPr>
        <w:t>] (Gardiner 1927: 447), above the second sign, a mouth, D21 [</w:t>
      </w:r>
      <w:r w:rsidRPr="007573D9">
        <w:rPr>
          <w:rFonts w:ascii="Segoe UI Historic" w:hAnsi="Segoe UI Historic" w:cs="Segoe UI Historic"/>
        </w:rPr>
        <w:t>𓂋</w:t>
      </w:r>
      <w:r w:rsidRPr="007573D9">
        <w:rPr>
          <w:rFonts w:cs="Times New Roman"/>
        </w:rPr>
        <w:t>] (Gardiner 1927: 444). The third sign is an arm and hand, D36 [</w:t>
      </w:r>
      <w:r w:rsidRPr="007573D9">
        <w:rPr>
          <w:rFonts w:ascii="Segoe UI Historic" w:hAnsi="Segoe UI Historic" w:cs="Segoe UI Historic"/>
        </w:rPr>
        <w:t>𓂝</w:t>
      </w:r>
      <w:r w:rsidRPr="007573D9">
        <w:rPr>
          <w:rFonts w:cs="Times New Roman"/>
        </w:rPr>
        <w:t>] (Gardiner 1927: 446). The fourth sign is a water ripple, N35 [</w:t>
      </w:r>
      <w:r w:rsidRPr="007573D9">
        <w:rPr>
          <w:rFonts w:ascii="Segoe UI Historic" w:hAnsi="Segoe UI Historic" w:cs="Segoe UI Historic"/>
        </w:rPr>
        <w:t>𓈖</w:t>
      </w:r>
      <w:r w:rsidRPr="007573D9">
        <w:rPr>
          <w:rFonts w:cs="Times New Roman"/>
        </w:rPr>
        <w:t>] (Gardiner 1927: 479). The fifth and sixth signs repeat D21 and D36, and the last sign is above a corner line or angled base line. This description comports with known parallels discussed below.</w:t>
      </w:r>
    </w:p>
    <w:p w14:paraId="3C5CB082" w14:textId="77777777" w:rsidR="003C1B25" w:rsidRPr="007573D9" w:rsidRDefault="003C1B25" w:rsidP="003C1B25">
      <w:pPr>
        <w:adjustRightInd w:val="0"/>
        <w:rPr>
          <w:rFonts w:cs="Times New Roman"/>
        </w:rPr>
      </w:pPr>
    </w:p>
    <w:p w14:paraId="4BC3DE08" w14:textId="257F9F2B" w:rsidR="00C80030" w:rsidRPr="001C4A02" w:rsidRDefault="008A4A3E" w:rsidP="00C80030">
      <w:pPr>
        <w:autoSpaceDE w:val="0"/>
        <w:autoSpaceDN w:val="0"/>
        <w:adjustRightInd w:val="0"/>
        <w:ind w:firstLine="720"/>
        <w:rPr>
          <w:rFonts w:cs="Times New Roman"/>
          <w:kern w:val="0"/>
        </w:rPr>
      </w:pPr>
      <w:r w:rsidRPr="007573D9">
        <w:rPr>
          <w:rFonts w:cs="Times New Roman"/>
          <w:color w:val="000000" w:themeColor="text1"/>
        </w:rPr>
        <w:t xml:space="preserve"> </w:t>
      </w:r>
      <w:r w:rsidR="00C10E00" w:rsidRPr="001C4A02">
        <w:rPr>
          <w:rFonts w:cs="Times New Roman"/>
          <w:kern w:val="0"/>
        </w:rPr>
        <w:t xml:space="preserve">The design class is </w:t>
      </w:r>
      <w:r w:rsidR="00C10E00" w:rsidRPr="001C4A02">
        <w:rPr>
          <w:rFonts w:cs="Times New Roman"/>
          <w:lang w:val="en-GB"/>
        </w:rPr>
        <w:t>3C, also known as formulae or “</w:t>
      </w:r>
      <w:proofErr w:type="spellStart"/>
      <w:r w:rsidR="00C10E00" w:rsidRPr="001C4A02">
        <w:rPr>
          <w:rFonts w:cs="Times New Roman"/>
          <w:lang w:val="en-GB"/>
        </w:rPr>
        <w:t>anra</w:t>
      </w:r>
      <w:proofErr w:type="spellEnd"/>
      <w:r w:rsidR="00C10E00" w:rsidRPr="001C4A02">
        <w:rPr>
          <w:rFonts w:cs="Times New Roman"/>
          <w:lang w:val="en-GB"/>
        </w:rPr>
        <w:t>” (</w:t>
      </w:r>
      <w:proofErr w:type="spellStart"/>
      <w:r w:rsidR="00C10E00" w:rsidRPr="001C4A02">
        <w:rPr>
          <w:rFonts w:cs="Times New Roman"/>
          <w:lang w:val="en-GB"/>
        </w:rPr>
        <w:t>ʾnrʾ</w:t>
      </w:r>
      <w:proofErr w:type="spellEnd"/>
      <w:r w:rsidR="00C10E00" w:rsidRPr="001C4A02">
        <w:rPr>
          <w:rFonts w:cs="Times New Roman"/>
          <w:lang w:val="en-GB"/>
        </w:rPr>
        <w:t>) style</w:t>
      </w:r>
      <w:r w:rsidR="00C10E00">
        <w:rPr>
          <w:rFonts w:cs="Times New Roman"/>
          <w:lang w:val="en-GB"/>
        </w:rPr>
        <w:t xml:space="preserve"> and is most typical of the Late Palestinian Series </w:t>
      </w:r>
      <w:r w:rsidR="00C10E00" w:rsidRPr="001C4A02">
        <w:rPr>
          <w:rFonts w:cs="Times New Roman"/>
          <w:lang w:val="en-GB"/>
        </w:rPr>
        <w:t>(Ben-Tor 2007: 165–166; Tufnell 1984: 121).</w:t>
      </w:r>
      <w:r w:rsidR="00C10E00">
        <w:rPr>
          <w:rFonts w:cs="Times New Roman"/>
          <w:lang w:val="en-GB"/>
        </w:rPr>
        <w:t xml:space="preserve"> </w:t>
      </w:r>
      <w:r w:rsidR="005D6911" w:rsidRPr="007573D9">
        <w:rPr>
          <w:rFonts w:cs="Times New Roman"/>
          <w:color w:val="000000" w:themeColor="text1"/>
        </w:rPr>
        <w:t>Richards</w:t>
      </w:r>
      <w:r w:rsidR="005401B1" w:rsidRPr="007573D9">
        <w:rPr>
          <w:rFonts w:cs="Times New Roman"/>
          <w:color w:val="000000" w:themeColor="text1"/>
        </w:rPr>
        <w:t xml:space="preserve"> (2001</w:t>
      </w:r>
      <w:r w:rsidR="000A27EB" w:rsidRPr="007573D9">
        <w:rPr>
          <w:rFonts w:cs="Times New Roman"/>
          <w:color w:val="000000" w:themeColor="text1"/>
        </w:rPr>
        <w:t>:</w:t>
      </w:r>
      <w:r w:rsidR="005401B1" w:rsidRPr="007573D9">
        <w:rPr>
          <w:rFonts w:cs="Times New Roman"/>
          <w:color w:val="000000" w:themeColor="text1"/>
        </w:rPr>
        <w:t xml:space="preserve"> 11)</w:t>
      </w:r>
      <w:r w:rsidR="003978C6" w:rsidRPr="007573D9">
        <w:rPr>
          <w:rFonts w:cs="Times New Roman"/>
          <w:color w:val="000000" w:themeColor="text1"/>
        </w:rPr>
        <w:t xml:space="preserve"> defines </w:t>
      </w:r>
      <w:r w:rsidR="000B2C40">
        <w:rPr>
          <w:rFonts w:cs="Times New Roman"/>
          <w:color w:val="000000" w:themeColor="text1"/>
        </w:rPr>
        <w:t>“</w:t>
      </w:r>
      <w:proofErr w:type="spellStart"/>
      <w:r w:rsidR="000B2C40">
        <w:rPr>
          <w:rFonts w:cs="Times New Roman"/>
          <w:color w:val="000000" w:themeColor="text1"/>
        </w:rPr>
        <w:t>anra</w:t>
      </w:r>
      <w:proofErr w:type="spellEnd"/>
      <w:r w:rsidR="000B2C40">
        <w:rPr>
          <w:rFonts w:cs="Times New Roman"/>
          <w:color w:val="000000" w:themeColor="text1"/>
        </w:rPr>
        <w:t xml:space="preserve">” </w:t>
      </w:r>
      <w:r w:rsidR="003978C6" w:rsidRPr="007573D9">
        <w:rPr>
          <w:rFonts w:cs="Times New Roman"/>
          <w:color w:val="000000" w:themeColor="text1"/>
        </w:rPr>
        <w:t xml:space="preserve">scarabs as those with a sequence of hieroglyphs on the base that always include </w:t>
      </w:r>
      <w:r w:rsidR="005C2B47" w:rsidRPr="000B2C40">
        <w:rPr>
          <w:rFonts w:cs="Times New Roman"/>
          <w:color w:val="000000" w:themeColor="text1"/>
        </w:rPr>
        <w:t>ʾ</w:t>
      </w:r>
      <w:r w:rsidRPr="007573D9">
        <w:rPr>
          <w:rFonts w:cs="Times New Roman"/>
          <w:color w:val="000000" w:themeColor="text1"/>
        </w:rPr>
        <w:t>, n, r</w:t>
      </w:r>
      <w:r w:rsidR="000B2C40">
        <w:rPr>
          <w:rFonts w:cs="Times New Roman"/>
          <w:color w:val="000000" w:themeColor="text1"/>
        </w:rPr>
        <w:t xml:space="preserve">, and </w:t>
      </w:r>
      <w:r w:rsidR="000B2C40" w:rsidRPr="000B2C40">
        <w:rPr>
          <w:rFonts w:cs="Times New Roman"/>
          <w:color w:val="000000" w:themeColor="text1"/>
        </w:rPr>
        <w:t>ʾ</w:t>
      </w:r>
      <w:r w:rsidR="00A12AB7">
        <w:rPr>
          <w:rFonts w:cs="Times New Roman"/>
          <w:color w:val="000000" w:themeColor="text1"/>
        </w:rPr>
        <w:t xml:space="preserve"> </w:t>
      </w:r>
      <w:r w:rsidR="000B20AB" w:rsidRPr="007573D9">
        <w:rPr>
          <w:rFonts w:cs="Times New Roman"/>
          <w:color w:val="000000" w:themeColor="text1"/>
        </w:rPr>
        <w:t xml:space="preserve">(signs </w:t>
      </w:r>
      <w:r w:rsidR="000B20AB" w:rsidRPr="007573D9">
        <w:rPr>
          <w:rFonts w:cs="Times New Roman"/>
        </w:rPr>
        <w:t>D36 [</w:t>
      </w:r>
      <w:r w:rsidR="000B20AB" w:rsidRPr="007573D9">
        <w:rPr>
          <w:rFonts w:ascii="Segoe UI Historic" w:hAnsi="Segoe UI Historic" w:cs="Segoe UI Historic"/>
        </w:rPr>
        <w:t>𓂝</w:t>
      </w:r>
      <w:r w:rsidR="000B20AB" w:rsidRPr="007573D9">
        <w:rPr>
          <w:rFonts w:cs="Times New Roman"/>
        </w:rPr>
        <w:t>], N35 [</w:t>
      </w:r>
      <w:r w:rsidR="000B20AB" w:rsidRPr="007573D9">
        <w:rPr>
          <w:rFonts w:ascii="Segoe UI Historic" w:hAnsi="Segoe UI Historic" w:cs="Segoe UI Historic"/>
        </w:rPr>
        <w:t>𓈖</w:t>
      </w:r>
      <w:r w:rsidR="000B20AB" w:rsidRPr="007573D9">
        <w:rPr>
          <w:rFonts w:cs="Times New Roman"/>
        </w:rPr>
        <w:t>], D21 [</w:t>
      </w:r>
      <w:r w:rsidR="000B20AB" w:rsidRPr="007573D9">
        <w:rPr>
          <w:rFonts w:ascii="Segoe UI Historic" w:hAnsi="Segoe UI Historic" w:cs="Segoe UI Historic"/>
        </w:rPr>
        <w:t>𓂋</w:t>
      </w:r>
      <w:r w:rsidR="000B20AB" w:rsidRPr="007573D9">
        <w:rPr>
          <w:rFonts w:cs="Times New Roman"/>
        </w:rPr>
        <w:t>], and D36 [</w:t>
      </w:r>
      <w:r w:rsidR="000B20AB" w:rsidRPr="007573D9">
        <w:rPr>
          <w:rFonts w:ascii="Segoe UI Historic" w:hAnsi="Segoe UI Historic" w:cs="Segoe UI Historic"/>
        </w:rPr>
        <w:t>𓂝</w:t>
      </w:r>
      <w:r w:rsidR="000B20AB" w:rsidRPr="007573D9">
        <w:rPr>
          <w:rFonts w:cs="Times New Roman"/>
        </w:rPr>
        <w:t>])</w:t>
      </w:r>
      <w:r w:rsidRPr="007573D9">
        <w:rPr>
          <w:rFonts w:cs="Times New Roman"/>
          <w:color w:val="000000" w:themeColor="text1"/>
        </w:rPr>
        <w:t xml:space="preserve">. </w:t>
      </w:r>
      <w:r w:rsidR="00DA7FF4" w:rsidRPr="007573D9">
        <w:rPr>
          <w:rFonts w:cs="Times New Roman"/>
          <w:color w:val="000000" w:themeColor="text1"/>
        </w:rPr>
        <w:t>The exact appearance and chronology of the “</w:t>
      </w:r>
      <w:proofErr w:type="spellStart"/>
      <w:r w:rsidR="00DA7FF4" w:rsidRPr="007573D9">
        <w:rPr>
          <w:rFonts w:cs="Times New Roman"/>
          <w:color w:val="000000" w:themeColor="text1"/>
        </w:rPr>
        <w:t>anra</w:t>
      </w:r>
      <w:proofErr w:type="spellEnd"/>
      <w:r w:rsidR="00DA7FF4" w:rsidRPr="007573D9">
        <w:rPr>
          <w:rFonts w:cs="Times New Roman"/>
          <w:color w:val="000000" w:themeColor="text1"/>
        </w:rPr>
        <w:t>” scarab is unknown</w:t>
      </w:r>
      <w:r w:rsidR="00E40184" w:rsidRPr="007573D9">
        <w:rPr>
          <w:rFonts w:cs="Times New Roman"/>
          <w:color w:val="000000" w:themeColor="text1"/>
        </w:rPr>
        <w:t>,</w:t>
      </w:r>
      <w:r w:rsidR="00DA7FF4" w:rsidRPr="007573D9">
        <w:rPr>
          <w:rFonts w:cs="Times New Roman"/>
          <w:color w:val="000000" w:themeColor="text1"/>
        </w:rPr>
        <w:t xml:space="preserve"> but 70% of “</w:t>
      </w:r>
      <w:proofErr w:type="spellStart"/>
      <w:r w:rsidR="00DA7FF4" w:rsidRPr="007573D9">
        <w:rPr>
          <w:rFonts w:cs="Times New Roman"/>
          <w:color w:val="000000" w:themeColor="text1"/>
        </w:rPr>
        <w:t>anra</w:t>
      </w:r>
      <w:proofErr w:type="spellEnd"/>
      <w:r w:rsidR="00DA7FF4" w:rsidRPr="007573D9">
        <w:rPr>
          <w:rFonts w:cs="Times New Roman"/>
          <w:color w:val="000000" w:themeColor="text1"/>
        </w:rPr>
        <w:t>” scarabs originate in Palestine (Richards 2001</w:t>
      </w:r>
      <w:r w:rsidR="000A27EB" w:rsidRPr="007573D9">
        <w:rPr>
          <w:rFonts w:cs="Times New Roman"/>
          <w:color w:val="000000" w:themeColor="text1"/>
        </w:rPr>
        <w:t>:</w:t>
      </w:r>
      <w:r w:rsidR="00DA7FF4" w:rsidRPr="007573D9">
        <w:rPr>
          <w:rFonts w:cs="Times New Roman"/>
          <w:color w:val="000000" w:themeColor="text1"/>
        </w:rPr>
        <w:t xml:space="preserve"> 162). Richards</w:t>
      </w:r>
      <w:r w:rsidR="008E13CD" w:rsidRPr="007573D9">
        <w:rPr>
          <w:rFonts w:cs="Times New Roman"/>
          <w:color w:val="000000" w:themeColor="text1"/>
        </w:rPr>
        <w:t xml:space="preserve"> </w:t>
      </w:r>
      <w:r w:rsidR="0091197E" w:rsidRPr="007573D9">
        <w:rPr>
          <w:rFonts w:cs="Times New Roman"/>
          <w:color w:val="000000" w:themeColor="text1"/>
        </w:rPr>
        <w:t>(2001</w:t>
      </w:r>
      <w:r w:rsidR="000A27EB" w:rsidRPr="007573D9">
        <w:rPr>
          <w:rFonts w:cs="Times New Roman"/>
          <w:color w:val="000000" w:themeColor="text1"/>
        </w:rPr>
        <w:t>:</w:t>
      </w:r>
      <w:r w:rsidR="0091197E" w:rsidRPr="007573D9">
        <w:rPr>
          <w:rFonts w:cs="Times New Roman"/>
          <w:color w:val="000000" w:themeColor="text1"/>
        </w:rPr>
        <w:t xml:space="preserve"> 162) </w:t>
      </w:r>
      <w:r w:rsidR="00DA7FF4" w:rsidRPr="007573D9">
        <w:rPr>
          <w:rFonts w:cs="Times New Roman"/>
          <w:color w:val="000000" w:themeColor="text1"/>
        </w:rPr>
        <w:t xml:space="preserve">indicates </w:t>
      </w:r>
      <w:r w:rsidR="0050789B" w:rsidRPr="007573D9">
        <w:rPr>
          <w:rFonts w:cs="Times New Roman"/>
          <w:color w:val="000000" w:themeColor="text1"/>
        </w:rPr>
        <w:t xml:space="preserve">that </w:t>
      </w:r>
      <w:r w:rsidR="00DA7FF4" w:rsidRPr="007573D9">
        <w:rPr>
          <w:rFonts w:cs="Times New Roman"/>
          <w:color w:val="000000" w:themeColor="text1"/>
        </w:rPr>
        <w:t>the</w:t>
      </w:r>
      <w:r w:rsidR="00745AB4">
        <w:rPr>
          <w:rFonts w:cs="Times New Roman"/>
          <w:color w:val="000000" w:themeColor="text1"/>
        </w:rPr>
        <w:t>y</w:t>
      </w:r>
      <w:r w:rsidR="00DA7FF4" w:rsidRPr="007573D9">
        <w:rPr>
          <w:rFonts w:cs="Times New Roman"/>
          <w:color w:val="000000" w:themeColor="text1"/>
        </w:rPr>
        <w:t xml:space="preserve"> coincide with</w:t>
      </w:r>
      <w:r w:rsidR="00E40184" w:rsidRPr="007573D9">
        <w:rPr>
          <w:rFonts w:cs="Times New Roman"/>
          <w:color w:val="000000" w:themeColor="text1"/>
        </w:rPr>
        <w:t xml:space="preserve"> the</w:t>
      </w:r>
      <w:r w:rsidR="00DA7FF4" w:rsidRPr="007573D9">
        <w:rPr>
          <w:rFonts w:cs="Times New Roman"/>
          <w:color w:val="000000" w:themeColor="text1"/>
        </w:rPr>
        <w:t xml:space="preserve"> Second Intermediate Period or MB IIB–</w:t>
      </w:r>
      <w:r w:rsidR="007C4B11" w:rsidRPr="007573D9">
        <w:rPr>
          <w:rFonts w:cs="Times New Roman"/>
          <w:color w:val="000000" w:themeColor="text1"/>
        </w:rPr>
        <w:t>MB IIC (=MB III)</w:t>
      </w:r>
      <w:r w:rsidR="00DA7FF4" w:rsidRPr="007573D9">
        <w:rPr>
          <w:rFonts w:cs="Times New Roman"/>
          <w:color w:val="000000" w:themeColor="text1"/>
        </w:rPr>
        <w:t xml:space="preserve">. </w:t>
      </w:r>
    </w:p>
    <w:p w14:paraId="679D122A" w14:textId="3429B8D1" w:rsidR="003F75D3" w:rsidRDefault="003F75D3" w:rsidP="00125879">
      <w:pPr>
        <w:adjustRightInd w:val="0"/>
        <w:rPr>
          <w:rFonts w:cs="Times New Roman"/>
          <w:color w:val="000000" w:themeColor="text1"/>
        </w:rPr>
      </w:pPr>
    </w:p>
    <w:p w14:paraId="25C4D632" w14:textId="1E48E509" w:rsidR="00B30320" w:rsidRDefault="00EF458E" w:rsidP="001C4A02">
      <w:pPr>
        <w:adjustRightInd w:val="0"/>
        <w:ind w:firstLine="720"/>
        <w:rPr>
          <w:rFonts w:cs="Times New Roman"/>
        </w:rPr>
      </w:pPr>
      <w:r w:rsidRPr="003F75D3">
        <w:rPr>
          <w:rFonts w:cs="Times New Roman"/>
          <w:color w:val="000000" w:themeColor="text1"/>
        </w:rPr>
        <w:t>V</w:t>
      </w:r>
      <w:r w:rsidR="003F75D3" w:rsidRPr="003F75D3">
        <w:rPr>
          <w:rFonts w:cs="Times New Roman"/>
          <w:color w:val="000000" w:themeColor="text1"/>
        </w:rPr>
        <w:t>an der Veen</w:t>
      </w:r>
      <w:r w:rsidR="00841262">
        <w:rPr>
          <w:rFonts w:cs="Times New Roman"/>
          <w:color w:val="000000" w:themeColor="text1"/>
        </w:rPr>
        <w:t xml:space="preserve"> </w:t>
      </w:r>
      <w:r w:rsidR="003F75D3" w:rsidRPr="003F75D3">
        <w:rPr>
          <w:rFonts w:cs="Times New Roman"/>
          <w:color w:val="000000" w:themeColor="text1"/>
        </w:rPr>
        <w:t xml:space="preserve">indicates that </w:t>
      </w:r>
      <w:r w:rsidR="00A12AB7">
        <w:rPr>
          <w:rFonts w:cs="Times New Roman"/>
          <w:color w:val="000000" w:themeColor="text1"/>
        </w:rPr>
        <w:t>Scarab Three</w:t>
      </w:r>
      <w:r w:rsidR="00A12AB7" w:rsidRPr="003F75D3">
        <w:rPr>
          <w:rFonts w:cs="Times New Roman"/>
          <w:color w:val="000000" w:themeColor="text1"/>
        </w:rPr>
        <w:t xml:space="preserve"> </w:t>
      </w:r>
      <w:r w:rsidR="003F75D3" w:rsidRPr="003F75D3">
        <w:rPr>
          <w:rFonts w:cs="Times New Roman"/>
          <w:color w:val="000000" w:themeColor="text1"/>
        </w:rPr>
        <w:t>contains pseudo-hieroglyphs in three columns with the central column (</w:t>
      </w:r>
      <w:proofErr w:type="spellStart"/>
      <w:r w:rsidR="003F75D3" w:rsidRPr="003F75D3">
        <w:rPr>
          <w:rFonts w:cs="Times New Roman"/>
          <w:color w:val="000000" w:themeColor="text1"/>
        </w:rPr>
        <w:t>ḫpr</w:t>
      </w:r>
      <w:proofErr w:type="spellEnd"/>
      <w:r w:rsidR="003F75D3" w:rsidRPr="003F75D3">
        <w:rPr>
          <w:rFonts w:cs="Times New Roman"/>
          <w:color w:val="000000" w:themeColor="text1"/>
        </w:rPr>
        <w:t xml:space="preserve">, r, k3, r, </w:t>
      </w:r>
      <w:proofErr w:type="spellStart"/>
      <w:r w:rsidR="003F75D3" w:rsidRPr="003F75D3">
        <w:rPr>
          <w:rFonts w:cs="Times New Roman"/>
          <w:color w:val="000000" w:themeColor="text1"/>
        </w:rPr>
        <w:t>Kheper</w:t>
      </w:r>
      <w:proofErr w:type="spellEnd"/>
      <w:r w:rsidR="003F75D3" w:rsidRPr="003F75D3">
        <w:rPr>
          <w:rFonts w:cs="Times New Roman"/>
          <w:color w:val="000000" w:themeColor="text1"/>
        </w:rPr>
        <w:t xml:space="preserve">-ka-Re) reflecting the royal name of </w:t>
      </w:r>
      <w:proofErr w:type="spellStart"/>
      <w:r w:rsidR="003F75D3" w:rsidRPr="003F75D3">
        <w:rPr>
          <w:rFonts w:cs="Times New Roman"/>
          <w:color w:val="000000" w:themeColor="text1"/>
        </w:rPr>
        <w:t>Senwosret</w:t>
      </w:r>
      <w:proofErr w:type="spellEnd"/>
      <w:r w:rsidR="003F75D3" w:rsidRPr="003F75D3">
        <w:rPr>
          <w:rFonts w:cs="Times New Roman"/>
          <w:color w:val="000000" w:themeColor="text1"/>
        </w:rPr>
        <w:t xml:space="preserve"> I (Senusret I).</w:t>
      </w:r>
      <w:r w:rsidR="00841262">
        <w:rPr>
          <w:rStyle w:val="FootnoteReference"/>
          <w:rFonts w:cs="Times New Roman"/>
          <w:color w:val="000000" w:themeColor="text1"/>
        </w:rPr>
        <w:footnoteReference w:id="18"/>
      </w:r>
      <w:r w:rsidR="00841262">
        <w:rPr>
          <w:rFonts w:cs="Times New Roman"/>
          <w:color w:val="000000" w:themeColor="text1"/>
        </w:rPr>
        <w:t xml:space="preserve"> </w:t>
      </w:r>
      <w:r w:rsidR="003F75D3" w:rsidRPr="003F75D3">
        <w:rPr>
          <w:rFonts w:cs="Times New Roman"/>
          <w:color w:val="000000" w:themeColor="text1"/>
        </w:rPr>
        <w:t>Senusret I reigned ca. 1919–1875 BCE (Silverman 1997: 28). The iconography is suggestive of his prenomen (throne name), but there is not a cartouche around the hieroglyphic signs. Also, it does not have the requisite sign for the sun, Re N5 [</w:t>
      </w:r>
      <w:r w:rsidR="003F75D3" w:rsidRPr="003F75D3">
        <w:rPr>
          <w:rFonts w:ascii="Segoe UI Historic" w:hAnsi="Segoe UI Historic" w:cs="Segoe UI Historic"/>
          <w:color w:val="000000" w:themeColor="text1"/>
        </w:rPr>
        <w:t>𓇳</w:t>
      </w:r>
      <w:r w:rsidR="003F75D3" w:rsidRPr="003F75D3">
        <w:rPr>
          <w:rFonts w:cs="Times New Roman"/>
          <w:color w:val="000000" w:themeColor="text1"/>
        </w:rPr>
        <w:t>] (Gardiner 1927: 474</w:t>
      </w:r>
      <w:r w:rsidR="00453841">
        <w:rPr>
          <w:rFonts w:cs="Times New Roman"/>
          <w:color w:val="000000" w:themeColor="text1"/>
        </w:rPr>
        <w:t>)</w:t>
      </w:r>
      <w:r w:rsidR="003F75D3" w:rsidRPr="003F75D3">
        <w:rPr>
          <w:rFonts w:cs="Times New Roman"/>
          <w:color w:val="000000" w:themeColor="text1"/>
        </w:rPr>
        <w:t>, but has two mouths</w:t>
      </w:r>
      <w:r w:rsidR="003F75D3" w:rsidRPr="003F75D3">
        <w:rPr>
          <w:rFonts w:cs="Times New Roman"/>
        </w:rPr>
        <w:t>, D21 [</w:t>
      </w:r>
      <w:r w:rsidR="003F75D3" w:rsidRPr="003F75D3">
        <w:rPr>
          <w:rFonts w:ascii="Segoe UI Historic" w:hAnsi="Segoe UI Historic" w:cs="Segoe UI Historic"/>
        </w:rPr>
        <w:t>𓂋</w:t>
      </w:r>
      <w:r w:rsidR="003F75D3" w:rsidRPr="003F75D3">
        <w:rPr>
          <w:rFonts w:cs="Times New Roman"/>
        </w:rPr>
        <w:t xml:space="preserve">] (Gardiner 1927: 444). </w:t>
      </w:r>
    </w:p>
    <w:p w14:paraId="1E988829" w14:textId="77777777" w:rsidR="00C10E00" w:rsidRDefault="00C10E00" w:rsidP="001C4A02">
      <w:pPr>
        <w:adjustRightInd w:val="0"/>
        <w:ind w:firstLine="720"/>
        <w:rPr>
          <w:rFonts w:cs="Times New Roman"/>
          <w:color w:val="000000" w:themeColor="text1"/>
        </w:rPr>
      </w:pPr>
    </w:p>
    <w:p w14:paraId="5E6F31C8" w14:textId="468A4F16" w:rsidR="00F16DBD" w:rsidRPr="007573D9" w:rsidRDefault="00A34A95" w:rsidP="00F16DBD">
      <w:pPr>
        <w:ind w:firstLine="720"/>
        <w:rPr>
          <w:rFonts w:cs="Times New Roman"/>
          <w:color w:val="000000" w:themeColor="text1"/>
        </w:rPr>
      </w:pPr>
      <w:r>
        <w:rPr>
          <w:rFonts w:cs="Times New Roman"/>
          <w:color w:val="000000" w:themeColor="text1"/>
        </w:rPr>
        <w:t xml:space="preserve">There is one parallel from </w:t>
      </w:r>
      <w:r w:rsidR="00B30320" w:rsidRPr="007573D9">
        <w:rPr>
          <w:rFonts w:cs="Times New Roman"/>
          <w:color w:val="000000" w:themeColor="text1"/>
        </w:rPr>
        <w:t>Tel el-Ajjul</w:t>
      </w:r>
      <w:r w:rsidR="004A423D">
        <w:rPr>
          <w:rFonts w:cs="Times New Roman"/>
          <w:color w:val="000000" w:themeColor="text1"/>
        </w:rPr>
        <w:t xml:space="preserve"> (</w:t>
      </w:r>
      <w:r w:rsidR="004A423D">
        <w:rPr>
          <w:rFonts w:cs="Times New Roman"/>
          <w:kern w:val="0"/>
        </w:rPr>
        <w:t>Petrie 1933: Pl. 3:</w:t>
      </w:r>
      <w:r w:rsidR="000832C6">
        <w:rPr>
          <w:rFonts w:cs="Times New Roman"/>
          <w:kern w:val="0"/>
        </w:rPr>
        <w:t xml:space="preserve"> </w:t>
      </w:r>
      <w:r w:rsidR="004A423D">
        <w:rPr>
          <w:rFonts w:cs="Times New Roman"/>
          <w:kern w:val="0"/>
        </w:rPr>
        <w:t>8</w:t>
      </w:r>
      <w:r w:rsidR="004A423D">
        <w:rPr>
          <w:rFonts w:cs="Times New Roman"/>
          <w:color w:val="000000" w:themeColor="text1"/>
        </w:rPr>
        <w:t xml:space="preserve">; </w:t>
      </w:r>
      <w:r w:rsidR="00B30320" w:rsidRPr="007573D9">
        <w:rPr>
          <w:rFonts w:cs="Times New Roman"/>
          <w:color w:val="000000" w:themeColor="text1"/>
        </w:rPr>
        <w:t xml:space="preserve">Ben-Tor 2007: </w:t>
      </w:r>
      <w:r w:rsidR="004A423D">
        <w:rPr>
          <w:rFonts w:cs="Times New Roman"/>
          <w:color w:val="000000" w:themeColor="text1"/>
        </w:rPr>
        <w:t>Pl.</w:t>
      </w:r>
      <w:r w:rsidR="004A423D" w:rsidRPr="007573D9">
        <w:rPr>
          <w:rFonts w:cs="Times New Roman"/>
          <w:color w:val="000000" w:themeColor="text1"/>
        </w:rPr>
        <w:t xml:space="preserve"> 79: 22</w:t>
      </w:r>
      <w:r w:rsidR="00B30320" w:rsidRPr="007573D9">
        <w:rPr>
          <w:rFonts w:cs="Times New Roman"/>
          <w:color w:val="000000" w:themeColor="text1"/>
        </w:rPr>
        <w:t xml:space="preserve">), </w:t>
      </w:r>
      <w:r>
        <w:rPr>
          <w:rFonts w:cs="Times New Roman"/>
          <w:color w:val="000000" w:themeColor="text1"/>
        </w:rPr>
        <w:t xml:space="preserve">that </w:t>
      </w:r>
      <w:r w:rsidR="00B30320" w:rsidRPr="007573D9">
        <w:rPr>
          <w:rFonts w:cs="Times New Roman"/>
          <w:color w:val="000000" w:themeColor="text1"/>
        </w:rPr>
        <w:t xml:space="preserve">Keel </w:t>
      </w:r>
      <w:r w:rsidR="00B30320" w:rsidRPr="007573D9">
        <w:rPr>
          <w:rFonts w:cs="Times New Roman"/>
          <w:kern w:val="0"/>
        </w:rPr>
        <w:t>(</w:t>
      </w:r>
      <w:r w:rsidR="00B30320" w:rsidRPr="007573D9">
        <w:rPr>
          <w:rFonts w:cs="Times New Roman"/>
          <w:color w:val="000000" w:themeColor="text1"/>
        </w:rPr>
        <w:t xml:space="preserve">1997: </w:t>
      </w:r>
      <w:r>
        <w:rPr>
          <w:rFonts w:cs="Times New Roman"/>
          <w:color w:val="000000" w:themeColor="text1"/>
        </w:rPr>
        <w:t>No. 378,</w:t>
      </w:r>
      <w:r w:rsidRPr="007573D9">
        <w:rPr>
          <w:rFonts w:cs="Times New Roman"/>
          <w:color w:val="000000" w:themeColor="text1"/>
        </w:rPr>
        <w:t xml:space="preserve"> </w:t>
      </w:r>
      <w:r w:rsidR="00B30320" w:rsidRPr="007573D9">
        <w:rPr>
          <w:rFonts w:cs="Times New Roman"/>
          <w:color w:val="000000" w:themeColor="text1"/>
        </w:rPr>
        <w:t>230–231)</w:t>
      </w:r>
      <w:r w:rsidR="00453841">
        <w:rPr>
          <w:rFonts w:cs="Times New Roman"/>
          <w:color w:val="000000" w:themeColor="text1"/>
        </w:rPr>
        <w:t xml:space="preserve"> also notes</w:t>
      </w:r>
      <w:r>
        <w:rPr>
          <w:rFonts w:cs="Times New Roman"/>
          <w:color w:val="000000" w:themeColor="text1"/>
        </w:rPr>
        <w:t>. It dates to the</w:t>
      </w:r>
      <w:r w:rsidR="00B30320" w:rsidRPr="007573D9">
        <w:rPr>
          <w:rFonts w:cs="Times New Roman"/>
          <w:color w:val="000000" w:themeColor="text1"/>
        </w:rPr>
        <w:t xml:space="preserve"> Late 13</w:t>
      </w:r>
      <w:r w:rsidR="001D5007">
        <w:rPr>
          <w:rFonts w:cs="Times New Roman"/>
          <w:color w:val="000000" w:themeColor="text1"/>
        </w:rPr>
        <w:t>th</w:t>
      </w:r>
      <w:r w:rsidR="00B30320" w:rsidRPr="007573D9">
        <w:rPr>
          <w:rFonts w:cs="Times New Roman"/>
          <w:color w:val="000000" w:themeColor="text1"/>
          <w:vertAlign w:val="superscript"/>
        </w:rPr>
        <w:t xml:space="preserve"> </w:t>
      </w:r>
      <w:r w:rsidR="00B30320" w:rsidRPr="007573D9">
        <w:rPr>
          <w:rFonts w:cs="Times New Roman"/>
          <w:color w:val="000000" w:themeColor="text1"/>
        </w:rPr>
        <w:t>Dynasty–15</w:t>
      </w:r>
      <w:r w:rsidR="001D5007">
        <w:rPr>
          <w:rFonts w:cs="Times New Roman"/>
          <w:color w:val="000000" w:themeColor="text1"/>
        </w:rPr>
        <w:t>th</w:t>
      </w:r>
      <w:r w:rsidR="00B30320" w:rsidRPr="007573D9">
        <w:rPr>
          <w:rFonts w:cs="Times New Roman"/>
          <w:color w:val="000000" w:themeColor="text1"/>
        </w:rPr>
        <w:t xml:space="preserve"> Dynasty, 1675–1522 BCE</w:t>
      </w:r>
      <w:r>
        <w:rPr>
          <w:rFonts w:cs="Times New Roman"/>
          <w:color w:val="000000" w:themeColor="text1"/>
        </w:rPr>
        <w:t xml:space="preserve">. </w:t>
      </w:r>
      <w:r w:rsidR="004A423D">
        <w:rPr>
          <w:rFonts w:cs="Times New Roman"/>
          <w:color w:val="000000" w:themeColor="text1"/>
        </w:rPr>
        <w:t>Petrie</w:t>
      </w:r>
      <w:r w:rsidR="00745AB4">
        <w:rPr>
          <w:rFonts w:cs="Times New Roman"/>
          <w:color w:val="000000" w:themeColor="text1"/>
        </w:rPr>
        <w:t xml:space="preserve"> (1933: 4)</w:t>
      </w:r>
      <w:r w:rsidR="004A423D">
        <w:rPr>
          <w:rFonts w:cs="Times New Roman"/>
          <w:color w:val="000000" w:themeColor="text1"/>
        </w:rPr>
        <w:t xml:space="preserve"> indicated it derives from a time after the Hyksos</w:t>
      </w:r>
      <w:r w:rsidR="00453841">
        <w:rPr>
          <w:rFonts w:cs="Times New Roman"/>
          <w:color w:val="000000" w:themeColor="text1"/>
        </w:rPr>
        <w:t xml:space="preserve"> and</w:t>
      </w:r>
      <w:r w:rsidR="004A423D">
        <w:rPr>
          <w:rFonts w:cs="Times New Roman"/>
          <w:color w:val="000000" w:themeColor="text1"/>
        </w:rPr>
        <w:t xml:space="preserve"> was likely manufactured in Canaan.</w:t>
      </w:r>
    </w:p>
    <w:p w14:paraId="236A028F" w14:textId="77777777" w:rsidR="00F16DBD" w:rsidRDefault="00F16DBD" w:rsidP="00F16DBD">
      <w:pPr>
        <w:rPr>
          <w:rFonts w:cs="Times New Roman"/>
          <w:color w:val="000000" w:themeColor="text1"/>
        </w:rPr>
      </w:pPr>
    </w:p>
    <w:p w14:paraId="0FE6264C" w14:textId="79212279" w:rsidR="00F16DBD" w:rsidRDefault="00622577" w:rsidP="00F16DBD">
      <w:pPr>
        <w:jc w:val="center"/>
        <w:rPr>
          <w:rFonts w:cs="Times New Roman"/>
          <w:color w:val="000000" w:themeColor="text1"/>
        </w:rPr>
      </w:pPr>
      <w:r>
        <w:rPr>
          <w:rFonts w:cs="Times New Roman"/>
          <w:color w:val="000000" w:themeColor="text1"/>
        </w:rPr>
        <w:t>*</w:t>
      </w:r>
    </w:p>
    <w:p w14:paraId="3779AC05" w14:textId="0FC766B2" w:rsidR="00B30320" w:rsidRDefault="00F16DBD" w:rsidP="00B30320">
      <w:pPr>
        <w:rPr>
          <w:rFonts w:cs="Times New Roman"/>
          <w:color w:val="000000" w:themeColor="text1"/>
        </w:rPr>
      </w:pPr>
      <w:r>
        <w:rPr>
          <w:rFonts w:cs="Times New Roman"/>
          <w:color w:val="000000" w:themeColor="text1"/>
        </w:rPr>
        <w:t xml:space="preserve">Figure 15: Scarab from </w:t>
      </w:r>
      <w:r w:rsidRPr="007573D9">
        <w:rPr>
          <w:rFonts w:cs="Times New Roman"/>
          <w:color w:val="000000" w:themeColor="text1"/>
        </w:rPr>
        <w:t>Tel el-Ajjul</w:t>
      </w:r>
      <w:r>
        <w:rPr>
          <w:rFonts w:cs="Times New Roman"/>
          <w:color w:val="000000" w:themeColor="text1"/>
        </w:rPr>
        <w:t xml:space="preserve"> </w:t>
      </w:r>
      <w:r w:rsidRPr="007573D9">
        <w:rPr>
          <w:rFonts w:cs="Times New Roman"/>
          <w:kern w:val="0"/>
        </w:rPr>
        <w:t>(</w:t>
      </w:r>
      <w:r w:rsidR="00EF458E">
        <w:rPr>
          <w:rFonts w:cs="Times New Roman"/>
          <w:kern w:val="0"/>
        </w:rPr>
        <w:t>Petrie 1933: Pl. 3:</w:t>
      </w:r>
      <w:r w:rsidR="00316421">
        <w:rPr>
          <w:rFonts w:cs="Times New Roman"/>
          <w:kern w:val="0"/>
        </w:rPr>
        <w:t xml:space="preserve"> </w:t>
      </w:r>
      <w:r w:rsidR="00EF458E">
        <w:rPr>
          <w:rFonts w:cs="Times New Roman"/>
          <w:kern w:val="0"/>
        </w:rPr>
        <w:t xml:space="preserve">8; </w:t>
      </w:r>
      <w:r w:rsidRPr="007573D9">
        <w:rPr>
          <w:rFonts w:cs="Times New Roman"/>
          <w:color w:val="000000" w:themeColor="text1"/>
        </w:rPr>
        <w:t xml:space="preserve">Keel 1997: </w:t>
      </w:r>
      <w:r>
        <w:rPr>
          <w:rFonts w:cs="Times New Roman"/>
          <w:color w:val="000000" w:themeColor="text1"/>
        </w:rPr>
        <w:t>No. 378,</w:t>
      </w:r>
      <w:r w:rsidRPr="007573D9">
        <w:rPr>
          <w:rFonts w:cs="Times New Roman"/>
          <w:color w:val="000000" w:themeColor="text1"/>
        </w:rPr>
        <w:t xml:space="preserve"> 230–231</w:t>
      </w:r>
      <w:r w:rsidR="004A423D">
        <w:rPr>
          <w:rFonts w:cs="Times New Roman"/>
          <w:color w:val="000000" w:themeColor="text1"/>
        </w:rPr>
        <w:t xml:space="preserve">; </w:t>
      </w:r>
      <w:r w:rsidR="004A423D" w:rsidRPr="007573D9">
        <w:rPr>
          <w:rFonts w:cs="Times New Roman"/>
          <w:color w:val="000000" w:themeColor="text1"/>
        </w:rPr>
        <w:t xml:space="preserve">Ben-Tor 2007: </w:t>
      </w:r>
      <w:r w:rsidR="004A423D">
        <w:rPr>
          <w:rFonts w:cs="Times New Roman"/>
          <w:color w:val="000000" w:themeColor="text1"/>
        </w:rPr>
        <w:t>Pl</w:t>
      </w:r>
      <w:r w:rsidR="004A423D" w:rsidRPr="007573D9">
        <w:rPr>
          <w:rFonts w:cs="Times New Roman"/>
          <w:color w:val="000000" w:themeColor="text1"/>
        </w:rPr>
        <w:t>. 79: 22</w:t>
      </w:r>
      <w:r w:rsidRPr="007573D9">
        <w:rPr>
          <w:rFonts w:cs="Times New Roman"/>
          <w:color w:val="000000" w:themeColor="text1"/>
        </w:rPr>
        <w:t>)</w:t>
      </w:r>
      <w:r>
        <w:rPr>
          <w:rFonts w:cs="Times New Roman"/>
          <w:color w:val="000000" w:themeColor="text1"/>
        </w:rPr>
        <w:t>.</w:t>
      </w:r>
    </w:p>
    <w:p w14:paraId="0CC6F10D" w14:textId="77777777" w:rsidR="00F16DBD" w:rsidRPr="007573D9" w:rsidRDefault="00F16DBD" w:rsidP="00B30320">
      <w:pPr>
        <w:rPr>
          <w:rFonts w:cs="Times New Roman"/>
          <w:color w:val="000000" w:themeColor="text1"/>
        </w:rPr>
      </w:pPr>
    </w:p>
    <w:p w14:paraId="5FC02A2C" w14:textId="252DAB6D" w:rsidR="00F21F3E" w:rsidRDefault="00B30320" w:rsidP="00B30320">
      <w:pPr>
        <w:autoSpaceDE w:val="0"/>
        <w:autoSpaceDN w:val="0"/>
        <w:adjustRightInd w:val="0"/>
        <w:rPr>
          <w:rFonts w:cs="Times New Roman"/>
          <w:color w:val="000000" w:themeColor="text1"/>
        </w:rPr>
      </w:pPr>
      <w:r w:rsidRPr="007573D9">
        <w:rPr>
          <w:rFonts w:cs="Times New Roman"/>
          <w:color w:val="000000" w:themeColor="text1"/>
        </w:rPr>
        <w:lastRenderedPageBreak/>
        <w:t>Ceramics: The ceramic assemblage corresponding to this scarab is from the Middle Bronze Age (Stripling 2018: 31)</w:t>
      </w:r>
      <w:r w:rsidR="00F21F3E">
        <w:rPr>
          <w:rFonts w:cs="Times New Roman"/>
          <w:color w:val="000000" w:themeColor="text1"/>
        </w:rPr>
        <w:t xml:space="preserve"> </w:t>
      </w:r>
      <w:r w:rsidR="001162FE">
        <w:rPr>
          <w:rFonts w:cs="Times New Roman"/>
          <w:color w:val="000000" w:themeColor="text1"/>
        </w:rPr>
        <w:t>a</w:t>
      </w:r>
      <w:r w:rsidR="0005104C">
        <w:rPr>
          <w:rFonts w:cs="Times New Roman"/>
          <w:color w:val="000000" w:themeColor="text1"/>
        </w:rPr>
        <w:t xml:space="preserve">s indicated by the following: </w:t>
      </w:r>
      <w:r w:rsidR="00F21F3E">
        <w:rPr>
          <w:rFonts w:cs="Times New Roman"/>
          <w:color w:val="000000" w:themeColor="text1"/>
          <w:kern w:val="0"/>
        </w:rPr>
        <w:t>1</w:t>
      </w:r>
      <w:r w:rsidR="000210EA">
        <w:rPr>
          <w:rFonts w:cs="Times New Roman"/>
          <w:color w:val="000000" w:themeColor="text1"/>
          <w:kern w:val="0"/>
        </w:rPr>
        <w:t>.</w:t>
      </w:r>
      <w:r w:rsidR="00F21F3E">
        <w:rPr>
          <w:rFonts w:cs="Times New Roman"/>
          <w:color w:val="000000" w:themeColor="text1"/>
          <w:kern w:val="0"/>
        </w:rPr>
        <w:t xml:space="preserve">) </w:t>
      </w:r>
      <w:r w:rsidR="00F21F3E" w:rsidRPr="00CB5DB7">
        <w:rPr>
          <w:rFonts w:cs="Times New Roman"/>
          <w:color w:val="000000" w:themeColor="text1"/>
          <w:kern w:val="0"/>
        </w:rPr>
        <w:t>Middle Bronze Age Juglet, Object 1083</w:t>
      </w:r>
      <w:r w:rsidR="00F21F3E" w:rsidRPr="007573D9">
        <w:rPr>
          <w:rFonts w:cs="Times New Roman"/>
          <w:color w:val="000000" w:themeColor="text1"/>
          <w:kern w:val="0"/>
        </w:rPr>
        <w:t xml:space="preserve"> from Locus 14</w:t>
      </w:r>
      <w:r w:rsidR="00F21F3E">
        <w:rPr>
          <w:rFonts w:cs="Times New Roman"/>
          <w:color w:val="000000" w:themeColor="text1"/>
          <w:kern w:val="0"/>
        </w:rPr>
        <w:t xml:space="preserve"> </w:t>
      </w:r>
      <w:r w:rsidR="00F21F3E" w:rsidRPr="00C140B7">
        <w:rPr>
          <w:rFonts w:cs="Times New Roman"/>
          <w:color w:val="000000" w:themeColor="text1"/>
          <w:kern w:val="0"/>
        </w:rPr>
        <w:t>(Stripling 2018,</w:t>
      </w:r>
      <w:r w:rsidR="001162FE">
        <w:rPr>
          <w:rFonts w:cs="Times New Roman"/>
          <w:color w:val="000000" w:themeColor="text1"/>
          <w:kern w:val="0"/>
        </w:rPr>
        <w:t xml:space="preserve"> Figure 11, 31</w:t>
      </w:r>
      <w:r w:rsidR="00745AB4">
        <w:rPr>
          <w:rFonts w:cs="Times New Roman"/>
          <w:color w:val="000000" w:themeColor="text1"/>
          <w:kern w:val="0"/>
        </w:rPr>
        <w:t>)</w:t>
      </w:r>
      <w:r w:rsidR="00F21F3E">
        <w:rPr>
          <w:rFonts w:cs="Times New Roman"/>
          <w:color w:val="000000" w:themeColor="text1"/>
          <w:kern w:val="0"/>
        </w:rPr>
        <w:t>;</w:t>
      </w:r>
      <w:r w:rsidR="00F21F3E" w:rsidRPr="007573D9">
        <w:rPr>
          <w:rFonts w:cs="Times New Roman"/>
          <w:color w:val="000000" w:themeColor="text1"/>
          <w:kern w:val="0"/>
        </w:rPr>
        <w:t xml:space="preserve"> </w:t>
      </w:r>
      <w:r w:rsidR="00F21F3E">
        <w:rPr>
          <w:rFonts w:cs="Times New Roman"/>
          <w:color w:val="000000" w:themeColor="text1"/>
          <w:kern w:val="0"/>
        </w:rPr>
        <w:t>2</w:t>
      </w:r>
      <w:r w:rsidR="000210EA">
        <w:rPr>
          <w:rFonts w:cs="Times New Roman"/>
          <w:color w:val="000000" w:themeColor="text1"/>
          <w:kern w:val="0"/>
        </w:rPr>
        <w:t>.</w:t>
      </w:r>
      <w:r w:rsidR="00F21F3E">
        <w:rPr>
          <w:rFonts w:cs="Times New Roman"/>
          <w:color w:val="000000" w:themeColor="text1"/>
          <w:kern w:val="0"/>
        </w:rPr>
        <w:t xml:space="preserve">) </w:t>
      </w:r>
      <w:r w:rsidR="00F21F3E" w:rsidRPr="007573D9">
        <w:rPr>
          <w:rFonts w:cs="Times New Roman"/>
          <w:color w:val="000000" w:themeColor="text1"/>
          <w:kern w:val="0"/>
        </w:rPr>
        <w:t>Middle Bronze Age Lamp, AE30.14.39</w:t>
      </w:r>
      <w:r w:rsidR="00F21F3E">
        <w:rPr>
          <w:rFonts w:cs="Times New Roman"/>
          <w:color w:val="000000" w:themeColor="text1"/>
          <w:kern w:val="0"/>
        </w:rPr>
        <w:t xml:space="preserve"> </w:t>
      </w:r>
      <w:r w:rsidR="00F21F3E" w:rsidRPr="007573D9">
        <w:rPr>
          <w:rFonts w:cs="Times New Roman"/>
          <w:color w:val="000000" w:themeColor="text1"/>
          <w:kern w:val="0"/>
        </w:rPr>
        <w:t>(Stripling 2018: Figure 6, 138–139)</w:t>
      </w:r>
      <w:r w:rsidR="00F21F3E">
        <w:rPr>
          <w:rFonts w:cs="Times New Roman"/>
          <w:color w:val="000000" w:themeColor="text1"/>
          <w:kern w:val="0"/>
        </w:rPr>
        <w:t>;</w:t>
      </w:r>
      <w:r w:rsidR="000210EA">
        <w:rPr>
          <w:rFonts w:cs="Times New Roman"/>
          <w:color w:val="000000" w:themeColor="text1"/>
          <w:kern w:val="0"/>
        </w:rPr>
        <w:t xml:space="preserve"> and</w:t>
      </w:r>
      <w:r w:rsidR="00F21F3E">
        <w:rPr>
          <w:rFonts w:cs="Times New Roman"/>
          <w:color w:val="000000" w:themeColor="text1"/>
          <w:kern w:val="0"/>
        </w:rPr>
        <w:t xml:space="preserve"> 3</w:t>
      </w:r>
      <w:r w:rsidR="000210EA">
        <w:rPr>
          <w:rFonts w:cs="Times New Roman"/>
          <w:color w:val="000000" w:themeColor="text1"/>
          <w:kern w:val="0"/>
        </w:rPr>
        <w:t>.</w:t>
      </w:r>
      <w:r w:rsidR="00F21F3E">
        <w:rPr>
          <w:rFonts w:cs="Times New Roman"/>
          <w:color w:val="000000" w:themeColor="text1"/>
          <w:kern w:val="0"/>
        </w:rPr>
        <w:t>) M</w:t>
      </w:r>
      <w:r w:rsidR="00F21F3E" w:rsidRPr="007573D9">
        <w:rPr>
          <w:rFonts w:cs="Times New Roman"/>
          <w:color w:val="000000" w:themeColor="text1"/>
        </w:rPr>
        <w:t>iddle Bronze Age Storage Jar, AE30.15.43.2</w:t>
      </w:r>
      <w:r w:rsidR="00F21F3E">
        <w:rPr>
          <w:rFonts w:cs="Times New Roman"/>
          <w:color w:val="000000" w:themeColor="text1"/>
        </w:rPr>
        <w:t xml:space="preserve"> </w:t>
      </w:r>
      <w:r w:rsidR="00F21F3E" w:rsidRPr="007573D9">
        <w:rPr>
          <w:rFonts w:cs="Times New Roman"/>
          <w:color w:val="000000" w:themeColor="text1"/>
        </w:rPr>
        <w:t>(</w:t>
      </w:r>
      <w:r w:rsidR="00F21F3E" w:rsidRPr="007573D9">
        <w:rPr>
          <w:rFonts w:cs="Times New Roman"/>
          <w:color w:val="000000" w:themeColor="text1"/>
          <w:kern w:val="0"/>
        </w:rPr>
        <w:t>Stripling 2018: Figure 5, 137)</w:t>
      </w:r>
      <w:r w:rsidR="000210EA">
        <w:rPr>
          <w:rFonts w:cs="Times New Roman"/>
          <w:color w:val="000000" w:themeColor="text1"/>
          <w:kern w:val="0"/>
        </w:rPr>
        <w:t>.</w:t>
      </w:r>
      <w:r w:rsidR="00BA43D8">
        <w:rPr>
          <w:rStyle w:val="FootnoteReference"/>
          <w:rFonts w:cs="Times New Roman"/>
          <w:color w:val="000000" w:themeColor="text1"/>
          <w:kern w:val="0"/>
        </w:rPr>
        <w:footnoteReference w:id="19"/>
      </w:r>
      <w:r w:rsidR="00F21F3E">
        <w:rPr>
          <w:rFonts w:cs="Times New Roman"/>
          <w:color w:val="000000" w:themeColor="text1"/>
          <w:kern w:val="0"/>
        </w:rPr>
        <w:t xml:space="preserve"> </w:t>
      </w:r>
    </w:p>
    <w:p w14:paraId="2936EC61" w14:textId="2038CEEC" w:rsidR="00B30320" w:rsidRPr="007573D9" w:rsidRDefault="00B30320" w:rsidP="003E1D75">
      <w:pPr>
        <w:autoSpaceDE w:val="0"/>
        <w:autoSpaceDN w:val="0"/>
        <w:adjustRightInd w:val="0"/>
        <w:ind w:firstLine="720"/>
        <w:rPr>
          <w:rFonts w:cs="Times New Roman"/>
        </w:rPr>
      </w:pPr>
      <w:proofErr w:type="spellStart"/>
      <w:r w:rsidRPr="007573D9">
        <w:rPr>
          <w:rFonts w:cs="Times New Roman"/>
          <w:color w:val="000000" w:themeColor="text1"/>
        </w:rPr>
        <w:t>Bon</w:t>
      </w:r>
      <w:r w:rsidR="00CF65D4">
        <w:rPr>
          <w:rFonts w:cs="Times New Roman"/>
          <w:color w:val="000000" w:themeColor="text1"/>
        </w:rPr>
        <w:t>a</w:t>
      </w:r>
      <w:r w:rsidRPr="007573D9">
        <w:rPr>
          <w:rFonts w:cs="Times New Roman"/>
          <w:color w:val="000000" w:themeColor="text1"/>
        </w:rPr>
        <w:t>fil</w:t>
      </w:r>
      <w:proofErr w:type="spellEnd"/>
      <w:r w:rsidR="00A12AB7">
        <w:rPr>
          <w:rFonts w:cs="Times New Roman"/>
          <w:color w:val="000000" w:themeColor="text1"/>
        </w:rPr>
        <w:t xml:space="preserve"> </w:t>
      </w:r>
      <w:r w:rsidR="00A12AB7" w:rsidRPr="007573D9">
        <w:rPr>
          <w:rFonts w:cs="Times New Roman"/>
          <w:kern w:val="0"/>
        </w:rPr>
        <w:t>(2019: 88</w:t>
      </w:r>
      <w:r w:rsidR="00A12AB7">
        <w:rPr>
          <w:rFonts w:cs="Times New Roman"/>
          <w:kern w:val="0"/>
        </w:rPr>
        <w:t>; Pl. 1.3.30 1, 2, 4, and 6</w:t>
      </w:r>
      <w:r w:rsidR="00A12AB7" w:rsidRPr="007573D9">
        <w:rPr>
          <w:rFonts w:cs="Times New Roman"/>
          <w:kern w:val="0"/>
        </w:rPr>
        <w:t>)</w:t>
      </w:r>
      <w:r w:rsidRPr="007573D9">
        <w:rPr>
          <w:rFonts w:cs="Times New Roman"/>
          <w:color w:val="000000" w:themeColor="text1"/>
        </w:rPr>
        <w:t xml:space="preserve"> describes similar juglets from Megiddo as </w:t>
      </w:r>
      <w:r w:rsidRPr="007573D9">
        <w:rPr>
          <w:rFonts w:cs="Times New Roman"/>
          <w:kern w:val="0"/>
        </w:rPr>
        <w:t>buff, elongated, oval-shaped, with high outwardly inclined necks</w:t>
      </w:r>
      <w:r w:rsidR="00F16DBD">
        <w:rPr>
          <w:rFonts w:cs="Times New Roman"/>
          <w:kern w:val="0"/>
        </w:rPr>
        <w:t xml:space="preserve">. </w:t>
      </w:r>
      <w:r w:rsidRPr="007573D9">
        <w:rPr>
          <w:rFonts w:cs="Times New Roman"/>
          <w:color w:val="000000" w:themeColor="text1"/>
        </w:rPr>
        <w:t>According to Freud</w:t>
      </w:r>
      <w:r w:rsidR="000210EA">
        <w:rPr>
          <w:rFonts w:cs="Times New Roman"/>
          <w:color w:val="000000" w:themeColor="text1"/>
        </w:rPr>
        <w:t xml:space="preserve"> (</w:t>
      </w:r>
      <w:r w:rsidR="000210EA" w:rsidRPr="00C419E7">
        <w:rPr>
          <w:rFonts w:cs="Times New Roman"/>
          <w:color w:val="000000" w:themeColor="text1"/>
        </w:rPr>
        <w:t xml:space="preserve">2018, </w:t>
      </w:r>
      <w:r w:rsidR="00C419E7" w:rsidRPr="00C419E7">
        <w:rPr>
          <w:rFonts w:cs="Times New Roman"/>
          <w:color w:val="000000" w:themeColor="text1"/>
        </w:rPr>
        <w:t>3</w:t>
      </w:r>
      <w:r w:rsidR="000210EA" w:rsidRPr="00C419E7">
        <w:rPr>
          <w:rFonts w:cs="Times New Roman"/>
          <w:color w:val="000000" w:themeColor="text1"/>
        </w:rPr>
        <w:t>)</w:t>
      </w:r>
      <w:r w:rsidRPr="00C419E7">
        <w:rPr>
          <w:rFonts w:cs="Times New Roman"/>
          <w:color w:val="000000" w:themeColor="text1"/>
        </w:rPr>
        <w:t>,</w:t>
      </w:r>
      <w:r w:rsidRPr="007573D9">
        <w:rPr>
          <w:rFonts w:cs="Times New Roman"/>
          <w:color w:val="000000" w:themeColor="text1"/>
        </w:rPr>
        <w:t xml:space="preserve"> </w:t>
      </w:r>
      <w:r w:rsidRPr="007573D9">
        <w:rPr>
          <w:rFonts w:cs="Times New Roman"/>
        </w:rPr>
        <w:t>l</w:t>
      </w:r>
      <w:r w:rsidRPr="007573D9">
        <w:rPr>
          <w:rFonts w:cs="Times New Roman"/>
          <w:kern w:val="0"/>
        </w:rPr>
        <w:t xml:space="preserve">amps with a rounded base or small disk base date to the Middle Bronze Age IIB–Middle Bronze IIC (=MB III) (Figure </w:t>
      </w:r>
      <w:r w:rsidR="00F16DBD">
        <w:rPr>
          <w:rFonts w:cs="Times New Roman"/>
          <w:kern w:val="0"/>
        </w:rPr>
        <w:t>19</w:t>
      </w:r>
      <w:r w:rsidR="00F16DBD" w:rsidRPr="007573D9">
        <w:rPr>
          <w:rFonts w:cs="Times New Roman"/>
          <w:kern w:val="0"/>
        </w:rPr>
        <w:t>).</w:t>
      </w:r>
      <w:r w:rsidR="000210EA">
        <w:rPr>
          <w:rFonts w:cs="Times New Roman"/>
          <w:kern w:val="0"/>
        </w:rPr>
        <w:t xml:space="preserve"> </w:t>
      </w:r>
      <w:r w:rsidR="00A12AB7">
        <w:rPr>
          <w:rFonts w:cs="Times New Roman"/>
          <w:kern w:val="0"/>
        </w:rPr>
        <w:t xml:space="preserve">She </w:t>
      </w:r>
      <w:r w:rsidR="000210EA">
        <w:rPr>
          <w:rFonts w:cs="Times New Roman"/>
          <w:kern w:val="0"/>
        </w:rPr>
        <w:t>(</w:t>
      </w:r>
      <w:r w:rsidR="000210EA" w:rsidRPr="00C419E7">
        <w:rPr>
          <w:rFonts w:cs="Times New Roman"/>
          <w:kern w:val="0"/>
        </w:rPr>
        <w:t xml:space="preserve">2018, </w:t>
      </w:r>
      <w:r w:rsidR="00C419E7" w:rsidRPr="00C419E7">
        <w:rPr>
          <w:rFonts w:cs="Times New Roman"/>
          <w:kern w:val="0"/>
        </w:rPr>
        <w:t>3</w:t>
      </w:r>
      <w:r w:rsidR="000210EA" w:rsidRPr="00C419E7">
        <w:rPr>
          <w:rFonts w:cs="Times New Roman"/>
          <w:kern w:val="0"/>
        </w:rPr>
        <w:t>)</w:t>
      </w:r>
      <w:r w:rsidRPr="00C419E7">
        <w:rPr>
          <w:rFonts w:cs="Times New Roman"/>
          <w:kern w:val="0"/>
        </w:rPr>
        <w:t xml:space="preserve"> describes</w:t>
      </w:r>
      <w:r w:rsidRPr="007573D9">
        <w:rPr>
          <w:rFonts w:cs="Times New Roman"/>
          <w:kern w:val="0"/>
        </w:rPr>
        <w:t xml:space="preserve"> the </w:t>
      </w:r>
      <w:r w:rsidRPr="007573D9">
        <w:rPr>
          <w:rFonts w:cs="Times New Roman"/>
          <w:color w:val="000000" w:themeColor="text1"/>
        </w:rPr>
        <w:t>p</w:t>
      </w:r>
      <w:r w:rsidRPr="007573D9">
        <w:rPr>
          <w:rFonts w:cs="Times New Roman"/>
        </w:rPr>
        <w:t>ithoi with a splayed high neck and everted molded rim as more typical to the later part of the Middle Bronze</w:t>
      </w:r>
      <w:r w:rsidR="00745AB4">
        <w:rPr>
          <w:rFonts w:cs="Times New Roman"/>
        </w:rPr>
        <w:t xml:space="preserve"> Age</w:t>
      </w:r>
      <w:r w:rsidRPr="007573D9">
        <w:rPr>
          <w:rFonts w:cs="Times New Roman"/>
        </w:rPr>
        <w:t xml:space="preserve"> (Figure </w:t>
      </w:r>
      <w:r w:rsidR="00F16DBD">
        <w:rPr>
          <w:rFonts w:cs="Times New Roman"/>
        </w:rPr>
        <w:t>21</w:t>
      </w:r>
      <w:r w:rsidR="00F16DBD" w:rsidRPr="007573D9">
        <w:rPr>
          <w:rFonts w:cs="Times New Roman"/>
        </w:rPr>
        <w:t xml:space="preserve">). </w:t>
      </w:r>
      <w:r w:rsidR="006442CA">
        <w:rPr>
          <w:rFonts w:cs="Times New Roman"/>
        </w:rPr>
        <w:t>T</w:t>
      </w:r>
      <w:r w:rsidR="00F21F3E">
        <w:rPr>
          <w:rFonts w:cs="Times New Roman"/>
        </w:rPr>
        <w:t>able 2</w:t>
      </w:r>
      <w:r w:rsidR="00ED7E53">
        <w:rPr>
          <w:rFonts w:cs="Times New Roman"/>
        </w:rPr>
        <w:t xml:space="preserve"> lists parallels</w:t>
      </w:r>
      <w:r w:rsidR="00F21F3E">
        <w:rPr>
          <w:rFonts w:cs="Times New Roman"/>
        </w:rPr>
        <w:t>.</w:t>
      </w:r>
    </w:p>
    <w:p w14:paraId="3B170C7F" w14:textId="72D3EA9C" w:rsidR="00B30320" w:rsidRDefault="00B30320" w:rsidP="003E1D75">
      <w:pPr>
        <w:pStyle w:val="Title"/>
        <w:kinsoku w:val="0"/>
        <w:overflowPunct w:val="0"/>
        <w:ind w:left="0"/>
        <w:jc w:val="center"/>
      </w:pPr>
    </w:p>
    <w:p w14:paraId="017DFA3D" w14:textId="58F59C13" w:rsidR="00622577" w:rsidRPr="00622577" w:rsidRDefault="00622577" w:rsidP="00622577">
      <w:pPr>
        <w:jc w:val="center"/>
      </w:pPr>
      <w:r>
        <w:t>*</w:t>
      </w:r>
    </w:p>
    <w:p w14:paraId="44DDEEC9" w14:textId="59BE67C0" w:rsidR="00165733" w:rsidRDefault="00B30320" w:rsidP="006159CE">
      <w:pPr>
        <w:autoSpaceDE w:val="0"/>
        <w:autoSpaceDN w:val="0"/>
        <w:adjustRightInd w:val="0"/>
        <w:rPr>
          <w:rFonts w:cs="Times New Roman"/>
          <w:color w:val="000000" w:themeColor="text1"/>
          <w:kern w:val="0"/>
        </w:rPr>
      </w:pPr>
      <w:r w:rsidRPr="007573D9">
        <w:rPr>
          <w:rFonts w:cs="Times New Roman"/>
          <w:color w:val="000000" w:themeColor="text1"/>
          <w:kern w:val="0"/>
        </w:rPr>
        <w:t xml:space="preserve">Figure </w:t>
      </w:r>
      <w:r w:rsidR="00F16DBD">
        <w:rPr>
          <w:rFonts w:cs="Times New Roman"/>
          <w:color w:val="000000" w:themeColor="text1"/>
          <w:kern w:val="0"/>
        </w:rPr>
        <w:t>16</w:t>
      </w:r>
      <w:r w:rsidR="00F16DBD" w:rsidRPr="007573D9">
        <w:rPr>
          <w:rFonts w:cs="Times New Roman"/>
          <w:color w:val="000000" w:themeColor="text1"/>
          <w:kern w:val="0"/>
        </w:rPr>
        <w:t xml:space="preserve">: </w:t>
      </w:r>
      <w:r w:rsidR="00F21F3E">
        <w:rPr>
          <w:rFonts w:cs="Times New Roman"/>
          <w:color w:val="000000" w:themeColor="text1"/>
          <w:kern w:val="0"/>
        </w:rPr>
        <w:t xml:space="preserve">Ceramic assemblage associated with Scarab Three. </w:t>
      </w:r>
      <w:r w:rsidR="00F21F3E" w:rsidRPr="007573D9">
        <w:rPr>
          <w:rFonts w:cs="Times New Roman"/>
          <w:color w:val="000000" w:themeColor="text1"/>
          <w:kern w:val="0"/>
        </w:rPr>
        <w:t xml:space="preserve">Photo courtesy of Michael C. </w:t>
      </w:r>
      <w:proofErr w:type="spellStart"/>
      <w:r w:rsidR="00F21F3E" w:rsidRPr="001018D4">
        <w:rPr>
          <w:rFonts w:cs="Times New Roman"/>
          <w:color w:val="000000" w:themeColor="text1"/>
          <w:kern w:val="0"/>
        </w:rPr>
        <w:t>Luddeni</w:t>
      </w:r>
      <w:proofErr w:type="spellEnd"/>
      <w:r w:rsidR="00F21F3E" w:rsidRPr="001018D4">
        <w:rPr>
          <w:rFonts w:cs="Times New Roman"/>
          <w:color w:val="000000" w:themeColor="text1"/>
          <w:kern w:val="0"/>
        </w:rPr>
        <w:t>.</w:t>
      </w:r>
      <w:r w:rsidR="00165733" w:rsidRPr="001018D4">
        <w:rPr>
          <w:rFonts w:cs="Times New Roman"/>
          <w:color w:val="000000" w:themeColor="text1"/>
          <w:kern w:val="0"/>
        </w:rPr>
        <w:t xml:space="preserve"> Drawings by </w:t>
      </w:r>
      <w:r w:rsidR="001018D4" w:rsidRPr="001018D4">
        <w:t>Ortal Harush</w:t>
      </w:r>
      <w:r w:rsidR="001018D4" w:rsidRPr="001018D4">
        <w:rPr>
          <w:rFonts w:cs="Times New Roman"/>
          <w:color w:val="000000" w:themeColor="text1"/>
          <w:kern w:val="0"/>
        </w:rPr>
        <w:t>.</w:t>
      </w:r>
    </w:p>
    <w:p w14:paraId="0CAD2DE8" w14:textId="77777777" w:rsidR="008C7D15" w:rsidRDefault="008C7D15" w:rsidP="006159CE">
      <w:pPr>
        <w:autoSpaceDE w:val="0"/>
        <w:autoSpaceDN w:val="0"/>
        <w:adjustRightInd w:val="0"/>
        <w:rPr>
          <w:rFonts w:cs="Times New Roman"/>
          <w:color w:val="000000" w:themeColor="text1"/>
          <w:kern w:val="0"/>
        </w:rPr>
      </w:pPr>
    </w:p>
    <w:p w14:paraId="42C9927C" w14:textId="458AA03F" w:rsidR="008C7D15" w:rsidRDefault="008C7D15" w:rsidP="006159CE">
      <w:pPr>
        <w:autoSpaceDE w:val="0"/>
        <w:autoSpaceDN w:val="0"/>
        <w:adjustRightInd w:val="0"/>
        <w:rPr>
          <w:rFonts w:cs="Times New Roman"/>
          <w:color w:val="000000" w:themeColor="text1"/>
          <w:kern w:val="0"/>
        </w:rPr>
      </w:pPr>
      <w:r>
        <w:rPr>
          <w:rFonts w:cs="Times New Roman"/>
          <w:color w:val="000000" w:themeColor="text1"/>
          <w:kern w:val="0"/>
        </w:rPr>
        <w:t>*</w:t>
      </w:r>
    </w:p>
    <w:p w14:paraId="17BD59F1" w14:textId="32BB5625" w:rsidR="00F21F3E" w:rsidRDefault="00F21F3E" w:rsidP="002928FD">
      <w:pPr>
        <w:rPr>
          <w:rFonts w:cs="Times New Roman"/>
          <w:color w:val="000000" w:themeColor="text1"/>
        </w:rPr>
      </w:pPr>
      <w:r>
        <w:rPr>
          <w:rFonts w:cs="Times New Roman"/>
          <w:color w:val="000000" w:themeColor="text1"/>
        </w:rPr>
        <w:t>Table 2: Parallels for ceramic assemblage associated with Scarab Three.</w:t>
      </w:r>
    </w:p>
    <w:p w14:paraId="0F84A3EA" w14:textId="77777777" w:rsidR="00F21F3E" w:rsidRDefault="00F21F3E" w:rsidP="007573D9">
      <w:pPr>
        <w:ind w:firstLine="720"/>
        <w:rPr>
          <w:rFonts w:cs="Times New Roman"/>
          <w:color w:val="000000" w:themeColor="text1"/>
        </w:rPr>
      </w:pPr>
    </w:p>
    <w:p w14:paraId="527AFBB0" w14:textId="6FE6B69D" w:rsidR="0065546A" w:rsidRDefault="00A63F5E" w:rsidP="007573D9">
      <w:pPr>
        <w:ind w:firstLine="720"/>
        <w:rPr>
          <w:rFonts w:cs="Times New Roman"/>
          <w:color w:val="000000" w:themeColor="text1"/>
        </w:rPr>
      </w:pPr>
      <w:r w:rsidRPr="007573D9">
        <w:rPr>
          <w:rFonts w:cs="Times New Roman"/>
          <w:color w:val="000000" w:themeColor="text1"/>
        </w:rPr>
        <w:t xml:space="preserve">The following table lists the strata range for each </w:t>
      </w:r>
      <w:r w:rsidR="00396EB0" w:rsidRPr="007573D9">
        <w:rPr>
          <w:rFonts w:cs="Times New Roman"/>
          <w:color w:val="000000" w:themeColor="text1"/>
        </w:rPr>
        <w:t xml:space="preserve">Shiloh </w:t>
      </w:r>
      <w:r w:rsidRPr="007573D9">
        <w:rPr>
          <w:rFonts w:cs="Times New Roman"/>
          <w:color w:val="000000" w:themeColor="text1"/>
        </w:rPr>
        <w:t xml:space="preserve">scarab and shows how all three scarabs date </w:t>
      </w:r>
      <w:r w:rsidR="005401B1" w:rsidRPr="007573D9">
        <w:rPr>
          <w:rFonts w:cs="Times New Roman"/>
          <w:color w:val="000000" w:themeColor="text1"/>
        </w:rPr>
        <w:t xml:space="preserve">from </w:t>
      </w:r>
      <w:r w:rsidR="00E40184" w:rsidRPr="007573D9">
        <w:rPr>
          <w:rFonts w:cs="Times New Roman"/>
          <w:color w:val="000000" w:themeColor="text1"/>
        </w:rPr>
        <w:t xml:space="preserve">ca. </w:t>
      </w:r>
      <w:r w:rsidRPr="007573D9">
        <w:rPr>
          <w:rFonts w:cs="Times New Roman"/>
          <w:color w:val="000000" w:themeColor="text1"/>
        </w:rPr>
        <w:t>1750</w:t>
      </w:r>
      <w:r w:rsidR="005401B1" w:rsidRPr="007573D9">
        <w:rPr>
          <w:rFonts w:cs="Times New Roman"/>
          <w:color w:val="000000" w:themeColor="text1"/>
        </w:rPr>
        <w:t>–</w:t>
      </w:r>
      <w:r w:rsidR="00DB65DD" w:rsidRPr="007573D9">
        <w:rPr>
          <w:rFonts w:cs="Times New Roman"/>
          <w:color w:val="000000" w:themeColor="text1"/>
        </w:rPr>
        <w:t>1220</w:t>
      </w:r>
      <w:r w:rsidRPr="007573D9">
        <w:rPr>
          <w:rFonts w:cs="Times New Roman"/>
          <w:color w:val="000000" w:themeColor="text1"/>
        </w:rPr>
        <w:t xml:space="preserve"> BCE. </w:t>
      </w:r>
    </w:p>
    <w:p w14:paraId="530CFAE7" w14:textId="77777777" w:rsidR="006159CE" w:rsidRPr="007573D9" w:rsidRDefault="006159CE" w:rsidP="007573D9">
      <w:pPr>
        <w:ind w:firstLine="720"/>
        <w:rPr>
          <w:rFonts w:cs="Times New Roman"/>
          <w:color w:val="000000" w:themeColor="text1"/>
        </w:rPr>
      </w:pPr>
    </w:p>
    <w:p w14:paraId="61F0D0CD" w14:textId="7608E426" w:rsidR="0065546A" w:rsidRPr="007573D9" w:rsidRDefault="00143A82" w:rsidP="00E865C5">
      <w:pPr>
        <w:jc w:val="center"/>
        <w:rPr>
          <w:rFonts w:cs="Times New Roman"/>
          <w:color w:val="000000" w:themeColor="text1"/>
        </w:rPr>
      </w:pPr>
      <w:r w:rsidRPr="007573D9">
        <w:rPr>
          <w:rFonts w:cs="Times New Roman"/>
          <w:color w:val="000000" w:themeColor="text1"/>
        </w:rPr>
        <w:t>*</w:t>
      </w:r>
    </w:p>
    <w:p w14:paraId="0D3EF3AE" w14:textId="243015D1" w:rsidR="007C4B11" w:rsidRDefault="00A63F5E" w:rsidP="007573D9">
      <w:pPr>
        <w:rPr>
          <w:rFonts w:cs="Times New Roman"/>
          <w:color w:val="000000" w:themeColor="text1"/>
        </w:rPr>
      </w:pPr>
      <w:r w:rsidRPr="007573D9">
        <w:rPr>
          <w:rFonts w:cs="Times New Roman"/>
          <w:color w:val="000000" w:themeColor="text1"/>
        </w:rPr>
        <w:t xml:space="preserve">Table </w:t>
      </w:r>
      <w:r w:rsidR="00F21F3E">
        <w:rPr>
          <w:rFonts w:cs="Times New Roman"/>
          <w:color w:val="000000" w:themeColor="text1"/>
        </w:rPr>
        <w:t>3</w:t>
      </w:r>
      <w:r w:rsidR="00E40184" w:rsidRPr="007573D9">
        <w:rPr>
          <w:rFonts w:cs="Times New Roman"/>
          <w:color w:val="000000" w:themeColor="text1"/>
        </w:rPr>
        <w:t xml:space="preserve">: </w:t>
      </w:r>
      <w:r w:rsidR="007C4B11" w:rsidRPr="007573D9">
        <w:rPr>
          <w:rFonts w:cs="Times New Roman"/>
          <w:color w:val="000000" w:themeColor="text1"/>
        </w:rPr>
        <w:t>Date</w:t>
      </w:r>
      <w:r w:rsidRPr="007573D9">
        <w:rPr>
          <w:rFonts w:cs="Times New Roman"/>
          <w:color w:val="000000" w:themeColor="text1"/>
        </w:rPr>
        <w:t xml:space="preserve"> Ranges for </w:t>
      </w:r>
      <w:r w:rsidR="00745AB4">
        <w:rPr>
          <w:rFonts w:cs="Times New Roman"/>
          <w:color w:val="000000" w:themeColor="text1"/>
        </w:rPr>
        <w:t xml:space="preserve">Shiloh </w:t>
      </w:r>
      <w:r w:rsidRPr="007573D9">
        <w:rPr>
          <w:rFonts w:cs="Times New Roman"/>
          <w:color w:val="000000" w:themeColor="text1"/>
        </w:rPr>
        <w:t>Scarabs</w:t>
      </w:r>
      <w:r w:rsidR="005401B1" w:rsidRPr="007573D9">
        <w:rPr>
          <w:rFonts w:cs="Times New Roman"/>
          <w:color w:val="000000" w:themeColor="text1"/>
        </w:rPr>
        <w:t xml:space="preserve">. Courtesy </w:t>
      </w:r>
      <w:r w:rsidR="000A4CF7" w:rsidRPr="007573D9">
        <w:rPr>
          <w:rFonts w:cs="Times New Roman"/>
          <w:color w:val="000000" w:themeColor="text1"/>
        </w:rPr>
        <w:t>o</w:t>
      </w:r>
      <w:r w:rsidR="005401B1" w:rsidRPr="007573D9">
        <w:rPr>
          <w:rFonts w:cs="Times New Roman"/>
          <w:color w:val="000000" w:themeColor="text1"/>
        </w:rPr>
        <w:t xml:space="preserve">f Gary </w:t>
      </w:r>
      <w:r w:rsidR="0065546A" w:rsidRPr="007573D9">
        <w:rPr>
          <w:rFonts w:cs="Times New Roman"/>
          <w:color w:val="000000" w:themeColor="text1"/>
        </w:rPr>
        <w:t xml:space="preserve">D. </w:t>
      </w:r>
      <w:r w:rsidR="005401B1" w:rsidRPr="007573D9">
        <w:rPr>
          <w:rFonts w:cs="Times New Roman"/>
          <w:color w:val="000000" w:themeColor="text1"/>
        </w:rPr>
        <w:t>Urie.</w:t>
      </w:r>
    </w:p>
    <w:p w14:paraId="3AEBEFF9" w14:textId="77777777" w:rsidR="00AD5200" w:rsidRPr="007573D9" w:rsidRDefault="00AD5200" w:rsidP="007573D9">
      <w:pPr>
        <w:rPr>
          <w:rFonts w:cs="Times New Roman"/>
          <w:color w:val="000000" w:themeColor="text1"/>
        </w:rPr>
      </w:pPr>
    </w:p>
    <w:p w14:paraId="2471EE08" w14:textId="0EEBE94E" w:rsidR="00FB34C4" w:rsidRPr="00944DDE" w:rsidRDefault="005E2908" w:rsidP="00FB34C4">
      <w:pPr>
        <w:rPr>
          <w:rFonts w:cs="Times New Roman"/>
          <w:b/>
          <w:bCs/>
        </w:rPr>
      </w:pPr>
      <w:r>
        <w:rPr>
          <w:rFonts w:cs="Times New Roman"/>
          <w:b/>
          <w:bCs/>
        </w:rPr>
        <w:t>Heirlooms and Postdeposition Activities</w:t>
      </w:r>
    </w:p>
    <w:p w14:paraId="41C56E24" w14:textId="77777777" w:rsidR="00FB34C4" w:rsidRPr="007573D9" w:rsidRDefault="00FB34C4" w:rsidP="00FB34C4">
      <w:pPr>
        <w:rPr>
          <w:rFonts w:cs="Times New Roman"/>
          <w:b/>
          <w:bCs/>
        </w:rPr>
      </w:pPr>
    </w:p>
    <w:p w14:paraId="6E21FB54" w14:textId="7091B09E" w:rsidR="000E1391" w:rsidRPr="00857566" w:rsidRDefault="00FB34C4" w:rsidP="00857566">
      <w:pPr>
        <w:autoSpaceDE w:val="0"/>
        <w:autoSpaceDN w:val="0"/>
        <w:adjustRightInd w:val="0"/>
        <w:rPr>
          <w:rFonts w:cs="Times New Roman"/>
        </w:rPr>
      </w:pPr>
      <w:r w:rsidRPr="00CB5DB7">
        <w:rPr>
          <w:rFonts w:cs="Times New Roman"/>
          <w:kern w:val="0"/>
        </w:rPr>
        <w:t>The dates for scarabs, especially Thutmose III scarabs, can vary greatly</w:t>
      </w:r>
      <w:r w:rsidR="00CA6938" w:rsidRPr="00CB5DB7">
        <w:rPr>
          <w:rFonts w:cs="Times New Roman"/>
          <w:kern w:val="0"/>
        </w:rPr>
        <w:t>.</w:t>
      </w:r>
      <w:r w:rsidRPr="00CB5DB7">
        <w:rPr>
          <w:rFonts w:cs="Times New Roman"/>
          <w:kern w:val="0"/>
        </w:rPr>
        <w:t xml:space="preserve"> </w:t>
      </w:r>
      <w:r w:rsidRPr="00CB5DB7">
        <w:rPr>
          <w:rFonts w:cs="Times New Roman"/>
        </w:rPr>
        <w:t>The idea a scarab is commemorative</w:t>
      </w:r>
      <w:r w:rsidR="007B6E85" w:rsidRPr="00CB5DB7">
        <w:rPr>
          <w:rFonts w:cs="Times New Roman"/>
        </w:rPr>
        <w:t xml:space="preserve"> or posthumous</w:t>
      </w:r>
      <w:r w:rsidRPr="00CB5DB7">
        <w:rPr>
          <w:rFonts w:cs="Times New Roman"/>
        </w:rPr>
        <w:t xml:space="preserve"> is often presented as an explanation for scarabs from earlier pharaohs found in later contexts. </w:t>
      </w:r>
      <w:r w:rsidR="00A25D99">
        <w:rPr>
          <w:rFonts w:cs="Times New Roman"/>
        </w:rPr>
        <w:t>However</w:t>
      </w:r>
      <w:r w:rsidRPr="00CB5DB7">
        <w:rPr>
          <w:rFonts w:cs="Times New Roman"/>
        </w:rPr>
        <w:t>, scarabs should be dated according to their typology and not assumed to date to another period, e</w:t>
      </w:r>
      <w:r w:rsidR="006442CA" w:rsidRPr="00CB5DB7">
        <w:rPr>
          <w:rFonts w:cs="Times New Roman"/>
        </w:rPr>
        <w:t>specially</w:t>
      </w:r>
      <w:r w:rsidRPr="00CB5DB7">
        <w:rPr>
          <w:rFonts w:cs="Times New Roman"/>
        </w:rPr>
        <w:t xml:space="preserve"> if found in a clean context. </w:t>
      </w:r>
      <w:r w:rsidR="007B6E85" w:rsidRPr="00CB5DB7">
        <w:rPr>
          <w:rFonts w:cs="Times New Roman"/>
        </w:rPr>
        <w:t xml:space="preserve">This assumption relies on the </w:t>
      </w:r>
      <w:r w:rsidR="00BA43D8" w:rsidRPr="00CB5DB7">
        <w:rPr>
          <w:rFonts w:cs="Times New Roman"/>
        </w:rPr>
        <w:t xml:space="preserve">accuracy </w:t>
      </w:r>
      <w:r w:rsidR="007B6E85" w:rsidRPr="00CB5DB7">
        <w:rPr>
          <w:rFonts w:cs="Times New Roman"/>
        </w:rPr>
        <w:t>of current scarab typology.</w:t>
      </w:r>
      <w:r w:rsidR="007B6E85" w:rsidRPr="00857566">
        <w:rPr>
          <w:rFonts w:cs="Times New Roman"/>
        </w:rPr>
        <w:t xml:space="preserve"> </w:t>
      </w:r>
    </w:p>
    <w:p w14:paraId="030747C9" w14:textId="327C099C" w:rsidR="00B52F57" w:rsidRDefault="000E1391" w:rsidP="000E1391">
      <w:pPr>
        <w:autoSpaceDE w:val="0"/>
        <w:autoSpaceDN w:val="0"/>
        <w:adjustRightInd w:val="0"/>
        <w:ind w:firstLine="720"/>
      </w:pPr>
      <w:r>
        <w:rPr>
          <w:rFonts w:cs="Times New Roman"/>
        </w:rPr>
        <w:t>Brandl provides possible explanations for scarabs from earlier periods appearing in later contexts. His</w:t>
      </w:r>
      <w:r w:rsidR="00745AB4">
        <w:rPr>
          <w:rFonts w:cs="Times New Roman"/>
        </w:rPr>
        <w:t xml:space="preserve"> (2019: 155)</w:t>
      </w:r>
      <w:r>
        <w:rPr>
          <w:rFonts w:cs="Times New Roman"/>
        </w:rPr>
        <w:t xml:space="preserve"> example is a </w:t>
      </w:r>
      <w:r w:rsidR="00D80EBA">
        <w:rPr>
          <w:rFonts w:cs="Times New Roman"/>
        </w:rPr>
        <w:t>17</w:t>
      </w:r>
      <w:r w:rsidR="001162FE">
        <w:rPr>
          <w:rFonts w:cs="Times New Roman"/>
        </w:rPr>
        <w:t>th</w:t>
      </w:r>
      <w:r w:rsidR="00D80EBA">
        <w:rPr>
          <w:rFonts w:cs="Times New Roman"/>
        </w:rPr>
        <w:t xml:space="preserve"> century BCE Middle Bronze Age scarab from Nahal Aviv </w:t>
      </w:r>
      <w:r>
        <w:rPr>
          <w:rFonts w:cs="Times New Roman"/>
        </w:rPr>
        <w:t>that appeared</w:t>
      </w:r>
      <w:r w:rsidR="00D80EBA">
        <w:rPr>
          <w:rFonts w:cs="Times New Roman"/>
        </w:rPr>
        <w:t xml:space="preserve"> in an Early Roman context.</w:t>
      </w:r>
      <w:r w:rsidR="005F67A7">
        <w:rPr>
          <w:rFonts w:cs="Times New Roman"/>
        </w:rPr>
        <w:t xml:space="preserve"> </w:t>
      </w:r>
      <w:r w:rsidR="00D80EBA">
        <w:rPr>
          <w:rFonts w:cs="Times New Roman"/>
        </w:rPr>
        <w:t>He</w:t>
      </w:r>
      <w:r w:rsidR="00ED7E53" w:rsidRPr="007573D9">
        <w:rPr>
          <w:rFonts w:cs="Times New Roman"/>
        </w:rPr>
        <w:t xml:space="preserve"> </w:t>
      </w:r>
      <w:r w:rsidR="00ED7E53" w:rsidRPr="007573D9">
        <w:rPr>
          <w:rFonts w:cs="Times New Roman"/>
          <w:color w:val="211D1E"/>
        </w:rPr>
        <w:t>(2019:</w:t>
      </w:r>
      <w:r w:rsidR="00710DEB">
        <w:rPr>
          <w:rFonts w:cs="Times New Roman"/>
          <w:color w:val="211D1E"/>
        </w:rPr>
        <w:t xml:space="preserve"> </w:t>
      </w:r>
      <w:r w:rsidR="00ED7E53" w:rsidRPr="007573D9">
        <w:rPr>
          <w:rFonts w:cs="Times New Roman"/>
          <w:color w:val="211D1E"/>
        </w:rPr>
        <w:t>155)</w:t>
      </w:r>
      <w:r w:rsidR="00ED7E53">
        <w:rPr>
          <w:rFonts w:cs="Times New Roman"/>
          <w:color w:val="211D1E"/>
        </w:rPr>
        <w:t xml:space="preserve"> </w:t>
      </w:r>
      <w:r>
        <w:rPr>
          <w:rFonts w:cs="Times New Roman"/>
        </w:rPr>
        <w:t xml:space="preserve">explains that the appearance in a later context may be due to </w:t>
      </w:r>
      <w:r w:rsidR="00745AB4">
        <w:rPr>
          <w:rFonts w:cs="Times New Roman"/>
        </w:rPr>
        <w:t>“</w:t>
      </w:r>
      <w:r w:rsidR="00D80EBA">
        <w:rPr>
          <w:rFonts w:cs="Times New Roman"/>
        </w:rPr>
        <w:t>The Heirloom Paradigm</w:t>
      </w:r>
      <w:r w:rsidR="00745AB4">
        <w:rPr>
          <w:rFonts w:cs="Times New Roman"/>
        </w:rPr>
        <w:t>”</w:t>
      </w:r>
      <w:r w:rsidR="00D80EBA">
        <w:rPr>
          <w:rFonts w:cs="Times New Roman"/>
        </w:rPr>
        <w:t xml:space="preserve"> </w:t>
      </w:r>
      <w:r>
        <w:rPr>
          <w:rFonts w:cs="Times New Roman"/>
        </w:rPr>
        <w:t>or</w:t>
      </w:r>
      <w:r w:rsidR="00D80EBA">
        <w:rPr>
          <w:rFonts w:cs="Times New Roman"/>
        </w:rPr>
        <w:t xml:space="preserve"> </w:t>
      </w:r>
      <w:r w:rsidR="00E32C72" w:rsidRPr="00D80EBA">
        <w:rPr>
          <w:rFonts w:cs="Times New Roman"/>
          <w:color w:val="211D1E"/>
        </w:rPr>
        <w:t>postdeposition activities</w:t>
      </w:r>
      <w:r w:rsidR="00D80EBA" w:rsidRPr="00D80EBA">
        <w:rPr>
          <w:rFonts w:cs="Times New Roman"/>
          <w:color w:val="211D1E"/>
        </w:rPr>
        <w:t>. In the first explanation, scarabs passed down from generation to generation appear in a later context (Brandl 2019: 155). In the second explanation</w:t>
      </w:r>
      <w:r w:rsidR="00D80EBA">
        <w:rPr>
          <w:rFonts w:cs="Times New Roman"/>
          <w:color w:val="211D1E"/>
        </w:rPr>
        <w:t xml:space="preserve">, </w:t>
      </w:r>
      <w:r w:rsidR="00D80EBA" w:rsidRPr="008E2FA9">
        <w:t xml:space="preserve">small finds </w:t>
      </w:r>
      <w:r w:rsidR="00E956DF">
        <w:t xml:space="preserve">from earlier periods </w:t>
      </w:r>
      <w:r w:rsidR="00D80EBA">
        <w:t>move around at site</w:t>
      </w:r>
      <w:r>
        <w:t>s</w:t>
      </w:r>
      <w:r w:rsidR="00D80EBA">
        <w:t xml:space="preserve"> because of settlement activity</w:t>
      </w:r>
      <w:r>
        <w:t xml:space="preserve"> </w:t>
      </w:r>
      <w:r w:rsidR="00E956DF">
        <w:t xml:space="preserve">and </w:t>
      </w:r>
      <w:r>
        <w:t xml:space="preserve">reemerge </w:t>
      </w:r>
      <w:r w:rsidR="00E956DF">
        <w:t xml:space="preserve">in </w:t>
      </w:r>
      <w:r>
        <w:t xml:space="preserve">later </w:t>
      </w:r>
      <w:r w:rsidR="00E956DF">
        <w:t xml:space="preserve">contexts </w:t>
      </w:r>
      <w:r>
        <w:t>(Brandl 2019: 155).</w:t>
      </w:r>
      <w:r w:rsidR="001162FE">
        <w:rPr>
          <w:rStyle w:val="FootnoteReference"/>
        </w:rPr>
        <w:footnoteReference w:id="20"/>
      </w:r>
      <w:r>
        <w:t xml:space="preserve"> Other post deposition activity may include scarabs from burial</w:t>
      </w:r>
      <w:r w:rsidR="00D80EBA" w:rsidRPr="008E2FA9">
        <w:t xml:space="preserve"> tombs or</w:t>
      </w:r>
      <w:r w:rsidR="00D80EBA">
        <w:t xml:space="preserve"> </w:t>
      </w:r>
      <w:r>
        <w:t xml:space="preserve">burial </w:t>
      </w:r>
      <w:r w:rsidR="00D80EBA">
        <w:t xml:space="preserve">caves </w:t>
      </w:r>
      <w:r>
        <w:t xml:space="preserve">becoming the </w:t>
      </w:r>
      <w:r w:rsidR="00D80EBA" w:rsidRPr="008E2FA9">
        <w:t xml:space="preserve">personal </w:t>
      </w:r>
      <w:r w:rsidR="00E32C72" w:rsidRPr="00D80EBA">
        <w:rPr>
          <w:rFonts w:cs="Times New Roman"/>
          <w:color w:val="211D1E"/>
        </w:rPr>
        <w:t xml:space="preserve">property of others </w:t>
      </w:r>
      <w:r>
        <w:rPr>
          <w:rFonts w:cs="Times New Roman"/>
          <w:color w:val="211D1E"/>
        </w:rPr>
        <w:t xml:space="preserve">then </w:t>
      </w:r>
      <w:r w:rsidR="00CF65D4" w:rsidRPr="00D80EBA">
        <w:rPr>
          <w:rFonts w:cs="Times New Roman"/>
          <w:color w:val="211D1E"/>
        </w:rPr>
        <w:t>passed</w:t>
      </w:r>
      <w:r w:rsidR="00E32C72" w:rsidRPr="00D80EBA">
        <w:rPr>
          <w:rFonts w:cs="Times New Roman"/>
          <w:color w:val="211D1E"/>
        </w:rPr>
        <w:t xml:space="preserve"> to later generations </w:t>
      </w:r>
      <w:r>
        <w:rPr>
          <w:rFonts w:cs="Times New Roman"/>
          <w:color w:val="211D1E"/>
        </w:rPr>
        <w:t>or</w:t>
      </w:r>
      <w:r w:rsidR="00E32C72" w:rsidRPr="00D80EBA">
        <w:rPr>
          <w:rFonts w:cs="Times New Roman"/>
          <w:color w:val="211D1E"/>
        </w:rPr>
        <w:t xml:space="preserve"> even </w:t>
      </w:r>
      <w:r>
        <w:rPr>
          <w:rFonts w:cs="Times New Roman"/>
          <w:color w:val="211D1E"/>
        </w:rPr>
        <w:t>reburied</w:t>
      </w:r>
      <w:r w:rsidR="00E32C72" w:rsidRPr="00D80EBA">
        <w:rPr>
          <w:rFonts w:cs="Times New Roman"/>
          <w:color w:val="211D1E"/>
        </w:rPr>
        <w:t xml:space="preserve"> with </w:t>
      </w:r>
      <w:r w:rsidR="00CA6938">
        <w:rPr>
          <w:rFonts w:cs="Times New Roman"/>
          <w:color w:val="211D1E"/>
        </w:rPr>
        <w:t>a subsequent</w:t>
      </w:r>
      <w:r w:rsidR="00E32C72" w:rsidRPr="00D80EBA">
        <w:rPr>
          <w:rFonts w:cs="Times New Roman"/>
          <w:color w:val="211D1E"/>
        </w:rPr>
        <w:t xml:space="preserve"> owner</w:t>
      </w:r>
      <w:r>
        <w:rPr>
          <w:rFonts w:cs="Times New Roman"/>
          <w:color w:val="211D1E"/>
        </w:rPr>
        <w:t xml:space="preserve"> (Brandl 2019: 155)</w:t>
      </w:r>
      <w:r w:rsidR="00E32C72" w:rsidRPr="00D80EBA">
        <w:rPr>
          <w:rFonts w:cs="Times New Roman"/>
          <w:color w:val="211D1E"/>
        </w:rPr>
        <w:t xml:space="preserve">. </w:t>
      </w:r>
      <w:r w:rsidR="00644C58">
        <w:rPr>
          <w:rFonts w:cs="Times New Roman"/>
          <w:color w:val="211D1E"/>
        </w:rPr>
        <w:t>T</w:t>
      </w:r>
      <w:r w:rsidR="00D80EBA" w:rsidRPr="007573D9">
        <w:rPr>
          <w:rFonts w:cs="Times New Roman"/>
        </w:rPr>
        <w:t>ombs are the greatest source for scarabs, especially those from the Early and Late Palestinian Series scarabs, which according to Ben-Tor</w:t>
      </w:r>
      <w:r w:rsidR="00D80EBA">
        <w:rPr>
          <w:rFonts w:cs="Times New Roman"/>
        </w:rPr>
        <w:t xml:space="preserve"> </w:t>
      </w:r>
      <w:r w:rsidR="00D80EBA" w:rsidRPr="007573D9">
        <w:rPr>
          <w:rFonts w:cs="Times New Roman"/>
        </w:rPr>
        <w:t>(2007: 186)</w:t>
      </w:r>
      <w:r w:rsidR="00745AB4">
        <w:rPr>
          <w:rFonts w:cs="Times New Roman"/>
        </w:rPr>
        <w:t>,</w:t>
      </w:r>
      <w:r w:rsidR="00D80EBA" w:rsidRPr="007573D9">
        <w:rPr>
          <w:rFonts w:cs="Times New Roman"/>
        </w:rPr>
        <w:t xml:space="preserve"> come primarily from Canaanite tombs.</w:t>
      </w:r>
    </w:p>
    <w:p w14:paraId="0839DB27" w14:textId="340679B8" w:rsidR="00BF137E" w:rsidRPr="00B52F57" w:rsidRDefault="00BF137E" w:rsidP="00E32C72">
      <w:pPr>
        <w:autoSpaceDE w:val="0"/>
        <w:autoSpaceDN w:val="0"/>
        <w:adjustRightInd w:val="0"/>
        <w:jc w:val="center"/>
        <w:rPr>
          <w:rFonts w:cs="Times New Roman"/>
          <w:b/>
          <w:bCs/>
          <w:color w:val="211D1E"/>
        </w:rPr>
      </w:pPr>
      <w:r w:rsidRPr="00B52F57">
        <w:rPr>
          <w:rFonts w:cs="Times New Roman"/>
          <w:b/>
          <w:bCs/>
          <w:color w:val="211D1E"/>
        </w:rPr>
        <w:lastRenderedPageBreak/>
        <w:t>Conclusion</w:t>
      </w:r>
    </w:p>
    <w:p w14:paraId="40B802EC" w14:textId="77777777" w:rsidR="00304121" w:rsidRPr="00B52F57" w:rsidRDefault="00304121" w:rsidP="00B30320">
      <w:pPr>
        <w:rPr>
          <w:rFonts w:cs="Times New Roman"/>
          <w:b/>
          <w:bCs/>
          <w:color w:val="211D1E"/>
        </w:rPr>
      </w:pPr>
    </w:p>
    <w:p w14:paraId="7D2E8E01" w14:textId="6B626B4F" w:rsidR="0049146A" w:rsidRPr="007573D9" w:rsidRDefault="00F34CFA" w:rsidP="007573D9">
      <w:pPr>
        <w:autoSpaceDE w:val="0"/>
        <w:autoSpaceDN w:val="0"/>
        <w:adjustRightInd w:val="0"/>
        <w:rPr>
          <w:rFonts w:cs="Times New Roman"/>
        </w:rPr>
      </w:pPr>
      <w:r w:rsidRPr="00B52F57">
        <w:rPr>
          <w:rFonts w:cs="Times New Roman"/>
        </w:rPr>
        <w:t>Although</w:t>
      </w:r>
      <w:r w:rsidR="00807DDD" w:rsidRPr="00B52F57">
        <w:rPr>
          <w:rFonts w:cs="Times New Roman"/>
        </w:rPr>
        <w:t xml:space="preserve"> only Scarab Three derives from a clean archeological context, all</w:t>
      </w:r>
      <w:r w:rsidR="00FB4D9C" w:rsidRPr="00B52F57">
        <w:rPr>
          <w:rFonts w:cs="Times New Roman"/>
        </w:rPr>
        <w:t xml:space="preserve"> three</w:t>
      </w:r>
      <w:r w:rsidR="00FB4D9C" w:rsidRPr="00B52F57">
        <w:rPr>
          <w:rFonts w:cs="Times New Roman"/>
          <w:color w:val="211D1E"/>
        </w:rPr>
        <w:t xml:space="preserve"> </w:t>
      </w:r>
      <w:r w:rsidR="008E13CD" w:rsidRPr="00B52F57">
        <w:rPr>
          <w:rFonts w:cs="Times New Roman"/>
          <w:color w:val="211D1E"/>
        </w:rPr>
        <w:t xml:space="preserve">Shiloh </w:t>
      </w:r>
      <w:r w:rsidR="00FB4D9C" w:rsidRPr="00B52F57">
        <w:rPr>
          <w:rFonts w:cs="Times New Roman"/>
          <w:color w:val="211D1E"/>
        </w:rPr>
        <w:t xml:space="preserve">scarabs </w:t>
      </w:r>
      <w:r w:rsidR="00DA31FF" w:rsidRPr="00B52F57">
        <w:rPr>
          <w:rFonts w:cs="Times New Roman"/>
          <w:color w:val="211D1E"/>
        </w:rPr>
        <w:t xml:space="preserve">through </w:t>
      </w:r>
      <w:r w:rsidR="00D52D47" w:rsidRPr="00B52F57">
        <w:rPr>
          <w:rFonts w:cs="Times New Roman"/>
          <w:color w:val="211D1E"/>
        </w:rPr>
        <w:t xml:space="preserve">either </w:t>
      </w:r>
      <w:r w:rsidR="00FB4D9C" w:rsidRPr="00B52F57">
        <w:rPr>
          <w:rFonts w:cs="Times New Roman"/>
          <w:color w:val="211D1E"/>
        </w:rPr>
        <w:t>c</w:t>
      </w:r>
      <w:r w:rsidR="00FB4D9C" w:rsidRPr="00B52F57">
        <w:rPr>
          <w:rFonts w:cs="Times New Roman"/>
        </w:rPr>
        <w:t xml:space="preserve">hronology, typology, </w:t>
      </w:r>
      <w:r w:rsidR="00D52D47" w:rsidRPr="00B52F57">
        <w:rPr>
          <w:rFonts w:cs="Times New Roman"/>
        </w:rPr>
        <w:t>or</w:t>
      </w:r>
      <w:r w:rsidR="00FB4D9C" w:rsidRPr="00B52F57">
        <w:rPr>
          <w:rFonts w:cs="Times New Roman"/>
        </w:rPr>
        <w:t xml:space="preserve"> iconography</w:t>
      </w:r>
      <w:r w:rsidR="0064533D" w:rsidRPr="00B52F57">
        <w:rPr>
          <w:rFonts w:cs="Times New Roman"/>
        </w:rPr>
        <w:t>,</w:t>
      </w:r>
      <w:r w:rsidR="00FB4D9C" w:rsidRPr="00B52F57">
        <w:rPr>
          <w:rFonts w:cs="Times New Roman"/>
        </w:rPr>
        <w:t xml:space="preserve"> </w:t>
      </w:r>
      <w:r w:rsidR="00BB3B43" w:rsidRPr="00B52F57">
        <w:rPr>
          <w:rFonts w:cs="Times New Roman"/>
        </w:rPr>
        <w:t>or a combination</w:t>
      </w:r>
      <w:r w:rsidR="00BB3B43" w:rsidRPr="007573D9">
        <w:rPr>
          <w:rFonts w:cs="Times New Roman"/>
        </w:rPr>
        <w:t xml:space="preserve"> thereof</w:t>
      </w:r>
      <w:r w:rsidR="0064533D" w:rsidRPr="007573D9">
        <w:rPr>
          <w:rFonts w:cs="Times New Roman"/>
        </w:rPr>
        <w:t>,</w:t>
      </w:r>
      <w:r w:rsidR="00BB3B43" w:rsidRPr="007573D9">
        <w:rPr>
          <w:rFonts w:cs="Times New Roman"/>
        </w:rPr>
        <w:t xml:space="preserve"> </w:t>
      </w:r>
      <w:r w:rsidR="00D52D47" w:rsidRPr="007573D9">
        <w:rPr>
          <w:rFonts w:cs="Times New Roman"/>
        </w:rPr>
        <w:t xml:space="preserve">provide insight into their origins and the history of </w:t>
      </w:r>
      <w:r w:rsidR="00807DDD" w:rsidRPr="007573D9">
        <w:rPr>
          <w:rFonts w:cs="Times New Roman"/>
        </w:rPr>
        <w:t>Shiloh</w:t>
      </w:r>
      <w:r w:rsidR="00D52D47" w:rsidRPr="007573D9">
        <w:rPr>
          <w:rFonts w:cs="Times New Roman"/>
        </w:rPr>
        <w:t xml:space="preserve">. </w:t>
      </w:r>
    </w:p>
    <w:p w14:paraId="7130528E" w14:textId="77777777" w:rsidR="00807DDD" w:rsidRPr="007573D9" w:rsidRDefault="00807DDD" w:rsidP="007573D9">
      <w:pPr>
        <w:autoSpaceDE w:val="0"/>
        <w:autoSpaceDN w:val="0"/>
        <w:adjustRightInd w:val="0"/>
        <w:rPr>
          <w:rFonts w:cs="Times New Roman"/>
        </w:rPr>
      </w:pPr>
    </w:p>
    <w:p w14:paraId="4B9B9F46" w14:textId="47F61697" w:rsidR="002C33F5" w:rsidRPr="00D77FC6" w:rsidRDefault="002200A3" w:rsidP="007573D9">
      <w:pPr>
        <w:ind w:firstLine="720"/>
        <w:rPr>
          <w:rFonts w:cs="Times New Roman"/>
          <w:color w:val="000000" w:themeColor="text1"/>
        </w:rPr>
      </w:pPr>
      <w:r w:rsidRPr="00D77FC6">
        <w:rPr>
          <w:rFonts w:cs="Times New Roman"/>
          <w:color w:val="000000" w:themeColor="text1"/>
        </w:rPr>
        <w:t xml:space="preserve">The earliest date for </w:t>
      </w:r>
      <w:r w:rsidR="00B840E3" w:rsidRPr="00D77FC6">
        <w:rPr>
          <w:rFonts w:cs="Times New Roman"/>
          <w:color w:val="000000" w:themeColor="text1"/>
        </w:rPr>
        <w:t xml:space="preserve">Scarab One </w:t>
      </w:r>
      <w:r w:rsidRPr="00D77FC6">
        <w:rPr>
          <w:rFonts w:cs="Times New Roman"/>
          <w:color w:val="000000" w:themeColor="text1"/>
        </w:rPr>
        <w:t xml:space="preserve">derives from its design containing the royal name of </w:t>
      </w:r>
      <w:r w:rsidRPr="00D77FC6">
        <w:rPr>
          <w:rFonts w:cs="Times New Roman"/>
        </w:rPr>
        <w:t>Thutmose III. His accession dates range from ca. 145</w:t>
      </w:r>
      <w:r w:rsidR="001E6BBE" w:rsidRPr="00D77FC6">
        <w:rPr>
          <w:rFonts w:cs="Times New Roman"/>
        </w:rPr>
        <w:t>1–</w:t>
      </w:r>
      <w:r w:rsidRPr="00D77FC6">
        <w:rPr>
          <w:rFonts w:cs="Times New Roman"/>
        </w:rPr>
        <w:t>1476 BCE (Schneider 2010</w:t>
      </w:r>
      <w:r w:rsidR="000A27EB" w:rsidRPr="00D77FC6">
        <w:rPr>
          <w:rFonts w:cs="Times New Roman"/>
        </w:rPr>
        <w:t>:</w:t>
      </w:r>
      <w:r w:rsidRPr="00D77FC6">
        <w:rPr>
          <w:rFonts w:cs="Times New Roman"/>
        </w:rPr>
        <w:t xml:space="preserve"> 377)</w:t>
      </w:r>
      <w:r w:rsidR="00D53887" w:rsidRPr="00D77FC6">
        <w:rPr>
          <w:rFonts w:cs="Times New Roman"/>
          <w:lang w:val="en-GB"/>
        </w:rPr>
        <w:t xml:space="preserve">. </w:t>
      </w:r>
      <w:r w:rsidR="00526510" w:rsidRPr="00D77FC6">
        <w:rPr>
          <w:rFonts w:cs="Times New Roman"/>
          <w:color w:val="000000" w:themeColor="text1"/>
        </w:rPr>
        <w:t xml:space="preserve">The typological features range in date from the Early Palestinian Series to the Late Palestinian Series. </w:t>
      </w:r>
      <w:r w:rsidR="00DC6F8F" w:rsidRPr="00D77FC6">
        <w:rPr>
          <w:rFonts w:cs="Times New Roman"/>
          <w:color w:val="000000" w:themeColor="text1"/>
        </w:rPr>
        <w:t xml:space="preserve">A </w:t>
      </w:r>
      <w:r w:rsidR="00E469CE" w:rsidRPr="00D77FC6">
        <w:rPr>
          <w:rFonts w:cs="Times New Roman"/>
          <w:color w:val="000000" w:themeColor="text1"/>
        </w:rPr>
        <w:t xml:space="preserve">parallel </w:t>
      </w:r>
      <w:r w:rsidR="00927323" w:rsidRPr="00D77FC6">
        <w:rPr>
          <w:rFonts w:cs="Times New Roman"/>
          <w:lang w:val="en-GB"/>
        </w:rPr>
        <w:t>cited by Keel</w:t>
      </w:r>
      <w:r w:rsidR="001E6BBE" w:rsidRPr="00D77FC6">
        <w:rPr>
          <w:rFonts w:cs="Times New Roman"/>
          <w:lang w:val="en-GB"/>
        </w:rPr>
        <w:t xml:space="preserve"> </w:t>
      </w:r>
      <w:r w:rsidR="001E6BBE" w:rsidRPr="00D77FC6">
        <w:rPr>
          <w:rFonts w:cs="Times New Roman"/>
          <w:color w:val="000000" w:themeColor="text1"/>
        </w:rPr>
        <w:t>(Pl. 38: 282, 283)</w:t>
      </w:r>
      <w:r w:rsidR="00927323" w:rsidRPr="00D77FC6">
        <w:rPr>
          <w:rFonts w:cs="Times New Roman"/>
          <w:lang w:val="en-GB"/>
        </w:rPr>
        <w:t xml:space="preserve"> and subsequently by Ben-Tor</w:t>
      </w:r>
      <w:r w:rsidR="009673BF" w:rsidRPr="00D77FC6">
        <w:rPr>
          <w:rFonts w:cs="Times New Roman"/>
          <w:lang w:val="en-GB"/>
        </w:rPr>
        <w:t>,</w:t>
      </w:r>
      <w:r w:rsidR="00927323" w:rsidRPr="00D77FC6">
        <w:rPr>
          <w:rFonts w:cs="Times New Roman"/>
          <w:lang w:val="en-GB"/>
        </w:rPr>
        <w:t xml:space="preserve"> who cites Keel, </w:t>
      </w:r>
      <w:r w:rsidR="00927323" w:rsidRPr="00D77FC6">
        <w:rPr>
          <w:rFonts w:cs="Times New Roman"/>
          <w:color w:val="000000" w:themeColor="text1"/>
        </w:rPr>
        <w:t>c</w:t>
      </w:r>
      <w:r w:rsidR="00E469CE" w:rsidRPr="00D77FC6">
        <w:rPr>
          <w:rFonts w:cs="Times New Roman"/>
          <w:color w:val="000000" w:themeColor="text1"/>
        </w:rPr>
        <w:t>ame</w:t>
      </w:r>
      <w:r w:rsidR="00927323" w:rsidRPr="00D77FC6">
        <w:rPr>
          <w:rFonts w:cs="Times New Roman"/>
          <w:color w:val="000000" w:themeColor="text1"/>
        </w:rPr>
        <w:t xml:space="preserve"> from Lachish Tomb/Cave 4004.</w:t>
      </w:r>
      <w:r w:rsidR="00C94F02" w:rsidRPr="00D77FC6">
        <w:rPr>
          <w:rStyle w:val="FootnoteReference"/>
          <w:rFonts w:cs="Times New Roman"/>
          <w:color w:val="000000" w:themeColor="text1"/>
        </w:rPr>
        <w:footnoteReference w:id="21"/>
      </w:r>
      <w:r w:rsidR="00927323" w:rsidRPr="00D77FC6">
        <w:rPr>
          <w:rFonts w:cs="Times New Roman"/>
          <w:color w:val="000000" w:themeColor="text1"/>
        </w:rPr>
        <w:t xml:space="preserve"> Tufnell</w:t>
      </w:r>
      <w:r w:rsidR="009673BF" w:rsidRPr="00D77FC6">
        <w:rPr>
          <w:rFonts w:cs="Times New Roman"/>
          <w:color w:val="000000" w:themeColor="text1"/>
        </w:rPr>
        <w:t xml:space="preserve"> date</w:t>
      </w:r>
      <w:r w:rsidR="00DC6F8F" w:rsidRPr="00D77FC6">
        <w:rPr>
          <w:rFonts w:cs="Times New Roman"/>
          <w:color w:val="000000" w:themeColor="text1"/>
        </w:rPr>
        <w:t>s</w:t>
      </w:r>
      <w:r w:rsidR="001E6BBE" w:rsidRPr="00D77FC6">
        <w:rPr>
          <w:rFonts w:cs="Times New Roman"/>
          <w:color w:val="000000" w:themeColor="text1"/>
        </w:rPr>
        <w:t xml:space="preserve"> it</w:t>
      </w:r>
      <w:r w:rsidR="009673BF" w:rsidRPr="00D77FC6">
        <w:rPr>
          <w:rFonts w:cs="Times New Roman"/>
          <w:color w:val="000000" w:themeColor="text1"/>
        </w:rPr>
        <w:t xml:space="preserve"> </w:t>
      </w:r>
      <w:r w:rsidR="00927323" w:rsidRPr="00D77FC6">
        <w:rPr>
          <w:rFonts w:cs="Times New Roman"/>
          <w:color w:val="000000" w:themeColor="text1"/>
        </w:rPr>
        <w:t>to M</w:t>
      </w:r>
      <w:r w:rsidR="00A20652" w:rsidRPr="00D77FC6">
        <w:rPr>
          <w:rFonts w:cs="Times New Roman"/>
          <w:color w:val="000000" w:themeColor="text1"/>
        </w:rPr>
        <w:t>iddle Bronze Age</w:t>
      </w:r>
      <w:r w:rsidR="00927323" w:rsidRPr="00D77FC6">
        <w:rPr>
          <w:rFonts w:cs="Times New Roman"/>
          <w:color w:val="000000" w:themeColor="text1"/>
        </w:rPr>
        <w:t xml:space="preserve"> IIC (=MB III)–L</w:t>
      </w:r>
      <w:r w:rsidR="00A20652" w:rsidRPr="00D77FC6">
        <w:rPr>
          <w:rFonts w:cs="Times New Roman"/>
          <w:color w:val="000000" w:themeColor="text1"/>
        </w:rPr>
        <w:t xml:space="preserve">ate </w:t>
      </w:r>
      <w:r w:rsidR="00927323" w:rsidRPr="00D77FC6">
        <w:rPr>
          <w:rFonts w:cs="Times New Roman"/>
          <w:color w:val="000000" w:themeColor="text1"/>
        </w:rPr>
        <w:t>B</w:t>
      </w:r>
      <w:r w:rsidR="00A20652" w:rsidRPr="00D77FC6">
        <w:rPr>
          <w:rFonts w:cs="Times New Roman"/>
          <w:color w:val="000000" w:themeColor="text1"/>
        </w:rPr>
        <w:t>ronze Age</w:t>
      </w:r>
      <w:r w:rsidR="00927323" w:rsidRPr="00D77FC6">
        <w:rPr>
          <w:rFonts w:cs="Times New Roman"/>
          <w:color w:val="000000" w:themeColor="text1"/>
        </w:rPr>
        <w:t xml:space="preserve"> III; 1600–1370 BCE. However, she</w:t>
      </w:r>
      <w:r w:rsidR="001E6BBE" w:rsidRPr="00D77FC6">
        <w:rPr>
          <w:rFonts w:cs="Times New Roman"/>
          <w:color w:val="000000" w:themeColor="text1"/>
        </w:rPr>
        <w:t xml:space="preserve"> (1958: 97 and 281)</w:t>
      </w:r>
      <w:r w:rsidR="00927323" w:rsidRPr="00D77FC6">
        <w:rPr>
          <w:rFonts w:cs="Times New Roman"/>
          <w:color w:val="000000" w:themeColor="text1"/>
        </w:rPr>
        <w:t xml:space="preserve"> mentions reuse of the cave in</w:t>
      </w:r>
      <w:r w:rsidR="001E6BBE" w:rsidRPr="00D77FC6">
        <w:rPr>
          <w:rFonts w:cs="Times New Roman"/>
          <w:color w:val="000000" w:themeColor="text1"/>
        </w:rPr>
        <w:t xml:space="preserve"> ca.</w:t>
      </w:r>
      <w:r w:rsidR="00927323" w:rsidRPr="00D77FC6">
        <w:rPr>
          <w:rFonts w:cs="Times New Roman"/>
          <w:color w:val="000000" w:themeColor="text1"/>
        </w:rPr>
        <w:t xml:space="preserve"> 1220 BCE.</w:t>
      </w:r>
      <w:r w:rsidR="00605573" w:rsidRPr="00D77FC6">
        <w:rPr>
          <w:rFonts w:cs="Times New Roman"/>
          <w:color w:val="000000" w:themeColor="text1"/>
        </w:rPr>
        <w:t xml:space="preserve"> </w:t>
      </w:r>
      <w:r w:rsidR="00A92113" w:rsidRPr="00D77FC6">
        <w:rPr>
          <w:rFonts w:cs="Times New Roman"/>
          <w:color w:val="000000" w:themeColor="text1"/>
        </w:rPr>
        <w:t>The range of dates for this scarab are 1476</w:t>
      </w:r>
      <w:r w:rsidR="00676BC6" w:rsidRPr="00D77FC6">
        <w:rPr>
          <w:rFonts w:cs="Times New Roman"/>
          <w:color w:val="000000" w:themeColor="text1"/>
        </w:rPr>
        <w:softHyphen/>
        <w:t>–</w:t>
      </w:r>
      <w:r w:rsidR="00A92113" w:rsidRPr="00D77FC6">
        <w:rPr>
          <w:rFonts w:cs="Times New Roman"/>
          <w:color w:val="000000" w:themeColor="text1"/>
        </w:rPr>
        <w:t>1200 BCE</w:t>
      </w:r>
      <w:r w:rsidR="00B04AEC" w:rsidRPr="00D77FC6">
        <w:rPr>
          <w:rFonts w:cs="Times New Roman"/>
          <w:color w:val="000000" w:themeColor="text1"/>
        </w:rPr>
        <w:t xml:space="preserve"> (LBI–LBII)</w:t>
      </w:r>
      <w:r w:rsidR="00A92113" w:rsidRPr="00D77FC6">
        <w:rPr>
          <w:rFonts w:cs="Times New Roman"/>
          <w:color w:val="000000" w:themeColor="text1"/>
        </w:rPr>
        <w:t xml:space="preserve">. </w:t>
      </w:r>
    </w:p>
    <w:p w14:paraId="1A10F802" w14:textId="77777777" w:rsidR="00526510" w:rsidRPr="00D77FC6" w:rsidRDefault="00526510" w:rsidP="007573D9">
      <w:pPr>
        <w:ind w:firstLine="720"/>
        <w:rPr>
          <w:rFonts w:cs="Times New Roman"/>
        </w:rPr>
      </w:pPr>
    </w:p>
    <w:p w14:paraId="123A14F7" w14:textId="4AF2FE83" w:rsidR="00A9489A" w:rsidRPr="00D77FC6" w:rsidRDefault="00FB4D9C" w:rsidP="00B04AEC">
      <w:pPr>
        <w:ind w:firstLine="720"/>
        <w:rPr>
          <w:rFonts w:cs="Times New Roman"/>
          <w:color w:val="000000" w:themeColor="text1"/>
        </w:rPr>
      </w:pPr>
      <w:r w:rsidRPr="00D77FC6">
        <w:rPr>
          <w:rFonts w:cs="Times New Roman"/>
        </w:rPr>
        <w:t xml:space="preserve">Scarab Two </w:t>
      </w:r>
      <w:r w:rsidR="003707D2" w:rsidRPr="00D77FC6">
        <w:rPr>
          <w:rFonts w:cs="Times New Roman"/>
        </w:rPr>
        <w:t xml:space="preserve">provides a relative date </w:t>
      </w:r>
      <w:r w:rsidRPr="00D77FC6">
        <w:rPr>
          <w:rFonts w:cs="Times New Roman"/>
        </w:rPr>
        <w:t xml:space="preserve">despite its damage. </w:t>
      </w:r>
      <w:r w:rsidRPr="00D77FC6">
        <w:rPr>
          <w:rFonts w:cs="Times New Roman"/>
          <w:color w:val="000000" w:themeColor="text1"/>
        </w:rPr>
        <w:t xml:space="preserve">The </w:t>
      </w:r>
      <w:r w:rsidR="006F1C4E" w:rsidRPr="00D77FC6">
        <w:rPr>
          <w:rFonts w:cs="Times New Roman"/>
          <w:color w:val="000000" w:themeColor="text1"/>
        </w:rPr>
        <w:t>typological features range in date from</w:t>
      </w:r>
      <w:r w:rsidR="00066C16" w:rsidRPr="00D77FC6">
        <w:rPr>
          <w:rFonts w:cs="Times New Roman"/>
          <w:color w:val="000000" w:themeColor="text1"/>
        </w:rPr>
        <w:t xml:space="preserve"> the</w:t>
      </w:r>
      <w:r w:rsidR="006F1C4E" w:rsidRPr="00D77FC6">
        <w:rPr>
          <w:rFonts w:cs="Times New Roman"/>
          <w:color w:val="000000" w:themeColor="text1"/>
        </w:rPr>
        <w:t xml:space="preserve"> Early</w:t>
      </w:r>
      <w:r w:rsidR="00066C16" w:rsidRPr="00D77FC6">
        <w:rPr>
          <w:rFonts w:cs="Times New Roman"/>
          <w:color w:val="000000" w:themeColor="text1"/>
        </w:rPr>
        <w:t xml:space="preserve"> Palestinian Series</w:t>
      </w:r>
      <w:r w:rsidR="006F1C4E" w:rsidRPr="00D77FC6">
        <w:rPr>
          <w:rFonts w:cs="Times New Roman"/>
          <w:color w:val="000000" w:themeColor="text1"/>
        </w:rPr>
        <w:t xml:space="preserve"> to</w:t>
      </w:r>
      <w:r w:rsidR="00066C16" w:rsidRPr="00D77FC6">
        <w:rPr>
          <w:rFonts w:cs="Times New Roman"/>
          <w:color w:val="000000" w:themeColor="text1"/>
        </w:rPr>
        <w:t xml:space="preserve"> the</w:t>
      </w:r>
      <w:r w:rsidR="006F1C4E" w:rsidRPr="00D77FC6">
        <w:rPr>
          <w:rFonts w:cs="Times New Roman"/>
          <w:color w:val="000000" w:themeColor="text1"/>
        </w:rPr>
        <w:t xml:space="preserve"> Late Palestinian Series. The design class (3B5) is more prevalent in the </w:t>
      </w:r>
      <w:r w:rsidR="00760012" w:rsidRPr="00D77FC6">
        <w:rPr>
          <w:rFonts w:cs="Times New Roman"/>
          <w:color w:val="000000" w:themeColor="text1"/>
        </w:rPr>
        <w:t>Late</w:t>
      </w:r>
      <w:r w:rsidRPr="00D77FC6">
        <w:rPr>
          <w:rFonts w:cs="Times New Roman"/>
          <w:color w:val="000000" w:themeColor="text1"/>
        </w:rPr>
        <w:t xml:space="preserve"> </w:t>
      </w:r>
      <w:r w:rsidR="003707D2" w:rsidRPr="00D77FC6">
        <w:rPr>
          <w:rFonts w:cs="Times New Roman"/>
          <w:color w:val="000000" w:themeColor="text1"/>
        </w:rPr>
        <w:t>Palestinian Series type</w:t>
      </w:r>
      <w:r w:rsidR="006F1C4E" w:rsidRPr="00D77FC6">
        <w:rPr>
          <w:rFonts w:cs="Times New Roman"/>
          <w:color w:val="000000" w:themeColor="text1"/>
        </w:rPr>
        <w:t xml:space="preserve"> </w:t>
      </w:r>
      <w:r w:rsidR="00E469CE" w:rsidRPr="00D77FC6">
        <w:rPr>
          <w:rFonts w:cs="Times New Roman"/>
          <w:color w:val="000000" w:themeColor="text1"/>
        </w:rPr>
        <w:t>[</w:t>
      </w:r>
      <w:r w:rsidR="006F1C4E" w:rsidRPr="00D77FC6">
        <w:rPr>
          <w:rFonts w:cs="Times New Roman"/>
          <w:color w:val="000000" w:themeColor="text1"/>
        </w:rPr>
        <w:t>MB IIB–</w:t>
      </w:r>
      <w:r w:rsidR="00416F0B" w:rsidRPr="00D77FC6">
        <w:rPr>
          <w:rFonts w:cs="Times New Roman"/>
          <w:color w:val="000000" w:themeColor="text1"/>
        </w:rPr>
        <w:t>MB IIC (=</w:t>
      </w:r>
      <w:r w:rsidR="007C4B11" w:rsidRPr="00D77FC6">
        <w:rPr>
          <w:rFonts w:cs="Times New Roman"/>
          <w:color w:val="000000" w:themeColor="text1"/>
        </w:rPr>
        <w:t>MB III)</w:t>
      </w:r>
      <w:r w:rsidR="00E469CE" w:rsidRPr="00D77FC6">
        <w:rPr>
          <w:rFonts w:cs="Times New Roman"/>
          <w:color w:val="000000" w:themeColor="text1"/>
        </w:rPr>
        <w:t>]</w:t>
      </w:r>
      <w:r w:rsidR="006F1C4E" w:rsidRPr="00D77FC6">
        <w:rPr>
          <w:rFonts w:cs="Times New Roman"/>
          <w:color w:val="000000" w:themeColor="text1"/>
        </w:rPr>
        <w:t xml:space="preserve">. </w:t>
      </w:r>
      <w:r w:rsidR="002C33F5" w:rsidRPr="00D77FC6">
        <w:rPr>
          <w:rStyle w:val="Emphasis"/>
          <w:rFonts w:cs="Times New Roman"/>
          <w:i w:val="0"/>
          <w:iCs w:val="0"/>
          <w:color w:val="000000" w:themeColor="text1"/>
        </w:rPr>
        <w:t>The paral</w:t>
      </w:r>
      <w:r w:rsidR="006F1C4E" w:rsidRPr="00D77FC6">
        <w:rPr>
          <w:rStyle w:val="Emphasis"/>
          <w:rFonts w:cs="Times New Roman"/>
          <w:i w:val="0"/>
          <w:iCs w:val="0"/>
          <w:color w:val="000000" w:themeColor="text1"/>
        </w:rPr>
        <w:t xml:space="preserve">lel </w:t>
      </w:r>
      <w:r w:rsidR="002C33F5" w:rsidRPr="00D77FC6">
        <w:rPr>
          <w:rStyle w:val="Emphasis"/>
          <w:rFonts w:cs="Times New Roman"/>
          <w:i w:val="0"/>
          <w:iCs w:val="0"/>
          <w:color w:val="000000" w:themeColor="text1"/>
        </w:rPr>
        <w:t xml:space="preserve">dates to </w:t>
      </w:r>
      <w:r w:rsidR="002C33F5" w:rsidRPr="00D77FC6">
        <w:t xml:space="preserve">MB IIB, 1650–1550 BCE. </w:t>
      </w:r>
      <w:r w:rsidR="002C33F5" w:rsidRPr="00D77FC6">
        <w:rPr>
          <w:rStyle w:val="Emphasis"/>
          <w:rFonts w:cs="Times New Roman"/>
          <w:i w:val="0"/>
          <w:iCs w:val="0"/>
          <w:color w:val="000000" w:themeColor="text1"/>
        </w:rPr>
        <w:t>This</w:t>
      </w:r>
      <w:r w:rsidR="00760012" w:rsidRPr="00D77FC6">
        <w:rPr>
          <w:rStyle w:val="Emphasis"/>
          <w:rFonts w:cs="Times New Roman"/>
          <w:i w:val="0"/>
          <w:iCs w:val="0"/>
          <w:color w:val="000000" w:themeColor="text1"/>
        </w:rPr>
        <w:t xml:space="preserve"> </w:t>
      </w:r>
      <w:r w:rsidR="00760012" w:rsidRPr="00D77FC6">
        <w:rPr>
          <w:rFonts w:cs="Times New Roman"/>
          <w:color w:val="000000" w:themeColor="text1"/>
        </w:rPr>
        <w:t>scarab is</w:t>
      </w:r>
      <w:r w:rsidR="00FE19B9" w:rsidRPr="00D77FC6">
        <w:rPr>
          <w:rFonts w:cs="Times New Roman"/>
          <w:color w:val="000000" w:themeColor="text1"/>
        </w:rPr>
        <w:t xml:space="preserve"> likely</w:t>
      </w:r>
      <w:r w:rsidR="00760012" w:rsidRPr="00D77FC6">
        <w:rPr>
          <w:rFonts w:cs="Times New Roman"/>
          <w:color w:val="000000" w:themeColor="text1"/>
        </w:rPr>
        <w:t xml:space="preserve"> a Canaanite imitation of a Middle Kingdom style dating to M</w:t>
      </w:r>
      <w:r w:rsidR="00DB35C5" w:rsidRPr="00D77FC6">
        <w:rPr>
          <w:rFonts w:cs="Times New Roman"/>
          <w:color w:val="000000" w:themeColor="text1"/>
        </w:rPr>
        <w:t xml:space="preserve">iddle </w:t>
      </w:r>
      <w:r w:rsidR="00760012" w:rsidRPr="00D77FC6">
        <w:rPr>
          <w:rFonts w:cs="Times New Roman"/>
          <w:color w:val="000000" w:themeColor="text1"/>
        </w:rPr>
        <w:t>B</w:t>
      </w:r>
      <w:r w:rsidR="00DB35C5" w:rsidRPr="00D77FC6">
        <w:rPr>
          <w:rFonts w:cs="Times New Roman"/>
          <w:color w:val="000000" w:themeColor="text1"/>
        </w:rPr>
        <w:t>ronze Age</w:t>
      </w:r>
      <w:r w:rsidR="00760012" w:rsidRPr="00D77FC6">
        <w:rPr>
          <w:rFonts w:cs="Times New Roman"/>
          <w:color w:val="000000" w:themeColor="text1"/>
        </w:rPr>
        <w:t xml:space="preserve"> IIB</w:t>
      </w:r>
      <w:r w:rsidR="006F1C4E" w:rsidRPr="00D77FC6">
        <w:rPr>
          <w:rFonts w:cs="Times New Roman"/>
          <w:color w:val="000000" w:themeColor="text1"/>
        </w:rPr>
        <w:t xml:space="preserve"> but not later than </w:t>
      </w:r>
      <w:r w:rsidR="00C61EB4" w:rsidRPr="00D77FC6">
        <w:rPr>
          <w:rFonts w:cs="Times New Roman"/>
          <w:color w:val="000000" w:themeColor="text1"/>
        </w:rPr>
        <w:t>M</w:t>
      </w:r>
      <w:r w:rsidR="00DB35C5" w:rsidRPr="00D77FC6">
        <w:rPr>
          <w:rFonts w:cs="Times New Roman"/>
          <w:color w:val="000000" w:themeColor="text1"/>
        </w:rPr>
        <w:t xml:space="preserve">iddle </w:t>
      </w:r>
      <w:r w:rsidR="00C61EB4" w:rsidRPr="00D77FC6">
        <w:rPr>
          <w:rFonts w:cs="Times New Roman"/>
          <w:color w:val="000000" w:themeColor="text1"/>
        </w:rPr>
        <w:t>B</w:t>
      </w:r>
      <w:r w:rsidR="00DB35C5" w:rsidRPr="00D77FC6">
        <w:rPr>
          <w:rFonts w:cs="Times New Roman"/>
          <w:color w:val="000000" w:themeColor="text1"/>
        </w:rPr>
        <w:t>ronze Age</w:t>
      </w:r>
      <w:r w:rsidR="00C61EB4" w:rsidRPr="00D77FC6">
        <w:rPr>
          <w:rFonts w:cs="Times New Roman"/>
          <w:color w:val="000000" w:themeColor="text1"/>
        </w:rPr>
        <w:t xml:space="preserve"> IIC (=</w:t>
      </w:r>
      <w:r w:rsidR="007C4B11" w:rsidRPr="00D77FC6">
        <w:rPr>
          <w:rFonts w:cs="Times New Roman"/>
          <w:color w:val="000000" w:themeColor="text1"/>
        </w:rPr>
        <w:t>MB III</w:t>
      </w:r>
      <w:r w:rsidR="00C61EB4" w:rsidRPr="00D77FC6">
        <w:rPr>
          <w:rFonts w:cs="Times New Roman"/>
          <w:color w:val="000000" w:themeColor="text1"/>
        </w:rPr>
        <w:t>)</w:t>
      </w:r>
      <w:r w:rsidR="006F1C4E" w:rsidRPr="00D77FC6">
        <w:rPr>
          <w:rFonts w:cs="Times New Roman"/>
          <w:color w:val="000000" w:themeColor="text1"/>
        </w:rPr>
        <w:t>.</w:t>
      </w:r>
      <w:r w:rsidR="002C33F5" w:rsidRPr="00D77FC6">
        <w:rPr>
          <w:rFonts w:cs="Times New Roman"/>
          <w:color w:val="000000" w:themeColor="text1"/>
        </w:rPr>
        <w:t xml:space="preserve"> </w:t>
      </w:r>
    </w:p>
    <w:p w14:paraId="19AF9AD3" w14:textId="77777777" w:rsidR="00526510" w:rsidRPr="00D77FC6" w:rsidRDefault="00526510" w:rsidP="00B04AEC">
      <w:pPr>
        <w:ind w:firstLine="720"/>
        <w:rPr>
          <w:rStyle w:val="Emphasis"/>
          <w:rFonts w:cs="Times New Roman"/>
          <w:i w:val="0"/>
          <w:iCs w:val="0"/>
          <w:color w:val="000000" w:themeColor="text1"/>
        </w:rPr>
      </w:pPr>
    </w:p>
    <w:p w14:paraId="654F8260" w14:textId="3E3DD054" w:rsidR="00143A82" w:rsidRDefault="004F3FEB" w:rsidP="00025A98">
      <w:pPr>
        <w:ind w:firstLine="720"/>
        <w:rPr>
          <w:rFonts w:cs="Times New Roman"/>
          <w:color w:val="000000" w:themeColor="text1"/>
        </w:rPr>
      </w:pPr>
      <w:r w:rsidRPr="00D77FC6">
        <w:rPr>
          <w:rStyle w:val="Emphasis"/>
          <w:rFonts w:cs="Times New Roman"/>
          <w:i w:val="0"/>
          <w:iCs w:val="0"/>
          <w:color w:val="000000" w:themeColor="text1"/>
        </w:rPr>
        <w:t xml:space="preserve">Scarab Three dates to the </w:t>
      </w:r>
      <w:r w:rsidR="007048A9" w:rsidRPr="00D77FC6">
        <w:rPr>
          <w:rStyle w:val="Emphasis"/>
          <w:rFonts w:cs="Times New Roman"/>
          <w:i w:val="0"/>
          <w:iCs w:val="0"/>
          <w:color w:val="000000" w:themeColor="text1"/>
        </w:rPr>
        <w:t>M</w:t>
      </w:r>
      <w:r w:rsidR="00DB35C5" w:rsidRPr="00D77FC6">
        <w:rPr>
          <w:rStyle w:val="Emphasis"/>
          <w:rFonts w:cs="Times New Roman"/>
          <w:i w:val="0"/>
          <w:iCs w:val="0"/>
          <w:color w:val="000000" w:themeColor="text1"/>
        </w:rPr>
        <w:t xml:space="preserve">iddle </w:t>
      </w:r>
      <w:r w:rsidR="007048A9" w:rsidRPr="00D77FC6">
        <w:rPr>
          <w:rStyle w:val="Emphasis"/>
          <w:rFonts w:cs="Times New Roman"/>
          <w:i w:val="0"/>
          <w:iCs w:val="0"/>
          <w:color w:val="000000" w:themeColor="text1"/>
        </w:rPr>
        <w:t>B</w:t>
      </w:r>
      <w:r w:rsidR="00DB35C5" w:rsidRPr="00D77FC6">
        <w:rPr>
          <w:rStyle w:val="Emphasis"/>
          <w:rFonts w:cs="Times New Roman"/>
          <w:i w:val="0"/>
          <w:iCs w:val="0"/>
          <w:color w:val="000000" w:themeColor="text1"/>
        </w:rPr>
        <w:t>ronze Age</w:t>
      </w:r>
      <w:r w:rsidR="007048A9" w:rsidRPr="00D77FC6">
        <w:rPr>
          <w:rStyle w:val="Emphasis"/>
          <w:rFonts w:cs="Times New Roman"/>
          <w:i w:val="0"/>
          <w:iCs w:val="0"/>
          <w:color w:val="000000" w:themeColor="text1"/>
        </w:rPr>
        <w:t xml:space="preserve"> IIB–</w:t>
      </w:r>
      <w:r w:rsidR="00C61EB4" w:rsidRPr="00D77FC6">
        <w:rPr>
          <w:rStyle w:val="Emphasis"/>
          <w:rFonts w:cs="Times New Roman"/>
          <w:i w:val="0"/>
          <w:iCs w:val="0"/>
          <w:color w:val="000000" w:themeColor="text1"/>
        </w:rPr>
        <w:t>M</w:t>
      </w:r>
      <w:r w:rsidR="00DB35C5" w:rsidRPr="00D77FC6">
        <w:rPr>
          <w:rStyle w:val="Emphasis"/>
          <w:rFonts w:cs="Times New Roman"/>
          <w:i w:val="0"/>
          <w:iCs w:val="0"/>
          <w:color w:val="000000" w:themeColor="text1"/>
        </w:rPr>
        <w:t xml:space="preserve">iddle </w:t>
      </w:r>
      <w:r w:rsidR="00C61EB4" w:rsidRPr="00D77FC6">
        <w:rPr>
          <w:rStyle w:val="Emphasis"/>
          <w:rFonts w:cs="Times New Roman"/>
          <w:i w:val="0"/>
          <w:iCs w:val="0"/>
          <w:color w:val="000000" w:themeColor="text1"/>
        </w:rPr>
        <w:t>B</w:t>
      </w:r>
      <w:r w:rsidR="00DB35C5" w:rsidRPr="00D77FC6">
        <w:rPr>
          <w:rStyle w:val="Emphasis"/>
          <w:rFonts w:cs="Times New Roman"/>
          <w:i w:val="0"/>
          <w:iCs w:val="0"/>
          <w:color w:val="000000" w:themeColor="text1"/>
        </w:rPr>
        <w:t>ronze Age</w:t>
      </w:r>
      <w:r w:rsidR="00C61EB4" w:rsidRPr="00D77FC6">
        <w:rPr>
          <w:rStyle w:val="Emphasis"/>
          <w:rFonts w:cs="Times New Roman"/>
          <w:i w:val="0"/>
          <w:iCs w:val="0"/>
          <w:color w:val="000000" w:themeColor="text1"/>
        </w:rPr>
        <w:t xml:space="preserve"> IIC (=</w:t>
      </w:r>
      <w:r w:rsidR="007C4B11" w:rsidRPr="00D77FC6">
        <w:rPr>
          <w:rStyle w:val="Emphasis"/>
          <w:rFonts w:cs="Times New Roman"/>
          <w:i w:val="0"/>
          <w:iCs w:val="0"/>
          <w:color w:val="000000" w:themeColor="text1"/>
        </w:rPr>
        <w:t>MB III</w:t>
      </w:r>
      <w:r w:rsidR="00C61EB4" w:rsidRPr="00D77FC6">
        <w:rPr>
          <w:rStyle w:val="Emphasis"/>
          <w:rFonts w:cs="Times New Roman"/>
          <w:i w:val="0"/>
          <w:iCs w:val="0"/>
          <w:color w:val="000000" w:themeColor="text1"/>
        </w:rPr>
        <w:t>)</w:t>
      </w:r>
      <w:r w:rsidRPr="00D77FC6">
        <w:rPr>
          <w:rStyle w:val="Emphasis"/>
          <w:rFonts w:cs="Times New Roman"/>
          <w:i w:val="0"/>
          <w:iCs w:val="0"/>
          <w:color w:val="000000" w:themeColor="text1"/>
        </w:rPr>
        <w:t xml:space="preserve"> based on the context of its discovery</w:t>
      </w:r>
      <w:r w:rsidR="007048A9" w:rsidRPr="00D77FC6">
        <w:rPr>
          <w:rStyle w:val="Emphasis"/>
          <w:rFonts w:cs="Times New Roman"/>
          <w:i w:val="0"/>
          <w:iCs w:val="0"/>
          <w:color w:val="000000" w:themeColor="text1"/>
        </w:rPr>
        <w:t xml:space="preserve"> (stratigraphy)</w:t>
      </w:r>
      <w:r w:rsidR="00526510" w:rsidRPr="00D77FC6">
        <w:rPr>
          <w:rStyle w:val="Emphasis"/>
          <w:rFonts w:cs="Times New Roman"/>
          <w:i w:val="0"/>
          <w:iCs w:val="0"/>
          <w:color w:val="000000" w:themeColor="text1"/>
        </w:rPr>
        <w:t>. Its</w:t>
      </w:r>
      <w:r w:rsidR="007048A9" w:rsidRPr="00D77FC6">
        <w:rPr>
          <w:rStyle w:val="Emphasis"/>
          <w:rFonts w:cs="Times New Roman"/>
          <w:i w:val="0"/>
          <w:iCs w:val="0"/>
          <w:color w:val="000000" w:themeColor="text1"/>
        </w:rPr>
        <w:t xml:space="preserve"> typology</w:t>
      </w:r>
      <w:r w:rsidR="00526510" w:rsidRPr="00D77FC6">
        <w:rPr>
          <w:rStyle w:val="Emphasis"/>
          <w:rFonts w:cs="Times New Roman"/>
          <w:i w:val="0"/>
          <w:iCs w:val="0"/>
          <w:color w:val="000000" w:themeColor="text1"/>
        </w:rPr>
        <w:t xml:space="preserve"> ranges from the Early to the </w:t>
      </w:r>
      <w:r w:rsidR="007048A9" w:rsidRPr="00D77FC6">
        <w:rPr>
          <w:rStyle w:val="Emphasis"/>
          <w:rFonts w:cs="Times New Roman"/>
          <w:i w:val="0"/>
          <w:iCs w:val="0"/>
          <w:color w:val="000000" w:themeColor="text1"/>
        </w:rPr>
        <w:t>Late Palestinian Series</w:t>
      </w:r>
      <w:r w:rsidR="00526510" w:rsidRPr="00D77FC6">
        <w:rPr>
          <w:rStyle w:val="Emphasis"/>
          <w:rFonts w:cs="Times New Roman"/>
          <w:i w:val="0"/>
          <w:iCs w:val="0"/>
          <w:color w:val="000000" w:themeColor="text1"/>
        </w:rPr>
        <w:t xml:space="preserve">. Its </w:t>
      </w:r>
      <w:r w:rsidR="007048A9" w:rsidRPr="00D77FC6">
        <w:rPr>
          <w:rStyle w:val="Emphasis"/>
          <w:rFonts w:cs="Times New Roman"/>
          <w:i w:val="0"/>
          <w:iCs w:val="0"/>
          <w:color w:val="000000" w:themeColor="text1"/>
        </w:rPr>
        <w:t xml:space="preserve">iconography as indicated by </w:t>
      </w:r>
      <w:r w:rsidR="00DB35C5" w:rsidRPr="00D77FC6">
        <w:rPr>
          <w:rStyle w:val="Emphasis"/>
          <w:rFonts w:cs="Times New Roman"/>
          <w:i w:val="0"/>
          <w:iCs w:val="0"/>
          <w:color w:val="000000" w:themeColor="text1"/>
        </w:rPr>
        <w:t>the</w:t>
      </w:r>
      <w:r w:rsidR="005D0986" w:rsidRPr="00D77FC6">
        <w:rPr>
          <w:rStyle w:val="Emphasis"/>
          <w:rFonts w:cs="Times New Roman"/>
          <w:i w:val="0"/>
          <w:iCs w:val="0"/>
          <w:color w:val="000000" w:themeColor="text1"/>
        </w:rPr>
        <w:t xml:space="preserve"> </w:t>
      </w:r>
      <w:r w:rsidR="007048A9" w:rsidRPr="00D77FC6">
        <w:rPr>
          <w:rStyle w:val="Emphasis"/>
          <w:rFonts w:cs="Times New Roman"/>
          <w:i w:val="0"/>
          <w:iCs w:val="0"/>
          <w:color w:val="000000" w:themeColor="text1"/>
        </w:rPr>
        <w:t>“</w:t>
      </w:r>
      <w:proofErr w:type="spellStart"/>
      <w:r w:rsidR="007048A9" w:rsidRPr="00D77FC6">
        <w:rPr>
          <w:rStyle w:val="Emphasis"/>
          <w:rFonts w:cs="Times New Roman"/>
          <w:i w:val="0"/>
          <w:iCs w:val="0"/>
          <w:color w:val="000000" w:themeColor="text1"/>
        </w:rPr>
        <w:t>anra</w:t>
      </w:r>
      <w:proofErr w:type="spellEnd"/>
      <w:r w:rsidR="007048A9" w:rsidRPr="00D77FC6">
        <w:rPr>
          <w:rStyle w:val="Emphasis"/>
          <w:rFonts w:cs="Times New Roman"/>
          <w:i w:val="0"/>
          <w:iCs w:val="0"/>
          <w:color w:val="000000" w:themeColor="text1"/>
        </w:rPr>
        <w:t>” composition</w:t>
      </w:r>
      <w:r w:rsidR="00526510" w:rsidRPr="00D77FC6">
        <w:rPr>
          <w:rStyle w:val="Emphasis"/>
          <w:rFonts w:cs="Times New Roman"/>
          <w:i w:val="0"/>
          <w:iCs w:val="0"/>
          <w:color w:val="000000" w:themeColor="text1"/>
        </w:rPr>
        <w:t xml:space="preserve"> dates it to </w:t>
      </w:r>
      <w:r w:rsidR="00526510" w:rsidRPr="00D77FC6">
        <w:rPr>
          <w:rFonts w:cs="Times New Roman"/>
          <w:color w:val="000000" w:themeColor="text1"/>
        </w:rPr>
        <w:t xml:space="preserve">MB IIB–MB IIC (=MB III). </w:t>
      </w:r>
      <w:r w:rsidR="00A9489A" w:rsidRPr="00D77FC6">
        <w:rPr>
          <w:rStyle w:val="Emphasis"/>
          <w:rFonts w:cs="Times New Roman"/>
          <w:i w:val="0"/>
          <w:iCs w:val="0"/>
          <w:color w:val="000000" w:themeColor="text1"/>
        </w:rPr>
        <w:t>The parallel from Tel el-Ajjul date</w:t>
      </w:r>
      <w:r w:rsidR="00287B52" w:rsidRPr="00D77FC6">
        <w:rPr>
          <w:rStyle w:val="Emphasis"/>
          <w:rFonts w:cs="Times New Roman"/>
          <w:i w:val="0"/>
          <w:iCs w:val="0"/>
          <w:color w:val="000000" w:themeColor="text1"/>
        </w:rPr>
        <w:t>s</w:t>
      </w:r>
      <w:r w:rsidR="00A9489A" w:rsidRPr="00D77FC6">
        <w:rPr>
          <w:rStyle w:val="Emphasis"/>
          <w:rFonts w:cs="Times New Roman"/>
          <w:i w:val="0"/>
          <w:iCs w:val="0"/>
          <w:color w:val="000000" w:themeColor="text1"/>
        </w:rPr>
        <w:t xml:space="preserve"> to the same timeframe (</w:t>
      </w:r>
      <w:r w:rsidR="00A9489A" w:rsidRPr="00D77FC6">
        <w:rPr>
          <w:rFonts w:cs="Times New Roman"/>
          <w:color w:val="000000" w:themeColor="text1"/>
        </w:rPr>
        <w:t>1675–1522 BCE).</w:t>
      </w:r>
    </w:p>
    <w:p w14:paraId="5B903434" w14:textId="77777777" w:rsidR="00526510" w:rsidRPr="007573D9" w:rsidRDefault="00526510" w:rsidP="00025A98">
      <w:pPr>
        <w:ind w:firstLine="720"/>
        <w:rPr>
          <w:rFonts w:cs="Times New Roman"/>
          <w:color w:val="000000" w:themeColor="text1"/>
        </w:rPr>
      </w:pPr>
    </w:p>
    <w:p w14:paraId="270B18BE" w14:textId="77777777" w:rsidR="00555C65" w:rsidRDefault="00555C65" w:rsidP="00444B42">
      <w:pPr>
        <w:jc w:val="center"/>
        <w:rPr>
          <w:rFonts w:cs="Times New Roman"/>
          <w:b/>
          <w:bCs/>
          <w:color w:val="000000" w:themeColor="text1"/>
        </w:rPr>
      </w:pPr>
    </w:p>
    <w:p w14:paraId="4317827F" w14:textId="77777777" w:rsidR="00555C65" w:rsidRDefault="00555C65" w:rsidP="00444B42">
      <w:pPr>
        <w:jc w:val="center"/>
        <w:rPr>
          <w:rFonts w:cs="Times New Roman"/>
          <w:b/>
          <w:bCs/>
          <w:color w:val="000000" w:themeColor="text1"/>
        </w:rPr>
      </w:pPr>
    </w:p>
    <w:p w14:paraId="20856D71" w14:textId="77777777" w:rsidR="00AD5200" w:rsidRDefault="00AD5200" w:rsidP="00444B42">
      <w:pPr>
        <w:jc w:val="center"/>
        <w:rPr>
          <w:rFonts w:cs="Times New Roman"/>
          <w:b/>
          <w:bCs/>
          <w:color w:val="000000" w:themeColor="text1"/>
        </w:rPr>
      </w:pPr>
    </w:p>
    <w:p w14:paraId="39548E65" w14:textId="77777777" w:rsidR="00AD5200" w:rsidRDefault="00AD5200" w:rsidP="00444B42">
      <w:pPr>
        <w:jc w:val="center"/>
        <w:rPr>
          <w:rFonts w:cs="Times New Roman"/>
          <w:b/>
          <w:bCs/>
          <w:color w:val="000000" w:themeColor="text1"/>
        </w:rPr>
      </w:pPr>
    </w:p>
    <w:p w14:paraId="76B1E79E" w14:textId="77777777" w:rsidR="00AD5200" w:rsidRDefault="00AD5200" w:rsidP="00444B42">
      <w:pPr>
        <w:jc w:val="center"/>
        <w:rPr>
          <w:rFonts w:cs="Times New Roman"/>
          <w:b/>
          <w:bCs/>
          <w:color w:val="000000" w:themeColor="text1"/>
        </w:rPr>
      </w:pPr>
    </w:p>
    <w:p w14:paraId="3002C8E2" w14:textId="77777777" w:rsidR="00AD5200" w:rsidRDefault="00AD5200" w:rsidP="00444B42">
      <w:pPr>
        <w:jc w:val="center"/>
        <w:rPr>
          <w:rFonts w:cs="Times New Roman"/>
          <w:b/>
          <w:bCs/>
          <w:color w:val="000000" w:themeColor="text1"/>
        </w:rPr>
      </w:pPr>
    </w:p>
    <w:p w14:paraId="6DE16C06" w14:textId="77777777" w:rsidR="001F3E98" w:rsidRDefault="001F3E98" w:rsidP="00444B42">
      <w:pPr>
        <w:jc w:val="center"/>
        <w:rPr>
          <w:rFonts w:cs="Times New Roman"/>
          <w:b/>
          <w:bCs/>
          <w:color w:val="000000" w:themeColor="text1"/>
        </w:rPr>
      </w:pPr>
    </w:p>
    <w:p w14:paraId="4173EFE9" w14:textId="77777777" w:rsidR="001F3E98" w:rsidRDefault="001F3E98" w:rsidP="00444B42">
      <w:pPr>
        <w:jc w:val="center"/>
        <w:rPr>
          <w:rFonts w:cs="Times New Roman"/>
          <w:b/>
          <w:bCs/>
          <w:color w:val="000000" w:themeColor="text1"/>
        </w:rPr>
      </w:pPr>
    </w:p>
    <w:p w14:paraId="08454FDA" w14:textId="77777777" w:rsidR="001F3E98" w:rsidRDefault="001F3E98" w:rsidP="00444B42">
      <w:pPr>
        <w:jc w:val="center"/>
        <w:rPr>
          <w:rFonts w:cs="Times New Roman"/>
          <w:b/>
          <w:bCs/>
          <w:color w:val="000000" w:themeColor="text1"/>
        </w:rPr>
      </w:pPr>
    </w:p>
    <w:p w14:paraId="53678D3B" w14:textId="77777777" w:rsidR="001F3E98" w:rsidRDefault="001F3E98" w:rsidP="00444B42">
      <w:pPr>
        <w:jc w:val="center"/>
        <w:rPr>
          <w:rFonts w:cs="Times New Roman"/>
          <w:b/>
          <w:bCs/>
          <w:color w:val="000000" w:themeColor="text1"/>
        </w:rPr>
      </w:pPr>
    </w:p>
    <w:p w14:paraId="70BDB91B" w14:textId="77777777" w:rsidR="001F3E98" w:rsidRDefault="001F3E98" w:rsidP="00444B42">
      <w:pPr>
        <w:jc w:val="center"/>
        <w:rPr>
          <w:rFonts w:cs="Times New Roman"/>
          <w:b/>
          <w:bCs/>
          <w:color w:val="000000" w:themeColor="text1"/>
        </w:rPr>
      </w:pPr>
    </w:p>
    <w:p w14:paraId="3C846118" w14:textId="77777777" w:rsidR="001F3E98" w:rsidRDefault="001F3E98" w:rsidP="00444B42">
      <w:pPr>
        <w:jc w:val="center"/>
        <w:rPr>
          <w:rFonts w:cs="Times New Roman"/>
          <w:b/>
          <w:bCs/>
          <w:color w:val="000000" w:themeColor="text1"/>
        </w:rPr>
      </w:pPr>
    </w:p>
    <w:p w14:paraId="003E6AFF" w14:textId="77777777" w:rsidR="001F3E98" w:rsidRDefault="001F3E98" w:rsidP="00444B42">
      <w:pPr>
        <w:jc w:val="center"/>
        <w:rPr>
          <w:rFonts w:cs="Times New Roman"/>
          <w:b/>
          <w:bCs/>
          <w:color w:val="000000" w:themeColor="text1"/>
        </w:rPr>
      </w:pPr>
    </w:p>
    <w:p w14:paraId="178B7A0B" w14:textId="77777777" w:rsidR="001F3E98" w:rsidRDefault="001F3E98" w:rsidP="00444B42">
      <w:pPr>
        <w:jc w:val="center"/>
        <w:rPr>
          <w:rFonts w:cs="Times New Roman"/>
          <w:b/>
          <w:bCs/>
          <w:color w:val="000000" w:themeColor="text1"/>
        </w:rPr>
      </w:pPr>
    </w:p>
    <w:p w14:paraId="489EA2B9" w14:textId="77777777" w:rsidR="001F3E98" w:rsidRDefault="001F3E98" w:rsidP="00444B42">
      <w:pPr>
        <w:jc w:val="center"/>
        <w:rPr>
          <w:rFonts w:cs="Times New Roman"/>
          <w:b/>
          <w:bCs/>
          <w:color w:val="000000" w:themeColor="text1"/>
        </w:rPr>
      </w:pPr>
    </w:p>
    <w:p w14:paraId="53A6243B" w14:textId="77777777" w:rsidR="001F3E98" w:rsidRDefault="001F3E98" w:rsidP="00444B42">
      <w:pPr>
        <w:jc w:val="center"/>
        <w:rPr>
          <w:rFonts w:cs="Times New Roman"/>
          <w:b/>
          <w:bCs/>
          <w:color w:val="000000" w:themeColor="text1"/>
        </w:rPr>
      </w:pPr>
    </w:p>
    <w:p w14:paraId="46500FDE" w14:textId="77777777" w:rsidR="001F3E98" w:rsidRDefault="001F3E98" w:rsidP="00444B42">
      <w:pPr>
        <w:jc w:val="center"/>
        <w:rPr>
          <w:rFonts w:cs="Times New Roman"/>
          <w:b/>
          <w:bCs/>
          <w:color w:val="000000" w:themeColor="text1"/>
        </w:rPr>
      </w:pPr>
    </w:p>
    <w:p w14:paraId="7AEEC1D3" w14:textId="77777777" w:rsidR="001F3E98" w:rsidRDefault="001F3E98" w:rsidP="00444B42">
      <w:pPr>
        <w:jc w:val="center"/>
        <w:rPr>
          <w:rFonts w:cs="Times New Roman"/>
          <w:b/>
          <w:bCs/>
          <w:color w:val="000000" w:themeColor="text1"/>
        </w:rPr>
      </w:pPr>
    </w:p>
    <w:p w14:paraId="2EB65396" w14:textId="77777777" w:rsidR="001242D1" w:rsidRDefault="001242D1" w:rsidP="001242D1">
      <w:pPr>
        <w:jc w:val="center"/>
        <w:rPr>
          <w:rFonts w:cs="Times New Roman"/>
          <w:b/>
          <w:bCs/>
        </w:rPr>
      </w:pPr>
      <w:r>
        <w:rPr>
          <w:rFonts w:cs="Times New Roman"/>
          <w:b/>
          <w:bCs/>
        </w:rPr>
        <w:lastRenderedPageBreak/>
        <w:t>Appendix</w:t>
      </w:r>
    </w:p>
    <w:p w14:paraId="23B176B1" w14:textId="77777777" w:rsidR="001242D1" w:rsidRPr="00D2060B" w:rsidRDefault="001242D1" w:rsidP="001242D1">
      <w:pPr>
        <w:jc w:val="center"/>
        <w:rPr>
          <w:rFonts w:cs="Times New Roman"/>
          <w:b/>
          <w:bCs/>
        </w:rPr>
      </w:pPr>
      <w:r>
        <w:rPr>
          <w:rFonts w:cs="Times New Roman"/>
          <w:b/>
          <w:bCs/>
        </w:rPr>
        <w:t>Catalog of ABR Shiloh Scarabs (Seasons 1–5)</w:t>
      </w:r>
    </w:p>
    <w:p w14:paraId="01DDA2AC" w14:textId="1FFE55AA" w:rsidR="001242D1" w:rsidRDefault="001242D1" w:rsidP="00444B42">
      <w:pPr>
        <w:jc w:val="center"/>
        <w:rPr>
          <w:rFonts w:cs="Times New Roman"/>
          <w:b/>
          <w:bCs/>
          <w:color w:val="000000" w:themeColor="text1"/>
        </w:rPr>
      </w:pPr>
      <w:r>
        <w:rPr>
          <w:rFonts w:cs="Times New Roman"/>
          <w:b/>
          <w:bCs/>
          <w:color w:val="000000" w:themeColor="text1"/>
        </w:rPr>
        <w:t>*</w:t>
      </w:r>
    </w:p>
    <w:p w14:paraId="71A95EBE" w14:textId="77777777" w:rsidR="001242D1" w:rsidRDefault="001242D1" w:rsidP="00444B42">
      <w:pPr>
        <w:jc w:val="center"/>
        <w:rPr>
          <w:rFonts w:cs="Times New Roman"/>
          <w:b/>
          <w:bCs/>
          <w:color w:val="000000" w:themeColor="text1"/>
        </w:rPr>
      </w:pPr>
    </w:p>
    <w:p w14:paraId="08136D23" w14:textId="77777777" w:rsidR="001242D1" w:rsidRDefault="001242D1" w:rsidP="00444B42">
      <w:pPr>
        <w:jc w:val="center"/>
        <w:rPr>
          <w:rFonts w:cs="Times New Roman"/>
          <w:b/>
          <w:bCs/>
          <w:color w:val="000000" w:themeColor="text1"/>
        </w:rPr>
      </w:pPr>
    </w:p>
    <w:p w14:paraId="1B3ED3FC" w14:textId="77777777" w:rsidR="001242D1" w:rsidRDefault="001242D1" w:rsidP="00444B42">
      <w:pPr>
        <w:jc w:val="center"/>
        <w:rPr>
          <w:rFonts w:cs="Times New Roman"/>
          <w:b/>
          <w:bCs/>
          <w:color w:val="000000" w:themeColor="text1"/>
        </w:rPr>
      </w:pPr>
    </w:p>
    <w:p w14:paraId="30523962" w14:textId="77777777" w:rsidR="001242D1" w:rsidRDefault="001242D1" w:rsidP="00444B42">
      <w:pPr>
        <w:jc w:val="center"/>
        <w:rPr>
          <w:rFonts w:cs="Times New Roman"/>
          <w:b/>
          <w:bCs/>
          <w:color w:val="000000" w:themeColor="text1"/>
        </w:rPr>
      </w:pPr>
    </w:p>
    <w:p w14:paraId="3457DAE6" w14:textId="77777777" w:rsidR="001242D1" w:rsidRDefault="001242D1" w:rsidP="00444B42">
      <w:pPr>
        <w:jc w:val="center"/>
        <w:rPr>
          <w:rFonts w:cs="Times New Roman"/>
          <w:b/>
          <w:bCs/>
          <w:color w:val="000000" w:themeColor="text1"/>
        </w:rPr>
      </w:pPr>
    </w:p>
    <w:p w14:paraId="1AC8DC2E" w14:textId="77777777" w:rsidR="001242D1" w:rsidRDefault="001242D1" w:rsidP="00444B42">
      <w:pPr>
        <w:jc w:val="center"/>
        <w:rPr>
          <w:rFonts w:cs="Times New Roman"/>
          <w:b/>
          <w:bCs/>
          <w:color w:val="000000" w:themeColor="text1"/>
        </w:rPr>
      </w:pPr>
    </w:p>
    <w:p w14:paraId="4F9DFA36" w14:textId="77777777" w:rsidR="001242D1" w:rsidRDefault="001242D1" w:rsidP="00444B42">
      <w:pPr>
        <w:jc w:val="center"/>
        <w:rPr>
          <w:rFonts w:cs="Times New Roman"/>
          <w:b/>
          <w:bCs/>
          <w:color w:val="000000" w:themeColor="text1"/>
        </w:rPr>
      </w:pPr>
    </w:p>
    <w:p w14:paraId="3B5CCBAC" w14:textId="77777777" w:rsidR="001242D1" w:rsidRDefault="001242D1" w:rsidP="00444B42">
      <w:pPr>
        <w:jc w:val="center"/>
        <w:rPr>
          <w:rFonts w:cs="Times New Roman"/>
          <w:b/>
          <w:bCs/>
          <w:color w:val="000000" w:themeColor="text1"/>
        </w:rPr>
      </w:pPr>
    </w:p>
    <w:p w14:paraId="45AA4FB0" w14:textId="77777777" w:rsidR="001242D1" w:rsidRDefault="001242D1" w:rsidP="00444B42">
      <w:pPr>
        <w:jc w:val="center"/>
        <w:rPr>
          <w:rFonts w:cs="Times New Roman"/>
          <w:b/>
          <w:bCs/>
          <w:color w:val="000000" w:themeColor="text1"/>
        </w:rPr>
      </w:pPr>
    </w:p>
    <w:p w14:paraId="2B025EEF" w14:textId="77777777" w:rsidR="001242D1" w:rsidRDefault="001242D1" w:rsidP="00444B42">
      <w:pPr>
        <w:jc w:val="center"/>
        <w:rPr>
          <w:rFonts w:cs="Times New Roman"/>
          <w:b/>
          <w:bCs/>
          <w:color w:val="000000" w:themeColor="text1"/>
        </w:rPr>
      </w:pPr>
    </w:p>
    <w:p w14:paraId="564FD51C" w14:textId="77777777" w:rsidR="001242D1" w:rsidRDefault="001242D1" w:rsidP="00444B42">
      <w:pPr>
        <w:jc w:val="center"/>
        <w:rPr>
          <w:rFonts w:cs="Times New Roman"/>
          <w:b/>
          <w:bCs/>
          <w:color w:val="000000" w:themeColor="text1"/>
        </w:rPr>
      </w:pPr>
    </w:p>
    <w:p w14:paraId="1760647D" w14:textId="77777777" w:rsidR="001242D1" w:rsidRDefault="001242D1" w:rsidP="00444B42">
      <w:pPr>
        <w:jc w:val="center"/>
        <w:rPr>
          <w:rFonts w:cs="Times New Roman"/>
          <w:b/>
          <w:bCs/>
          <w:color w:val="000000" w:themeColor="text1"/>
        </w:rPr>
      </w:pPr>
    </w:p>
    <w:p w14:paraId="43BD6A1D" w14:textId="77777777" w:rsidR="001242D1" w:rsidRDefault="001242D1" w:rsidP="00444B42">
      <w:pPr>
        <w:jc w:val="center"/>
        <w:rPr>
          <w:rFonts w:cs="Times New Roman"/>
          <w:b/>
          <w:bCs/>
          <w:color w:val="000000" w:themeColor="text1"/>
        </w:rPr>
      </w:pPr>
    </w:p>
    <w:p w14:paraId="1D167DA6" w14:textId="77777777" w:rsidR="001242D1" w:rsidRDefault="001242D1" w:rsidP="00444B42">
      <w:pPr>
        <w:jc w:val="center"/>
        <w:rPr>
          <w:rFonts w:cs="Times New Roman"/>
          <w:b/>
          <w:bCs/>
          <w:color w:val="000000" w:themeColor="text1"/>
        </w:rPr>
      </w:pPr>
    </w:p>
    <w:p w14:paraId="4348EBA7" w14:textId="77777777" w:rsidR="001242D1" w:rsidRDefault="001242D1" w:rsidP="00444B42">
      <w:pPr>
        <w:jc w:val="center"/>
        <w:rPr>
          <w:rFonts w:cs="Times New Roman"/>
          <w:b/>
          <w:bCs/>
          <w:color w:val="000000" w:themeColor="text1"/>
        </w:rPr>
      </w:pPr>
    </w:p>
    <w:p w14:paraId="133BE56D" w14:textId="77777777" w:rsidR="001242D1" w:rsidRDefault="001242D1" w:rsidP="00444B42">
      <w:pPr>
        <w:jc w:val="center"/>
        <w:rPr>
          <w:rFonts w:cs="Times New Roman"/>
          <w:b/>
          <w:bCs/>
          <w:color w:val="000000" w:themeColor="text1"/>
        </w:rPr>
      </w:pPr>
    </w:p>
    <w:p w14:paraId="71A215B8" w14:textId="77777777" w:rsidR="001242D1" w:rsidRDefault="001242D1" w:rsidP="00444B42">
      <w:pPr>
        <w:jc w:val="center"/>
        <w:rPr>
          <w:rFonts w:cs="Times New Roman"/>
          <w:b/>
          <w:bCs/>
          <w:color w:val="000000" w:themeColor="text1"/>
        </w:rPr>
      </w:pPr>
    </w:p>
    <w:p w14:paraId="0756B0AB" w14:textId="77777777" w:rsidR="001242D1" w:rsidRDefault="001242D1" w:rsidP="00444B42">
      <w:pPr>
        <w:jc w:val="center"/>
        <w:rPr>
          <w:rFonts w:cs="Times New Roman"/>
          <w:b/>
          <w:bCs/>
          <w:color w:val="000000" w:themeColor="text1"/>
        </w:rPr>
      </w:pPr>
    </w:p>
    <w:p w14:paraId="3A7C209A" w14:textId="77777777" w:rsidR="001242D1" w:rsidRDefault="001242D1" w:rsidP="00444B42">
      <w:pPr>
        <w:jc w:val="center"/>
        <w:rPr>
          <w:rFonts w:cs="Times New Roman"/>
          <w:b/>
          <w:bCs/>
          <w:color w:val="000000" w:themeColor="text1"/>
        </w:rPr>
      </w:pPr>
    </w:p>
    <w:p w14:paraId="3914055E" w14:textId="77777777" w:rsidR="001242D1" w:rsidRDefault="001242D1" w:rsidP="00444B42">
      <w:pPr>
        <w:jc w:val="center"/>
        <w:rPr>
          <w:rFonts w:cs="Times New Roman"/>
          <w:b/>
          <w:bCs/>
          <w:color w:val="000000" w:themeColor="text1"/>
        </w:rPr>
      </w:pPr>
    </w:p>
    <w:p w14:paraId="46BBFD22" w14:textId="77777777" w:rsidR="001242D1" w:rsidRDefault="001242D1" w:rsidP="00444B42">
      <w:pPr>
        <w:jc w:val="center"/>
        <w:rPr>
          <w:rFonts w:cs="Times New Roman"/>
          <w:b/>
          <w:bCs/>
          <w:color w:val="000000" w:themeColor="text1"/>
        </w:rPr>
      </w:pPr>
    </w:p>
    <w:p w14:paraId="327FE61C" w14:textId="77777777" w:rsidR="001242D1" w:rsidRDefault="001242D1" w:rsidP="00444B42">
      <w:pPr>
        <w:jc w:val="center"/>
        <w:rPr>
          <w:rFonts w:cs="Times New Roman"/>
          <w:b/>
          <w:bCs/>
          <w:color w:val="000000" w:themeColor="text1"/>
        </w:rPr>
      </w:pPr>
    </w:p>
    <w:p w14:paraId="23B9485A" w14:textId="77777777" w:rsidR="001242D1" w:rsidRDefault="001242D1" w:rsidP="00444B42">
      <w:pPr>
        <w:jc w:val="center"/>
        <w:rPr>
          <w:rFonts w:cs="Times New Roman"/>
          <w:b/>
          <w:bCs/>
          <w:color w:val="000000" w:themeColor="text1"/>
        </w:rPr>
      </w:pPr>
    </w:p>
    <w:p w14:paraId="68CDB9D2" w14:textId="77777777" w:rsidR="001242D1" w:rsidRDefault="001242D1" w:rsidP="00444B42">
      <w:pPr>
        <w:jc w:val="center"/>
        <w:rPr>
          <w:rFonts w:cs="Times New Roman"/>
          <w:b/>
          <w:bCs/>
          <w:color w:val="000000" w:themeColor="text1"/>
        </w:rPr>
      </w:pPr>
    </w:p>
    <w:p w14:paraId="45A2D2E9" w14:textId="77777777" w:rsidR="001242D1" w:rsidRDefault="001242D1" w:rsidP="00444B42">
      <w:pPr>
        <w:jc w:val="center"/>
        <w:rPr>
          <w:rFonts w:cs="Times New Roman"/>
          <w:b/>
          <w:bCs/>
          <w:color w:val="000000" w:themeColor="text1"/>
        </w:rPr>
      </w:pPr>
    </w:p>
    <w:p w14:paraId="248364ED" w14:textId="77777777" w:rsidR="001242D1" w:rsidRDefault="001242D1" w:rsidP="00444B42">
      <w:pPr>
        <w:jc w:val="center"/>
        <w:rPr>
          <w:rFonts w:cs="Times New Roman"/>
          <w:b/>
          <w:bCs/>
          <w:color w:val="000000" w:themeColor="text1"/>
        </w:rPr>
      </w:pPr>
    </w:p>
    <w:p w14:paraId="6D160954" w14:textId="77777777" w:rsidR="001242D1" w:rsidRDefault="001242D1" w:rsidP="00444B42">
      <w:pPr>
        <w:jc w:val="center"/>
        <w:rPr>
          <w:rFonts w:cs="Times New Roman"/>
          <w:b/>
          <w:bCs/>
          <w:color w:val="000000" w:themeColor="text1"/>
        </w:rPr>
      </w:pPr>
    </w:p>
    <w:p w14:paraId="602E84A9" w14:textId="77777777" w:rsidR="001242D1" w:rsidRDefault="001242D1" w:rsidP="00444B42">
      <w:pPr>
        <w:jc w:val="center"/>
        <w:rPr>
          <w:rFonts w:cs="Times New Roman"/>
          <w:b/>
          <w:bCs/>
          <w:color w:val="000000" w:themeColor="text1"/>
        </w:rPr>
      </w:pPr>
    </w:p>
    <w:p w14:paraId="7C9E60C8" w14:textId="77777777" w:rsidR="001242D1" w:rsidRDefault="001242D1" w:rsidP="00444B42">
      <w:pPr>
        <w:jc w:val="center"/>
        <w:rPr>
          <w:rFonts w:cs="Times New Roman"/>
          <w:b/>
          <w:bCs/>
          <w:color w:val="000000" w:themeColor="text1"/>
        </w:rPr>
      </w:pPr>
    </w:p>
    <w:p w14:paraId="3D43DF28" w14:textId="77777777" w:rsidR="001242D1" w:rsidRDefault="001242D1" w:rsidP="00444B42">
      <w:pPr>
        <w:jc w:val="center"/>
        <w:rPr>
          <w:rFonts w:cs="Times New Roman"/>
          <w:b/>
          <w:bCs/>
          <w:color w:val="000000" w:themeColor="text1"/>
        </w:rPr>
      </w:pPr>
    </w:p>
    <w:p w14:paraId="51FF538E" w14:textId="77777777" w:rsidR="001242D1" w:rsidRDefault="001242D1" w:rsidP="00444B42">
      <w:pPr>
        <w:jc w:val="center"/>
        <w:rPr>
          <w:rFonts w:cs="Times New Roman"/>
          <w:b/>
          <w:bCs/>
          <w:color w:val="000000" w:themeColor="text1"/>
        </w:rPr>
      </w:pPr>
    </w:p>
    <w:p w14:paraId="5975693F" w14:textId="77777777" w:rsidR="001242D1" w:rsidRDefault="001242D1" w:rsidP="00444B42">
      <w:pPr>
        <w:jc w:val="center"/>
        <w:rPr>
          <w:rFonts w:cs="Times New Roman"/>
          <w:b/>
          <w:bCs/>
          <w:color w:val="000000" w:themeColor="text1"/>
        </w:rPr>
      </w:pPr>
    </w:p>
    <w:p w14:paraId="0647E959" w14:textId="77777777" w:rsidR="001242D1" w:rsidRDefault="001242D1" w:rsidP="00444B42">
      <w:pPr>
        <w:jc w:val="center"/>
        <w:rPr>
          <w:rFonts w:cs="Times New Roman"/>
          <w:b/>
          <w:bCs/>
          <w:color w:val="000000" w:themeColor="text1"/>
        </w:rPr>
      </w:pPr>
    </w:p>
    <w:p w14:paraId="2B66E469" w14:textId="77777777" w:rsidR="001242D1" w:rsidRDefault="001242D1" w:rsidP="00444B42">
      <w:pPr>
        <w:jc w:val="center"/>
        <w:rPr>
          <w:rFonts w:cs="Times New Roman"/>
          <w:b/>
          <w:bCs/>
          <w:color w:val="000000" w:themeColor="text1"/>
        </w:rPr>
      </w:pPr>
    </w:p>
    <w:p w14:paraId="562958BD" w14:textId="77777777" w:rsidR="001242D1" w:rsidRDefault="001242D1" w:rsidP="00444B42">
      <w:pPr>
        <w:jc w:val="center"/>
        <w:rPr>
          <w:rFonts w:cs="Times New Roman"/>
          <w:b/>
          <w:bCs/>
          <w:color w:val="000000" w:themeColor="text1"/>
        </w:rPr>
      </w:pPr>
    </w:p>
    <w:p w14:paraId="6BFF3DAB" w14:textId="77777777" w:rsidR="001242D1" w:rsidRDefault="001242D1" w:rsidP="00444B42">
      <w:pPr>
        <w:jc w:val="center"/>
        <w:rPr>
          <w:rFonts w:cs="Times New Roman"/>
          <w:b/>
          <w:bCs/>
          <w:color w:val="000000" w:themeColor="text1"/>
        </w:rPr>
      </w:pPr>
    </w:p>
    <w:p w14:paraId="6E467574" w14:textId="77777777" w:rsidR="001242D1" w:rsidRDefault="001242D1" w:rsidP="00444B42">
      <w:pPr>
        <w:jc w:val="center"/>
        <w:rPr>
          <w:rFonts w:cs="Times New Roman"/>
          <w:b/>
          <w:bCs/>
          <w:color w:val="000000" w:themeColor="text1"/>
        </w:rPr>
      </w:pPr>
    </w:p>
    <w:p w14:paraId="5B79A344" w14:textId="77777777" w:rsidR="001242D1" w:rsidRDefault="001242D1" w:rsidP="00444B42">
      <w:pPr>
        <w:jc w:val="center"/>
        <w:rPr>
          <w:rFonts w:cs="Times New Roman"/>
          <w:b/>
          <w:bCs/>
          <w:color w:val="000000" w:themeColor="text1"/>
        </w:rPr>
      </w:pPr>
    </w:p>
    <w:p w14:paraId="1B21DFAE" w14:textId="77777777" w:rsidR="001242D1" w:rsidRDefault="001242D1" w:rsidP="00444B42">
      <w:pPr>
        <w:jc w:val="center"/>
        <w:rPr>
          <w:rFonts w:cs="Times New Roman"/>
          <w:b/>
          <w:bCs/>
          <w:color w:val="000000" w:themeColor="text1"/>
        </w:rPr>
      </w:pPr>
    </w:p>
    <w:p w14:paraId="6A5D90CA" w14:textId="77777777" w:rsidR="001242D1" w:rsidRDefault="001242D1" w:rsidP="00444B42">
      <w:pPr>
        <w:jc w:val="center"/>
        <w:rPr>
          <w:rFonts w:cs="Times New Roman"/>
          <w:b/>
          <w:bCs/>
          <w:color w:val="000000" w:themeColor="text1"/>
        </w:rPr>
      </w:pPr>
    </w:p>
    <w:p w14:paraId="6805A508" w14:textId="77777777" w:rsidR="001242D1" w:rsidRDefault="001242D1" w:rsidP="00444B42">
      <w:pPr>
        <w:jc w:val="center"/>
        <w:rPr>
          <w:rFonts w:cs="Times New Roman"/>
          <w:b/>
          <w:bCs/>
          <w:color w:val="000000" w:themeColor="text1"/>
        </w:rPr>
      </w:pPr>
    </w:p>
    <w:p w14:paraId="798FFFEE" w14:textId="77777777" w:rsidR="001242D1" w:rsidRDefault="001242D1" w:rsidP="00444B42">
      <w:pPr>
        <w:jc w:val="center"/>
        <w:rPr>
          <w:rFonts w:cs="Times New Roman"/>
          <w:b/>
          <w:bCs/>
          <w:color w:val="000000" w:themeColor="text1"/>
        </w:rPr>
      </w:pPr>
    </w:p>
    <w:p w14:paraId="390BB15D" w14:textId="77777777" w:rsidR="001242D1" w:rsidRDefault="001242D1" w:rsidP="00444B42">
      <w:pPr>
        <w:jc w:val="center"/>
        <w:rPr>
          <w:rFonts w:cs="Times New Roman"/>
          <w:b/>
          <w:bCs/>
          <w:color w:val="000000" w:themeColor="text1"/>
        </w:rPr>
      </w:pPr>
    </w:p>
    <w:p w14:paraId="687D8F8A" w14:textId="2A8D17FA" w:rsidR="0091197E" w:rsidRPr="007573D9" w:rsidRDefault="00D2060B" w:rsidP="00444B42">
      <w:pPr>
        <w:jc w:val="center"/>
        <w:rPr>
          <w:rFonts w:cs="Times New Roman"/>
          <w:b/>
          <w:bCs/>
          <w:color w:val="000000" w:themeColor="text1"/>
        </w:rPr>
      </w:pPr>
      <w:r>
        <w:rPr>
          <w:rFonts w:cs="Times New Roman"/>
          <w:b/>
          <w:bCs/>
          <w:color w:val="000000" w:themeColor="text1"/>
        </w:rPr>
        <w:lastRenderedPageBreak/>
        <w:t>R</w:t>
      </w:r>
      <w:r w:rsidR="0091197E" w:rsidRPr="007573D9">
        <w:rPr>
          <w:rFonts w:cs="Times New Roman"/>
          <w:b/>
          <w:bCs/>
          <w:color w:val="000000" w:themeColor="text1"/>
        </w:rPr>
        <w:t>eferences</w:t>
      </w:r>
    </w:p>
    <w:p w14:paraId="33F89ABE" w14:textId="77777777" w:rsidR="0091197E" w:rsidRPr="007573D9" w:rsidRDefault="0091197E" w:rsidP="007573D9">
      <w:pPr>
        <w:rPr>
          <w:rFonts w:cs="Times New Roman"/>
          <w:b/>
          <w:bCs/>
          <w:color w:val="1F497D"/>
        </w:rPr>
      </w:pPr>
    </w:p>
    <w:p w14:paraId="63553D4B" w14:textId="224C88A2" w:rsidR="0091197E" w:rsidRPr="007573D9" w:rsidRDefault="0091197E" w:rsidP="007573D9">
      <w:pPr>
        <w:ind w:left="720" w:hanging="720"/>
        <w:rPr>
          <w:rFonts w:cs="Times New Roman"/>
          <w:color w:val="000000" w:themeColor="text1"/>
        </w:rPr>
      </w:pPr>
      <w:r w:rsidRPr="007573D9">
        <w:rPr>
          <w:rFonts w:cs="Times New Roman"/>
          <w:color w:val="000000" w:themeColor="text1"/>
        </w:rPr>
        <w:t xml:space="preserve">Allen, </w:t>
      </w:r>
      <w:r w:rsidR="000F0640" w:rsidRPr="007573D9">
        <w:rPr>
          <w:rFonts w:cs="Times New Roman"/>
          <w:color w:val="000000" w:themeColor="text1"/>
        </w:rPr>
        <w:t>J. P</w:t>
      </w:r>
      <w:r w:rsidRPr="007573D9">
        <w:rPr>
          <w:rFonts w:cs="Times New Roman"/>
          <w:color w:val="000000" w:themeColor="text1"/>
        </w:rPr>
        <w:t xml:space="preserve">. 2014. </w:t>
      </w:r>
      <w:r w:rsidRPr="007573D9">
        <w:rPr>
          <w:rFonts w:cs="Times New Roman"/>
          <w:i/>
          <w:iCs/>
          <w:color w:val="000000" w:themeColor="text1"/>
        </w:rPr>
        <w:t xml:space="preserve">Middle Egyptian, An Introduction to the Language and Culture of Hieroglyphs. </w:t>
      </w:r>
      <w:r w:rsidRPr="007573D9">
        <w:rPr>
          <w:rFonts w:cs="Times New Roman"/>
          <w:color w:val="000000" w:themeColor="text1"/>
        </w:rPr>
        <w:t>Cambridge: University Printing House.</w:t>
      </w:r>
    </w:p>
    <w:p w14:paraId="581D5105" w14:textId="77777777" w:rsidR="0091197E" w:rsidRPr="007573D9" w:rsidRDefault="0091197E" w:rsidP="007573D9">
      <w:pPr>
        <w:ind w:firstLine="720"/>
        <w:rPr>
          <w:rFonts w:cs="Times New Roman"/>
          <w:color w:val="1F497D"/>
        </w:rPr>
      </w:pPr>
    </w:p>
    <w:p w14:paraId="77BA006F" w14:textId="6D2263E6" w:rsidR="0091197E" w:rsidRPr="007573D9" w:rsidRDefault="0091197E" w:rsidP="007573D9">
      <w:pPr>
        <w:ind w:left="720" w:hanging="720"/>
        <w:rPr>
          <w:rFonts w:cs="Times New Roman"/>
          <w:color w:val="1F497D"/>
        </w:rPr>
      </w:pPr>
      <w:r w:rsidRPr="007573D9">
        <w:rPr>
          <w:rFonts w:cs="Times New Roman"/>
          <w:kern w:val="0"/>
        </w:rPr>
        <w:t xml:space="preserve">Ben-Tor, D. 1989. </w:t>
      </w:r>
      <w:r w:rsidRPr="007573D9">
        <w:rPr>
          <w:rFonts w:cs="Times New Roman"/>
          <w:i/>
          <w:iCs/>
          <w:kern w:val="0"/>
        </w:rPr>
        <w:t>The Scarab: A Reflection of Ancient Egypt.</w:t>
      </w:r>
      <w:r w:rsidRPr="007573D9">
        <w:rPr>
          <w:rFonts w:cs="Times New Roman"/>
          <w:kern w:val="0"/>
        </w:rPr>
        <w:t xml:space="preserve"> Jerusalem: </w:t>
      </w:r>
      <w:proofErr w:type="spellStart"/>
      <w:r w:rsidRPr="007573D9">
        <w:rPr>
          <w:rFonts w:cs="Times New Roman"/>
          <w:kern w:val="0"/>
        </w:rPr>
        <w:t>Spertus</w:t>
      </w:r>
      <w:proofErr w:type="spellEnd"/>
      <w:r w:rsidRPr="007573D9">
        <w:rPr>
          <w:rFonts w:cs="Times New Roman"/>
          <w:kern w:val="0"/>
        </w:rPr>
        <w:t xml:space="preserve"> Hall.</w:t>
      </w:r>
    </w:p>
    <w:p w14:paraId="35AF9770" w14:textId="77777777" w:rsidR="0091197E" w:rsidRPr="007573D9" w:rsidRDefault="0091197E" w:rsidP="007573D9">
      <w:pPr>
        <w:rPr>
          <w:rFonts w:cs="Times New Roman"/>
          <w:color w:val="1F497D"/>
        </w:rPr>
      </w:pPr>
    </w:p>
    <w:p w14:paraId="2C5179EE" w14:textId="5B5F5F78" w:rsidR="0091197E" w:rsidRPr="007573D9" w:rsidRDefault="0091197E" w:rsidP="007573D9">
      <w:pPr>
        <w:autoSpaceDE w:val="0"/>
        <w:autoSpaceDN w:val="0"/>
        <w:adjustRightInd w:val="0"/>
        <w:rPr>
          <w:rFonts w:cs="Times New Roman"/>
          <w:i/>
          <w:iCs/>
          <w:color w:val="000000" w:themeColor="text1"/>
          <w:kern w:val="0"/>
        </w:rPr>
      </w:pPr>
      <w:r w:rsidRPr="007573D9">
        <w:rPr>
          <w:rFonts w:cs="Times New Roman"/>
          <w:color w:val="000000" w:themeColor="text1"/>
          <w:kern w:val="0"/>
        </w:rPr>
        <w:t xml:space="preserve">Ben-Tor, D. 2007. </w:t>
      </w:r>
      <w:r w:rsidRPr="007573D9">
        <w:rPr>
          <w:rFonts w:cs="Times New Roman"/>
          <w:i/>
          <w:iCs/>
          <w:color w:val="000000" w:themeColor="text1"/>
          <w:kern w:val="0"/>
        </w:rPr>
        <w:t>Scarabs, Chronology, and Interconnections: Egypt and Palestine in the</w:t>
      </w:r>
    </w:p>
    <w:p w14:paraId="1CC470A6" w14:textId="5DA52B06" w:rsidR="005533E1" w:rsidRPr="007573D9" w:rsidRDefault="0091197E" w:rsidP="007573D9">
      <w:pPr>
        <w:autoSpaceDE w:val="0"/>
        <w:autoSpaceDN w:val="0"/>
        <w:adjustRightInd w:val="0"/>
        <w:ind w:left="720"/>
        <w:rPr>
          <w:rStyle w:val="Emphasis"/>
          <w:rFonts w:cs="Times New Roman"/>
          <w:i w:val="0"/>
          <w:iCs w:val="0"/>
          <w:color w:val="000000" w:themeColor="text1"/>
        </w:rPr>
      </w:pPr>
      <w:r w:rsidRPr="007573D9">
        <w:rPr>
          <w:rFonts w:cs="Times New Roman"/>
          <w:i/>
          <w:iCs/>
          <w:color w:val="000000" w:themeColor="text1"/>
          <w:kern w:val="0"/>
        </w:rPr>
        <w:t>Second Intermediate Period.</w:t>
      </w:r>
      <w:r w:rsidRPr="007573D9">
        <w:rPr>
          <w:rFonts w:cs="Times New Roman"/>
          <w:color w:val="000000" w:themeColor="text1"/>
          <w:kern w:val="0"/>
        </w:rPr>
        <w:t xml:space="preserve"> </w:t>
      </w:r>
      <w:r w:rsidR="005533E1" w:rsidRPr="007573D9">
        <w:rPr>
          <w:rFonts w:cs="Times New Roman"/>
          <w:kern w:val="0"/>
        </w:rPr>
        <w:t xml:space="preserve">Orbis </w:t>
      </w:r>
      <w:proofErr w:type="spellStart"/>
      <w:r w:rsidR="005533E1" w:rsidRPr="007573D9">
        <w:rPr>
          <w:rFonts w:cs="Times New Roman"/>
          <w:kern w:val="0"/>
        </w:rPr>
        <w:t>Biblicus</w:t>
      </w:r>
      <w:proofErr w:type="spellEnd"/>
      <w:r w:rsidR="005533E1" w:rsidRPr="007573D9">
        <w:rPr>
          <w:rFonts w:cs="Times New Roman"/>
          <w:kern w:val="0"/>
        </w:rPr>
        <w:t xml:space="preserve"> et </w:t>
      </w:r>
      <w:proofErr w:type="spellStart"/>
      <w:r w:rsidR="005533E1" w:rsidRPr="007573D9">
        <w:rPr>
          <w:rFonts w:cs="Times New Roman"/>
          <w:kern w:val="0"/>
        </w:rPr>
        <w:t>Orientalis</w:t>
      </w:r>
      <w:proofErr w:type="spellEnd"/>
      <w:r w:rsidR="005533E1" w:rsidRPr="007573D9">
        <w:rPr>
          <w:rFonts w:cs="Times New Roman"/>
          <w:kern w:val="0"/>
        </w:rPr>
        <w:t xml:space="preserve"> 27. </w:t>
      </w:r>
      <w:r w:rsidR="005533E1" w:rsidRPr="007573D9">
        <w:rPr>
          <w:rFonts w:cs="Times New Roman"/>
          <w:color w:val="050505"/>
          <w:shd w:val="clear" w:color="auto" w:fill="FFFFFF"/>
        </w:rPr>
        <w:t xml:space="preserve">Freiburg and Göttingen: </w:t>
      </w:r>
      <w:proofErr w:type="spellStart"/>
      <w:r w:rsidR="005533E1" w:rsidRPr="007573D9">
        <w:rPr>
          <w:rFonts w:cs="Times New Roman"/>
          <w:color w:val="050505"/>
          <w:shd w:val="clear" w:color="auto" w:fill="FFFFFF"/>
        </w:rPr>
        <w:t>vandenhoeck</w:t>
      </w:r>
      <w:proofErr w:type="spellEnd"/>
      <w:r w:rsidR="005533E1" w:rsidRPr="007573D9">
        <w:rPr>
          <w:rFonts w:cs="Times New Roman"/>
          <w:color w:val="050505"/>
          <w:shd w:val="clear" w:color="auto" w:fill="FFFFFF"/>
        </w:rPr>
        <w:t xml:space="preserve"> &amp; Ruprecht.</w:t>
      </w:r>
    </w:p>
    <w:p w14:paraId="6901EC1E" w14:textId="77777777" w:rsidR="0091197E" w:rsidRPr="007573D9" w:rsidRDefault="0091197E" w:rsidP="007573D9">
      <w:pPr>
        <w:rPr>
          <w:rFonts w:cs="Times New Roman"/>
          <w:b/>
          <w:bCs/>
          <w:color w:val="000000" w:themeColor="text1"/>
        </w:rPr>
      </w:pPr>
    </w:p>
    <w:p w14:paraId="1F7300EF" w14:textId="75D5EF4C" w:rsidR="00AB3F17" w:rsidRPr="0099328D" w:rsidRDefault="00185E0F" w:rsidP="00AB3F17">
      <w:pPr>
        <w:ind w:left="720" w:hanging="720"/>
        <w:rPr>
          <w:rFonts w:cs="Times New Roman"/>
          <w:color w:val="000000" w:themeColor="text1"/>
        </w:rPr>
      </w:pPr>
      <w:proofErr w:type="spellStart"/>
      <w:r w:rsidRPr="0099328D">
        <w:rPr>
          <w:rFonts w:cs="Times New Roman"/>
          <w:color w:val="000000" w:themeColor="text1"/>
        </w:rPr>
        <w:t>Bonafil</w:t>
      </w:r>
      <w:proofErr w:type="spellEnd"/>
      <w:r w:rsidRPr="0099328D">
        <w:rPr>
          <w:rFonts w:cs="Times New Roman"/>
          <w:color w:val="000000" w:themeColor="text1"/>
        </w:rPr>
        <w:t xml:space="preserve">, </w:t>
      </w:r>
      <w:r w:rsidR="00CE533F" w:rsidRPr="0099328D">
        <w:rPr>
          <w:rFonts w:cs="Times New Roman"/>
          <w:color w:val="000000" w:themeColor="text1"/>
        </w:rPr>
        <w:t xml:space="preserve">R. 2019. </w:t>
      </w:r>
      <w:r w:rsidR="00AB3F17" w:rsidRPr="00081A4A">
        <w:rPr>
          <w:rFonts w:cs="Times New Roman"/>
          <w:kern w:val="0"/>
        </w:rPr>
        <w:t xml:space="preserve">Middle Bronze Age IIB-C. </w:t>
      </w:r>
      <w:r w:rsidR="00EF447F">
        <w:rPr>
          <w:rFonts w:cs="Times New Roman"/>
          <w:kern w:val="0"/>
        </w:rPr>
        <w:t>I</w:t>
      </w:r>
      <w:r w:rsidR="00AB3F17" w:rsidRPr="00081A4A">
        <w:rPr>
          <w:rFonts w:cs="Times New Roman"/>
          <w:kern w:val="0"/>
        </w:rPr>
        <w:t xml:space="preserve">n </w:t>
      </w:r>
      <w:r w:rsidR="00AB3F17" w:rsidRPr="00081A4A">
        <w:rPr>
          <w:rFonts w:cs="Times New Roman"/>
          <w:i/>
          <w:iCs/>
          <w:kern w:val="0"/>
        </w:rPr>
        <w:t>The Ancient Pottery of Israel and Its Neighbors from the Middle Bronze Age through the Late Bronze Age</w:t>
      </w:r>
      <w:r w:rsidR="00AB3F17" w:rsidRPr="00081A4A">
        <w:rPr>
          <w:rFonts w:cs="Times New Roman"/>
          <w:kern w:val="0"/>
        </w:rPr>
        <w:t>, edited by Seymour Gitin, Jerusalem: Israel Exploration Society, 2019. 3:</w:t>
      </w:r>
      <w:r w:rsidR="001242D1">
        <w:rPr>
          <w:rFonts w:cs="Times New Roman"/>
          <w:kern w:val="0"/>
        </w:rPr>
        <w:t xml:space="preserve"> </w:t>
      </w:r>
      <w:r w:rsidR="00AB3F17" w:rsidRPr="00081A4A">
        <w:rPr>
          <w:rFonts w:cs="Times New Roman"/>
          <w:kern w:val="0"/>
        </w:rPr>
        <w:t xml:space="preserve">77–136. </w:t>
      </w:r>
    </w:p>
    <w:p w14:paraId="378A2910" w14:textId="77777777" w:rsidR="00CE533F" w:rsidRPr="0099328D" w:rsidRDefault="00CE533F" w:rsidP="00AB3F17">
      <w:pPr>
        <w:ind w:left="720" w:hanging="720"/>
        <w:rPr>
          <w:rFonts w:cs="Times New Roman"/>
          <w:color w:val="000000" w:themeColor="text1"/>
        </w:rPr>
      </w:pPr>
    </w:p>
    <w:p w14:paraId="4A92D6E1" w14:textId="38424A9F" w:rsidR="00375945" w:rsidRPr="007573D9" w:rsidRDefault="00375945" w:rsidP="007573D9">
      <w:pPr>
        <w:ind w:left="720" w:hanging="720"/>
        <w:rPr>
          <w:rFonts w:cs="Times New Roman"/>
          <w:color w:val="000000" w:themeColor="text1"/>
        </w:rPr>
      </w:pPr>
      <w:r w:rsidRPr="007573D9">
        <w:rPr>
          <w:rFonts w:cs="Times New Roman"/>
        </w:rPr>
        <w:t xml:space="preserve">Brandl, B. 1993. </w:t>
      </w:r>
      <w:r w:rsidRPr="007573D9">
        <w:rPr>
          <w:rFonts w:cs="Times New Roman"/>
          <w:kern w:val="0"/>
        </w:rPr>
        <w:t>Scarabs and Other Glyptic Finds. S</w:t>
      </w:r>
      <w:r w:rsidRPr="007573D9">
        <w:rPr>
          <w:rFonts w:cs="Times New Roman"/>
          <w:i/>
          <w:iCs/>
        </w:rPr>
        <w:t>hiloh: Archaeology of a Biblical Site.</w:t>
      </w:r>
      <w:r w:rsidRPr="007573D9">
        <w:rPr>
          <w:rFonts w:cs="Times New Roman"/>
        </w:rPr>
        <w:t xml:space="preserve"> Monograph Series of the Institute of Archaeology 10. Edited by:</w:t>
      </w:r>
      <w:r w:rsidRPr="007573D9">
        <w:rPr>
          <w:rFonts w:cs="Times New Roman"/>
          <w:i/>
          <w:iCs/>
        </w:rPr>
        <w:t xml:space="preserve"> </w:t>
      </w:r>
      <w:r w:rsidRPr="007573D9">
        <w:rPr>
          <w:rFonts w:cs="Times New Roman"/>
        </w:rPr>
        <w:t>Israel Finkelstein and Zvi Lederman. Tel Aviv: Institute of Archaeology of Tel Aviv University.</w:t>
      </w:r>
    </w:p>
    <w:p w14:paraId="1AE5D100" w14:textId="77777777" w:rsidR="0091197E" w:rsidRPr="007573D9" w:rsidRDefault="0091197E" w:rsidP="007573D9">
      <w:pPr>
        <w:autoSpaceDE w:val="0"/>
        <w:autoSpaceDN w:val="0"/>
        <w:adjustRightInd w:val="0"/>
        <w:ind w:left="720" w:hanging="720"/>
        <w:rPr>
          <w:rFonts w:cs="Times New Roman"/>
          <w:kern w:val="0"/>
        </w:rPr>
      </w:pPr>
    </w:p>
    <w:p w14:paraId="7D8F9E4D" w14:textId="44411E05" w:rsidR="0091197E" w:rsidRPr="007573D9" w:rsidRDefault="0091197E" w:rsidP="007573D9">
      <w:pPr>
        <w:autoSpaceDE w:val="0"/>
        <w:autoSpaceDN w:val="0"/>
        <w:adjustRightInd w:val="0"/>
        <w:ind w:left="720" w:hanging="720"/>
        <w:rPr>
          <w:rFonts w:cs="Times New Roman"/>
          <w:kern w:val="0"/>
        </w:rPr>
      </w:pPr>
      <w:r w:rsidRPr="007573D9">
        <w:rPr>
          <w:rFonts w:cs="Times New Roman"/>
          <w:color w:val="000000" w:themeColor="text1"/>
        </w:rPr>
        <w:t>Brandl, B. 2014. T</w:t>
      </w:r>
      <w:r w:rsidRPr="007573D9">
        <w:rPr>
          <w:rFonts w:cs="Times New Roman"/>
          <w:color w:val="000000" w:themeColor="text1"/>
          <w:kern w:val="0"/>
        </w:rPr>
        <w:t>hree Canaanite Design Scarabs, One Egyptian Obsidian Scarab and One Syrian Cylinder Seal from a Burial Cave Near Ras ‘Ali</w:t>
      </w:r>
      <w:r w:rsidR="007563E4">
        <w:rPr>
          <w:rFonts w:cs="Times New Roman"/>
          <w:color w:val="000000" w:themeColor="text1"/>
          <w:kern w:val="0"/>
        </w:rPr>
        <w:t>.</w:t>
      </w:r>
      <w:r w:rsidRPr="007573D9">
        <w:rPr>
          <w:rFonts w:cs="Times New Roman"/>
          <w:color w:val="000000" w:themeColor="text1"/>
          <w:kern w:val="0"/>
        </w:rPr>
        <w:t xml:space="preserve"> </w:t>
      </w:r>
      <w:r w:rsidR="007563E4">
        <w:rPr>
          <w:rFonts w:cs="Times New Roman"/>
          <w:color w:val="000000" w:themeColor="text1"/>
          <w:kern w:val="0"/>
        </w:rPr>
        <w:t>I</w:t>
      </w:r>
      <w:r w:rsidRPr="007573D9">
        <w:rPr>
          <w:rFonts w:cs="Times New Roman"/>
          <w:color w:val="000000" w:themeColor="text1"/>
          <w:kern w:val="0"/>
        </w:rPr>
        <w:t xml:space="preserve">n </w:t>
      </w:r>
      <w:proofErr w:type="spellStart"/>
      <w:r w:rsidRPr="007573D9">
        <w:rPr>
          <w:rFonts w:cs="Times New Roman"/>
          <w:color w:val="000000" w:themeColor="text1"/>
          <w:kern w:val="0"/>
        </w:rPr>
        <w:t>Naḥal</w:t>
      </w:r>
      <w:proofErr w:type="spellEnd"/>
      <w:r w:rsidRPr="007573D9">
        <w:rPr>
          <w:rFonts w:cs="Times New Roman"/>
          <w:color w:val="000000" w:themeColor="text1"/>
          <w:kern w:val="0"/>
        </w:rPr>
        <w:t xml:space="preserve"> </w:t>
      </w:r>
      <w:proofErr w:type="spellStart"/>
      <w:r w:rsidRPr="007573D9">
        <w:rPr>
          <w:rFonts w:cs="Times New Roman"/>
          <w:color w:val="000000" w:themeColor="text1"/>
          <w:kern w:val="0"/>
        </w:rPr>
        <w:t>Ẓippori</w:t>
      </w:r>
      <w:proofErr w:type="spellEnd"/>
      <w:r w:rsidR="005C2E0D" w:rsidRPr="007573D9">
        <w:rPr>
          <w:rFonts w:cs="Times New Roman"/>
          <w:i/>
          <w:iCs/>
          <w:color w:val="000000" w:themeColor="text1"/>
          <w:kern w:val="0"/>
        </w:rPr>
        <w:t>.</w:t>
      </w:r>
      <w:r w:rsidRPr="007573D9">
        <w:rPr>
          <w:rFonts w:cs="Times New Roman"/>
          <w:i/>
          <w:iCs/>
          <w:color w:val="000000" w:themeColor="text1"/>
          <w:kern w:val="0"/>
        </w:rPr>
        <w:t xml:space="preserve"> ‘</w:t>
      </w:r>
      <w:proofErr w:type="spellStart"/>
      <w:r w:rsidRPr="007573D9">
        <w:rPr>
          <w:rFonts w:cs="Times New Roman"/>
          <w:i/>
          <w:iCs/>
          <w:color w:val="000000" w:themeColor="text1"/>
          <w:kern w:val="0"/>
        </w:rPr>
        <w:t>Atiqot</w:t>
      </w:r>
      <w:proofErr w:type="spellEnd"/>
      <w:r w:rsidRPr="007573D9">
        <w:rPr>
          <w:rFonts w:cs="Times New Roman"/>
          <w:i/>
          <w:iCs/>
          <w:color w:val="000000" w:themeColor="text1"/>
          <w:kern w:val="0"/>
        </w:rPr>
        <w:t>,</w:t>
      </w:r>
      <w:r w:rsidR="00466180" w:rsidRPr="007573D9">
        <w:rPr>
          <w:rFonts w:cs="Times New Roman"/>
          <w:i/>
          <w:iCs/>
          <w:color w:val="000000" w:themeColor="text1"/>
          <w:kern w:val="0"/>
        </w:rPr>
        <w:t xml:space="preserve"> </w:t>
      </w:r>
      <w:r w:rsidRPr="007573D9">
        <w:rPr>
          <w:rFonts w:cs="Times New Roman"/>
          <w:color w:val="000000" w:themeColor="text1"/>
          <w:kern w:val="0"/>
        </w:rPr>
        <w:t>78: 1</w:t>
      </w:r>
      <w:r w:rsidR="00A01E92" w:rsidRPr="007573D9">
        <w:rPr>
          <w:rFonts w:cs="Times New Roman"/>
          <w:color w:val="000000" w:themeColor="text1"/>
          <w:kern w:val="0"/>
        </w:rPr>
        <w:t>–</w:t>
      </w:r>
      <w:r w:rsidRPr="007573D9">
        <w:rPr>
          <w:rFonts w:cs="Times New Roman"/>
          <w:color w:val="000000" w:themeColor="text1"/>
          <w:kern w:val="0"/>
        </w:rPr>
        <w:t xml:space="preserve">11. </w:t>
      </w:r>
      <w:hyperlink r:id="rId17" w:history="1">
        <w:r w:rsidRPr="007573D9">
          <w:rPr>
            <w:rStyle w:val="Hyperlink"/>
            <w:rFonts w:cs="Times New Roman"/>
            <w:kern w:val="0"/>
          </w:rPr>
          <w:t>https://www.jstor.org/stable/24114969</w:t>
        </w:r>
      </w:hyperlink>
    </w:p>
    <w:p w14:paraId="09B8DDBF" w14:textId="77777777" w:rsidR="0091197E" w:rsidRPr="007573D9" w:rsidRDefault="0091197E" w:rsidP="007573D9">
      <w:pPr>
        <w:rPr>
          <w:rFonts w:cs="Times New Roman"/>
          <w:color w:val="1F497D"/>
        </w:rPr>
      </w:pPr>
    </w:p>
    <w:p w14:paraId="1C4677FA" w14:textId="52C1A1AE" w:rsidR="0091197E" w:rsidRPr="007573D9" w:rsidRDefault="0091197E" w:rsidP="007573D9">
      <w:pPr>
        <w:ind w:left="720" w:hanging="720"/>
        <w:rPr>
          <w:rFonts w:cs="Times New Roman"/>
        </w:rPr>
      </w:pPr>
      <w:r w:rsidRPr="007573D9">
        <w:rPr>
          <w:rFonts w:cs="Times New Roman"/>
        </w:rPr>
        <w:t xml:space="preserve">Brandl, Baruch. 2019. </w:t>
      </w:r>
      <w:r w:rsidR="009941FB" w:rsidRPr="007573D9">
        <w:rPr>
          <w:rFonts w:cs="Times New Roman"/>
        </w:rPr>
        <w:t xml:space="preserve">An Early Middle Bronze Age Canaanite Scarab from </w:t>
      </w:r>
      <w:proofErr w:type="spellStart"/>
      <w:r w:rsidR="009941FB" w:rsidRPr="007573D9">
        <w:rPr>
          <w:rFonts w:cs="Times New Roman"/>
        </w:rPr>
        <w:t>Naḥal</w:t>
      </w:r>
      <w:proofErr w:type="spellEnd"/>
      <w:r w:rsidR="009941FB" w:rsidRPr="007573D9">
        <w:rPr>
          <w:rFonts w:cs="Times New Roman"/>
        </w:rPr>
        <w:t xml:space="preserve"> Aviv.</w:t>
      </w:r>
      <w:r w:rsidRPr="007573D9">
        <w:rPr>
          <w:rFonts w:cs="Times New Roman"/>
          <w:i/>
          <w:iCs/>
        </w:rPr>
        <w:t xml:space="preserve">  </w:t>
      </w:r>
      <w:proofErr w:type="spellStart"/>
      <w:r w:rsidRPr="007573D9">
        <w:rPr>
          <w:rFonts w:cs="Times New Roman"/>
          <w:i/>
          <w:iCs/>
        </w:rPr>
        <w:t>Ägypten</w:t>
      </w:r>
      <w:proofErr w:type="spellEnd"/>
      <w:r w:rsidRPr="007573D9">
        <w:rPr>
          <w:rFonts w:cs="Times New Roman"/>
          <w:i/>
          <w:iCs/>
        </w:rPr>
        <w:t xml:space="preserve"> und Levante / Egypt and the Levant, </w:t>
      </w:r>
      <w:r w:rsidRPr="007573D9">
        <w:rPr>
          <w:rFonts w:cs="Times New Roman"/>
        </w:rPr>
        <w:t>Vol</w:t>
      </w:r>
      <w:r w:rsidR="00782631" w:rsidRPr="007573D9">
        <w:rPr>
          <w:rFonts w:cs="Times New Roman"/>
        </w:rPr>
        <w:t>ume</w:t>
      </w:r>
      <w:r w:rsidRPr="007573D9">
        <w:rPr>
          <w:rFonts w:cs="Times New Roman"/>
        </w:rPr>
        <w:t xml:space="preserve"> 29: 149</w:t>
      </w:r>
      <w:r w:rsidR="00A01E92" w:rsidRPr="007573D9">
        <w:rPr>
          <w:rFonts w:cs="Times New Roman"/>
        </w:rPr>
        <w:t>–</w:t>
      </w:r>
      <w:r w:rsidRPr="007573D9">
        <w:rPr>
          <w:rFonts w:cs="Times New Roman"/>
        </w:rPr>
        <w:t>158</w:t>
      </w:r>
      <w:r w:rsidR="003C5BD1" w:rsidRPr="007573D9">
        <w:rPr>
          <w:rFonts w:cs="Times New Roman"/>
        </w:rPr>
        <w:t xml:space="preserve">. </w:t>
      </w:r>
      <w:hyperlink r:id="rId18" w:history="1">
        <w:r w:rsidRPr="007573D9">
          <w:rPr>
            <w:rStyle w:val="Hyperlink"/>
            <w:rFonts w:cs="Times New Roman"/>
          </w:rPr>
          <w:t>https://www.jstor.org/stable/10.2307/26926565</w:t>
        </w:r>
      </w:hyperlink>
    </w:p>
    <w:p w14:paraId="6660401D" w14:textId="77777777" w:rsidR="00185E0F" w:rsidRPr="007573D9" w:rsidRDefault="00185E0F" w:rsidP="007573D9">
      <w:pPr>
        <w:rPr>
          <w:rFonts w:cs="Times New Roman"/>
        </w:rPr>
      </w:pPr>
    </w:p>
    <w:p w14:paraId="71CFD9DD" w14:textId="1DCD50C0" w:rsidR="0091197E" w:rsidRPr="007573D9" w:rsidRDefault="000F0640" w:rsidP="007573D9">
      <w:pPr>
        <w:ind w:left="720" w:hanging="720"/>
        <w:rPr>
          <w:rFonts w:cs="Times New Roman"/>
        </w:rPr>
      </w:pPr>
      <w:r w:rsidRPr="007573D9">
        <w:rPr>
          <w:rFonts w:cs="Times New Roman"/>
        </w:rPr>
        <w:t xml:space="preserve">Buhl, M.L. and </w:t>
      </w:r>
      <w:r w:rsidR="0091197E" w:rsidRPr="007573D9">
        <w:rPr>
          <w:rFonts w:cs="Times New Roman"/>
        </w:rPr>
        <w:t>Holm</w:t>
      </w:r>
      <w:r w:rsidR="00375945" w:rsidRPr="007573D9">
        <w:rPr>
          <w:rFonts w:cs="Times New Roman"/>
        </w:rPr>
        <w:t>-</w:t>
      </w:r>
      <w:r w:rsidR="0091197E" w:rsidRPr="007573D9">
        <w:rPr>
          <w:rFonts w:cs="Times New Roman"/>
        </w:rPr>
        <w:t>Nielson</w:t>
      </w:r>
      <w:r w:rsidRPr="007573D9">
        <w:rPr>
          <w:rFonts w:cs="Times New Roman"/>
        </w:rPr>
        <w:t>, S</w:t>
      </w:r>
      <w:r w:rsidR="0091197E" w:rsidRPr="007573D9">
        <w:rPr>
          <w:rFonts w:cs="Times New Roman"/>
        </w:rPr>
        <w:t xml:space="preserve">. 1969. </w:t>
      </w:r>
      <w:r w:rsidR="0091197E" w:rsidRPr="007573D9">
        <w:rPr>
          <w:rFonts w:cs="Times New Roman"/>
          <w:i/>
          <w:iCs/>
        </w:rPr>
        <w:t>Shiloh: The Danish Excavations at Tall Sailūn, Palestine, in 1926, 1926, 1932, and 1963: The Pre–Hellenistic Remains.</w:t>
      </w:r>
      <w:r w:rsidR="0091197E" w:rsidRPr="007573D9">
        <w:rPr>
          <w:rFonts w:cs="Times New Roman"/>
        </w:rPr>
        <w:t xml:space="preserve"> Publications of the National Museum Archaeological-Historical Series I, </w:t>
      </w:r>
      <w:r w:rsidR="00920006" w:rsidRPr="007573D9">
        <w:rPr>
          <w:rFonts w:cs="Times New Roman"/>
        </w:rPr>
        <w:t>Vol</w:t>
      </w:r>
      <w:r w:rsidR="00782631" w:rsidRPr="007573D9">
        <w:rPr>
          <w:rFonts w:cs="Times New Roman"/>
        </w:rPr>
        <w:t>ume</w:t>
      </w:r>
      <w:r w:rsidR="00920006" w:rsidRPr="007573D9">
        <w:rPr>
          <w:rFonts w:cs="Times New Roman"/>
        </w:rPr>
        <w:t xml:space="preserve"> </w:t>
      </w:r>
      <w:r w:rsidR="0091197E" w:rsidRPr="007573D9">
        <w:rPr>
          <w:rFonts w:cs="Times New Roman"/>
        </w:rPr>
        <w:t>XII. Copenhagen: The National Museum of Denmark.</w:t>
      </w:r>
    </w:p>
    <w:p w14:paraId="063FD711" w14:textId="77777777" w:rsidR="00A82ECB" w:rsidRPr="007573D9" w:rsidRDefault="00A82ECB" w:rsidP="007573D9">
      <w:pPr>
        <w:ind w:left="720" w:hanging="720"/>
        <w:rPr>
          <w:rFonts w:cs="Times New Roman"/>
          <w:color w:val="000000" w:themeColor="text1"/>
        </w:rPr>
      </w:pPr>
    </w:p>
    <w:p w14:paraId="7165AF8B" w14:textId="56D74CF7" w:rsidR="00A82ECB" w:rsidRPr="007573D9" w:rsidRDefault="00A82ECB" w:rsidP="007573D9">
      <w:pPr>
        <w:autoSpaceDE w:val="0"/>
        <w:autoSpaceDN w:val="0"/>
        <w:adjustRightInd w:val="0"/>
        <w:ind w:left="720" w:hanging="720"/>
        <w:rPr>
          <w:rFonts w:cs="Times New Roman"/>
          <w:color w:val="000000" w:themeColor="text1"/>
          <w:kern w:val="0"/>
        </w:rPr>
      </w:pPr>
      <w:r w:rsidRPr="007573D9">
        <w:rPr>
          <w:rFonts w:cs="Times New Roman"/>
          <w:color w:val="000000" w:themeColor="text1"/>
          <w:kern w:val="0"/>
        </w:rPr>
        <w:t xml:space="preserve">Finkelstein, I., </w:t>
      </w:r>
      <w:proofErr w:type="spellStart"/>
      <w:r w:rsidRPr="007573D9">
        <w:rPr>
          <w:rFonts w:cs="Times New Roman"/>
          <w:color w:val="000000" w:themeColor="text1"/>
          <w:kern w:val="0"/>
        </w:rPr>
        <w:t>Bunimovitz</w:t>
      </w:r>
      <w:proofErr w:type="spellEnd"/>
      <w:r w:rsidRPr="007573D9">
        <w:rPr>
          <w:rFonts w:cs="Times New Roman"/>
          <w:color w:val="000000" w:themeColor="text1"/>
          <w:kern w:val="0"/>
        </w:rPr>
        <w:t xml:space="preserve">, S., Lederman, Z. and Brandl, B. (eds.) 1993. </w:t>
      </w:r>
      <w:r w:rsidRPr="007573D9">
        <w:rPr>
          <w:rFonts w:cs="Times New Roman"/>
          <w:i/>
          <w:iCs/>
          <w:color w:val="000000" w:themeColor="text1"/>
          <w:kern w:val="0"/>
        </w:rPr>
        <w:t>Shiloh: The Archaeology of a Biblical Site.</w:t>
      </w:r>
      <w:r w:rsidRPr="007573D9">
        <w:rPr>
          <w:rFonts w:cs="Times New Roman"/>
          <w:color w:val="000000" w:themeColor="text1"/>
          <w:kern w:val="0"/>
        </w:rPr>
        <w:t xml:space="preserve"> Monograph Series of the Institute of</w:t>
      </w:r>
    </w:p>
    <w:p w14:paraId="5DC1390A" w14:textId="089491AD" w:rsidR="0091197E" w:rsidRPr="007573D9" w:rsidRDefault="00A82ECB" w:rsidP="007573D9">
      <w:pPr>
        <w:ind w:firstLine="720"/>
        <w:rPr>
          <w:rFonts w:cs="Times New Roman"/>
          <w:color w:val="000000" w:themeColor="text1"/>
          <w:kern w:val="0"/>
        </w:rPr>
      </w:pPr>
      <w:r w:rsidRPr="007573D9">
        <w:rPr>
          <w:rFonts w:cs="Times New Roman"/>
          <w:color w:val="000000" w:themeColor="text1"/>
          <w:kern w:val="0"/>
        </w:rPr>
        <w:t>Archaeology 10. Tel Aviv: Institute of Archaeology of Tel Aviv University.</w:t>
      </w:r>
    </w:p>
    <w:p w14:paraId="385E3E28" w14:textId="77777777" w:rsidR="00A82ECB" w:rsidRDefault="00A82ECB" w:rsidP="006A7781">
      <w:pPr>
        <w:rPr>
          <w:rFonts w:cs="Times New Roman"/>
          <w:color w:val="000000" w:themeColor="text1"/>
        </w:rPr>
      </w:pPr>
    </w:p>
    <w:p w14:paraId="62386B40" w14:textId="18415235" w:rsidR="006A7781" w:rsidRDefault="006A7781" w:rsidP="00C419E7">
      <w:pPr>
        <w:ind w:left="720" w:hanging="720"/>
        <w:rPr>
          <w:rFonts w:cs="Times New Roman"/>
          <w:color w:val="000000" w:themeColor="text1"/>
        </w:rPr>
      </w:pPr>
      <w:r>
        <w:rPr>
          <w:rFonts w:cs="Times New Roman"/>
          <w:color w:val="000000" w:themeColor="text1"/>
        </w:rPr>
        <w:t xml:space="preserve">Freud, L. 2018. </w:t>
      </w:r>
      <w:r w:rsidRPr="00C419E7">
        <w:rPr>
          <w:rFonts w:cs="Times New Roman"/>
          <w:i/>
          <w:iCs/>
          <w:color w:val="000000" w:themeColor="text1"/>
        </w:rPr>
        <w:t>Season 18, Early Pottery Report.</w:t>
      </w:r>
      <w:r>
        <w:rPr>
          <w:rFonts w:cs="Times New Roman"/>
          <w:color w:val="000000" w:themeColor="text1"/>
        </w:rPr>
        <w:t xml:space="preserve"> Unpublished Report.</w:t>
      </w:r>
      <w:r w:rsidR="00C419E7">
        <w:rPr>
          <w:rFonts w:cs="Times New Roman"/>
          <w:color w:val="000000" w:themeColor="text1"/>
        </w:rPr>
        <w:t xml:space="preserve"> Akron: Associates for Biblical Research.</w:t>
      </w:r>
    </w:p>
    <w:p w14:paraId="74FEF96A" w14:textId="77777777" w:rsidR="006A7781" w:rsidRPr="007573D9" w:rsidRDefault="006A7781" w:rsidP="00C419E7">
      <w:pPr>
        <w:rPr>
          <w:rFonts w:cs="Times New Roman"/>
          <w:color w:val="000000" w:themeColor="text1"/>
        </w:rPr>
      </w:pPr>
    </w:p>
    <w:p w14:paraId="6386B2A0" w14:textId="6CECD7F3" w:rsidR="00CE533F" w:rsidRPr="007573D9" w:rsidRDefault="0091197E" w:rsidP="007573D9">
      <w:pPr>
        <w:ind w:left="720" w:hanging="720"/>
        <w:rPr>
          <w:rFonts w:cs="Times New Roman"/>
          <w:color w:val="000000" w:themeColor="text1"/>
        </w:rPr>
      </w:pPr>
      <w:r w:rsidRPr="007573D9">
        <w:rPr>
          <w:rFonts w:cs="Times New Roman"/>
          <w:color w:val="000000" w:themeColor="text1"/>
        </w:rPr>
        <w:t>Gardiner, A</w:t>
      </w:r>
      <w:r w:rsidR="000F0640" w:rsidRPr="007573D9">
        <w:rPr>
          <w:rFonts w:cs="Times New Roman"/>
          <w:color w:val="000000" w:themeColor="text1"/>
        </w:rPr>
        <w:t xml:space="preserve">. </w:t>
      </w:r>
      <w:r w:rsidRPr="007573D9">
        <w:rPr>
          <w:rFonts w:cs="Times New Roman"/>
          <w:color w:val="000000" w:themeColor="text1"/>
        </w:rPr>
        <w:t xml:space="preserve">H. 1927. </w:t>
      </w:r>
      <w:r w:rsidRPr="007573D9">
        <w:rPr>
          <w:rFonts w:cs="Times New Roman"/>
          <w:i/>
          <w:iCs/>
          <w:color w:val="000000" w:themeColor="text1"/>
        </w:rPr>
        <w:t>Egyptian Grammar, Being an Introduction to the Study of Hieroglyphs</w:t>
      </w:r>
      <w:r w:rsidRPr="007573D9">
        <w:rPr>
          <w:rFonts w:cs="Times New Roman"/>
          <w:color w:val="000000" w:themeColor="text1"/>
        </w:rPr>
        <w:t xml:space="preserve"> Oxford: Clarendon Press.</w:t>
      </w:r>
    </w:p>
    <w:p w14:paraId="5B280BB2" w14:textId="77777777" w:rsidR="0091197E" w:rsidRPr="007573D9" w:rsidRDefault="0091197E" w:rsidP="007573D9">
      <w:pPr>
        <w:rPr>
          <w:rFonts w:cs="Times New Roman"/>
          <w:color w:val="000000" w:themeColor="text1"/>
        </w:rPr>
      </w:pPr>
    </w:p>
    <w:p w14:paraId="20A0D11E" w14:textId="689F8674" w:rsidR="00C22F87" w:rsidRPr="007573D9" w:rsidRDefault="0091197E" w:rsidP="007573D9">
      <w:pPr>
        <w:autoSpaceDE w:val="0"/>
        <w:autoSpaceDN w:val="0"/>
        <w:adjustRightInd w:val="0"/>
        <w:ind w:left="720" w:hanging="720"/>
        <w:rPr>
          <w:rFonts w:cs="Times New Roman"/>
          <w:color w:val="000000" w:themeColor="text1"/>
        </w:rPr>
      </w:pPr>
      <w:proofErr w:type="spellStart"/>
      <w:r w:rsidRPr="007573D9">
        <w:rPr>
          <w:rFonts w:cs="Times New Roman"/>
          <w:color w:val="000000" w:themeColor="text1"/>
        </w:rPr>
        <w:t>Grimal</w:t>
      </w:r>
      <w:proofErr w:type="spellEnd"/>
      <w:r w:rsidRPr="007573D9">
        <w:rPr>
          <w:rFonts w:cs="Times New Roman"/>
          <w:color w:val="000000" w:themeColor="text1"/>
        </w:rPr>
        <w:t xml:space="preserve">, </w:t>
      </w:r>
      <w:r w:rsidR="000F0640" w:rsidRPr="007573D9">
        <w:rPr>
          <w:rFonts w:cs="Times New Roman"/>
          <w:color w:val="000000" w:themeColor="text1"/>
        </w:rPr>
        <w:t>N</w:t>
      </w:r>
      <w:r w:rsidRPr="007573D9">
        <w:rPr>
          <w:rFonts w:cs="Times New Roman"/>
          <w:color w:val="000000" w:themeColor="text1"/>
        </w:rPr>
        <w:t xml:space="preserve">. 1988. </w:t>
      </w:r>
      <w:r w:rsidRPr="007573D9">
        <w:rPr>
          <w:rFonts w:cs="Times New Roman"/>
          <w:i/>
          <w:iCs/>
          <w:color w:val="000000" w:themeColor="text1"/>
        </w:rPr>
        <w:t>A History of Ancient Egypt.</w:t>
      </w:r>
      <w:r w:rsidRPr="007573D9">
        <w:rPr>
          <w:rFonts w:cs="Times New Roman"/>
          <w:color w:val="000000" w:themeColor="text1"/>
        </w:rPr>
        <w:t xml:space="preserve"> New York: Barnes and Noble.</w:t>
      </w:r>
    </w:p>
    <w:p w14:paraId="50917D34" w14:textId="77777777" w:rsidR="002200A3" w:rsidRPr="007573D9" w:rsidRDefault="002200A3" w:rsidP="007573D9">
      <w:pPr>
        <w:autoSpaceDE w:val="0"/>
        <w:autoSpaceDN w:val="0"/>
        <w:adjustRightInd w:val="0"/>
        <w:ind w:left="720" w:hanging="720"/>
        <w:rPr>
          <w:rFonts w:cs="Times New Roman"/>
          <w:color w:val="000000" w:themeColor="text1"/>
        </w:rPr>
      </w:pPr>
    </w:p>
    <w:p w14:paraId="4DB896F9" w14:textId="77777777" w:rsidR="00714166" w:rsidRDefault="00714166" w:rsidP="00A62058">
      <w:pPr>
        <w:autoSpaceDE w:val="0"/>
        <w:autoSpaceDN w:val="0"/>
        <w:adjustRightInd w:val="0"/>
        <w:ind w:left="720" w:hanging="720"/>
        <w:rPr>
          <w:rFonts w:cs="Times New Roman"/>
          <w:kern w:val="0"/>
        </w:rPr>
      </w:pPr>
    </w:p>
    <w:p w14:paraId="39620886" w14:textId="63C6690A" w:rsidR="0091197E" w:rsidRPr="007573D9" w:rsidRDefault="0091197E" w:rsidP="00A62058">
      <w:pPr>
        <w:autoSpaceDE w:val="0"/>
        <w:autoSpaceDN w:val="0"/>
        <w:adjustRightInd w:val="0"/>
        <w:ind w:left="720" w:hanging="720"/>
        <w:rPr>
          <w:rFonts w:cs="Times New Roman"/>
          <w:kern w:val="0"/>
        </w:rPr>
      </w:pPr>
      <w:r w:rsidRPr="007573D9">
        <w:rPr>
          <w:rFonts w:cs="Times New Roman"/>
          <w:kern w:val="0"/>
        </w:rPr>
        <w:lastRenderedPageBreak/>
        <w:t>Keel, O</w:t>
      </w:r>
      <w:r w:rsidR="005C2E0D" w:rsidRPr="007573D9">
        <w:rPr>
          <w:rFonts w:cs="Times New Roman"/>
          <w:kern w:val="0"/>
        </w:rPr>
        <w:t xml:space="preserve">. and </w:t>
      </w:r>
      <w:r w:rsidR="003C5BD1" w:rsidRPr="007573D9">
        <w:rPr>
          <w:rFonts w:cs="Times New Roman"/>
          <w:kern w:val="0"/>
        </w:rPr>
        <w:t>Schroer. S</w:t>
      </w:r>
      <w:r w:rsidRPr="007573D9">
        <w:rPr>
          <w:rFonts w:cs="Times New Roman"/>
          <w:kern w:val="0"/>
        </w:rPr>
        <w:t xml:space="preserve">. 1989. </w:t>
      </w:r>
      <w:r w:rsidRPr="007573D9">
        <w:rPr>
          <w:rFonts w:cs="Times New Roman"/>
          <w:i/>
          <w:iCs/>
          <w:kern w:val="0"/>
        </w:rPr>
        <w:t xml:space="preserve">Die Ω-Gruppe: Ein </w:t>
      </w:r>
      <w:proofErr w:type="spellStart"/>
      <w:r w:rsidRPr="007573D9">
        <w:rPr>
          <w:rFonts w:cs="Times New Roman"/>
          <w:i/>
          <w:iCs/>
          <w:kern w:val="0"/>
        </w:rPr>
        <w:t>Mittelbronzezeitlicher</w:t>
      </w:r>
      <w:proofErr w:type="spellEnd"/>
      <w:r w:rsidRPr="007573D9">
        <w:rPr>
          <w:rFonts w:cs="Times New Roman"/>
          <w:i/>
          <w:iCs/>
          <w:kern w:val="0"/>
        </w:rPr>
        <w:t xml:space="preserve"> </w:t>
      </w:r>
      <w:proofErr w:type="spellStart"/>
      <w:r w:rsidRPr="007573D9">
        <w:rPr>
          <w:rFonts w:cs="Times New Roman"/>
          <w:i/>
          <w:iCs/>
          <w:kern w:val="0"/>
        </w:rPr>
        <w:t>Stempelsiegel-Typ</w:t>
      </w:r>
      <w:proofErr w:type="spellEnd"/>
      <w:r w:rsidRPr="007573D9">
        <w:rPr>
          <w:rFonts w:cs="Times New Roman"/>
          <w:i/>
          <w:iCs/>
          <w:kern w:val="0"/>
        </w:rPr>
        <w:t xml:space="preserve"> </w:t>
      </w:r>
      <w:proofErr w:type="spellStart"/>
      <w:r w:rsidRPr="007573D9">
        <w:rPr>
          <w:rFonts w:cs="Times New Roman"/>
          <w:i/>
          <w:iCs/>
          <w:kern w:val="0"/>
        </w:rPr>
        <w:t>mit</w:t>
      </w:r>
      <w:proofErr w:type="spellEnd"/>
      <w:r w:rsidRPr="007573D9">
        <w:rPr>
          <w:rFonts w:cs="Times New Roman"/>
          <w:i/>
          <w:iCs/>
          <w:kern w:val="0"/>
        </w:rPr>
        <w:t xml:space="preserve"> </w:t>
      </w:r>
      <w:proofErr w:type="spellStart"/>
      <w:r w:rsidRPr="007573D9">
        <w:rPr>
          <w:rFonts w:cs="Times New Roman"/>
          <w:i/>
          <w:iCs/>
          <w:kern w:val="0"/>
        </w:rPr>
        <w:t>erhabenem</w:t>
      </w:r>
      <w:proofErr w:type="spellEnd"/>
      <w:r w:rsidRPr="007573D9">
        <w:rPr>
          <w:rFonts w:cs="Times New Roman"/>
          <w:i/>
          <w:iCs/>
          <w:kern w:val="0"/>
        </w:rPr>
        <w:t xml:space="preserve"> Relief </w:t>
      </w:r>
      <w:proofErr w:type="spellStart"/>
      <w:r w:rsidRPr="007573D9">
        <w:rPr>
          <w:rFonts w:cs="Times New Roman"/>
          <w:i/>
          <w:iCs/>
          <w:kern w:val="0"/>
        </w:rPr>
        <w:t>aus</w:t>
      </w:r>
      <w:proofErr w:type="spellEnd"/>
      <w:r w:rsidRPr="007573D9">
        <w:rPr>
          <w:rFonts w:cs="Times New Roman"/>
          <w:i/>
          <w:iCs/>
          <w:kern w:val="0"/>
        </w:rPr>
        <w:t xml:space="preserve"> Anatolien-Nordsyrien und </w:t>
      </w:r>
      <w:proofErr w:type="spellStart"/>
      <w:r w:rsidRPr="007573D9">
        <w:rPr>
          <w:rFonts w:cs="Times New Roman"/>
          <w:i/>
          <w:iCs/>
          <w:kern w:val="0"/>
        </w:rPr>
        <w:t>Palästina</w:t>
      </w:r>
      <w:proofErr w:type="spellEnd"/>
      <w:r w:rsidRPr="007573D9">
        <w:rPr>
          <w:rFonts w:cs="Times New Roman"/>
          <w:i/>
          <w:iCs/>
          <w:kern w:val="0"/>
        </w:rPr>
        <w:t xml:space="preserve">; Die </w:t>
      </w:r>
      <w:proofErr w:type="spellStart"/>
      <w:r w:rsidRPr="007573D9">
        <w:rPr>
          <w:rFonts w:cs="Times New Roman"/>
          <w:i/>
          <w:iCs/>
          <w:kern w:val="0"/>
        </w:rPr>
        <w:t>Jaspis</w:t>
      </w:r>
      <w:proofErr w:type="spellEnd"/>
      <w:r w:rsidRPr="007573D9">
        <w:rPr>
          <w:rFonts w:cs="Times New Roman"/>
          <w:i/>
          <w:iCs/>
          <w:kern w:val="0"/>
        </w:rPr>
        <w:t xml:space="preserve"> </w:t>
      </w:r>
      <w:proofErr w:type="spellStart"/>
      <w:r w:rsidRPr="007573D9">
        <w:rPr>
          <w:rFonts w:cs="Times New Roman"/>
          <w:i/>
          <w:iCs/>
          <w:kern w:val="0"/>
        </w:rPr>
        <w:t>Skarabäen</w:t>
      </w:r>
      <w:proofErr w:type="spellEnd"/>
      <w:r w:rsidRPr="007573D9">
        <w:rPr>
          <w:rFonts w:cs="Times New Roman"/>
          <w:i/>
          <w:iCs/>
          <w:kern w:val="0"/>
        </w:rPr>
        <w:t xml:space="preserve"> Gruppe. Ein </w:t>
      </w:r>
      <w:proofErr w:type="spellStart"/>
      <w:r w:rsidRPr="007573D9">
        <w:rPr>
          <w:rFonts w:cs="Times New Roman"/>
          <w:i/>
          <w:iCs/>
          <w:kern w:val="0"/>
        </w:rPr>
        <w:t>vorderasiatische</w:t>
      </w:r>
      <w:proofErr w:type="spellEnd"/>
      <w:r w:rsidRPr="007573D9">
        <w:rPr>
          <w:rFonts w:cs="Times New Roman"/>
          <w:i/>
          <w:iCs/>
          <w:kern w:val="0"/>
        </w:rPr>
        <w:t xml:space="preserve"> </w:t>
      </w:r>
      <w:proofErr w:type="spellStart"/>
      <w:r w:rsidRPr="007573D9">
        <w:rPr>
          <w:rFonts w:cs="Times New Roman"/>
          <w:i/>
          <w:iCs/>
          <w:kern w:val="0"/>
        </w:rPr>
        <w:t>Skarabäenwerkstatt</w:t>
      </w:r>
      <w:proofErr w:type="spellEnd"/>
      <w:r w:rsidRPr="007573D9">
        <w:rPr>
          <w:rFonts w:cs="Times New Roman"/>
          <w:i/>
          <w:iCs/>
          <w:kern w:val="0"/>
        </w:rPr>
        <w:t xml:space="preserve"> des 17. </w:t>
      </w:r>
      <w:proofErr w:type="spellStart"/>
      <w:r w:rsidRPr="007573D9">
        <w:rPr>
          <w:rFonts w:cs="Times New Roman"/>
          <w:i/>
          <w:iCs/>
          <w:kern w:val="0"/>
        </w:rPr>
        <w:t>Jahrhunderts</w:t>
      </w:r>
      <w:proofErr w:type="spellEnd"/>
      <w:r w:rsidRPr="007573D9">
        <w:rPr>
          <w:rFonts w:cs="Times New Roman"/>
          <w:i/>
          <w:iCs/>
          <w:kern w:val="0"/>
        </w:rPr>
        <w:t xml:space="preserve"> v. Chr.; Zur </w:t>
      </w:r>
      <w:proofErr w:type="spellStart"/>
      <w:r w:rsidRPr="007573D9">
        <w:rPr>
          <w:rFonts w:cs="Times New Roman"/>
          <w:i/>
          <w:iCs/>
          <w:kern w:val="0"/>
        </w:rPr>
        <w:t>Identifikation</w:t>
      </w:r>
      <w:proofErr w:type="spellEnd"/>
      <w:r w:rsidRPr="007573D9">
        <w:rPr>
          <w:rFonts w:cs="Times New Roman"/>
          <w:i/>
          <w:iCs/>
          <w:kern w:val="0"/>
        </w:rPr>
        <w:t xml:space="preserve"> des </w:t>
      </w:r>
      <w:proofErr w:type="spellStart"/>
      <w:r w:rsidRPr="007573D9">
        <w:rPr>
          <w:rFonts w:cs="Times New Roman"/>
          <w:i/>
          <w:iCs/>
          <w:kern w:val="0"/>
        </w:rPr>
        <w:t>Falkenköpfigen</w:t>
      </w:r>
      <w:proofErr w:type="spellEnd"/>
      <w:r w:rsidRPr="007573D9">
        <w:rPr>
          <w:rFonts w:cs="Times New Roman"/>
          <w:i/>
          <w:iCs/>
          <w:kern w:val="0"/>
        </w:rPr>
        <w:t xml:space="preserve"> auf den </w:t>
      </w:r>
      <w:proofErr w:type="spellStart"/>
      <w:r w:rsidRPr="007573D9">
        <w:rPr>
          <w:rFonts w:cs="Times New Roman"/>
          <w:i/>
          <w:iCs/>
          <w:kern w:val="0"/>
        </w:rPr>
        <w:t>Skarabäen</w:t>
      </w:r>
      <w:proofErr w:type="spellEnd"/>
      <w:r w:rsidRPr="007573D9">
        <w:rPr>
          <w:rFonts w:cs="Times New Roman"/>
          <w:i/>
          <w:iCs/>
          <w:kern w:val="0"/>
        </w:rPr>
        <w:t xml:space="preserve"> der </w:t>
      </w:r>
      <w:proofErr w:type="spellStart"/>
      <w:r w:rsidRPr="007573D9">
        <w:rPr>
          <w:rFonts w:cs="Times New Roman"/>
          <w:i/>
          <w:iCs/>
          <w:kern w:val="0"/>
        </w:rPr>
        <w:t>ausgehenden</w:t>
      </w:r>
      <w:proofErr w:type="spellEnd"/>
      <w:r w:rsidRPr="007573D9">
        <w:rPr>
          <w:rFonts w:cs="Times New Roman"/>
          <w:i/>
          <w:iCs/>
          <w:kern w:val="0"/>
        </w:rPr>
        <w:t xml:space="preserve"> 13. Und der 15. Dynastie; Der </w:t>
      </w:r>
      <w:proofErr w:type="spellStart"/>
      <w:r w:rsidRPr="007573D9">
        <w:rPr>
          <w:rFonts w:cs="Times New Roman"/>
          <w:i/>
          <w:iCs/>
          <w:kern w:val="0"/>
        </w:rPr>
        <w:t>Ägyptische</w:t>
      </w:r>
      <w:proofErr w:type="spellEnd"/>
      <w:r w:rsidRPr="007573D9">
        <w:rPr>
          <w:rFonts w:cs="Times New Roman"/>
          <w:i/>
          <w:iCs/>
          <w:kern w:val="0"/>
        </w:rPr>
        <w:t xml:space="preserve"> Gott Ptah auf </w:t>
      </w:r>
      <w:proofErr w:type="spellStart"/>
      <w:r w:rsidRPr="007573D9">
        <w:rPr>
          <w:rFonts w:cs="Times New Roman"/>
          <w:i/>
          <w:iCs/>
          <w:kern w:val="0"/>
        </w:rPr>
        <w:t>Siegelamuletten</w:t>
      </w:r>
      <w:proofErr w:type="spellEnd"/>
      <w:r w:rsidRPr="007573D9">
        <w:rPr>
          <w:rFonts w:cs="Times New Roman"/>
          <w:i/>
          <w:iCs/>
          <w:kern w:val="0"/>
        </w:rPr>
        <w:t xml:space="preserve"> </w:t>
      </w:r>
      <w:proofErr w:type="spellStart"/>
      <w:r w:rsidRPr="007573D9">
        <w:rPr>
          <w:rFonts w:cs="Times New Roman"/>
          <w:i/>
          <w:iCs/>
          <w:kern w:val="0"/>
        </w:rPr>
        <w:t>aus</w:t>
      </w:r>
      <w:proofErr w:type="spellEnd"/>
      <w:r w:rsidRPr="007573D9">
        <w:rPr>
          <w:rFonts w:cs="Times New Roman"/>
          <w:i/>
          <w:iCs/>
          <w:kern w:val="0"/>
        </w:rPr>
        <w:t xml:space="preserve"> </w:t>
      </w:r>
      <w:proofErr w:type="spellStart"/>
      <w:r w:rsidRPr="007573D9">
        <w:rPr>
          <w:rFonts w:cs="Times New Roman"/>
          <w:i/>
          <w:iCs/>
          <w:kern w:val="0"/>
        </w:rPr>
        <w:t>Palästina</w:t>
      </w:r>
      <w:proofErr w:type="spellEnd"/>
      <w:r w:rsidRPr="007573D9">
        <w:rPr>
          <w:rFonts w:cs="Times New Roman"/>
          <w:i/>
          <w:iCs/>
          <w:kern w:val="0"/>
        </w:rPr>
        <w:t xml:space="preserve">/Israel.  </w:t>
      </w:r>
      <w:proofErr w:type="spellStart"/>
      <w:r w:rsidRPr="007573D9">
        <w:rPr>
          <w:rFonts w:cs="Times New Roman"/>
          <w:i/>
          <w:iCs/>
          <w:kern w:val="0"/>
        </w:rPr>
        <w:t>Studien</w:t>
      </w:r>
      <w:proofErr w:type="spellEnd"/>
      <w:r w:rsidRPr="007573D9">
        <w:rPr>
          <w:rFonts w:cs="Times New Roman"/>
          <w:i/>
          <w:iCs/>
          <w:kern w:val="0"/>
        </w:rPr>
        <w:t xml:space="preserve"> </w:t>
      </w:r>
      <w:proofErr w:type="spellStart"/>
      <w:r w:rsidRPr="007573D9">
        <w:rPr>
          <w:rFonts w:cs="Times New Roman"/>
          <w:i/>
          <w:iCs/>
          <w:kern w:val="0"/>
        </w:rPr>
        <w:t>zu</w:t>
      </w:r>
      <w:proofErr w:type="spellEnd"/>
      <w:r w:rsidRPr="007573D9">
        <w:rPr>
          <w:rFonts w:cs="Times New Roman"/>
          <w:i/>
          <w:iCs/>
          <w:kern w:val="0"/>
        </w:rPr>
        <w:t xml:space="preserve"> den </w:t>
      </w:r>
      <w:proofErr w:type="spellStart"/>
      <w:r w:rsidRPr="007573D9">
        <w:rPr>
          <w:rFonts w:cs="Times New Roman"/>
          <w:i/>
          <w:iCs/>
          <w:kern w:val="0"/>
        </w:rPr>
        <w:t>Stempelsiegeln</w:t>
      </w:r>
      <w:proofErr w:type="spellEnd"/>
      <w:r w:rsidRPr="007573D9">
        <w:rPr>
          <w:rFonts w:cs="Times New Roman"/>
          <w:i/>
          <w:iCs/>
          <w:kern w:val="0"/>
        </w:rPr>
        <w:t xml:space="preserve"> </w:t>
      </w:r>
      <w:proofErr w:type="spellStart"/>
      <w:r w:rsidRPr="007573D9">
        <w:rPr>
          <w:rFonts w:cs="Times New Roman"/>
          <w:i/>
          <w:iCs/>
          <w:kern w:val="0"/>
        </w:rPr>
        <w:t>aus</w:t>
      </w:r>
      <w:proofErr w:type="spellEnd"/>
      <w:r w:rsidRPr="007573D9">
        <w:rPr>
          <w:rFonts w:cs="Times New Roman"/>
          <w:i/>
          <w:iCs/>
          <w:kern w:val="0"/>
        </w:rPr>
        <w:t xml:space="preserve"> </w:t>
      </w:r>
      <w:proofErr w:type="spellStart"/>
      <w:r w:rsidRPr="007573D9">
        <w:rPr>
          <w:rFonts w:cs="Times New Roman"/>
          <w:i/>
          <w:iCs/>
          <w:kern w:val="0"/>
        </w:rPr>
        <w:t>Palästina</w:t>
      </w:r>
      <w:proofErr w:type="spellEnd"/>
      <w:r w:rsidRPr="007573D9">
        <w:rPr>
          <w:rFonts w:cs="Times New Roman"/>
          <w:i/>
          <w:iCs/>
          <w:kern w:val="0"/>
        </w:rPr>
        <w:t>/Israel II</w:t>
      </w:r>
      <w:r w:rsidR="003C5BD1" w:rsidRPr="007573D9">
        <w:rPr>
          <w:rFonts w:cs="Times New Roman"/>
          <w:i/>
          <w:iCs/>
          <w:kern w:val="0"/>
        </w:rPr>
        <w:t xml:space="preserve">. </w:t>
      </w:r>
      <w:r w:rsidRPr="007573D9">
        <w:rPr>
          <w:rFonts w:cs="Times New Roman"/>
          <w:kern w:val="0"/>
        </w:rPr>
        <w:t xml:space="preserve">Orbis </w:t>
      </w:r>
      <w:proofErr w:type="spellStart"/>
      <w:r w:rsidRPr="007573D9">
        <w:rPr>
          <w:rFonts w:cs="Times New Roman"/>
          <w:kern w:val="0"/>
        </w:rPr>
        <w:t>Biblicus</w:t>
      </w:r>
      <w:proofErr w:type="spellEnd"/>
      <w:r w:rsidRPr="007573D9">
        <w:rPr>
          <w:rFonts w:cs="Times New Roman"/>
          <w:kern w:val="0"/>
        </w:rPr>
        <w:t xml:space="preserve"> et </w:t>
      </w:r>
      <w:proofErr w:type="spellStart"/>
      <w:r w:rsidRPr="007573D9">
        <w:rPr>
          <w:rFonts w:cs="Times New Roman"/>
          <w:kern w:val="0"/>
        </w:rPr>
        <w:t>Orientalis</w:t>
      </w:r>
      <w:proofErr w:type="spellEnd"/>
      <w:r w:rsidRPr="007573D9">
        <w:rPr>
          <w:rFonts w:cs="Times New Roman"/>
          <w:kern w:val="0"/>
        </w:rPr>
        <w:t xml:space="preserve"> 88. </w:t>
      </w:r>
      <w:r w:rsidRPr="007573D9">
        <w:rPr>
          <w:rFonts w:cs="Times New Roman"/>
          <w:color w:val="050505"/>
          <w:shd w:val="clear" w:color="auto" w:fill="FFFFFF"/>
        </w:rPr>
        <w:t xml:space="preserve">Freiburg and Göttingen: </w:t>
      </w:r>
      <w:proofErr w:type="spellStart"/>
      <w:r w:rsidR="00122995" w:rsidRPr="007573D9">
        <w:rPr>
          <w:rFonts w:cs="Times New Roman"/>
          <w:color w:val="050505"/>
          <w:shd w:val="clear" w:color="auto" w:fill="FFFFFF"/>
        </w:rPr>
        <w:t>van</w:t>
      </w:r>
      <w:r w:rsidRPr="007573D9">
        <w:rPr>
          <w:rFonts w:cs="Times New Roman"/>
          <w:color w:val="050505"/>
          <w:shd w:val="clear" w:color="auto" w:fill="FFFFFF"/>
        </w:rPr>
        <w:t>denhoeck</w:t>
      </w:r>
      <w:proofErr w:type="spellEnd"/>
      <w:r w:rsidRPr="007573D9">
        <w:rPr>
          <w:rFonts w:cs="Times New Roman"/>
          <w:color w:val="050505"/>
          <w:shd w:val="clear" w:color="auto" w:fill="FFFFFF"/>
        </w:rPr>
        <w:t xml:space="preserve"> &amp; Ruprecht</w:t>
      </w:r>
      <w:r w:rsidR="000A27EB" w:rsidRPr="007573D9">
        <w:rPr>
          <w:rFonts w:cs="Times New Roman"/>
          <w:color w:val="050505"/>
          <w:shd w:val="clear" w:color="auto" w:fill="FFFFFF"/>
        </w:rPr>
        <w:t xml:space="preserve">: </w:t>
      </w:r>
      <w:r w:rsidR="003C5BD1" w:rsidRPr="007573D9">
        <w:rPr>
          <w:rFonts w:cs="Times New Roman"/>
          <w:kern w:val="0"/>
        </w:rPr>
        <w:t>39–87, 209–42, 243–80, 281–323.</w:t>
      </w:r>
    </w:p>
    <w:p w14:paraId="388A80BD" w14:textId="77777777" w:rsidR="00171928" w:rsidRPr="007573D9" w:rsidRDefault="00171928" w:rsidP="007573D9">
      <w:pPr>
        <w:autoSpaceDE w:val="0"/>
        <w:autoSpaceDN w:val="0"/>
        <w:adjustRightInd w:val="0"/>
        <w:ind w:left="720" w:hanging="720"/>
        <w:rPr>
          <w:rFonts w:cs="Times New Roman"/>
          <w:kern w:val="0"/>
        </w:rPr>
      </w:pPr>
    </w:p>
    <w:p w14:paraId="00EDBF98" w14:textId="1B24C3A1" w:rsidR="0091197E" w:rsidRPr="00081A4A" w:rsidRDefault="0091197E" w:rsidP="007573D9">
      <w:pPr>
        <w:autoSpaceDE w:val="0"/>
        <w:autoSpaceDN w:val="0"/>
        <w:adjustRightInd w:val="0"/>
        <w:ind w:left="720" w:hanging="720"/>
        <w:rPr>
          <w:rStyle w:val="Emphasis"/>
          <w:rFonts w:cs="Times New Roman"/>
          <w:i w:val="0"/>
          <w:iCs w:val="0"/>
          <w:color w:val="000000" w:themeColor="text1"/>
          <w:highlight w:val="yellow"/>
        </w:rPr>
      </w:pPr>
      <w:r w:rsidRPr="00FA15A6">
        <w:rPr>
          <w:rFonts w:cs="Times New Roman"/>
          <w:kern w:val="0"/>
        </w:rPr>
        <w:t>Keel, O. 1994</w:t>
      </w:r>
      <w:r w:rsidR="003C5BD1" w:rsidRPr="00FA15A6">
        <w:rPr>
          <w:rFonts w:cs="Times New Roman"/>
          <w:kern w:val="0"/>
        </w:rPr>
        <w:t>.</w:t>
      </w:r>
      <w:r w:rsidRPr="00FA15A6">
        <w:rPr>
          <w:rFonts w:cs="Times New Roman"/>
          <w:kern w:val="0"/>
        </w:rPr>
        <w:t xml:space="preserve"> </w:t>
      </w:r>
      <w:proofErr w:type="spellStart"/>
      <w:r w:rsidRPr="00FA15A6">
        <w:rPr>
          <w:rFonts w:cs="Times New Roman"/>
          <w:i/>
          <w:iCs/>
          <w:kern w:val="0"/>
        </w:rPr>
        <w:t>Studien</w:t>
      </w:r>
      <w:proofErr w:type="spellEnd"/>
      <w:r w:rsidRPr="00FA15A6">
        <w:rPr>
          <w:rFonts w:cs="Times New Roman"/>
          <w:i/>
          <w:iCs/>
          <w:kern w:val="0"/>
        </w:rPr>
        <w:t xml:space="preserve"> </w:t>
      </w:r>
      <w:proofErr w:type="spellStart"/>
      <w:r w:rsidRPr="00FA15A6">
        <w:rPr>
          <w:rFonts w:cs="Times New Roman"/>
          <w:i/>
          <w:iCs/>
          <w:kern w:val="0"/>
        </w:rPr>
        <w:t>zu</w:t>
      </w:r>
      <w:proofErr w:type="spellEnd"/>
      <w:r w:rsidRPr="00FA15A6">
        <w:rPr>
          <w:rFonts w:cs="Times New Roman"/>
          <w:i/>
          <w:iCs/>
          <w:kern w:val="0"/>
        </w:rPr>
        <w:t xml:space="preserve"> den </w:t>
      </w:r>
      <w:proofErr w:type="spellStart"/>
      <w:r w:rsidRPr="00FA15A6">
        <w:rPr>
          <w:rFonts w:cs="Times New Roman"/>
          <w:i/>
          <w:iCs/>
          <w:kern w:val="0"/>
        </w:rPr>
        <w:t>Stempelsiegeln</w:t>
      </w:r>
      <w:proofErr w:type="spellEnd"/>
      <w:r w:rsidRPr="00FA15A6">
        <w:rPr>
          <w:rFonts w:cs="Times New Roman"/>
          <w:i/>
          <w:iCs/>
          <w:kern w:val="0"/>
        </w:rPr>
        <w:t xml:space="preserve"> </w:t>
      </w:r>
      <w:proofErr w:type="spellStart"/>
      <w:r w:rsidRPr="00FA15A6">
        <w:rPr>
          <w:rFonts w:cs="Times New Roman"/>
          <w:i/>
          <w:iCs/>
          <w:kern w:val="0"/>
        </w:rPr>
        <w:t>aus</w:t>
      </w:r>
      <w:proofErr w:type="spellEnd"/>
      <w:r w:rsidRPr="00FA15A6">
        <w:rPr>
          <w:rFonts w:cs="Times New Roman"/>
          <w:i/>
          <w:iCs/>
          <w:kern w:val="0"/>
        </w:rPr>
        <w:t xml:space="preserve"> </w:t>
      </w:r>
      <w:proofErr w:type="spellStart"/>
      <w:r w:rsidRPr="00FA15A6">
        <w:rPr>
          <w:rFonts w:cs="Times New Roman"/>
          <w:i/>
          <w:iCs/>
          <w:kern w:val="0"/>
        </w:rPr>
        <w:t>Palästina</w:t>
      </w:r>
      <w:proofErr w:type="spellEnd"/>
      <w:r w:rsidRPr="00FA15A6">
        <w:rPr>
          <w:rFonts w:cs="Times New Roman"/>
          <w:i/>
          <w:iCs/>
          <w:kern w:val="0"/>
        </w:rPr>
        <w:t xml:space="preserve">/Israel </w:t>
      </w:r>
      <w:r w:rsidR="003F770E" w:rsidRPr="00FA15A6">
        <w:rPr>
          <w:rFonts w:cs="Times New Roman"/>
          <w:i/>
          <w:iCs/>
          <w:kern w:val="0"/>
        </w:rPr>
        <w:t xml:space="preserve">Band </w:t>
      </w:r>
      <w:r w:rsidRPr="00FA15A6">
        <w:rPr>
          <w:rFonts w:cs="Times New Roman"/>
          <w:i/>
          <w:iCs/>
          <w:kern w:val="0"/>
        </w:rPr>
        <w:t>IV.</w:t>
      </w:r>
      <w:r w:rsidRPr="00FA15A6">
        <w:rPr>
          <w:rFonts w:cs="Times New Roman"/>
          <w:kern w:val="0"/>
        </w:rPr>
        <w:t xml:space="preserve"> Orbis </w:t>
      </w:r>
      <w:proofErr w:type="spellStart"/>
      <w:r w:rsidRPr="00FA15A6">
        <w:rPr>
          <w:rFonts w:cs="Times New Roman"/>
          <w:kern w:val="0"/>
        </w:rPr>
        <w:t>Biblicus</w:t>
      </w:r>
      <w:proofErr w:type="spellEnd"/>
      <w:r w:rsidRPr="00FA15A6">
        <w:rPr>
          <w:rFonts w:cs="Times New Roman"/>
          <w:kern w:val="0"/>
        </w:rPr>
        <w:t xml:space="preserve"> et </w:t>
      </w:r>
      <w:proofErr w:type="spellStart"/>
      <w:r w:rsidRPr="00FA15A6">
        <w:rPr>
          <w:rFonts w:cs="Times New Roman"/>
          <w:kern w:val="0"/>
        </w:rPr>
        <w:t>Orientalis</w:t>
      </w:r>
      <w:proofErr w:type="spellEnd"/>
      <w:r w:rsidRPr="00FA15A6">
        <w:rPr>
          <w:rFonts w:cs="Times New Roman"/>
          <w:kern w:val="0"/>
        </w:rPr>
        <w:t xml:space="preserve"> 135. </w:t>
      </w:r>
      <w:r w:rsidRPr="00FA15A6">
        <w:rPr>
          <w:rFonts w:cs="Times New Roman"/>
          <w:color w:val="050505"/>
          <w:shd w:val="clear" w:color="auto" w:fill="FFFFFF"/>
        </w:rPr>
        <w:t xml:space="preserve">Freiburg and Göttingen: </w:t>
      </w:r>
      <w:proofErr w:type="spellStart"/>
      <w:r w:rsidR="00122995" w:rsidRPr="00FA15A6">
        <w:rPr>
          <w:rFonts w:cs="Times New Roman"/>
          <w:color w:val="050505"/>
          <w:shd w:val="clear" w:color="auto" w:fill="FFFFFF"/>
        </w:rPr>
        <w:t>van</w:t>
      </w:r>
      <w:r w:rsidRPr="00FA15A6">
        <w:rPr>
          <w:rFonts w:cs="Times New Roman"/>
          <w:color w:val="050505"/>
          <w:shd w:val="clear" w:color="auto" w:fill="FFFFFF"/>
        </w:rPr>
        <w:t>denhoeck</w:t>
      </w:r>
      <w:proofErr w:type="spellEnd"/>
      <w:r w:rsidRPr="00FA15A6">
        <w:rPr>
          <w:rFonts w:cs="Times New Roman"/>
          <w:color w:val="050505"/>
          <w:shd w:val="clear" w:color="auto" w:fill="FFFFFF"/>
        </w:rPr>
        <w:t xml:space="preserve"> &amp; Ruprecht.</w:t>
      </w:r>
    </w:p>
    <w:p w14:paraId="3BDBE590" w14:textId="77777777" w:rsidR="0091197E" w:rsidRPr="00081A4A" w:rsidRDefault="0091197E" w:rsidP="007573D9">
      <w:pPr>
        <w:autoSpaceDE w:val="0"/>
        <w:autoSpaceDN w:val="0"/>
        <w:adjustRightInd w:val="0"/>
        <w:ind w:left="720" w:hanging="720"/>
        <w:rPr>
          <w:rFonts w:cs="Times New Roman"/>
          <w:color w:val="000000" w:themeColor="text1"/>
          <w:highlight w:val="yellow"/>
        </w:rPr>
      </w:pPr>
    </w:p>
    <w:p w14:paraId="46A89284" w14:textId="77777777" w:rsidR="003F770E" w:rsidRPr="00FA15A6" w:rsidRDefault="0091197E" w:rsidP="003F770E">
      <w:pPr>
        <w:autoSpaceDE w:val="0"/>
        <w:autoSpaceDN w:val="0"/>
        <w:adjustRightInd w:val="0"/>
        <w:rPr>
          <w:rFonts w:cs="Times New Roman"/>
          <w:i/>
          <w:iCs/>
          <w:kern w:val="0"/>
        </w:rPr>
      </w:pPr>
      <w:r w:rsidRPr="00FA15A6">
        <w:rPr>
          <w:rFonts w:cs="Times New Roman"/>
          <w:kern w:val="0"/>
        </w:rPr>
        <w:t>Keel, O. 1995</w:t>
      </w:r>
      <w:r w:rsidR="003C5BD1" w:rsidRPr="00FA15A6">
        <w:rPr>
          <w:rFonts w:cs="Times New Roman"/>
          <w:kern w:val="0"/>
        </w:rPr>
        <w:t>.</w:t>
      </w:r>
      <w:r w:rsidRPr="00FA15A6">
        <w:rPr>
          <w:rFonts w:cs="Times New Roman"/>
          <w:kern w:val="0"/>
        </w:rPr>
        <w:t xml:space="preserve"> </w:t>
      </w:r>
      <w:r w:rsidRPr="00FA15A6">
        <w:rPr>
          <w:rFonts w:cs="Times New Roman"/>
          <w:i/>
          <w:iCs/>
          <w:kern w:val="0"/>
        </w:rPr>
        <w:t xml:space="preserve">Corpus der </w:t>
      </w:r>
      <w:proofErr w:type="spellStart"/>
      <w:r w:rsidRPr="00FA15A6">
        <w:rPr>
          <w:rFonts w:cs="Times New Roman"/>
          <w:i/>
          <w:iCs/>
          <w:kern w:val="0"/>
        </w:rPr>
        <w:t>Stempelsiegel-Amulette</w:t>
      </w:r>
      <w:proofErr w:type="spellEnd"/>
      <w:r w:rsidRPr="00FA15A6">
        <w:rPr>
          <w:rFonts w:cs="Times New Roman"/>
          <w:i/>
          <w:iCs/>
          <w:kern w:val="0"/>
        </w:rPr>
        <w:t xml:space="preserve"> </w:t>
      </w:r>
      <w:proofErr w:type="spellStart"/>
      <w:r w:rsidRPr="00FA15A6">
        <w:rPr>
          <w:rFonts w:cs="Times New Roman"/>
          <w:i/>
          <w:iCs/>
          <w:kern w:val="0"/>
        </w:rPr>
        <w:t>aus</w:t>
      </w:r>
      <w:proofErr w:type="spellEnd"/>
      <w:r w:rsidRPr="00FA15A6">
        <w:rPr>
          <w:rFonts w:cs="Times New Roman"/>
          <w:i/>
          <w:iCs/>
          <w:kern w:val="0"/>
        </w:rPr>
        <w:t xml:space="preserve"> </w:t>
      </w:r>
      <w:proofErr w:type="spellStart"/>
      <w:r w:rsidRPr="00FA15A6">
        <w:rPr>
          <w:rFonts w:cs="Times New Roman"/>
          <w:i/>
          <w:iCs/>
          <w:kern w:val="0"/>
        </w:rPr>
        <w:t>Palästina</w:t>
      </w:r>
      <w:proofErr w:type="spellEnd"/>
      <w:r w:rsidRPr="00FA15A6">
        <w:rPr>
          <w:rFonts w:cs="Times New Roman"/>
          <w:i/>
          <w:iCs/>
          <w:kern w:val="0"/>
        </w:rPr>
        <w:t>/Israel</w:t>
      </w:r>
      <w:r w:rsidR="003F770E" w:rsidRPr="00FA15A6">
        <w:rPr>
          <w:rFonts w:cs="Times New Roman"/>
          <w:i/>
          <w:iCs/>
          <w:kern w:val="0"/>
        </w:rPr>
        <w:t xml:space="preserve"> Von den </w:t>
      </w:r>
      <w:proofErr w:type="spellStart"/>
      <w:r w:rsidR="003F770E" w:rsidRPr="00FA15A6">
        <w:rPr>
          <w:rFonts w:cs="Times New Roman"/>
          <w:i/>
          <w:iCs/>
          <w:kern w:val="0"/>
        </w:rPr>
        <w:t>Anfängen</w:t>
      </w:r>
      <w:proofErr w:type="spellEnd"/>
    </w:p>
    <w:p w14:paraId="7E0299C1" w14:textId="4C09A353" w:rsidR="0091197E" w:rsidRPr="003F770E" w:rsidRDefault="003F770E" w:rsidP="00FA15A6">
      <w:pPr>
        <w:autoSpaceDE w:val="0"/>
        <w:autoSpaceDN w:val="0"/>
        <w:adjustRightInd w:val="0"/>
        <w:ind w:left="720"/>
        <w:rPr>
          <w:rFonts w:cs="Times New Roman"/>
          <w:color w:val="050505"/>
          <w:highlight w:val="yellow"/>
          <w:shd w:val="clear" w:color="auto" w:fill="FFFFFF"/>
        </w:rPr>
      </w:pPr>
      <w:r w:rsidRPr="00FA15A6">
        <w:rPr>
          <w:rFonts w:cs="Times New Roman"/>
          <w:i/>
          <w:iCs/>
          <w:kern w:val="0"/>
        </w:rPr>
        <w:t xml:space="preserve">bis </w:t>
      </w:r>
      <w:proofErr w:type="spellStart"/>
      <w:r w:rsidRPr="00FA15A6">
        <w:rPr>
          <w:rFonts w:cs="Times New Roman"/>
          <w:i/>
          <w:iCs/>
          <w:kern w:val="0"/>
        </w:rPr>
        <w:t>zur</w:t>
      </w:r>
      <w:proofErr w:type="spellEnd"/>
      <w:r w:rsidRPr="00FA15A6">
        <w:rPr>
          <w:rFonts w:cs="Times New Roman"/>
          <w:i/>
          <w:iCs/>
          <w:kern w:val="0"/>
        </w:rPr>
        <w:t xml:space="preserve"> </w:t>
      </w:r>
      <w:proofErr w:type="spellStart"/>
      <w:r w:rsidRPr="00FA15A6">
        <w:rPr>
          <w:rFonts w:cs="Times New Roman"/>
          <w:i/>
          <w:iCs/>
          <w:kern w:val="0"/>
        </w:rPr>
        <w:t>Perserzeit</w:t>
      </w:r>
      <w:proofErr w:type="spellEnd"/>
      <w:r w:rsidRPr="00FA15A6">
        <w:rPr>
          <w:rFonts w:cs="Times New Roman"/>
          <w:i/>
          <w:iCs/>
          <w:kern w:val="0"/>
        </w:rPr>
        <w:t xml:space="preserve">: </w:t>
      </w:r>
      <w:proofErr w:type="spellStart"/>
      <w:r w:rsidRPr="00FA15A6">
        <w:rPr>
          <w:rFonts w:cs="Times New Roman"/>
          <w:i/>
          <w:iCs/>
          <w:kern w:val="0"/>
        </w:rPr>
        <w:t>Einleitung</w:t>
      </w:r>
      <w:proofErr w:type="spellEnd"/>
      <w:r w:rsidR="0091197E" w:rsidRPr="00FA15A6">
        <w:rPr>
          <w:rFonts w:cs="Times New Roman"/>
          <w:i/>
          <w:iCs/>
          <w:kern w:val="0"/>
        </w:rPr>
        <w:t xml:space="preserve">. </w:t>
      </w:r>
      <w:r w:rsidR="0091197E" w:rsidRPr="00FA15A6">
        <w:rPr>
          <w:rFonts w:cs="Times New Roman"/>
          <w:kern w:val="0"/>
        </w:rPr>
        <w:t xml:space="preserve">Orbis </w:t>
      </w:r>
      <w:proofErr w:type="spellStart"/>
      <w:r w:rsidR="0091197E" w:rsidRPr="00FA15A6">
        <w:rPr>
          <w:rFonts w:cs="Times New Roman"/>
          <w:kern w:val="0"/>
        </w:rPr>
        <w:t>Biblicus</w:t>
      </w:r>
      <w:proofErr w:type="spellEnd"/>
      <w:r w:rsidR="0091197E" w:rsidRPr="00FA15A6">
        <w:rPr>
          <w:rFonts w:cs="Times New Roman"/>
          <w:kern w:val="0"/>
        </w:rPr>
        <w:t xml:space="preserve"> et </w:t>
      </w:r>
      <w:proofErr w:type="spellStart"/>
      <w:r w:rsidR="0091197E" w:rsidRPr="00FA15A6">
        <w:rPr>
          <w:rFonts w:cs="Times New Roman"/>
          <w:kern w:val="0"/>
        </w:rPr>
        <w:t>Orientalis</w:t>
      </w:r>
      <w:proofErr w:type="spellEnd"/>
      <w:r w:rsidR="00690CAE" w:rsidRPr="00FA15A6">
        <w:rPr>
          <w:rFonts w:cs="Times New Roman"/>
          <w:kern w:val="0"/>
        </w:rPr>
        <w:t xml:space="preserve"> </w:t>
      </w:r>
      <w:r w:rsidRPr="00FA15A6">
        <w:rPr>
          <w:rFonts w:cs="Times New Roman"/>
        </w:rPr>
        <w:t xml:space="preserve">Series </w:t>
      </w:r>
      <w:proofErr w:type="spellStart"/>
      <w:r w:rsidRPr="00FA15A6">
        <w:rPr>
          <w:rFonts w:cs="Times New Roman"/>
        </w:rPr>
        <w:t>Archaeologica</w:t>
      </w:r>
      <w:proofErr w:type="spellEnd"/>
      <w:r w:rsidRPr="00FA15A6">
        <w:rPr>
          <w:rFonts w:cs="Times New Roman"/>
        </w:rPr>
        <w:t xml:space="preserve"> </w:t>
      </w:r>
      <w:r w:rsidR="0091197E" w:rsidRPr="00FA15A6">
        <w:rPr>
          <w:rFonts w:cs="Times New Roman"/>
          <w:kern w:val="0"/>
        </w:rPr>
        <w:t xml:space="preserve">10. </w:t>
      </w:r>
      <w:r w:rsidR="0091197E" w:rsidRPr="00FA15A6">
        <w:rPr>
          <w:rFonts w:cs="Times New Roman"/>
          <w:color w:val="050505"/>
          <w:shd w:val="clear" w:color="auto" w:fill="FFFFFF"/>
        </w:rPr>
        <w:t xml:space="preserve">Freiburg and Göttingen: </w:t>
      </w:r>
      <w:proofErr w:type="spellStart"/>
      <w:r w:rsidR="00122995" w:rsidRPr="00FA15A6">
        <w:rPr>
          <w:rFonts w:cs="Times New Roman"/>
          <w:color w:val="050505"/>
          <w:shd w:val="clear" w:color="auto" w:fill="FFFFFF"/>
        </w:rPr>
        <w:t>van</w:t>
      </w:r>
      <w:r w:rsidR="0091197E" w:rsidRPr="00FA15A6">
        <w:rPr>
          <w:rFonts w:cs="Times New Roman"/>
          <w:color w:val="050505"/>
          <w:shd w:val="clear" w:color="auto" w:fill="FFFFFF"/>
        </w:rPr>
        <w:t>denhoeck</w:t>
      </w:r>
      <w:proofErr w:type="spellEnd"/>
      <w:r w:rsidR="0091197E" w:rsidRPr="00FA15A6">
        <w:rPr>
          <w:rFonts w:cs="Times New Roman"/>
          <w:color w:val="050505"/>
          <w:shd w:val="clear" w:color="auto" w:fill="FFFFFF"/>
        </w:rPr>
        <w:t xml:space="preserve"> &amp; Ruprecht.</w:t>
      </w:r>
    </w:p>
    <w:p w14:paraId="75F04EAE" w14:textId="77777777" w:rsidR="00A62058" w:rsidRPr="00081A4A" w:rsidRDefault="00A62058" w:rsidP="007573D9">
      <w:pPr>
        <w:autoSpaceDE w:val="0"/>
        <w:autoSpaceDN w:val="0"/>
        <w:adjustRightInd w:val="0"/>
        <w:ind w:left="720" w:hanging="720"/>
        <w:rPr>
          <w:rFonts w:cs="Times New Roman"/>
          <w:color w:val="050505"/>
          <w:highlight w:val="yellow"/>
          <w:shd w:val="clear" w:color="auto" w:fill="FFFFFF"/>
        </w:rPr>
      </w:pPr>
    </w:p>
    <w:p w14:paraId="33F20BC2" w14:textId="03C5E58F" w:rsidR="00A62058" w:rsidRPr="00081A4A" w:rsidRDefault="00A62058" w:rsidP="00A62058">
      <w:pPr>
        <w:autoSpaceDE w:val="0"/>
        <w:autoSpaceDN w:val="0"/>
        <w:adjustRightInd w:val="0"/>
        <w:ind w:left="720" w:hanging="720"/>
        <w:rPr>
          <w:rFonts w:cs="Times New Roman"/>
          <w:kern w:val="0"/>
          <w:highlight w:val="yellow"/>
        </w:rPr>
      </w:pPr>
      <w:r w:rsidRPr="00FA15A6">
        <w:rPr>
          <w:rFonts w:cs="Times New Roman"/>
          <w:kern w:val="0"/>
        </w:rPr>
        <w:t xml:space="preserve">Keel, O. 1995. </w:t>
      </w:r>
      <w:r w:rsidR="00113903" w:rsidRPr="00FA15A6">
        <w:rPr>
          <w:rFonts w:cs="Times New Roman"/>
          <w:kern w:val="0"/>
        </w:rPr>
        <w:t xml:space="preserve">Stamp Seals–The Problem of Palestinian Workshops in the Second Millennium and Some Remarks on the Preceding and Succeeding Periods. </w:t>
      </w:r>
      <w:r w:rsidRPr="00FA15A6">
        <w:rPr>
          <w:rFonts w:cs="Times New Roman"/>
          <w:i/>
          <w:iCs/>
          <w:kern w:val="0"/>
        </w:rPr>
        <w:t xml:space="preserve">Seals and Sealings in the Ancient Near East. </w:t>
      </w:r>
      <w:r w:rsidRPr="00FA15A6">
        <w:rPr>
          <w:rFonts w:cs="Times New Roman"/>
          <w:kern w:val="0"/>
        </w:rPr>
        <w:t xml:space="preserve">Edited by: Joan </w:t>
      </w:r>
      <w:proofErr w:type="spellStart"/>
      <w:r w:rsidRPr="00FA15A6">
        <w:rPr>
          <w:rFonts w:cs="Times New Roman"/>
          <w:kern w:val="0"/>
        </w:rPr>
        <w:t>Goodnick</w:t>
      </w:r>
      <w:proofErr w:type="spellEnd"/>
      <w:r w:rsidRPr="00FA15A6">
        <w:rPr>
          <w:rFonts w:cs="Times New Roman"/>
          <w:kern w:val="0"/>
        </w:rPr>
        <w:t xml:space="preserve"> Westenholz. Jerusalem: Bible Lands Museum, 93–142.</w:t>
      </w:r>
    </w:p>
    <w:p w14:paraId="44D1819E" w14:textId="77777777" w:rsidR="0091197E" w:rsidRPr="00FA15A6" w:rsidRDefault="0091197E" w:rsidP="007573D9">
      <w:pPr>
        <w:autoSpaceDE w:val="0"/>
        <w:autoSpaceDN w:val="0"/>
        <w:adjustRightInd w:val="0"/>
        <w:ind w:left="720" w:hanging="720"/>
        <w:rPr>
          <w:rFonts w:cs="Times New Roman"/>
          <w:color w:val="000000" w:themeColor="text1"/>
        </w:rPr>
      </w:pPr>
    </w:p>
    <w:p w14:paraId="39804232" w14:textId="77777777" w:rsidR="003F770E" w:rsidRPr="00FA15A6" w:rsidRDefault="0091197E" w:rsidP="003F770E">
      <w:pPr>
        <w:autoSpaceDE w:val="0"/>
        <w:autoSpaceDN w:val="0"/>
        <w:adjustRightInd w:val="0"/>
        <w:rPr>
          <w:rFonts w:cs="Times New Roman"/>
          <w:i/>
          <w:iCs/>
          <w:kern w:val="0"/>
        </w:rPr>
      </w:pPr>
      <w:r w:rsidRPr="00FA15A6">
        <w:rPr>
          <w:rFonts w:cs="Times New Roman"/>
          <w:color w:val="000000" w:themeColor="text1"/>
        </w:rPr>
        <w:t>Keel, O. 1997.</w:t>
      </w:r>
      <w:r w:rsidRPr="00FA15A6">
        <w:rPr>
          <w:rFonts w:cs="Times New Roman"/>
          <w:i/>
          <w:iCs/>
          <w:color w:val="000000" w:themeColor="text1"/>
        </w:rPr>
        <w:t xml:space="preserve"> </w:t>
      </w:r>
      <w:r w:rsidR="003F770E" w:rsidRPr="00FA15A6">
        <w:rPr>
          <w:rFonts w:cs="Times New Roman"/>
          <w:i/>
          <w:iCs/>
          <w:kern w:val="0"/>
        </w:rPr>
        <w:t xml:space="preserve">Corpus der </w:t>
      </w:r>
      <w:proofErr w:type="spellStart"/>
      <w:r w:rsidR="003F770E" w:rsidRPr="00FA15A6">
        <w:rPr>
          <w:rFonts w:cs="Times New Roman"/>
          <w:i/>
          <w:iCs/>
          <w:kern w:val="0"/>
        </w:rPr>
        <w:t>Stempelsiegel-Amulette</w:t>
      </w:r>
      <w:proofErr w:type="spellEnd"/>
      <w:r w:rsidR="003F770E" w:rsidRPr="00FA15A6">
        <w:rPr>
          <w:rFonts w:cs="Times New Roman"/>
          <w:i/>
          <w:iCs/>
          <w:kern w:val="0"/>
        </w:rPr>
        <w:t xml:space="preserve"> </w:t>
      </w:r>
      <w:proofErr w:type="spellStart"/>
      <w:r w:rsidR="003F770E" w:rsidRPr="00FA15A6">
        <w:rPr>
          <w:rFonts w:cs="Times New Roman"/>
          <w:i/>
          <w:iCs/>
          <w:kern w:val="0"/>
        </w:rPr>
        <w:t>aus</w:t>
      </w:r>
      <w:proofErr w:type="spellEnd"/>
      <w:r w:rsidR="003F770E" w:rsidRPr="00FA15A6">
        <w:rPr>
          <w:rFonts w:cs="Times New Roman"/>
          <w:i/>
          <w:iCs/>
          <w:kern w:val="0"/>
        </w:rPr>
        <w:t xml:space="preserve"> </w:t>
      </w:r>
      <w:proofErr w:type="spellStart"/>
      <w:r w:rsidR="003F770E" w:rsidRPr="00FA15A6">
        <w:rPr>
          <w:rFonts w:cs="Times New Roman"/>
          <w:i/>
          <w:iCs/>
          <w:kern w:val="0"/>
        </w:rPr>
        <w:t>Palästina</w:t>
      </w:r>
      <w:proofErr w:type="spellEnd"/>
      <w:r w:rsidR="003F770E" w:rsidRPr="00FA15A6">
        <w:rPr>
          <w:rFonts w:cs="Times New Roman"/>
          <w:i/>
          <w:iCs/>
          <w:kern w:val="0"/>
        </w:rPr>
        <w:t xml:space="preserve">/Israel: Von den </w:t>
      </w:r>
      <w:proofErr w:type="spellStart"/>
      <w:r w:rsidR="003F770E" w:rsidRPr="00FA15A6">
        <w:rPr>
          <w:rFonts w:cs="Times New Roman"/>
          <w:i/>
          <w:iCs/>
          <w:kern w:val="0"/>
        </w:rPr>
        <w:t>Anfängen</w:t>
      </w:r>
      <w:proofErr w:type="spellEnd"/>
    </w:p>
    <w:p w14:paraId="72A3FF83" w14:textId="48537546" w:rsidR="00113903" w:rsidRPr="003F770E" w:rsidRDefault="003F770E" w:rsidP="00FA15A6">
      <w:pPr>
        <w:autoSpaceDE w:val="0"/>
        <w:autoSpaceDN w:val="0"/>
        <w:adjustRightInd w:val="0"/>
        <w:ind w:left="720"/>
        <w:rPr>
          <w:rStyle w:val="Emphasis"/>
          <w:rFonts w:cs="Times New Roman"/>
          <w:i w:val="0"/>
          <w:iCs w:val="0"/>
          <w:color w:val="000000" w:themeColor="text1"/>
          <w:highlight w:val="yellow"/>
        </w:rPr>
      </w:pPr>
      <w:r w:rsidRPr="00FA15A6">
        <w:rPr>
          <w:rFonts w:cs="Times New Roman"/>
          <w:i/>
          <w:iCs/>
          <w:kern w:val="0"/>
        </w:rPr>
        <w:t xml:space="preserve">bis </w:t>
      </w:r>
      <w:proofErr w:type="spellStart"/>
      <w:r w:rsidRPr="00FA15A6">
        <w:rPr>
          <w:rFonts w:cs="Times New Roman"/>
          <w:i/>
          <w:iCs/>
          <w:kern w:val="0"/>
        </w:rPr>
        <w:t>zur</w:t>
      </w:r>
      <w:proofErr w:type="spellEnd"/>
      <w:r w:rsidRPr="00FA15A6">
        <w:rPr>
          <w:rFonts w:cs="Times New Roman"/>
          <w:i/>
          <w:iCs/>
          <w:kern w:val="0"/>
        </w:rPr>
        <w:t xml:space="preserve"> </w:t>
      </w:r>
      <w:proofErr w:type="spellStart"/>
      <w:r w:rsidRPr="00FA15A6">
        <w:rPr>
          <w:rFonts w:cs="Times New Roman"/>
          <w:i/>
          <w:iCs/>
          <w:kern w:val="0"/>
        </w:rPr>
        <w:t>Perserzeit</w:t>
      </w:r>
      <w:proofErr w:type="spellEnd"/>
      <w:r w:rsidRPr="00FA15A6">
        <w:rPr>
          <w:rFonts w:cs="Times New Roman"/>
          <w:i/>
          <w:iCs/>
          <w:kern w:val="0"/>
        </w:rPr>
        <w:t xml:space="preserve">: </w:t>
      </w:r>
      <w:proofErr w:type="spellStart"/>
      <w:r w:rsidRPr="00FA15A6">
        <w:rPr>
          <w:rFonts w:cs="Times New Roman"/>
          <w:i/>
          <w:iCs/>
          <w:kern w:val="0"/>
        </w:rPr>
        <w:t>Katalog</w:t>
      </w:r>
      <w:proofErr w:type="spellEnd"/>
      <w:r w:rsidRPr="00FA15A6">
        <w:rPr>
          <w:rFonts w:cs="Times New Roman"/>
          <w:i/>
          <w:iCs/>
          <w:kern w:val="0"/>
        </w:rPr>
        <w:t xml:space="preserve"> Band I: Von Tell Abu </w:t>
      </w:r>
      <w:proofErr w:type="spellStart"/>
      <w:r w:rsidRPr="00FA15A6">
        <w:rPr>
          <w:rFonts w:cs="Times New Roman"/>
          <w:i/>
          <w:iCs/>
          <w:kern w:val="0"/>
        </w:rPr>
        <w:t>Farağ</w:t>
      </w:r>
      <w:proofErr w:type="spellEnd"/>
      <w:r w:rsidRPr="00FA15A6">
        <w:rPr>
          <w:rFonts w:cs="Times New Roman"/>
          <w:i/>
          <w:iCs/>
          <w:kern w:val="0"/>
        </w:rPr>
        <w:t xml:space="preserve"> bis ’</w:t>
      </w:r>
      <w:proofErr w:type="spellStart"/>
      <w:r w:rsidRPr="00FA15A6">
        <w:rPr>
          <w:rFonts w:cs="Times New Roman"/>
          <w:i/>
          <w:iCs/>
          <w:kern w:val="0"/>
        </w:rPr>
        <w:t>Atlit</w:t>
      </w:r>
      <w:proofErr w:type="spellEnd"/>
      <w:r w:rsidRPr="003F770E">
        <w:rPr>
          <w:rFonts w:cs="Times New Roman"/>
          <w:i/>
          <w:iCs/>
          <w:kern w:val="0"/>
        </w:rPr>
        <w:t xml:space="preserve"> with Three Contributions by Baruch Brandl. </w:t>
      </w:r>
      <w:r w:rsidR="003C5BD1" w:rsidRPr="00FA15A6">
        <w:rPr>
          <w:rFonts w:cs="Times New Roman"/>
          <w:kern w:val="0"/>
        </w:rPr>
        <w:t xml:space="preserve">Orbis </w:t>
      </w:r>
      <w:proofErr w:type="spellStart"/>
      <w:r w:rsidR="003C5BD1" w:rsidRPr="00FA15A6">
        <w:rPr>
          <w:rFonts w:cs="Times New Roman"/>
          <w:kern w:val="0"/>
        </w:rPr>
        <w:t>Biblicus</w:t>
      </w:r>
      <w:proofErr w:type="spellEnd"/>
      <w:r w:rsidR="003C5BD1" w:rsidRPr="00FA15A6">
        <w:rPr>
          <w:rFonts w:cs="Times New Roman"/>
          <w:kern w:val="0"/>
        </w:rPr>
        <w:t xml:space="preserve"> et </w:t>
      </w:r>
      <w:proofErr w:type="spellStart"/>
      <w:r w:rsidR="003C5BD1" w:rsidRPr="00FA15A6">
        <w:rPr>
          <w:rFonts w:cs="Times New Roman"/>
          <w:kern w:val="0"/>
        </w:rPr>
        <w:t>Orientalis</w:t>
      </w:r>
      <w:proofErr w:type="spellEnd"/>
      <w:r w:rsidR="003C5BD1" w:rsidRPr="00FA15A6">
        <w:rPr>
          <w:rFonts w:cs="Times New Roman"/>
          <w:kern w:val="0"/>
        </w:rPr>
        <w:t xml:space="preserve"> </w:t>
      </w:r>
      <w:r w:rsidRPr="003F770E">
        <w:rPr>
          <w:rFonts w:cs="Times New Roman"/>
        </w:rPr>
        <w:t xml:space="preserve">Series </w:t>
      </w:r>
      <w:proofErr w:type="spellStart"/>
      <w:r w:rsidRPr="003F770E">
        <w:rPr>
          <w:rFonts w:cs="Times New Roman"/>
        </w:rPr>
        <w:t>Archaeologica</w:t>
      </w:r>
      <w:proofErr w:type="spellEnd"/>
      <w:r w:rsidRPr="003F770E">
        <w:rPr>
          <w:rFonts w:cs="Times New Roman"/>
        </w:rPr>
        <w:t xml:space="preserve"> </w:t>
      </w:r>
      <w:r w:rsidR="00690CAE" w:rsidRPr="00FA15A6">
        <w:rPr>
          <w:rFonts w:cs="Times New Roman"/>
          <w:kern w:val="0"/>
        </w:rPr>
        <w:t>1</w:t>
      </w:r>
      <w:r w:rsidR="0091197E" w:rsidRPr="00FA15A6">
        <w:rPr>
          <w:rFonts w:cs="Times New Roman"/>
          <w:color w:val="000000" w:themeColor="text1"/>
        </w:rPr>
        <w:t xml:space="preserve">3. </w:t>
      </w:r>
      <w:r w:rsidR="00113903" w:rsidRPr="00FA15A6">
        <w:rPr>
          <w:rFonts w:cs="Times New Roman"/>
          <w:color w:val="050505"/>
          <w:shd w:val="clear" w:color="auto" w:fill="FFFFFF"/>
        </w:rPr>
        <w:t xml:space="preserve">Freiburg and Göttingen: </w:t>
      </w:r>
      <w:proofErr w:type="spellStart"/>
      <w:r w:rsidR="00113903" w:rsidRPr="00FA15A6">
        <w:rPr>
          <w:rFonts w:cs="Times New Roman"/>
          <w:color w:val="050505"/>
          <w:shd w:val="clear" w:color="auto" w:fill="FFFFFF"/>
        </w:rPr>
        <w:t>vandenhoeck</w:t>
      </w:r>
      <w:proofErr w:type="spellEnd"/>
      <w:r w:rsidR="00113903" w:rsidRPr="00FA15A6">
        <w:rPr>
          <w:rFonts w:cs="Times New Roman"/>
          <w:color w:val="050505"/>
          <w:shd w:val="clear" w:color="auto" w:fill="FFFFFF"/>
        </w:rPr>
        <w:t xml:space="preserve"> &amp; Ruprecht.</w:t>
      </w:r>
    </w:p>
    <w:p w14:paraId="545769E7" w14:textId="77777777" w:rsidR="0091197E" w:rsidRPr="003F770E" w:rsidRDefault="0091197E" w:rsidP="00113903">
      <w:pPr>
        <w:autoSpaceDE w:val="0"/>
        <w:autoSpaceDN w:val="0"/>
        <w:adjustRightInd w:val="0"/>
        <w:ind w:left="720" w:hanging="720"/>
        <w:rPr>
          <w:rFonts w:cs="Times New Roman"/>
          <w:color w:val="000000" w:themeColor="text1"/>
          <w:highlight w:val="yellow"/>
        </w:rPr>
      </w:pPr>
    </w:p>
    <w:p w14:paraId="3886B4E2" w14:textId="69E5683F" w:rsidR="0091197E" w:rsidRPr="00081A4A" w:rsidRDefault="0091197E" w:rsidP="007573D9">
      <w:pPr>
        <w:autoSpaceDE w:val="0"/>
        <w:autoSpaceDN w:val="0"/>
        <w:adjustRightInd w:val="0"/>
        <w:ind w:left="720" w:hanging="720"/>
        <w:rPr>
          <w:rFonts w:cs="Times New Roman"/>
          <w:color w:val="000000" w:themeColor="text1"/>
          <w:kern w:val="0"/>
          <w:highlight w:val="yellow"/>
        </w:rPr>
      </w:pPr>
      <w:r w:rsidRPr="00FA15A6">
        <w:rPr>
          <w:rFonts w:cs="Times New Roman"/>
          <w:color w:val="000000" w:themeColor="text1"/>
          <w:kern w:val="0"/>
        </w:rPr>
        <w:t xml:space="preserve">Keel, O. 2004. </w:t>
      </w:r>
      <w:r w:rsidRPr="00FA15A6">
        <w:rPr>
          <w:rFonts w:cs="Times New Roman"/>
          <w:kern w:val="0"/>
        </w:rPr>
        <w:t>Some of the Earliest Groups of Locally Produced Scarabs from Palestine</w:t>
      </w:r>
      <w:r w:rsidRPr="00FA15A6">
        <w:rPr>
          <w:rFonts w:cs="Times New Roman"/>
          <w:i/>
          <w:iCs/>
          <w:kern w:val="0"/>
        </w:rPr>
        <w:t xml:space="preserve"> </w:t>
      </w:r>
      <w:r w:rsidRPr="00FA15A6">
        <w:rPr>
          <w:rFonts w:cs="Times New Roman"/>
          <w:kern w:val="0"/>
        </w:rPr>
        <w:t>in</w:t>
      </w:r>
      <w:r w:rsidRPr="00FA15A6">
        <w:rPr>
          <w:rFonts w:cs="Times New Roman"/>
          <w:i/>
          <w:iCs/>
          <w:kern w:val="0"/>
        </w:rPr>
        <w:t xml:space="preserve"> Scarabs of the Second Millennium BC from Egypt, Nubia, Crete, and the Levant: Chronological and Historical Implications</w:t>
      </w:r>
      <w:r w:rsidR="00690CAE" w:rsidRPr="00FA15A6">
        <w:rPr>
          <w:rFonts w:cs="Times New Roman"/>
          <w:i/>
          <w:iCs/>
          <w:kern w:val="0"/>
        </w:rPr>
        <w:t>.</w:t>
      </w:r>
      <w:r w:rsidRPr="00FA15A6">
        <w:rPr>
          <w:rFonts w:cs="Times New Roman"/>
          <w:i/>
          <w:iCs/>
          <w:kern w:val="0"/>
        </w:rPr>
        <w:t xml:space="preserve"> </w:t>
      </w:r>
      <w:r w:rsidR="00171928" w:rsidRPr="00FA15A6">
        <w:rPr>
          <w:rFonts w:cs="Times New Roman"/>
          <w:kern w:val="0"/>
        </w:rPr>
        <w:t>Edited by:</w:t>
      </w:r>
      <w:r w:rsidRPr="00FA15A6">
        <w:rPr>
          <w:rFonts w:cs="Times New Roman"/>
          <w:kern w:val="0"/>
        </w:rPr>
        <w:t xml:space="preserve"> M. </w:t>
      </w:r>
      <w:proofErr w:type="spellStart"/>
      <w:r w:rsidRPr="00FA15A6">
        <w:rPr>
          <w:rFonts w:cs="Times New Roman"/>
          <w:kern w:val="0"/>
        </w:rPr>
        <w:t>Bietak</w:t>
      </w:r>
      <w:proofErr w:type="spellEnd"/>
      <w:r w:rsidRPr="00FA15A6">
        <w:rPr>
          <w:rFonts w:cs="Times New Roman"/>
          <w:kern w:val="0"/>
        </w:rPr>
        <w:t xml:space="preserve"> and E. Czerny. Vienna: </w:t>
      </w:r>
      <w:proofErr w:type="spellStart"/>
      <w:r w:rsidRPr="00FA15A6">
        <w:rPr>
          <w:rFonts w:cs="Times New Roman"/>
          <w:kern w:val="0"/>
        </w:rPr>
        <w:t>Österreichische</w:t>
      </w:r>
      <w:proofErr w:type="spellEnd"/>
      <w:r w:rsidRPr="00FA15A6">
        <w:rPr>
          <w:rFonts w:cs="Times New Roman"/>
          <w:kern w:val="0"/>
        </w:rPr>
        <w:t xml:space="preserve"> Akademie der </w:t>
      </w:r>
      <w:proofErr w:type="spellStart"/>
      <w:r w:rsidRPr="00FA15A6">
        <w:rPr>
          <w:rFonts w:cs="Times New Roman"/>
          <w:kern w:val="0"/>
        </w:rPr>
        <w:t>Wissenschaften</w:t>
      </w:r>
      <w:proofErr w:type="spellEnd"/>
      <w:r w:rsidRPr="00FA15A6">
        <w:rPr>
          <w:rFonts w:cs="Times New Roman"/>
          <w:kern w:val="0"/>
        </w:rPr>
        <w:t xml:space="preserve">: </w:t>
      </w:r>
      <w:proofErr w:type="spellStart"/>
      <w:r w:rsidRPr="00FA15A6">
        <w:rPr>
          <w:rFonts w:cs="Times New Roman"/>
          <w:kern w:val="0"/>
        </w:rPr>
        <w:t>Denkschriften</w:t>
      </w:r>
      <w:proofErr w:type="spellEnd"/>
      <w:r w:rsidRPr="00FA15A6">
        <w:rPr>
          <w:rFonts w:cs="Times New Roman"/>
          <w:kern w:val="0"/>
        </w:rPr>
        <w:t xml:space="preserve"> der </w:t>
      </w:r>
      <w:proofErr w:type="spellStart"/>
      <w:r w:rsidRPr="00FA15A6">
        <w:rPr>
          <w:rFonts w:cs="Times New Roman"/>
          <w:kern w:val="0"/>
        </w:rPr>
        <w:t>Gesamtakademie</w:t>
      </w:r>
      <w:proofErr w:type="spellEnd"/>
      <w:r w:rsidRPr="00FA15A6">
        <w:rPr>
          <w:rFonts w:cs="Times New Roman"/>
          <w:kern w:val="0"/>
        </w:rPr>
        <w:t xml:space="preserve"> 35</w:t>
      </w:r>
      <w:r w:rsidR="000A27EB" w:rsidRPr="00FA15A6">
        <w:rPr>
          <w:rFonts w:cs="Times New Roman"/>
          <w:kern w:val="0"/>
        </w:rPr>
        <w:t>:</w:t>
      </w:r>
      <w:r w:rsidR="00690CAE" w:rsidRPr="00FA15A6">
        <w:rPr>
          <w:rFonts w:cs="Times New Roman"/>
          <w:kern w:val="0"/>
        </w:rPr>
        <w:t xml:space="preserve"> 73–101.</w:t>
      </w:r>
    </w:p>
    <w:p w14:paraId="22D62682" w14:textId="77777777" w:rsidR="0091197E" w:rsidRPr="003F770E" w:rsidRDefault="0091197E" w:rsidP="007573D9">
      <w:pPr>
        <w:rPr>
          <w:rFonts w:cs="Times New Roman"/>
          <w:color w:val="1F497D"/>
          <w:highlight w:val="yellow"/>
        </w:rPr>
      </w:pPr>
    </w:p>
    <w:p w14:paraId="1AFCD479" w14:textId="77777777" w:rsidR="003F770E" w:rsidRPr="00FA15A6" w:rsidRDefault="0091197E" w:rsidP="003F770E">
      <w:pPr>
        <w:autoSpaceDE w:val="0"/>
        <w:autoSpaceDN w:val="0"/>
        <w:adjustRightInd w:val="0"/>
        <w:rPr>
          <w:rFonts w:cs="Times New Roman"/>
          <w:i/>
          <w:iCs/>
          <w:kern w:val="0"/>
        </w:rPr>
      </w:pPr>
      <w:r w:rsidRPr="00FA15A6">
        <w:rPr>
          <w:rFonts w:cs="Times New Roman"/>
          <w:color w:val="000000" w:themeColor="text1"/>
        </w:rPr>
        <w:t xml:space="preserve">Keel, O. 2010. </w:t>
      </w:r>
      <w:r w:rsidR="003F770E" w:rsidRPr="00FA15A6">
        <w:rPr>
          <w:rFonts w:cs="Times New Roman"/>
          <w:i/>
          <w:iCs/>
          <w:kern w:val="0"/>
        </w:rPr>
        <w:t xml:space="preserve">Corpus der </w:t>
      </w:r>
      <w:proofErr w:type="spellStart"/>
      <w:r w:rsidR="003F770E" w:rsidRPr="00FA15A6">
        <w:rPr>
          <w:rFonts w:cs="Times New Roman"/>
          <w:i/>
          <w:iCs/>
          <w:kern w:val="0"/>
        </w:rPr>
        <w:t>Stempelsiegel-Amulette</w:t>
      </w:r>
      <w:proofErr w:type="spellEnd"/>
      <w:r w:rsidR="003F770E" w:rsidRPr="00FA15A6">
        <w:rPr>
          <w:rFonts w:cs="Times New Roman"/>
          <w:i/>
          <w:iCs/>
          <w:kern w:val="0"/>
        </w:rPr>
        <w:t xml:space="preserve"> </w:t>
      </w:r>
      <w:proofErr w:type="spellStart"/>
      <w:r w:rsidR="003F770E" w:rsidRPr="00FA15A6">
        <w:rPr>
          <w:rFonts w:cs="Times New Roman"/>
          <w:i/>
          <w:iCs/>
          <w:kern w:val="0"/>
        </w:rPr>
        <w:t>aus</w:t>
      </w:r>
      <w:proofErr w:type="spellEnd"/>
      <w:r w:rsidR="003F770E" w:rsidRPr="00FA15A6">
        <w:rPr>
          <w:rFonts w:cs="Times New Roman"/>
          <w:i/>
          <w:iCs/>
          <w:kern w:val="0"/>
        </w:rPr>
        <w:t xml:space="preserve"> </w:t>
      </w:r>
      <w:proofErr w:type="spellStart"/>
      <w:r w:rsidR="003F770E" w:rsidRPr="00FA15A6">
        <w:rPr>
          <w:rFonts w:cs="Times New Roman"/>
          <w:i/>
          <w:iCs/>
          <w:kern w:val="0"/>
        </w:rPr>
        <w:t>Palästina</w:t>
      </w:r>
      <w:proofErr w:type="spellEnd"/>
      <w:r w:rsidR="003F770E" w:rsidRPr="00FA15A6">
        <w:rPr>
          <w:rFonts w:cs="Times New Roman"/>
          <w:i/>
          <w:iCs/>
          <w:kern w:val="0"/>
        </w:rPr>
        <w:t xml:space="preserve">/Israel: Von den </w:t>
      </w:r>
      <w:proofErr w:type="spellStart"/>
      <w:r w:rsidR="003F770E" w:rsidRPr="00FA15A6">
        <w:rPr>
          <w:rFonts w:cs="Times New Roman"/>
          <w:i/>
          <w:iCs/>
          <w:kern w:val="0"/>
        </w:rPr>
        <w:t>Anfängen</w:t>
      </w:r>
      <w:proofErr w:type="spellEnd"/>
    </w:p>
    <w:p w14:paraId="4F0C104C" w14:textId="3416671F" w:rsidR="00113903" w:rsidRPr="00FA15A6" w:rsidRDefault="003F770E" w:rsidP="00FA15A6">
      <w:pPr>
        <w:autoSpaceDE w:val="0"/>
        <w:autoSpaceDN w:val="0"/>
        <w:adjustRightInd w:val="0"/>
        <w:ind w:left="720"/>
        <w:rPr>
          <w:rStyle w:val="Emphasis"/>
          <w:rFonts w:cs="Times New Roman"/>
          <w:i w:val="0"/>
          <w:iCs w:val="0"/>
          <w:color w:val="000000" w:themeColor="text1"/>
        </w:rPr>
      </w:pPr>
      <w:r w:rsidRPr="00FA15A6">
        <w:rPr>
          <w:rFonts w:cs="Times New Roman"/>
          <w:i/>
          <w:iCs/>
          <w:kern w:val="0"/>
        </w:rPr>
        <w:t xml:space="preserve">bis </w:t>
      </w:r>
      <w:proofErr w:type="spellStart"/>
      <w:r w:rsidRPr="00FA15A6">
        <w:rPr>
          <w:rFonts w:cs="Times New Roman"/>
          <w:i/>
          <w:iCs/>
          <w:kern w:val="0"/>
        </w:rPr>
        <w:t>zur</w:t>
      </w:r>
      <w:proofErr w:type="spellEnd"/>
      <w:r w:rsidRPr="00FA15A6">
        <w:rPr>
          <w:rFonts w:cs="Times New Roman"/>
          <w:i/>
          <w:iCs/>
          <w:kern w:val="0"/>
        </w:rPr>
        <w:t xml:space="preserve"> </w:t>
      </w:r>
      <w:proofErr w:type="spellStart"/>
      <w:r w:rsidRPr="00FA15A6">
        <w:rPr>
          <w:rFonts w:cs="Times New Roman"/>
          <w:i/>
          <w:iCs/>
          <w:kern w:val="0"/>
        </w:rPr>
        <w:t>Perserzeit</w:t>
      </w:r>
      <w:proofErr w:type="spellEnd"/>
      <w:r w:rsidRPr="00FA15A6">
        <w:rPr>
          <w:rFonts w:cs="Times New Roman"/>
          <w:i/>
          <w:iCs/>
          <w:kern w:val="0"/>
        </w:rPr>
        <w:t xml:space="preserve">: </w:t>
      </w:r>
      <w:proofErr w:type="spellStart"/>
      <w:r w:rsidRPr="00FA15A6">
        <w:rPr>
          <w:rFonts w:cs="Times New Roman"/>
          <w:i/>
          <w:iCs/>
          <w:kern w:val="0"/>
        </w:rPr>
        <w:t>Katalog</w:t>
      </w:r>
      <w:proofErr w:type="spellEnd"/>
      <w:r w:rsidRPr="00FA15A6">
        <w:rPr>
          <w:rFonts w:cs="Times New Roman"/>
          <w:i/>
          <w:iCs/>
          <w:kern w:val="0"/>
        </w:rPr>
        <w:t xml:space="preserve"> Band III: Von Tell </w:t>
      </w:r>
      <w:proofErr w:type="spellStart"/>
      <w:r w:rsidRPr="00FA15A6">
        <w:rPr>
          <w:rFonts w:cs="Times New Roman"/>
          <w:i/>
          <w:iCs/>
          <w:kern w:val="0"/>
        </w:rPr>
        <w:t>el-Farʿa</w:t>
      </w:r>
      <w:proofErr w:type="spellEnd"/>
      <w:r w:rsidRPr="00FA15A6">
        <w:rPr>
          <w:rFonts w:cs="Times New Roman"/>
          <w:i/>
          <w:iCs/>
          <w:kern w:val="0"/>
        </w:rPr>
        <w:t xml:space="preserve"> Nord bis Tell </w:t>
      </w:r>
      <w:proofErr w:type="spellStart"/>
      <w:r w:rsidRPr="00FA15A6">
        <w:rPr>
          <w:rFonts w:cs="Times New Roman"/>
          <w:i/>
          <w:iCs/>
          <w:kern w:val="0"/>
        </w:rPr>
        <w:t>el</w:t>
      </w:r>
      <w:proofErr w:type="spellEnd"/>
      <w:r w:rsidRPr="00FA15A6">
        <w:rPr>
          <w:rFonts w:cs="Times New Roman"/>
          <w:i/>
          <w:iCs/>
          <w:kern w:val="0"/>
        </w:rPr>
        <w:t>-Fir</w:t>
      </w:r>
      <w:r w:rsidR="00FA15A6">
        <w:rPr>
          <w:rFonts w:cs="Times New Roman"/>
          <w:i/>
          <w:iCs/>
          <w:kern w:val="0"/>
        </w:rPr>
        <w:t xml:space="preserve"> with Contributions from Daphna Ben</w:t>
      </w:r>
      <w:r w:rsidR="00CF65D4">
        <w:rPr>
          <w:rFonts w:cs="Times New Roman"/>
          <w:i/>
          <w:iCs/>
          <w:kern w:val="0"/>
        </w:rPr>
        <w:t>-Tor</w:t>
      </w:r>
      <w:r w:rsidR="00FA15A6">
        <w:rPr>
          <w:rFonts w:cs="Times New Roman"/>
          <w:i/>
          <w:iCs/>
          <w:kern w:val="0"/>
        </w:rPr>
        <w:t xml:space="preserve"> and Robert Wenning.</w:t>
      </w:r>
      <w:r w:rsidR="00FA15A6">
        <w:rPr>
          <w:rFonts w:cs="Times New Roman"/>
          <w:kern w:val="0"/>
        </w:rPr>
        <w:t xml:space="preserve"> </w:t>
      </w:r>
      <w:r w:rsidR="00113903" w:rsidRPr="00FA15A6">
        <w:rPr>
          <w:rFonts w:cs="Times New Roman"/>
          <w:kern w:val="0"/>
        </w:rPr>
        <w:t xml:space="preserve">Orbis </w:t>
      </w:r>
      <w:proofErr w:type="spellStart"/>
      <w:r w:rsidR="00113903" w:rsidRPr="00FA15A6">
        <w:rPr>
          <w:rFonts w:cs="Times New Roman"/>
          <w:kern w:val="0"/>
        </w:rPr>
        <w:t>Biblicus</w:t>
      </w:r>
      <w:proofErr w:type="spellEnd"/>
      <w:r w:rsidR="00113903" w:rsidRPr="00FA15A6">
        <w:rPr>
          <w:rFonts w:cs="Times New Roman"/>
          <w:kern w:val="0"/>
        </w:rPr>
        <w:t xml:space="preserve"> et </w:t>
      </w:r>
      <w:proofErr w:type="spellStart"/>
      <w:r w:rsidR="00113903" w:rsidRPr="00FA15A6">
        <w:rPr>
          <w:rFonts w:cs="Times New Roman"/>
          <w:kern w:val="0"/>
        </w:rPr>
        <w:t>Orientalis</w:t>
      </w:r>
      <w:proofErr w:type="spellEnd"/>
      <w:r w:rsidR="00113903" w:rsidRPr="00FA15A6">
        <w:rPr>
          <w:rFonts w:cs="Times New Roman"/>
          <w:kern w:val="0"/>
        </w:rPr>
        <w:t xml:space="preserve"> </w:t>
      </w:r>
      <w:r w:rsidRPr="003F770E">
        <w:rPr>
          <w:rFonts w:cs="Times New Roman"/>
        </w:rPr>
        <w:t xml:space="preserve">Series </w:t>
      </w:r>
      <w:proofErr w:type="spellStart"/>
      <w:r w:rsidRPr="003F770E">
        <w:rPr>
          <w:rFonts w:cs="Times New Roman"/>
        </w:rPr>
        <w:t>Archaeologica</w:t>
      </w:r>
      <w:proofErr w:type="spellEnd"/>
      <w:r w:rsidRPr="003F770E">
        <w:rPr>
          <w:rFonts w:cs="Times New Roman"/>
        </w:rPr>
        <w:t xml:space="preserve"> </w:t>
      </w:r>
      <w:r w:rsidR="00113903" w:rsidRPr="00FA15A6">
        <w:rPr>
          <w:rFonts w:cs="Times New Roman"/>
          <w:kern w:val="0"/>
        </w:rPr>
        <w:t xml:space="preserve">31. </w:t>
      </w:r>
      <w:r w:rsidR="00113903" w:rsidRPr="00FA15A6">
        <w:rPr>
          <w:rFonts w:cs="Times New Roman"/>
          <w:color w:val="050505"/>
          <w:shd w:val="clear" w:color="auto" w:fill="FFFFFF"/>
        </w:rPr>
        <w:t xml:space="preserve">Freiburg and Göttingen: </w:t>
      </w:r>
      <w:proofErr w:type="spellStart"/>
      <w:r w:rsidR="00113903" w:rsidRPr="00FA15A6">
        <w:rPr>
          <w:rFonts w:cs="Times New Roman"/>
          <w:color w:val="050505"/>
          <w:shd w:val="clear" w:color="auto" w:fill="FFFFFF"/>
        </w:rPr>
        <w:t>vandenhoeck</w:t>
      </w:r>
      <w:proofErr w:type="spellEnd"/>
      <w:r w:rsidR="00113903" w:rsidRPr="00FA15A6">
        <w:rPr>
          <w:rFonts w:cs="Times New Roman"/>
          <w:color w:val="050505"/>
          <w:shd w:val="clear" w:color="auto" w:fill="FFFFFF"/>
        </w:rPr>
        <w:t xml:space="preserve"> &amp; Ruprecht.</w:t>
      </w:r>
    </w:p>
    <w:p w14:paraId="012757A3" w14:textId="77777777" w:rsidR="00C47466" w:rsidRDefault="00C47466" w:rsidP="003F770E">
      <w:pPr>
        <w:autoSpaceDE w:val="0"/>
        <w:autoSpaceDN w:val="0"/>
        <w:adjustRightInd w:val="0"/>
        <w:rPr>
          <w:rFonts w:cs="Times New Roman"/>
          <w:color w:val="000000" w:themeColor="text1"/>
          <w:kern w:val="0"/>
        </w:rPr>
      </w:pPr>
    </w:p>
    <w:p w14:paraId="05227574" w14:textId="4C26A226" w:rsidR="003F770E" w:rsidRPr="00FA15A6" w:rsidRDefault="0091197E" w:rsidP="003F770E">
      <w:pPr>
        <w:autoSpaceDE w:val="0"/>
        <w:autoSpaceDN w:val="0"/>
        <w:adjustRightInd w:val="0"/>
        <w:rPr>
          <w:rFonts w:cs="Times New Roman"/>
          <w:i/>
          <w:iCs/>
          <w:kern w:val="0"/>
        </w:rPr>
      </w:pPr>
      <w:r w:rsidRPr="00FA15A6">
        <w:rPr>
          <w:rFonts w:cs="Times New Roman"/>
          <w:color w:val="000000" w:themeColor="text1"/>
          <w:kern w:val="0"/>
        </w:rPr>
        <w:t xml:space="preserve">Keel, O. 2017. </w:t>
      </w:r>
      <w:r w:rsidR="003F770E" w:rsidRPr="00FA15A6">
        <w:rPr>
          <w:rFonts w:cs="Times New Roman"/>
          <w:i/>
          <w:iCs/>
          <w:kern w:val="0"/>
        </w:rPr>
        <w:t xml:space="preserve">Corpus der </w:t>
      </w:r>
      <w:proofErr w:type="spellStart"/>
      <w:r w:rsidR="003F770E" w:rsidRPr="00FA15A6">
        <w:rPr>
          <w:rFonts w:cs="Times New Roman"/>
          <w:i/>
          <w:iCs/>
          <w:kern w:val="0"/>
        </w:rPr>
        <w:t>Stempelsiegel-Amulette</w:t>
      </w:r>
      <w:proofErr w:type="spellEnd"/>
      <w:r w:rsidR="003F770E" w:rsidRPr="00FA15A6">
        <w:rPr>
          <w:rFonts w:cs="Times New Roman"/>
          <w:i/>
          <w:iCs/>
          <w:kern w:val="0"/>
        </w:rPr>
        <w:t xml:space="preserve"> </w:t>
      </w:r>
      <w:proofErr w:type="spellStart"/>
      <w:r w:rsidR="003F770E" w:rsidRPr="00FA15A6">
        <w:rPr>
          <w:rFonts w:cs="Times New Roman"/>
          <w:i/>
          <w:iCs/>
          <w:kern w:val="0"/>
        </w:rPr>
        <w:t>aus</w:t>
      </w:r>
      <w:proofErr w:type="spellEnd"/>
      <w:r w:rsidR="003F770E" w:rsidRPr="00FA15A6">
        <w:rPr>
          <w:rFonts w:cs="Times New Roman"/>
          <w:i/>
          <w:iCs/>
          <w:kern w:val="0"/>
        </w:rPr>
        <w:t xml:space="preserve"> </w:t>
      </w:r>
      <w:proofErr w:type="spellStart"/>
      <w:r w:rsidR="003F770E" w:rsidRPr="00FA15A6">
        <w:rPr>
          <w:rFonts w:cs="Times New Roman"/>
          <w:i/>
          <w:iCs/>
          <w:kern w:val="0"/>
        </w:rPr>
        <w:t>Palästina</w:t>
      </w:r>
      <w:proofErr w:type="spellEnd"/>
      <w:r w:rsidR="003F770E" w:rsidRPr="00FA15A6">
        <w:rPr>
          <w:rFonts w:cs="Times New Roman"/>
          <w:i/>
          <w:iCs/>
          <w:kern w:val="0"/>
        </w:rPr>
        <w:t xml:space="preserve">/Israel: Von den </w:t>
      </w:r>
      <w:proofErr w:type="spellStart"/>
      <w:r w:rsidR="003F770E" w:rsidRPr="00FA15A6">
        <w:rPr>
          <w:rFonts w:cs="Times New Roman"/>
          <w:i/>
          <w:iCs/>
          <w:kern w:val="0"/>
        </w:rPr>
        <w:t>Anfängen</w:t>
      </w:r>
      <w:proofErr w:type="spellEnd"/>
    </w:p>
    <w:p w14:paraId="1512E09F" w14:textId="07AA3E34" w:rsidR="00113903" w:rsidRPr="003F770E" w:rsidRDefault="003F770E" w:rsidP="00FA15A6">
      <w:pPr>
        <w:autoSpaceDE w:val="0"/>
        <w:autoSpaceDN w:val="0"/>
        <w:adjustRightInd w:val="0"/>
        <w:ind w:left="720"/>
        <w:rPr>
          <w:rFonts w:cs="Times New Roman"/>
          <w:color w:val="050505"/>
          <w:shd w:val="clear" w:color="auto" w:fill="FFFFFF"/>
        </w:rPr>
      </w:pPr>
      <w:r w:rsidRPr="00FA15A6">
        <w:rPr>
          <w:rFonts w:cs="Times New Roman"/>
          <w:i/>
          <w:iCs/>
          <w:kern w:val="0"/>
        </w:rPr>
        <w:t xml:space="preserve">bis </w:t>
      </w:r>
      <w:proofErr w:type="spellStart"/>
      <w:r w:rsidRPr="00FA15A6">
        <w:rPr>
          <w:rFonts w:cs="Times New Roman"/>
          <w:i/>
          <w:iCs/>
          <w:kern w:val="0"/>
        </w:rPr>
        <w:t>zur</w:t>
      </w:r>
      <w:proofErr w:type="spellEnd"/>
      <w:r w:rsidRPr="00FA15A6">
        <w:rPr>
          <w:rFonts w:cs="Times New Roman"/>
          <w:i/>
          <w:iCs/>
          <w:kern w:val="0"/>
        </w:rPr>
        <w:t xml:space="preserve"> </w:t>
      </w:r>
      <w:proofErr w:type="spellStart"/>
      <w:r w:rsidRPr="00FA15A6">
        <w:rPr>
          <w:rFonts w:cs="Times New Roman"/>
          <w:i/>
          <w:iCs/>
          <w:kern w:val="0"/>
        </w:rPr>
        <w:t>Perserzeit</w:t>
      </w:r>
      <w:proofErr w:type="spellEnd"/>
      <w:r w:rsidRPr="00FA15A6">
        <w:rPr>
          <w:rFonts w:cs="Times New Roman"/>
          <w:i/>
          <w:iCs/>
          <w:kern w:val="0"/>
        </w:rPr>
        <w:t xml:space="preserve">: </w:t>
      </w:r>
      <w:proofErr w:type="spellStart"/>
      <w:r w:rsidRPr="00FA15A6">
        <w:rPr>
          <w:rFonts w:cs="Times New Roman"/>
          <w:i/>
          <w:iCs/>
          <w:kern w:val="0"/>
        </w:rPr>
        <w:t>Katalog</w:t>
      </w:r>
      <w:proofErr w:type="spellEnd"/>
      <w:r w:rsidRPr="00FA15A6">
        <w:rPr>
          <w:rFonts w:cs="Times New Roman"/>
          <w:i/>
          <w:iCs/>
          <w:kern w:val="0"/>
        </w:rPr>
        <w:t xml:space="preserve"> Band V: von Tell </w:t>
      </w:r>
      <w:proofErr w:type="spellStart"/>
      <w:r w:rsidRPr="00FA15A6">
        <w:rPr>
          <w:rFonts w:cs="Times New Roman"/>
          <w:i/>
          <w:iCs/>
          <w:kern w:val="0"/>
        </w:rPr>
        <w:t>el-Idham</w:t>
      </w:r>
      <w:proofErr w:type="spellEnd"/>
      <w:r w:rsidRPr="00FA15A6">
        <w:rPr>
          <w:rFonts w:cs="Times New Roman"/>
          <w:i/>
          <w:iCs/>
          <w:kern w:val="0"/>
        </w:rPr>
        <w:t xml:space="preserve"> bis Tel Kitan</w:t>
      </w:r>
      <w:r w:rsidR="00FA15A6">
        <w:rPr>
          <w:rFonts w:cs="Times New Roman"/>
          <w:i/>
          <w:iCs/>
          <w:kern w:val="0"/>
        </w:rPr>
        <w:t xml:space="preserve"> with Contributions from Daphna Ben-Tor, Baruch Brandl, Stefan Munger, and Leonardo </w:t>
      </w:r>
      <w:proofErr w:type="spellStart"/>
      <w:r w:rsidR="00FA15A6">
        <w:rPr>
          <w:rFonts w:cs="Times New Roman"/>
          <w:i/>
          <w:iCs/>
          <w:kern w:val="0"/>
        </w:rPr>
        <w:t>Pajarola</w:t>
      </w:r>
      <w:proofErr w:type="spellEnd"/>
      <w:r w:rsidR="00FA15A6">
        <w:rPr>
          <w:rFonts w:cs="Times New Roman"/>
          <w:i/>
          <w:iCs/>
          <w:kern w:val="0"/>
        </w:rPr>
        <w:t>.</w:t>
      </w:r>
      <w:r w:rsidRPr="00FA15A6">
        <w:rPr>
          <w:rFonts w:cs="Times New Roman"/>
          <w:i/>
          <w:iCs/>
          <w:color w:val="000000" w:themeColor="text1"/>
          <w:kern w:val="0"/>
        </w:rPr>
        <w:t xml:space="preserve"> </w:t>
      </w:r>
      <w:r w:rsidR="00113903" w:rsidRPr="00FA15A6">
        <w:rPr>
          <w:rFonts w:cs="Times New Roman"/>
          <w:kern w:val="0"/>
        </w:rPr>
        <w:t xml:space="preserve">Orbis </w:t>
      </w:r>
      <w:proofErr w:type="spellStart"/>
      <w:r w:rsidR="00113903" w:rsidRPr="00FA15A6">
        <w:rPr>
          <w:rFonts w:cs="Times New Roman"/>
          <w:kern w:val="0"/>
        </w:rPr>
        <w:t>Biblicus</w:t>
      </w:r>
      <w:proofErr w:type="spellEnd"/>
      <w:r w:rsidR="00113903" w:rsidRPr="00FA15A6">
        <w:rPr>
          <w:rFonts w:cs="Times New Roman"/>
          <w:kern w:val="0"/>
        </w:rPr>
        <w:t xml:space="preserve"> et </w:t>
      </w:r>
      <w:proofErr w:type="spellStart"/>
      <w:r w:rsidR="00113903" w:rsidRPr="00FA15A6">
        <w:rPr>
          <w:rFonts w:cs="Times New Roman"/>
          <w:kern w:val="0"/>
        </w:rPr>
        <w:t>Orientalis</w:t>
      </w:r>
      <w:proofErr w:type="spellEnd"/>
      <w:r w:rsidR="00113903" w:rsidRPr="00FA15A6">
        <w:rPr>
          <w:rFonts w:cs="Times New Roman"/>
          <w:kern w:val="0"/>
        </w:rPr>
        <w:t xml:space="preserve"> </w:t>
      </w:r>
      <w:r w:rsidRPr="00FA15A6">
        <w:rPr>
          <w:rFonts w:cs="Times New Roman"/>
        </w:rPr>
        <w:t xml:space="preserve">Series </w:t>
      </w:r>
      <w:proofErr w:type="spellStart"/>
      <w:r w:rsidRPr="00FA15A6">
        <w:rPr>
          <w:rFonts w:cs="Times New Roman"/>
        </w:rPr>
        <w:t>Archaeologica</w:t>
      </w:r>
      <w:proofErr w:type="spellEnd"/>
      <w:r w:rsidRPr="00FA15A6">
        <w:rPr>
          <w:rFonts w:cs="Times New Roman"/>
        </w:rPr>
        <w:t xml:space="preserve"> </w:t>
      </w:r>
      <w:r w:rsidR="00113903" w:rsidRPr="00FA15A6">
        <w:rPr>
          <w:rFonts w:cs="Times New Roman"/>
          <w:kern w:val="0"/>
        </w:rPr>
        <w:t>35</w:t>
      </w:r>
      <w:r w:rsidR="00113903" w:rsidRPr="00FA15A6">
        <w:rPr>
          <w:rFonts w:cs="Times New Roman"/>
          <w:color w:val="000000" w:themeColor="text1"/>
        </w:rPr>
        <w:t xml:space="preserve">. </w:t>
      </w:r>
      <w:r w:rsidR="00113903" w:rsidRPr="00FA15A6">
        <w:rPr>
          <w:rFonts w:cs="Times New Roman"/>
          <w:color w:val="050505"/>
          <w:shd w:val="clear" w:color="auto" w:fill="FFFFFF"/>
        </w:rPr>
        <w:t xml:space="preserve">Freiburg and Göttingen: </w:t>
      </w:r>
      <w:proofErr w:type="spellStart"/>
      <w:r w:rsidR="00113903" w:rsidRPr="00FA15A6">
        <w:rPr>
          <w:rFonts w:cs="Times New Roman"/>
          <w:color w:val="050505"/>
          <w:shd w:val="clear" w:color="auto" w:fill="FFFFFF"/>
        </w:rPr>
        <w:t>vandenhoeck</w:t>
      </w:r>
      <w:proofErr w:type="spellEnd"/>
      <w:r w:rsidR="00113903" w:rsidRPr="00FA15A6">
        <w:rPr>
          <w:rFonts w:cs="Times New Roman"/>
          <w:color w:val="050505"/>
          <w:shd w:val="clear" w:color="auto" w:fill="FFFFFF"/>
        </w:rPr>
        <w:t xml:space="preserve"> &amp; Ruprecht.</w:t>
      </w:r>
    </w:p>
    <w:p w14:paraId="2E8F6617" w14:textId="77777777" w:rsidR="00113903" w:rsidRPr="003F770E" w:rsidRDefault="00113903" w:rsidP="00113903">
      <w:pPr>
        <w:autoSpaceDE w:val="0"/>
        <w:autoSpaceDN w:val="0"/>
        <w:adjustRightInd w:val="0"/>
        <w:ind w:left="720" w:hanging="720"/>
        <w:rPr>
          <w:rStyle w:val="Emphasis"/>
          <w:rFonts w:cs="Times New Roman"/>
          <w:i w:val="0"/>
          <w:iCs w:val="0"/>
          <w:color w:val="000000" w:themeColor="text1"/>
        </w:rPr>
      </w:pPr>
    </w:p>
    <w:p w14:paraId="2A3F3BED" w14:textId="1875241D" w:rsidR="00181199" w:rsidRPr="007573D9" w:rsidRDefault="00181199" w:rsidP="007573D9">
      <w:pPr>
        <w:autoSpaceDE w:val="0"/>
        <w:autoSpaceDN w:val="0"/>
        <w:adjustRightInd w:val="0"/>
        <w:ind w:left="720" w:hanging="720"/>
        <w:rPr>
          <w:rFonts w:cs="Times New Roman"/>
          <w:kern w:val="0"/>
        </w:rPr>
      </w:pPr>
      <w:r w:rsidRPr="003F770E">
        <w:rPr>
          <w:rFonts w:cs="Times New Roman"/>
          <w:kern w:val="0"/>
        </w:rPr>
        <w:t>Lopez, T</w:t>
      </w:r>
      <w:r w:rsidR="005C2E0D" w:rsidRPr="003F770E">
        <w:rPr>
          <w:rFonts w:cs="Times New Roman"/>
          <w:kern w:val="0"/>
        </w:rPr>
        <w:t>.</w:t>
      </w:r>
      <w:r w:rsidRPr="003F770E">
        <w:rPr>
          <w:rFonts w:cs="Times New Roman"/>
          <w:kern w:val="0"/>
        </w:rPr>
        <w:t>, Stripling, S</w:t>
      </w:r>
      <w:r w:rsidR="005C2E0D" w:rsidRPr="003F770E">
        <w:rPr>
          <w:rFonts w:cs="Times New Roman"/>
          <w:kern w:val="0"/>
        </w:rPr>
        <w:t>.</w:t>
      </w:r>
      <w:r w:rsidRPr="003F770E">
        <w:rPr>
          <w:rFonts w:cs="Times New Roman"/>
          <w:kern w:val="0"/>
        </w:rPr>
        <w:t xml:space="preserve">, and </w:t>
      </w:r>
      <w:r w:rsidR="009941FB" w:rsidRPr="003F770E">
        <w:rPr>
          <w:rFonts w:cs="Times New Roman"/>
          <w:kern w:val="0"/>
        </w:rPr>
        <w:t>Ben-</w:t>
      </w:r>
      <w:r w:rsidRPr="003F770E">
        <w:rPr>
          <w:rFonts w:cs="Times New Roman"/>
          <w:kern w:val="0"/>
        </w:rPr>
        <w:t>Shlomo</w:t>
      </w:r>
      <w:r w:rsidR="009941FB" w:rsidRPr="003F770E">
        <w:rPr>
          <w:rFonts w:cs="Times New Roman"/>
          <w:kern w:val="0"/>
        </w:rPr>
        <w:t xml:space="preserve">, </w:t>
      </w:r>
      <w:r w:rsidR="005C2E0D" w:rsidRPr="003F770E">
        <w:rPr>
          <w:rFonts w:cs="Times New Roman"/>
          <w:kern w:val="0"/>
        </w:rPr>
        <w:t>D</w:t>
      </w:r>
      <w:r w:rsidR="009941FB" w:rsidRPr="003F770E">
        <w:rPr>
          <w:rFonts w:cs="Times New Roman"/>
          <w:kern w:val="0"/>
        </w:rPr>
        <w:t>. 2019. A Ceramic</w:t>
      </w:r>
      <w:r w:rsidR="009941FB" w:rsidRPr="007573D9">
        <w:rPr>
          <w:rFonts w:cs="Times New Roman"/>
          <w:kern w:val="0"/>
        </w:rPr>
        <w:t xml:space="preserve"> Pomegranate from Shiloh.</w:t>
      </w:r>
      <w:r w:rsidR="005C2E0D" w:rsidRPr="007573D9">
        <w:rPr>
          <w:rFonts w:cs="Times New Roman"/>
          <w:kern w:val="0"/>
        </w:rPr>
        <w:t xml:space="preserve"> </w:t>
      </w:r>
      <w:r w:rsidRPr="007573D9">
        <w:rPr>
          <w:rFonts w:cs="Times New Roman"/>
          <w:i/>
          <w:iCs/>
          <w:kern w:val="0"/>
        </w:rPr>
        <w:t>Judea and Samaria Research Studies</w:t>
      </w:r>
      <w:r w:rsidR="00693E98" w:rsidRPr="007573D9">
        <w:rPr>
          <w:rFonts w:cs="Times New Roman"/>
          <w:i/>
          <w:iCs/>
          <w:kern w:val="0"/>
        </w:rPr>
        <w:t>,</w:t>
      </w:r>
      <w:r w:rsidR="009941FB" w:rsidRPr="007573D9">
        <w:rPr>
          <w:rFonts w:cs="Times New Roman"/>
          <w:i/>
          <w:iCs/>
          <w:kern w:val="0"/>
        </w:rPr>
        <w:t xml:space="preserve"> </w:t>
      </w:r>
      <w:r w:rsidRPr="007573D9">
        <w:rPr>
          <w:rFonts w:cs="Times New Roman"/>
          <w:kern w:val="0"/>
        </w:rPr>
        <w:t>Volume 28, No. 1</w:t>
      </w:r>
      <w:r w:rsidR="00690CAE" w:rsidRPr="007573D9">
        <w:rPr>
          <w:rFonts w:cs="Times New Roman"/>
          <w:kern w:val="0"/>
        </w:rPr>
        <w:t>:</w:t>
      </w:r>
      <w:r w:rsidRPr="007573D9">
        <w:rPr>
          <w:rFonts w:cs="Times New Roman"/>
          <w:kern w:val="0"/>
        </w:rPr>
        <w:t xml:space="preserve"> 37–56</w:t>
      </w:r>
      <w:r w:rsidR="009941FB" w:rsidRPr="007573D9">
        <w:rPr>
          <w:rFonts w:cs="Times New Roman"/>
          <w:kern w:val="0"/>
        </w:rPr>
        <w:t>.</w:t>
      </w:r>
    </w:p>
    <w:p w14:paraId="6B95B47A" w14:textId="77777777" w:rsidR="0091197E" w:rsidRPr="007573D9" w:rsidRDefault="0091197E" w:rsidP="007573D9">
      <w:pPr>
        <w:autoSpaceDE w:val="0"/>
        <w:autoSpaceDN w:val="0"/>
        <w:adjustRightInd w:val="0"/>
        <w:ind w:left="720" w:hanging="720"/>
        <w:rPr>
          <w:rFonts w:cs="Times New Roman"/>
          <w:color w:val="000000" w:themeColor="text1"/>
          <w:kern w:val="0"/>
        </w:rPr>
      </w:pPr>
    </w:p>
    <w:p w14:paraId="6939A8ED" w14:textId="60F73956" w:rsidR="0091197E" w:rsidRDefault="0091197E" w:rsidP="007573D9">
      <w:pPr>
        <w:rPr>
          <w:rFonts w:cs="Times New Roman"/>
          <w:color w:val="000000" w:themeColor="text1"/>
        </w:rPr>
      </w:pPr>
      <w:r w:rsidRPr="007573D9">
        <w:rPr>
          <w:rFonts w:cs="Times New Roman"/>
          <w:color w:val="000000" w:themeColor="text1"/>
        </w:rPr>
        <w:lastRenderedPageBreak/>
        <w:t xml:space="preserve">Manley, B. 2012. </w:t>
      </w:r>
      <w:r w:rsidRPr="007573D9">
        <w:rPr>
          <w:rFonts w:cs="Times New Roman"/>
          <w:i/>
          <w:iCs/>
          <w:color w:val="000000" w:themeColor="text1"/>
        </w:rPr>
        <w:t xml:space="preserve">Egyptian Hieroglyphs for Complete Beginners. </w:t>
      </w:r>
      <w:r w:rsidRPr="007573D9">
        <w:rPr>
          <w:rFonts w:cs="Times New Roman"/>
          <w:color w:val="000000" w:themeColor="text1"/>
        </w:rPr>
        <w:t xml:space="preserve">London: Thames and </w:t>
      </w:r>
      <w:r w:rsidRPr="007573D9">
        <w:rPr>
          <w:rFonts w:cs="Times New Roman"/>
          <w:color w:val="000000" w:themeColor="text1"/>
        </w:rPr>
        <w:tab/>
        <w:t>Hudson.</w:t>
      </w:r>
    </w:p>
    <w:p w14:paraId="4D70D80E" w14:textId="77777777" w:rsidR="004A423D" w:rsidRDefault="004A423D" w:rsidP="007573D9">
      <w:pPr>
        <w:rPr>
          <w:rFonts w:cs="Times New Roman"/>
          <w:color w:val="000000" w:themeColor="text1"/>
        </w:rPr>
      </w:pPr>
    </w:p>
    <w:p w14:paraId="582D58FE" w14:textId="552135BA" w:rsidR="004A423D" w:rsidRPr="007573D9" w:rsidRDefault="004A423D" w:rsidP="004A423D">
      <w:pPr>
        <w:ind w:left="720" w:hanging="720"/>
        <w:rPr>
          <w:rFonts w:cs="Times New Roman"/>
          <w:color w:val="000000" w:themeColor="text1"/>
          <w:kern w:val="0"/>
        </w:rPr>
      </w:pPr>
      <w:r>
        <w:rPr>
          <w:rFonts w:cs="Times New Roman"/>
          <w:color w:val="000000" w:themeColor="text1"/>
        </w:rPr>
        <w:t xml:space="preserve">Petrie, W.M.F. 1933. </w:t>
      </w:r>
      <w:r w:rsidRPr="004A423D">
        <w:rPr>
          <w:rFonts w:cs="Times New Roman"/>
          <w:i/>
          <w:iCs/>
          <w:color w:val="000000" w:themeColor="text1"/>
        </w:rPr>
        <w:t>Ancient Gaza III, Tel el-Ajjul</w:t>
      </w:r>
      <w:r>
        <w:rPr>
          <w:rFonts w:cs="Times New Roman"/>
          <w:color w:val="000000" w:themeColor="text1"/>
        </w:rPr>
        <w:t>. London: University College. Reprint, New York: Cambridge University Press, 2013.</w:t>
      </w:r>
    </w:p>
    <w:p w14:paraId="3D7FAA60" w14:textId="77777777" w:rsidR="0091197E" w:rsidRPr="007573D9" w:rsidRDefault="0091197E" w:rsidP="007573D9">
      <w:pPr>
        <w:ind w:left="720" w:hanging="720"/>
        <w:rPr>
          <w:rFonts w:cs="Times New Roman"/>
          <w:color w:val="000000" w:themeColor="text1"/>
        </w:rPr>
      </w:pPr>
    </w:p>
    <w:p w14:paraId="65B80096" w14:textId="075F790E" w:rsidR="0091197E" w:rsidRPr="007573D9" w:rsidRDefault="0091197E" w:rsidP="007573D9">
      <w:pPr>
        <w:ind w:left="720" w:hanging="720"/>
        <w:rPr>
          <w:rFonts w:cs="Times New Roman"/>
          <w:color w:val="000000" w:themeColor="text1"/>
        </w:rPr>
      </w:pPr>
      <w:r w:rsidRPr="007573D9">
        <w:rPr>
          <w:rFonts w:cs="Times New Roman"/>
          <w:color w:val="000000" w:themeColor="text1"/>
        </w:rPr>
        <w:t xml:space="preserve">Richards, F. 2001. </w:t>
      </w:r>
      <w:r w:rsidRPr="007573D9">
        <w:rPr>
          <w:rFonts w:eastAsia="Times New Roman" w:cs="Times New Roman"/>
          <w:i/>
          <w:iCs/>
          <w:color w:val="000000"/>
          <w:kern w:val="0"/>
          <w14:ligatures w14:val="none"/>
        </w:rPr>
        <w:t xml:space="preserve">The </w:t>
      </w:r>
      <w:proofErr w:type="spellStart"/>
      <w:r w:rsidRPr="007573D9">
        <w:rPr>
          <w:rFonts w:eastAsia="Times New Roman" w:cs="Times New Roman"/>
          <w:i/>
          <w:iCs/>
          <w:color w:val="000000"/>
          <w:kern w:val="0"/>
          <w14:ligatures w14:val="none"/>
        </w:rPr>
        <w:t>Anra</w:t>
      </w:r>
      <w:proofErr w:type="spellEnd"/>
      <w:r w:rsidRPr="007573D9">
        <w:rPr>
          <w:rFonts w:eastAsia="Times New Roman" w:cs="Times New Roman"/>
          <w:i/>
          <w:iCs/>
          <w:color w:val="000000"/>
          <w:kern w:val="0"/>
          <w14:ligatures w14:val="none"/>
        </w:rPr>
        <w:t xml:space="preserve"> Scarab: An Archaeological and Historical Approach.</w:t>
      </w:r>
      <w:r w:rsidRPr="007573D9">
        <w:rPr>
          <w:rFonts w:eastAsia="Times New Roman" w:cs="Times New Roman"/>
          <w:color w:val="000000"/>
          <w:kern w:val="0"/>
          <w14:ligatures w14:val="none"/>
        </w:rPr>
        <w:t xml:space="preserve"> Oxford: Bar Publishing. </w:t>
      </w:r>
    </w:p>
    <w:p w14:paraId="5EFB60EB" w14:textId="77777777" w:rsidR="0091197E" w:rsidRPr="007573D9" w:rsidRDefault="0091197E" w:rsidP="007573D9">
      <w:pPr>
        <w:ind w:left="720" w:hanging="720"/>
        <w:rPr>
          <w:rFonts w:cs="Times New Roman"/>
          <w:color w:val="000000" w:themeColor="text1"/>
        </w:rPr>
      </w:pPr>
    </w:p>
    <w:p w14:paraId="6CC1FCD2" w14:textId="74B3B545" w:rsidR="0091197E" w:rsidRDefault="0091197E" w:rsidP="007573D9">
      <w:pPr>
        <w:ind w:left="720" w:hanging="720"/>
        <w:rPr>
          <w:rFonts w:cs="Times New Roman"/>
          <w:color w:val="000000" w:themeColor="text1"/>
          <w:bdr w:val="none" w:sz="0" w:space="0" w:color="auto" w:frame="1"/>
        </w:rPr>
      </w:pPr>
      <w:r w:rsidRPr="007573D9">
        <w:rPr>
          <w:rFonts w:cs="Times New Roman"/>
          <w:color w:val="000000" w:themeColor="text1"/>
        </w:rPr>
        <w:t xml:space="preserve">Rowe, A. 1936. </w:t>
      </w:r>
      <w:r w:rsidRPr="007573D9">
        <w:rPr>
          <w:rFonts w:cs="Times New Roman"/>
          <w:i/>
          <w:iCs/>
          <w:color w:val="000000" w:themeColor="text1"/>
        </w:rPr>
        <w:t xml:space="preserve">A Catalog of Egyptian Scarabs, </w:t>
      </w:r>
      <w:proofErr w:type="spellStart"/>
      <w:r w:rsidRPr="007573D9">
        <w:rPr>
          <w:rFonts w:cs="Times New Roman"/>
          <w:i/>
          <w:iCs/>
          <w:color w:val="000000" w:themeColor="text1"/>
        </w:rPr>
        <w:t>Scaraboids</w:t>
      </w:r>
      <w:proofErr w:type="spellEnd"/>
      <w:r w:rsidRPr="007573D9">
        <w:rPr>
          <w:rFonts w:cs="Times New Roman"/>
          <w:i/>
          <w:iCs/>
          <w:color w:val="000000" w:themeColor="text1"/>
        </w:rPr>
        <w:t>, Seals, and Amulets in the Palestine Archaeological Museum.</w:t>
      </w:r>
      <w:r w:rsidRPr="007573D9">
        <w:rPr>
          <w:rFonts w:cs="Times New Roman"/>
          <w:color w:val="000000" w:themeColor="text1"/>
        </w:rPr>
        <w:t xml:space="preserve"> Cairo:</w:t>
      </w:r>
      <w:r w:rsidRPr="007573D9">
        <w:rPr>
          <w:rStyle w:val="apple-converted-space"/>
          <w:rFonts w:cs="Times New Roman"/>
          <w:color w:val="000000" w:themeColor="text1"/>
          <w:shd w:val="clear" w:color="auto" w:fill="FFFFFF"/>
        </w:rPr>
        <w:t> </w:t>
      </w:r>
      <w:proofErr w:type="spellStart"/>
      <w:r w:rsidRPr="007573D9">
        <w:rPr>
          <w:rFonts w:cs="Times New Roman"/>
          <w:color w:val="000000" w:themeColor="text1"/>
          <w:bdr w:val="none" w:sz="0" w:space="0" w:color="auto" w:frame="1"/>
        </w:rPr>
        <w:t>Imprimerie</w:t>
      </w:r>
      <w:proofErr w:type="spellEnd"/>
      <w:r w:rsidRPr="007573D9">
        <w:rPr>
          <w:rFonts w:cs="Times New Roman"/>
          <w:color w:val="000000" w:themeColor="text1"/>
          <w:bdr w:val="none" w:sz="0" w:space="0" w:color="auto" w:frame="1"/>
        </w:rPr>
        <w:t xml:space="preserve"> de </w:t>
      </w:r>
      <w:proofErr w:type="spellStart"/>
      <w:r w:rsidRPr="007573D9">
        <w:rPr>
          <w:rFonts w:cs="Times New Roman"/>
          <w:color w:val="000000" w:themeColor="text1"/>
          <w:bdr w:val="none" w:sz="0" w:space="0" w:color="auto" w:frame="1"/>
        </w:rPr>
        <w:t>l</w:t>
      </w:r>
      <w:r w:rsidR="002A5585" w:rsidRPr="007573D9">
        <w:rPr>
          <w:rFonts w:cs="Times New Roman"/>
          <w:color w:val="000000" w:themeColor="text1"/>
          <w:bdr w:val="none" w:sz="0" w:space="0" w:color="auto" w:frame="1"/>
        </w:rPr>
        <w:t>’</w:t>
      </w:r>
      <w:r w:rsidRPr="007573D9">
        <w:rPr>
          <w:rFonts w:cs="Times New Roman"/>
          <w:color w:val="000000" w:themeColor="text1"/>
          <w:bdr w:val="none" w:sz="0" w:space="0" w:color="auto" w:frame="1"/>
        </w:rPr>
        <w:t>Institut</w:t>
      </w:r>
      <w:proofErr w:type="spellEnd"/>
      <w:r w:rsidRPr="007573D9">
        <w:rPr>
          <w:rFonts w:cs="Times New Roman"/>
          <w:color w:val="000000" w:themeColor="text1"/>
          <w:bdr w:val="none" w:sz="0" w:space="0" w:color="auto" w:frame="1"/>
        </w:rPr>
        <w:t xml:space="preserve"> </w:t>
      </w:r>
      <w:proofErr w:type="spellStart"/>
      <w:r w:rsidRPr="007573D9">
        <w:rPr>
          <w:rFonts w:cs="Times New Roman"/>
          <w:color w:val="000000" w:themeColor="text1"/>
          <w:bdr w:val="none" w:sz="0" w:space="0" w:color="auto" w:frame="1"/>
        </w:rPr>
        <w:t>Français</w:t>
      </w:r>
      <w:proofErr w:type="spellEnd"/>
      <w:r w:rsidRPr="007573D9">
        <w:rPr>
          <w:rFonts w:cs="Times New Roman"/>
          <w:color w:val="000000" w:themeColor="text1"/>
          <w:bdr w:val="none" w:sz="0" w:space="0" w:color="auto" w:frame="1"/>
        </w:rPr>
        <w:t xml:space="preserve"> </w:t>
      </w:r>
      <w:proofErr w:type="spellStart"/>
      <w:r w:rsidRPr="007573D9">
        <w:rPr>
          <w:rFonts w:cs="Times New Roman"/>
          <w:color w:val="000000" w:themeColor="text1"/>
          <w:bdr w:val="none" w:sz="0" w:space="0" w:color="auto" w:frame="1"/>
        </w:rPr>
        <w:t>D'archéologie</w:t>
      </w:r>
      <w:proofErr w:type="spellEnd"/>
      <w:r w:rsidRPr="007573D9">
        <w:rPr>
          <w:rFonts w:cs="Times New Roman"/>
          <w:color w:val="000000" w:themeColor="text1"/>
          <w:bdr w:val="none" w:sz="0" w:space="0" w:color="auto" w:frame="1"/>
        </w:rPr>
        <w:t xml:space="preserve"> Orientale.</w:t>
      </w:r>
    </w:p>
    <w:p w14:paraId="6E48FA2B" w14:textId="77777777" w:rsidR="00F52D2B" w:rsidRPr="007573D9" w:rsidRDefault="00F52D2B" w:rsidP="007573D9">
      <w:pPr>
        <w:ind w:left="720" w:hanging="720"/>
        <w:rPr>
          <w:rFonts w:cs="Times New Roman"/>
          <w:color w:val="1F497D"/>
        </w:rPr>
      </w:pPr>
    </w:p>
    <w:p w14:paraId="707A34E8" w14:textId="39BAE1E7" w:rsidR="002200A3" w:rsidRPr="007573D9" w:rsidRDefault="002200A3" w:rsidP="007573D9">
      <w:pPr>
        <w:autoSpaceDE w:val="0"/>
        <w:autoSpaceDN w:val="0"/>
        <w:adjustRightInd w:val="0"/>
        <w:ind w:left="720" w:hanging="720"/>
        <w:rPr>
          <w:rFonts w:cs="Times New Roman"/>
        </w:rPr>
      </w:pPr>
      <w:r w:rsidRPr="007573D9">
        <w:rPr>
          <w:rFonts w:cs="Times New Roman"/>
          <w:kern w:val="0"/>
        </w:rPr>
        <w:t xml:space="preserve">Schneider, T. 2010. Contributions to the Chronology of the New Kingdom and the Third Intermediate Period. </w:t>
      </w:r>
      <w:proofErr w:type="spellStart"/>
      <w:r w:rsidRPr="007573D9">
        <w:rPr>
          <w:rFonts w:cs="Times New Roman"/>
          <w:i/>
          <w:iCs/>
        </w:rPr>
        <w:t>Ägypten</w:t>
      </w:r>
      <w:proofErr w:type="spellEnd"/>
      <w:r w:rsidRPr="007573D9">
        <w:rPr>
          <w:rFonts w:cs="Times New Roman"/>
          <w:i/>
          <w:iCs/>
        </w:rPr>
        <w:t xml:space="preserve"> und Levante / Egypt and the Levant</w:t>
      </w:r>
      <w:r w:rsidRPr="007573D9">
        <w:rPr>
          <w:rFonts w:cs="Times New Roman"/>
        </w:rPr>
        <w:t>, 2010, Volume 20: 373</w:t>
      </w:r>
      <w:r w:rsidR="00920006" w:rsidRPr="007573D9">
        <w:rPr>
          <w:rFonts w:cs="Times New Roman"/>
        </w:rPr>
        <w:t>–</w:t>
      </w:r>
      <w:r w:rsidRPr="007573D9">
        <w:rPr>
          <w:rFonts w:cs="Times New Roman"/>
        </w:rPr>
        <w:t xml:space="preserve">403. </w:t>
      </w:r>
      <w:hyperlink r:id="rId19" w:history="1">
        <w:r w:rsidR="00466180" w:rsidRPr="007573D9">
          <w:rPr>
            <w:rStyle w:val="Hyperlink"/>
            <w:rFonts w:cs="Times New Roman"/>
          </w:rPr>
          <w:t>https://www.jstor.org/stable/23789947</w:t>
        </w:r>
      </w:hyperlink>
    </w:p>
    <w:p w14:paraId="5E996B68" w14:textId="77777777" w:rsidR="00466180" w:rsidRPr="007573D9" w:rsidRDefault="00466180" w:rsidP="007573D9">
      <w:pPr>
        <w:autoSpaceDE w:val="0"/>
        <w:autoSpaceDN w:val="0"/>
        <w:adjustRightInd w:val="0"/>
        <w:ind w:left="720" w:hanging="720"/>
        <w:rPr>
          <w:rFonts w:cs="Times New Roman"/>
          <w:kern w:val="0"/>
        </w:rPr>
      </w:pPr>
    </w:p>
    <w:p w14:paraId="512290F4" w14:textId="73608326" w:rsidR="0091197E" w:rsidRPr="007573D9" w:rsidRDefault="0091197E" w:rsidP="00097C18">
      <w:pPr>
        <w:autoSpaceDE w:val="0"/>
        <w:autoSpaceDN w:val="0"/>
        <w:adjustRightInd w:val="0"/>
        <w:ind w:left="720" w:hanging="720"/>
        <w:rPr>
          <w:rFonts w:cs="Times New Roman"/>
          <w:color w:val="000000" w:themeColor="text1"/>
          <w:kern w:val="0"/>
        </w:rPr>
      </w:pPr>
      <w:r w:rsidRPr="00FA15A6">
        <w:rPr>
          <w:rFonts w:cs="Times New Roman"/>
          <w:color w:val="000000" w:themeColor="text1"/>
          <w:kern w:val="0"/>
        </w:rPr>
        <w:t xml:space="preserve">Schroer, S. 1985. Der Mann </w:t>
      </w:r>
      <w:proofErr w:type="spellStart"/>
      <w:r w:rsidRPr="00FA15A6">
        <w:rPr>
          <w:rFonts w:cs="Times New Roman"/>
          <w:color w:val="000000" w:themeColor="text1"/>
          <w:kern w:val="0"/>
        </w:rPr>
        <w:t>im</w:t>
      </w:r>
      <w:proofErr w:type="spellEnd"/>
      <w:r w:rsidRPr="00FA15A6">
        <w:rPr>
          <w:rFonts w:cs="Times New Roman"/>
          <w:color w:val="000000" w:themeColor="text1"/>
          <w:kern w:val="0"/>
        </w:rPr>
        <w:t xml:space="preserve"> </w:t>
      </w:r>
      <w:proofErr w:type="spellStart"/>
      <w:r w:rsidRPr="00FA15A6">
        <w:rPr>
          <w:rFonts w:cs="Times New Roman"/>
          <w:color w:val="000000" w:themeColor="text1"/>
          <w:kern w:val="0"/>
        </w:rPr>
        <w:t>Wulstsaummantel</w:t>
      </w:r>
      <w:proofErr w:type="spellEnd"/>
      <w:r w:rsidRPr="00FA15A6">
        <w:rPr>
          <w:rFonts w:cs="Times New Roman"/>
          <w:color w:val="000000" w:themeColor="text1"/>
          <w:kern w:val="0"/>
        </w:rPr>
        <w:t xml:space="preserve">: Ein </w:t>
      </w:r>
      <w:proofErr w:type="spellStart"/>
      <w:r w:rsidRPr="00FA15A6">
        <w:rPr>
          <w:rFonts w:cs="Times New Roman"/>
          <w:color w:val="000000" w:themeColor="text1"/>
          <w:kern w:val="0"/>
        </w:rPr>
        <w:t>Motiv</w:t>
      </w:r>
      <w:proofErr w:type="spellEnd"/>
      <w:r w:rsidRPr="00FA15A6">
        <w:rPr>
          <w:rFonts w:cs="Times New Roman"/>
          <w:color w:val="000000" w:themeColor="text1"/>
          <w:kern w:val="0"/>
        </w:rPr>
        <w:t xml:space="preserve"> der </w:t>
      </w:r>
      <w:proofErr w:type="spellStart"/>
      <w:r w:rsidRPr="00FA15A6">
        <w:rPr>
          <w:rFonts w:cs="Times New Roman"/>
          <w:color w:val="000000" w:themeColor="text1"/>
          <w:kern w:val="0"/>
        </w:rPr>
        <w:t>Mittelbronze</w:t>
      </w:r>
      <w:proofErr w:type="spellEnd"/>
      <w:r w:rsidRPr="00FA15A6">
        <w:rPr>
          <w:rFonts w:cs="Times New Roman"/>
          <w:color w:val="000000" w:themeColor="text1"/>
          <w:kern w:val="0"/>
        </w:rPr>
        <w:t xml:space="preserve">-Zeit IIB. </w:t>
      </w:r>
      <w:r w:rsidR="00EF447F">
        <w:rPr>
          <w:rFonts w:cs="Times New Roman"/>
          <w:color w:val="000000" w:themeColor="text1"/>
          <w:kern w:val="0"/>
        </w:rPr>
        <w:t>I</w:t>
      </w:r>
      <w:r w:rsidRPr="00FA15A6">
        <w:rPr>
          <w:rFonts w:cs="Times New Roman"/>
          <w:color w:val="000000" w:themeColor="text1"/>
          <w:kern w:val="0"/>
        </w:rPr>
        <w:t xml:space="preserve">n </w:t>
      </w:r>
      <w:proofErr w:type="spellStart"/>
      <w:r w:rsidRPr="00FA15A6">
        <w:rPr>
          <w:rFonts w:cs="Times New Roman"/>
          <w:i/>
          <w:iCs/>
          <w:color w:val="000000" w:themeColor="text1"/>
          <w:kern w:val="0"/>
        </w:rPr>
        <w:t>Studien</w:t>
      </w:r>
      <w:proofErr w:type="spellEnd"/>
      <w:r w:rsidRPr="00FA15A6">
        <w:rPr>
          <w:rFonts w:cs="Times New Roman"/>
          <w:i/>
          <w:iCs/>
          <w:color w:val="000000" w:themeColor="text1"/>
          <w:kern w:val="0"/>
        </w:rPr>
        <w:t xml:space="preserve"> </w:t>
      </w:r>
      <w:proofErr w:type="spellStart"/>
      <w:r w:rsidRPr="00FA15A6">
        <w:rPr>
          <w:rFonts w:cs="Times New Roman"/>
          <w:i/>
          <w:iCs/>
          <w:color w:val="000000" w:themeColor="text1"/>
          <w:kern w:val="0"/>
        </w:rPr>
        <w:t>zu</w:t>
      </w:r>
      <w:proofErr w:type="spellEnd"/>
      <w:r w:rsidRPr="00FA15A6">
        <w:rPr>
          <w:rFonts w:cs="Times New Roman"/>
          <w:i/>
          <w:iCs/>
          <w:color w:val="000000" w:themeColor="text1"/>
          <w:kern w:val="0"/>
        </w:rPr>
        <w:t xml:space="preserve"> den </w:t>
      </w:r>
      <w:proofErr w:type="spellStart"/>
      <w:r w:rsidRPr="00FA15A6">
        <w:rPr>
          <w:rFonts w:cs="Times New Roman"/>
          <w:i/>
          <w:iCs/>
          <w:color w:val="000000" w:themeColor="text1"/>
          <w:kern w:val="0"/>
        </w:rPr>
        <w:t>Stempelsiegeln</w:t>
      </w:r>
      <w:proofErr w:type="spellEnd"/>
      <w:r w:rsidRPr="00FA15A6">
        <w:rPr>
          <w:rFonts w:cs="Times New Roman"/>
          <w:i/>
          <w:iCs/>
          <w:color w:val="000000" w:themeColor="text1"/>
          <w:kern w:val="0"/>
        </w:rPr>
        <w:t xml:space="preserve"> </w:t>
      </w:r>
      <w:proofErr w:type="spellStart"/>
      <w:r w:rsidRPr="00FA15A6">
        <w:rPr>
          <w:rFonts w:cs="Times New Roman"/>
          <w:i/>
          <w:iCs/>
          <w:color w:val="000000" w:themeColor="text1"/>
          <w:kern w:val="0"/>
        </w:rPr>
        <w:t>aus</w:t>
      </w:r>
      <w:proofErr w:type="spellEnd"/>
      <w:r w:rsidRPr="00FA15A6">
        <w:rPr>
          <w:rFonts w:cs="Times New Roman"/>
          <w:i/>
          <w:iCs/>
          <w:color w:val="000000" w:themeColor="text1"/>
          <w:kern w:val="0"/>
        </w:rPr>
        <w:t xml:space="preserve"> </w:t>
      </w:r>
      <w:proofErr w:type="spellStart"/>
      <w:r w:rsidRPr="00FA15A6">
        <w:rPr>
          <w:rFonts w:cs="Times New Roman"/>
          <w:i/>
          <w:iCs/>
          <w:color w:val="000000" w:themeColor="text1"/>
          <w:kern w:val="0"/>
        </w:rPr>
        <w:t>Palästina</w:t>
      </w:r>
      <w:proofErr w:type="spellEnd"/>
      <w:r w:rsidRPr="00FA15A6">
        <w:rPr>
          <w:rFonts w:cs="Times New Roman"/>
          <w:i/>
          <w:iCs/>
          <w:color w:val="000000" w:themeColor="text1"/>
          <w:kern w:val="0"/>
        </w:rPr>
        <w:t>/Israel I</w:t>
      </w:r>
      <w:r w:rsidRPr="00FA15A6">
        <w:rPr>
          <w:rFonts w:cs="Times New Roman"/>
          <w:color w:val="000000" w:themeColor="text1"/>
          <w:kern w:val="0"/>
        </w:rPr>
        <w:t xml:space="preserve">, by O. Keel and S. Schroer. Orbis </w:t>
      </w:r>
      <w:proofErr w:type="spellStart"/>
      <w:r w:rsidRPr="00FA15A6">
        <w:rPr>
          <w:rFonts w:cs="Times New Roman"/>
          <w:color w:val="000000" w:themeColor="text1"/>
          <w:kern w:val="0"/>
        </w:rPr>
        <w:t>Biblicus</w:t>
      </w:r>
      <w:proofErr w:type="spellEnd"/>
      <w:r w:rsidRPr="00FA15A6">
        <w:rPr>
          <w:rFonts w:cs="Times New Roman"/>
          <w:color w:val="000000" w:themeColor="text1"/>
          <w:kern w:val="0"/>
        </w:rPr>
        <w:t xml:space="preserve"> et </w:t>
      </w:r>
      <w:proofErr w:type="spellStart"/>
      <w:r w:rsidRPr="00FA15A6">
        <w:rPr>
          <w:rFonts w:cs="Times New Roman"/>
          <w:color w:val="000000" w:themeColor="text1"/>
          <w:kern w:val="0"/>
        </w:rPr>
        <w:t>Orientalis</w:t>
      </w:r>
      <w:proofErr w:type="spellEnd"/>
      <w:r w:rsidRPr="00FA15A6">
        <w:rPr>
          <w:rFonts w:cs="Times New Roman"/>
          <w:color w:val="000000" w:themeColor="text1"/>
          <w:kern w:val="0"/>
        </w:rPr>
        <w:t xml:space="preserve"> 67. </w:t>
      </w:r>
      <w:r w:rsidRPr="00FA15A6">
        <w:rPr>
          <w:rFonts w:cs="Times New Roman"/>
          <w:color w:val="050505"/>
          <w:shd w:val="clear" w:color="auto" w:fill="FFFFFF"/>
        </w:rPr>
        <w:t xml:space="preserve">Freiburg and Göttingen: </w:t>
      </w:r>
      <w:proofErr w:type="spellStart"/>
      <w:r w:rsidR="00122995" w:rsidRPr="00FA15A6">
        <w:rPr>
          <w:rFonts w:cs="Times New Roman"/>
          <w:color w:val="050505"/>
          <w:shd w:val="clear" w:color="auto" w:fill="FFFFFF"/>
        </w:rPr>
        <w:t>van</w:t>
      </w:r>
      <w:r w:rsidRPr="00FA15A6">
        <w:rPr>
          <w:rFonts w:cs="Times New Roman"/>
          <w:color w:val="050505"/>
          <w:shd w:val="clear" w:color="auto" w:fill="FFFFFF"/>
        </w:rPr>
        <w:t>denhoeck</w:t>
      </w:r>
      <w:proofErr w:type="spellEnd"/>
      <w:r w:rsidRPr="00FA15A6">
        <w:rPr>
          <w:rFonts w:cs="Times New Roman"/>
          <w:color w:val="050505"/>
          <w:shd w:val="clear" w:color="auto" w:fill="FFFFFF"/>
        </w:rPr>
        <w:t xml:space="preserve"> &amp; Ruprecht</w:t>
      </w:r>
      <w:r w:rsidR="000A27EB" w:rsidRPr="00FA15A6">
        <w:rPr>
          <w:rFonts w:cs="Times New Roman"/>
          <w:color w:val="050505"/>
          <w:shd w:val="clear" w:color="auto" w:fill="FFFFFF"/>
        </w:rPr>
        <w:t>:</w:t>
      </w:r>
      <w:r w:rsidR="00693E98" w:rsidRPr="00FA15A6">
        <w:rPr>
          <w:rFonts w:cs="Times New Roman"/>
          <w:color w:val="050505"/>
          <w:shd w:val="clear" w:color="auto" w:fill="FFFFFF"/>
        </w:rPr>
        <w:t xml:space="preserve"> </w:t>
      </w:r>
      <w:r w:rsidR="00690CAE" w:rsidRPr="00FA15A6">
        <w:rPr>
          <w:rFonts w:cs="Times New Roman"/>
          <w:color w:val="000000" w:themeColor="text1"/>
          <w:kern w:val="0"/>
        </w:rPr>
        <w:t>49–115</w:t>
      </w:r>
      <w:r w:rsidR="00920006" w:rsidRPr="00FA15A6">
        <w:rPr>
          <w:rFonts w:cs="Times New Roman"/>
          <w:color w:val="000000" w:themeColor="text1"/>
          <w:kern w:val="0"/>
        </w:rPr>
        <w:t>.</w:t>
      </w:r>
    </w:p>
    <w:p w14:paraId="310F3C09" w14:textId="77777777" w:rsidR="00605573" w:rsidRPr="007573D9" w:rsidRDefault="00605573" w:rsidP="007573D9">
      <w:pPr>
        <w:autoSpaceDE w:val="0"/>
        <w:autoSpaceDN w:val="0"/>
        <w:adjustRightInd w:val="0"/>
        <w:ind w:left="720" w:hanging="720"/>
        <w:rPr>
          <w:rFonts w:cs="Times New Roman"/>
          <w:color w:val="000000" w:themeColor="text1"/>
          <w:kern w:val="0"/>
        </w:rPr>
      </w:pPr>
    </w:p>
    <w:p w14:paraId="361FC5DF" w14:textId="58944808" w:rsidR="0091197E" w:rsidRPr="00993AD6" w:rsidRDefault="0091197E" w:rsidP="007573D9">
      <w:pPr>
        <w:autoSpaceDE w:val="0"/>
        <w:autoSpaceDN w:val="0"/>
        <w:adjustRightInd w:val="0"/>
        <w:ind w:left="720" w:hanging="720"/>
        <w:rPr>
          <w:rFonts w:cs="Times New Roman"/>
          <w:color w:val="050505"/>
          <w:shd w:val="clear" w:color="auto" w:fill="FFFFFF"/>
        </w:rPr>
      </w:pPr>
      <w:r w:rsidRPr="007573D9">
        <w:rPr>
          <w:rFonts w:cs="Times New Roman"/>
          <w:color w:val="000000" w:themeColor="text1"/>
          <w:kern w:val="0"/>
        </w:rPr>
        <w:t xml:space="preserve">Schroer, S. 1989. Die </w:t>
      </w:r>
      <w:proofErr w:type="spellStart"/>
      <w:r w:rsidRPr="007573D9">
        <w:rPr>
          <w:rFonts w:cs="Times New Roman"/>
          <w:color w:val="000000" w:themeColor="text1"/>
          <w:kern w:val="0"/>
        </w:rPr>
        <w:t>Göttin</w:t>
      </w:r>
      <w:proofErr w:type="spellEnd"/>
      <w:r w:rsidRPr="007573D9">
        <w:rPr>
          <w:rFonts w:cs="Times New Roman"/>
          <w:color w:val="000000" w:themeColor="text1"/>
          <w:kern w:val="0"/>
        </w:rPr>
        <w:t xml:space="preserve"> auf den </w:t>
      </w:r>
      <w:proofErr w:type="spellStart"/>
      <w:r w:rsidRPr="007573D9">
        <w:rPr>
          <w:rFonts w:cs="Times New Roman"/>
          <w:color w:val="000000" w:themeColor="text1"/>
          <w:kern w:val="0"/>
        </w:rPr>
        <w:t>Stempelsiegeln</w:t>
      </w:r>
      <w:proofErr w:type="spellEnd"/>
      <w:r w:rsidRPr="007573D9">
        <w:rPr>
          <w:rFonts w:cs="Times New Roman"/>
          <w:color w:val="000000" w:themeColor="text1"/>
          <w:kern w:val="0"/>
        </w:rPr>
        <w:t xml:space="preserve"> </w:t>
      </w:r>
      <w:proofErr w:type="spellStart"/>
      <w:r w:rsidRPr="007573D9">
        <w:rPr>
          <w:rFonts w:cs="Times New Roman"/>
          <w:color w:val="000000" w:themeColor="text1"/>
          <w:kern w:val="0"/>
        </w:rPr>
        <w:t>aus</w:t>
      </w:r>
      <w:proofErr w:type="spellEnd"/>
      <w:r w:rsidRPr="007573D9">
        <w:rPr>
          <w:rFonts w:cs="Times New Roman"/>
          <w:color w:val="000000" w:themeColor="text1"/>
          <w:kern w:val="0"/>
        </w:rPr>
        <w:t xml:space="preserve"> </w:t>
      </w:r>
      <w:proofErr w:type="spellStart"/>
      <w:r w:rsidRPr="007573D9">
        <w:rPr>
          <w:rFonts w:cs="Times New Roman"/>
          <w:color w:val="000000" w:themeColor="text1"/>
          <w:kern w:val="0"/>
        </w:rPr>
        <w:t>Palästina</w:t>
      </w:r>
      <w:proofErr w:type="spellEnd"/>
      <w:r w:rsidRPr="007573D9">
        <w:rPr>
          <w:rFonts w:cs="Times New Roman"/>
          <w:color w:val="000000" w:themeColor="text1"/>
          <w:kern w:val="0"/>
        </w:rPr>
        <w:t xml:space="preserve">/Israel. </w:t>
      </w:r>
      <w:r w:rsidR="00EF447F">
        <w:rPr>
          <w:rFonts w:cs="Times New Roman"/>
          <w:color w:val="000000" w:themeColor="text1"/>
          <w:kern w:val="0"/>
        </w:rPr>
        <w:t>I</w:t>
      </w:r>
      <w:r w:rsidRPr="007573D9">
        <w:rPr>
          <w:rFonts w:cs="Times New Roman"/>
          <w:color w:val="000000" w:themeColor="text1"/>
          <w:kern w:val="0"/>
        </w:rPr>
        <w:t xml:space="preserve">n </w:t>
      </w:r>
      <w:proofErr w:type="spellStart"/>
      <w:r w:rsidRPr="007573D9">
        <w:rPr>
          <w:rFonts w:cs="Times New Roman"/>
          <w:color w:val="000000" w:themeColor="text1"/>
          <w:kern w:val="0"/>
        </w:rPr>
        <w:t>Studien</w:t>
      </w:r>
      <w:proofErr w:type="spellEnd"/>
      <w:r w:rsidRPr="007573D9">
        <w:rPr>
          <w:rFonts w:cs="Times New Roman"/>
          <w:color w:val="000000" w:themeColor="text1"/>
          <w:kern w:val="0"/>
        </w:rPr>
        <w:t xml:space="preserve"> </w:t>
      </w:r>
      <w:proofErr w:type="spellStart"/>
      <w:r w:rsidRPr="007573D9">
        <w:rPr>
          <w:rFonts w:cs="Times New Roman"/>
          <w:color w:val="000000" w:themeColor="text1"/>
          <w:kern w:val="0"/>
        </w:rPr>
        <w:t>zu</w:t>
      </w:r>
      <w:proofErr w:type="spellEnd"/>
      <w:r w:rsidRPr="007573D9">
        <w:rPr>
          <w:rFonts w:cs="Times New Roman"/>
          <w:color w:val="000000" w:themeColor="text1"/>
          <w:kern w:val="0"/>
        </w:rPr>
        <w:t xml:space="preserve"> den </w:t>
      </w:r>
      <w:proofErr w:type="spellStart"/>
      <w:r w:rsidRPr="007573D9">
        <w:rPr>
          <w:rFonts w:cs="Times New Roman"/>
          <w:color w:val="000000" w:themeColor="text1"/>
          <w:kern w:val="0"/>
        </w:rPr>
        <w:t>Stempelsiegeln</w:t>
      </w:r>
      <w:proofErr w:type="spellEnd"/>
      <w:r w:rsidRPr="007573D9">
        <w:rPr>
          <w:rFonts w:cs="Times New Roman"/>
          <w:color w:val="000000" w:themeColor="text1"/>
          <w:kern w:val="0"/>
        </w:rPr>
        <w:t xml:space="preserve"> </w:t>
      </w:r>
      <w:proofErr w:type="spellStart"/>
      <w:r w:rsidRPr="007573D9">
        <w:rPr>
          <w:rFonts w:cs="Times New Roman"/>
          <w:color w:val="000000" w:themeColor="text1"/>
          <w:kern w:val="0"/>
        </w:rPr>
        <w:t>aus</w:t>
      </w:r>
      <w:proofErr w:type="spellEnd"/>
      <w:r w:rsidRPr="007573D9">
        <w:rPr>
          <w:rFonts w:cs="Times New Roman"/>
          <w:color w:val="000000" w:themeColor="text1"/>
          <w:kern w:val="0"/>
        </w:rPr>
        <w:t xml:space="preserve"> </w:t>
      </w:r>
      <w:proofErr w:type="spellStart"/>
      <w:r w:rsidRPr="007573D9">
        <w:rPr>
          <w:rFonts w:cs="Times New Roman"/>
          <w:color w:val="000000" w:themeColor="text1"/>
          <w:kern w:val="0"/>
        </w:rPr>
        <w:t>Palästina</w:t>
      </w:r>
      <w:proofErr w:type="spellEnd"/>
      <w:r w:rsidRPr="007573D9">
        <w:rPr>
          <w:rFonts w:cs="Times New Roman"/>
          <w:color w:val="000000" w:themeColor="text1"/>
          <w:kern w:val="0"/>
        </w:rPr>
        <w:t>/Israel II</w:t>
      </w:r>
      <w:r w:rsidRPr="00993AD6">
        <w:rPr>
          <w:rFonts w:cs="Times New Roman"/>
          <w:color w:val="000000" w:themeColor="text1"/>
          <w:kern w:val="0"/>
        </w:rPr>
        <w:t xml:space="preserve">, by O. Keel, H. Keel-Leu, and S. Schroer. Orbis </w:t>
      </w:r>
      <w:proofErr w:type="spellStart"/>
      <w:r w:rsidRPr="00993AD6">
        <w:rPr>
          <w:rFonts w:cs="Times New Roman"/>
          <w:color w:val="000000" w:themeColor="text1"/>
          <w:kern w:val="0"/>
        </w:rPr>
        <w:t>Biblicus</w:t>
      </w:r>
      <w:proofErr w:type="spellEnd"/>
      <w:r w:rsidRPr="00993AD6">
        <w:rPr>
          <w:rFonts w:cs="Times New Roman"/>
          <w:color w:val="000000" w:themeColor="text1"/>
          <w:kern w:val="0"/>
        </w:rPr>
        <w:t xml:space="preserve"> et </w:t>
      </w:r>
      <w:proofErr w:type="spellStart"/>
      <w:r w:rsidRPr="00993AD6">
        <w:rPr>
          <w:rFonts w:cs="Times New Roman"/>
          <w:color w:val="000000" w:themeColor="text1"/>
          <w:kern w:val="0"/>
        </w:rPr>
        <w:t>Orientalis</w:t>
      </w:r>
      <w:proofErr w:type="spellEnd"/>
      <w:r w:rsidRPr="00993AD6">
        <w:rPr>
          <w:rFonts w:cs="Times New Roman"/>
          <w:color w:val="000000" w:themeColor="text1"/>
          <w:kern w:val="0"/>
        </w:rPr>
        <w:t xml:space="preserve"> 88. </w:t>
      </w:r>
      <w:r w:rsidRPr="00993AD6">
        <w:rPr>
          <w:rFonts w:cs="Times New Roman"/>
          <w:color w:val="050505"/>
          <w:shd w:val="clear" w:color="auto" w:fill="FFFFFF"/>
        </w:rPr>
        <w:t xml:space="preserve">Freiburg and Göttingen: </w:t>
      </w:r>
      <w:proofErr w:type="spellStart"/>
      <w:r w:rsidR="00122995" w:rsidRPr="00993AD6">
        <w:rPr>
          <w:rFonts w:cs="Times New Roman"/>
          <w:color w:val="050505"/>
          <w:shd w:val="clear" w:color="auto" w:fill="FFFFFF"/>
        </w:rPr>
        <w:t>van</w:t>
      </w:r>
      <w:r w:rsidRPr="00993AD6">
        <w:rPr>
          <w:rFonts w:cs="Times New Roman"/>
          <w:color w:val="050505"/>
          <w:shd w:val="clear" w:color="auto" w:fill="FFFFFF"/>
        </w:rPr>
        <w:t>denhoeck</w:t>
      </w:r>
      <w:proofErr w:type="spellEnd"/>
      <w:r w:rsidRPr="00993AD6">
        <w:rPr>
          <w:rFonts w:cs="Times New Roman"/>
          <w:color w:val="050505"/>
          <w:shd w:val="clear" w:color="auto" w:fill="FFFFFF"/>
        </w:rPr>
        <w:t xml:space="preserve"> &amp; Ruprecht</w:t>
      </w:r>
      <w:r w:rsidR="000A27EB" w:rsidRPr="00993AD6">
        <w:rPr>
          <w:rFonts w:cs="Times New Roman"/>
          <w:color w:val="050505"/>
          <w:shd w:val="clear" w:color="auto" w:fill="FFFFFF"/>
        </w:rPr>
        <w:t>:</w:t>
      </w:r>
      <w:r w:rsidR="00693E98" w:rsidRPr="00993AD6">
        <w:rPr>
          <w:rFonts w:cs="Times New Roman"/>
          <w:color w:val="050505"/>
          <w:shd w:val="clear" w:color="auto" w:fill="FFFFFF"/>
        </w:rPr>
        <w:t xml:space="preserve"> </w:t>
      </w:r>
      <w:r w:rsidR="00693E98" w:rsidRPr="00993AD6">
        <w:rPr>
          <w:rFonts w:cs="Times New Roman"/>
          <w:color w:val="000000" w:themeColor="text1"/>
          <w:kern w:val="0"/>
        </w:rPr>
        <w:t>89–207.</w:t>
      </w:r>
    </w:p>
    <w:p w14:paraId="7BF6BEB2" w14:textId="77777777" w:rsidR="0091197E" w:rsidRPr="00993AD6" w:rsidRDefault="0091197E" w:rsidP="007573D9">
      <w:pPr>
        <w:autoSpaceDE w:val="0"/>
        <w:autoSpaceDN w:val="0"/>
        <w:adjustRightInd w:val="0"/>
        <w:ind w:left="720" w:hanging="720"/>
        <w:rPr>
          <w:rFonts w:cs="Times New Roman"/>
          <w:color w:val="000000" w:themeColor="text1"/>
          <w:kern w:val="0"/>
        </w:rPr>
      </w:pPr>
    </w:p>
    <w:p w14:paraId="43FEA5D4" w14:textId="31309B0F" w:rsidR="0091197E" w:rsidRDefault="0091197E" w:rsidP="007573D9">
      <w:pPr>
        <w:rPr>
          <w:rFonts w:cs="Times New Roman"/>
          <w:color w:val="000000" w:themeColor="text1"/>
          <w:lang w:val="en-GB"/>
        </w:rPr>
      </w:pPr>
      <w:r w:rsidRPr="00993AD6">
        <w:rPr>
          <w:rFonts w:cs="Times New Roman"/>
          <w:color w:val="000000" w:themeColor="text1"/>
          <w:lang w:val="en-GB"/>
        </w:rPr>
        <w:t>Silverman, D</w:t>
      </w:r>
      <w:r w:rsidR="005C2E0D" w:rsidRPr="00993AD6">
        <w:rPr>
          <w:rFonts w:cs="Times New Roman"/>
          <w:color w:val="000000" w:themeColor="text1"/>
          <w:lang w:val="en-GB"/>
        </w:rPr>
        <w:t>.</w:t>
      </w:r>
      <w:r w:rsidRPr="00993AD6">
        <w:rPr>
          <w:rFonts w:cs="Times New Roman"/>
          <w:color w:val="000000" w:themeColor="text1"/>
          <w:lang w:val="en-GB"/>
        </w:rPr>
        <w:t xml:space="preserve"> P. </w:t>
      </w:r>
      <w:r w:rsidR="00171928" w:rsidRPr="00993AD6">
        <w:rPr>
          <w:rFonts w:cs="Times New Roman"/>
          <w:color w:val="000000" w:themeColor="text1"/>
          <w:lang w:val="en-GB"/>
        </w:rPr>
        <w:t>Editor.</w:t>
      </w:r>
      <w:r w:rsidRPr="00993AD6">
        <w:rPr>
          <w:rFonts w:cs="Times New Roman"/>
          <w:color w:val="000000" w:themeColor="text1"/>
          <w:lang w:val="en-GB"/>
        </w:rPr>
        <w:t xml:space="preserve"> 1997. </w:t>
      </w:r>
      <w:r w:rsidRPr="00993AD6">
        <w:rPr>
          <w:rFonts w:cs="Times New Roman"/>
          <w:i/>
          <w:iCs/>
          <w:color w:val="000000" w:themeColor="text1"/>
          <w:lang w:val="en-GB"/>
        </w:rPr>
        <w:t xml:space="preserve">Ancient Egypt. </w:t>
      </w:r>
      <w:r w:rsidRPr="00993AD6">
        <w:rPr>
          <w:rFonts w:cs="Times New Roman"/>
          <w:color w:val="000000" w:themeColor="text1"/>
          <w:lang w:val="en-GB"/>
        </w:rPr>
        <w:t>New York: Oxford University Press.</w:t>
      </w:r>
    </w:p>
    <w:p w14:paraId="22B3FE48" w14:textId="77777777" w:rsidR="00993AD6" w:rsidRPr="00993AD6" w:rsidRDefault="00993AD6" w:rsidP="007573D9">
      <w:pPr>
        <w:rPr>
          <w:rFonts w:cs="Times New Roman"/>
          <w:color w:val="000000" w:themeColor="text1"/>
          <w:lang w:val="en-GB"/>
        </w:rPr>
      </w:pPr>
    </w:p>
    <w:p w14:paraId="440CFC27" w14:textId="530F977E" w:rsidR="00993AD6" w:rsidRDefault="00993AD6" w:rsidP="00993AD6">
      <w:pPr>
        <w:ind w:left="720" w:hanging="720"/>
        <w:jc w:val="both"/>
        <w:rPr>
          <w:rFonts w:cs="Times New Roman"/>
          <w:lang w:val="en-GB"/>
        </w:rPr>
      </w:pPr>
      <w:r w:rsidRPr="00993AD6">
        <w:rPr>
          <w:rFonts w:cs="Times New Roman"/>
          <w:lang w:val="en-GB"/>
        </w:rPr>
        <w:t xml:space="preserve">Stripling, S. 2018. </w:t>
      </w:r>
      <w:r w:rsidRPr="00993AD6">
        <w:rPr>
          <w:rFonts w:cs="Times New Roman"/>
          <w:i/>
          <w:iCs/>
          <w:lang w:val="en-GB"/>
        </w:rPr>
        <w:t>Shiloh Annual Report</w:t>
      </w:r>
      <w:r w:rsidRPr="00993AD6">
        <w:rPr>
          <w:rFonts w:cs="Times New Roman"/>
          <w:lang w:val="en-GB"/>
        </w:rPr>
        <w:t>. Unpublished Report. Akron: Associates for Biblical Research.</w:t>
      </w:r>
    </w:p>
    <w:p w14:paraId="59A776E8" w14:textId="77777777" w:rsidR="00993AD6" w:rsidRPr="00993AD6" w:rsidRDefault="00993AD6" w:rsidP="00993AD6">
      <w:pPr>
        <w:ind w:left="720" w:hanging="720"/>
        <w:jc w:val="both"/>
      </w:pPr>
    </w:p>
    <w:p w14:paraId="7D82FBB2" w14:textId="18339232" w:rsidR="00E86A34" w:rsidRDefault="00993AD6" w:rsidP="00993AD6">
      <w:pPr>
        <w:ind w:left="720" w:hanging="720"/>
        <w:rPr>
          <w:rFonts w:cs="Times New Roman"/>
          <w:lang w:val="en-GB"/>
        </w:rPr>
      </w:pPr>
      <w:r w:rsidRPr="00E00597">
        <w:rPr>
          <w:rFonts w:cs="Times New Roman"/>
          <w:lang w:val="en-GB"/>
        </w:rPr>
        <w:t>Stripling, S. 201</w:t>
      </w:r>
      <w:r>
        <w:rPr>
          <w:rFonts w:cs="Times New Roman"/>
          <w:lang w:val="en-GB"/>
        </w:rPr>
        <w:t>9</w:t>
      </w:r>
      <w:r w:rsidRPr="00E00597">
        <w:rPr>
          <w:rFonts w:cs="Times New Roman"/>
          <w:lang w:val="en-GB"/>
        </w:rPr>
        <w:t xml:space="preserve">. </w:t>
      </w:r>
      <w:r w:rsidRPr="00E00597">
        <w:rPr>
          <w:rFonts w:cs="Times New Roman"/>
          <w:i/>
          <w:iCs/>
          <w:lang w:val="en-GB"/>
        </w:rPr>
        <w:t>Shiloh Annual Report</w:t>
      </w:r>
      <w:r w:rsidRPr="00E00597">
        <w:rPr>
          <w:rFonts w:cs="Times New Roman"/>
          <w:lang w:val="en-GB"/>
        </w:rPr>
        <w:t>. Unpublished Report. Akron: Associates for Biblical Research.</w:t>
      </w:r>
    </w:p>
    <w:p w14:paraId="0B8A255E" w14:textId="77777777" w:rsidR="00993AD6" w:rsidRPr="00993AD6" w:rsidRDefault="00993AD6" w:rsidP="007573D9">
      <w:pPr>
        <w:rPr>
          <w:rFonts w:cs="Times New Roman"/>
          <w:color w:val="000000" w:themeColor="text1"/>
          <w:lang w:val="en-GB"/>
        </w:rPr>
      </w:pPr>
    </w:p>
    <w:p w14:paraId="653E0E24" w14:textId="30B96238" w:rsidR="0091197E" w:rsidRPr="00993AD6" w:rsidRDefault="0091197E" w:rsidP="007573D9">
      <w:pPr>
        <w:ind w:left="720" w:hanging="720"/>
        <w:rPr>
          <w:rFonts w:cs="Times New Roman"/>
          <w:color w:val="000000" w:themeColor="text1"/>
        </w:rPr>
      </w:pPr>
      <w:r w:rsidRPr="00993AD6">
        <w:rPr>
          <w:rFonts w:cs="Times New Roman"/>
          <w:color w:val="000000" w:themeColor="text1"/>
        </w:rPr>
        <w:t xml:space="preserve">Tufnell, O. 1958. </w:t>
      </w:r>
      <w:r w:rsidRPr="00993AD6">
        <w:rPr>
          <w:rFonts w:cs="Times New Roman"/>
          <w:i/>
          <w:iCs/>
          <w:color w:val="000000" w:themeColor="text1"/>
          <w:kern w:val="0"/>
        </w:rPr>
        <w:t>Lachish IV (Tell ed-</w:t>
      </w:r>
      <w:proofErr w:type="spellStart"/>
      <w:r w:rsidRPr="00993AD6">
        <w:rPr>
          <w:rFonts w:cs="Times New Roman"/>
          <w:i/>
          <w:iCs/>
          <w:color w:val="000000" w:themeColor="text1"/>
          <w:kern w:val="0"/>
        </w:rPr>
        <w:t>Duweir</w:t>
      </w:r>
      <w:proofErr w:type="spellEnd"/>
      <w:r w:rsidRPr="00993AD6">
        <w:rPr>
          <w:rFonts w:cs="Times New Roman"/>
          <w:i/>
          <w:iCs/>
          <w:color w:val="000000" w:themeColor="text1"/>
          <w:kern w:val="0"/>
        </w:rPr>
        <w:t xml:space="preserve">): The Bronze Age. 2 </w:t>
      </w:r>
      <w:r w:rsidR="00693E98" w:rsidRPr="00993AD6">
        <w:rPr>
          <w:rFonts w:cs="Times New Roman"/>
          <w:i/>
          <w:iCs/>
          <w:color w:val="000000" w:themeColor="text1"/>
          <w:kern w:val="0"/>
        </w:rPr>
        <w:t>Volumes</w:t>
      </w:r>
      <w:r w:rsidRPr="00993AD6">
        <w:rPr>
          <w:rFonts w:cs="Times New Roman"/>
          <w:i/>
          <w:iCs/>
          <w:color w:val="000000" w:themeColor="text1"/>
          <w:kern w:val="0"/>
        </w:rPr>
        <w:t>.</w:t>
      </w:r>
      <w:r w:rsidRPr="00993AD6">
        <w:rPr>
          <w:rFonts w:cs="Times New Roman"/>
          <w:color w:val="000000" w:themeColor="text1"/>
          <w:kern w:val="0"/>
        </w:rPr>
        <w:t xml:space="preserve"> London: Oxford University Press.</w:t>
      </w:r>
    </w:p>
    <w:p w14:paraId="18B1664E" w14:textId="77777777" w:rsidR="0091197E" w:rsidRPr="00993AD6" w:rsidRDefault="0091197E" w:rsidP="007573D9">
      <w:pPr>
        <w:rPr>
          <w:rFonts w:cs="Times New Roman"/>
          <w:color w:val="000000" w:themeColor="text1"/>
        </w:rPr>
      </w:pPr>
    </w:p>
    <w:p w14:paraId="68AE6F0A" w14:textId="226C84B8" w:rsidR="0091197E" w:rsidRPr="007573D9" w:rsidRDefault="0091197E" w:rsidP="007573D9">
      <w:pPr>
        <w:ind w:left="720" w:hanging="720"/>
        <w:rPr>
          <w:rFonts w:cs="Times New Roman"/>
          <w:color w:val="000000" w:themeColor="text1"/>
        </w:rPr>
      </w:pPr>
      <w:r w:rsidRPr="00993AD6">
        <w:rPr>
          <w:rFonts w:cs="Times New Roman"/>
          <w:color w:val="000000" w:themeColor="text1"/>
        </w:rPr>
        <w:t xml:space="preserve">Tufnell, O. 1984. </w:t>
      </w:r>
      <w:r w:rsidRPr="00993AD6">
        <w:rPr>
          <w:rFonts w:cs="Times New Roman"/>
          <w:i/>
          <w:iCs/>
          <w:color w:val="000000" w:themeColor="text1"/>
        </w:rPr>
        <w:t>Studies on Scarab Seals, Scarab Seals</w:t>
      </w:r>
      <w:r w:rsidRPr="007573D9">
        <w:rPr>
          <w:rFonts w:cs="Times New Roman"/>
          <w:i/>
          <w:iCs/>
          <w:color w:val="000000" w:themeColor="text1"/>
        </w:rPr>
        <w:t xml:space="preserve"> Vo</w:t>
      </w:r>
      <w:r w:rsidR="00782631" w:rsidRPr="007573D9">
        <w:rPr>
          <w:rFonts w:cs="Times New Roman"/>
          <w:i/>
          <w:iCs/>
          <w:color w:val="000000" w:themeColor="text1"/>
        </w:rPr>
        <w:t>lume</w:t>
      </w:r>
      <w:r w:rsidRPr="007573D9">
        <w:rPr>
          <w:rFonts w:cs="Times New Roman"/>
          <w:i/>
          <w:iCs/>
          <w:color w:val="000000" w:themeColor="text1"/>
        </w:rPr>
        <w:t xml:space="preserve"> 2, Parts 1 and 2, Their Contribution to the History in the Early Second Millennium B.C. </w:t>
      </w:r>
      <w:r w:rsidRPr="007573D9">
        <w:rPr>
          <w:rFonts w:cs="Times New Roman"/>
          <w:color w:val="000000" w:themeColor="text1"/>
        </w:rPr>
        <w:t xml:space="preserve">Warminster: Aris and Phillips LTD. </w:t>
      </w:r>
    </w:p>
    <w:p w14:paraId="3EE85D29" w14:textId="77777777" w:rsidR="0091197E" w:rsidRPr="007573D9" w:rsidRDefault="0091197E" w:rsidP="007573D9">
      <w:pPr>
        <w:rPr>
          <w:rFonts w:cs="Times New Roman"/>
          <w:color w:val="000000" w:themeColor="text1"/>
        </w:rPr>
      </w:pPr>
    </w:p>
    <w:p w14:paraId="734AC8DB" w14:textId="382C3CA5" w:rsidR="0091197E" w:rsidRPr="007573D9" w:rsidRDefault="0091197E" w:rsidP="007573D9">
      <w:pPr>
        <w:autoSpaceDE w:val="0"/>
        <w:autoSpaceDN w:val="0"/>
        <w:adjustRightInd w:val="0"/>
        <w:ind w:left="720" w:hanging="720"/>
        <w:rPr>
          <w:rFonts w:cs="Times New Roman"/>
          <w:kern w:val="0"/>
        </w:rPr>
      </w:pPr>
      <w:r w:rsidRPr="007573D9">
        <w:rPr>
          <w:rFonts w:cs="Times New Roman"/>
          <w:kern w:val="0"/>
        </w:rPr>
        <w:t>Ward, W</w:t>
      </w:r>
      <w:r w:rsidR="005C2E0D" w:rsidRPr="007573D9">
        <w:rPr>
          <w:rFonts w:cs="Times New Roman"/>
          <w:kern w:val="0"/>
        </w:rPr>
        <w:t>.</w:t>
      </w:r>
      <w:r w:rsidRPr="007573D9">
        <w:rPr>
          <w:rFonts w:cs="Times New Roman"/>
          <w:kern w:val="0"/>
        </w:rPr>
        <w:t xml:space="preserve"> A. 1971. </w:t>
      </w:r>
      <w:r w:rsidRPr="007573D9">
        <w:rPr>
          <w:rFonts w:cs="Times New Roman"/>
          <w:i/>
          <w:iCs/>
          <w:kern w:val="0"/>
        </w:rPr>
        <w:t>Egypt and the East Mediterranean World 2200</w:t>
      </w:r>
      <w:r w:rsidR="002A5585" w:rsidRPr="007573D9">
        <w:rPr>
          <w:rFonts w:cs="Times New Roman"/>
          <w:i/>
          <w:iCs/>
          <w:kern w:val="0"/>
        </w:rPr>
        <w:t>–</w:t>
      </w:r>
      <w:r w:rsidRPr="007573D9">
        <w:rPr>
          <w:rFonts w:cs="Times New Roman"/>
          <w:i/>
          <w:iCs/>
          <w:kern w:val="0"/>
        </w:rPr>
        <w:t xml:space="preserve">1900 B.C.: Studies in Egyptian Foreign Relations during the First Intermediate Period. </w:t>
      </w:r>
      <w:r w:rsidRPr="007573D9">
        <w:rPr>
          <w:rFonts w:cs="Times New Roman"/>
          <w:kern w:val="0"/>
        </w:rPr>
        <w:t xml:space="preserve">Beirut: American University. </w:t>
      </w:r>
    </w:p>
    <w:p w14:paraId="17086708" w14:textId="77777777" w:rsidR="0091197E" w:rsidRPr="007573D9" w:rsidRDefault="0091197E" w:rsidP="007573D9">
      <w:pPr>
        <w:autoSpaceDE w:val="0"/>
        <w:autoSpaceDN w:val="0"/>
        <w:adjustRightInd w:val="0"/>
        <w:rPr>
          <w:rFonts w:cs="Times New Roman"/>
          <w:color w:val="000000" w:themeColor="text1"/>
        </w:rPr>
      </w:pPr>
    </w:p>
    <w:p w14:paraId="38655FEB" w14:textId="4C6E257D" w:rsidR="0091197E" w:rsidRPr="007573D9" w:rsidRDefault="0091197E" w:rsidP="007573D9">
      <w:pPr>
        <w:ind w:left="720" w:hanging="720"/>
        <w:rPr>
          <w:rFonts w:cs="Times New Roman"/>
          <w:color w:val="000000" w:themeColor="text1"/>
        </w:rPr>
      </w:pPr>
      <w:r w:rsidRPr="007573D9">
        <w:rPr>
          <w:rFonts w:cs="Times New Roman"/>
          <w:color w:val="000000" w:themeColor="text1"/>
        </w:rPr>
        <w:t>Ward, W</w:t>
      </w:r>
      <w:r w:rsidR="005C2E0D" w:rsidRPr="007573D9">
        <w:rPr>
          <w:rFonts w:cs="Times New Roman"/>
          <w:color w:val="000000" w:themeColor="text1"/>
        </w:rPr>
        <w:t>.</w:t>
      </w:r>
      <w:r w:rsidRPr="007573D9">
        <w:rPr>
          <w:rFonts w:cs="Times New Roman"/>
          <w:color w:val="000000" w:themeColor="text1"/>
        </w:rPr>
        <w:t xml:space="preserve"> A. 1987. Scarab Typology and Archaeological Context</w:t>
      </w:r>
      <w:r w:rsidR="00DB35C5" w:rsidRPr="007573D9">
        <w:rPr>
          <w:rFonts w:cs="Times New Roman"/>
          <w:color w:val="000000" w:themeColor="text1"/>
        </w:rPr>
        <w:t>.</w:t>
      </w:r>
      <w:r w:rsidR="00693E98" w:rsidRPr="007573D9">
        <w:rPr>
          <w:rFonts w:cs="Times New Roman"/>
          <w:color w:val="000000" w:themeColor="text1"/>
        </w:rPr>
        <w:t xml:space="preserve"> </w:t>
      </w:r>
      <w:r w:rsidRPr="007573D9">
        <w:rPr>
          <w:rFonts w:cs="Times New Roman"/>
          <w:i/>
          <w:iCs/>
          <w:color w:val="000000" w:themeColor="text1"/>
        </w:rPr>
        <w:t xml:space="preserve">American Journal of Archaeology, </w:t>
      </w:r>
      <w:r w:rsidRPr="007573D9">
        <w:rPr>
          <w:rFonts w:cs="Times New Roman"/>
          <w:color w:val="000000" w:themeColor="text1"/>
        </w:rPr>
        <w:t>Oct</w:t>
      </w:r>
      <w:r w:rsidR="00693E98" w:rsidRPr="007573D9">
        <w:rPr>
          <w:rFonts w:cs="Times New Roman"/>
          <w:color w:val="000000" w:themeColor="text1"/>
        </w:rPr>
        <w:t>ober</w:t>
      </w:r>
      <w:r w:rsidRPr="007573D9">
        <w:rPr>
          <w:rFonts w:cs="Times New Roman"/>
          <w:color w:val="000000" w:themeColor="text1"/>
        </w:rPr>
        <w:t xml:space="preserve"> 1987, Vol</w:t>
      </w:r>
      <w:r w:rsidR="00782631" w:rsidRPr="007573D9">
        <w:rPr>
          <w:rFonts w:cs="Times New Roman"/>
          <w:color w:val="000000" w:themeColor="text1"/>
        </w:rPr>
        <w:t>ume</w:t>
      </w:r>
      <w:r w:rsidRPr="007573D9">
        <w:rPr>
          <w:rFonts w:cs="Times New Roman"/>
          <w:color w:val="000000" w:themeColor="text1"/>
        </w:rPr>
        <w:t xml:space="preserve"> 91 No. 4</w:t>
      </w:r>
      <w:r w:rsidR="00693E98" w:rsidRPr="007573D9">
        <w:rPr>
          <w:rFonts w:cs="Times New Roman"/>
          <w:color w:val="000000" w:themeColor="text1"/>
        </w:rPr>
        <w:t>:</w:t>
      </w:r>
      <w:r w:rsidRPr="007573D9">
        <w:rPr>
          <w:rFonts w:cs="Times New Roman"/>
          <w:color w:val="000000" w:themeColor="text1"/>
        </w:rPr>
        <w:t xml:space="preserve"> 507–532.</w:t>
      </w:r>
    </w:p>
    <w:p w14:paraId="241D9530" w14:textId="77777777" w:rsidR="0091197E" w:rsidRPr="007573D9" w:rsidRDefault="0091197E" w:rsidP="007573D9">
      <w:pPr>
        <w:rPr>
          <w:rFonts w:cs="Times New Roman"/>
          <w:color w:val="000000" w:themeColor="text1"/>
        </w:rPr>
      </w:pPr>
    </w:p>
    <w:p w14:paraId="3EAFED79" w14:textId="13404505" w:rsidR="00171928" w:rsidRPr="007573D9" w:rsidRDefault="0091197E" w:rsidP="007573D9">
      <w:pPr>
        <w:ind w:left="720" w:hanging="720"/>
        <w:rPr>
          <w:rFonts w:cs="Times New Roman"/>
          <w:color w:val="000000" w:themeColor="text1"/>
        </w:rPr>
      </w:pPr>
      <w:r w:rsidRPr="007573D9">
        <w:rPr>
          <w:rFonts w:cs="Times New Roman"/>
          <w:color w:val="000000" w:themeColor="text1"/>
        </w:rPr>
        <w:t>Ward, W</w:t>
      </w:r>
      <w:r w:rsidR="005C2E0D" w:rsidRPr="007573D9">
        <w:rPr>
          <w:rFonts w:cs="Times New Roman"/>
          <w:color w:val="000000" w:themeColor="text1"/>
        </w:rPr>
        <w:t>.</w:t>
      </w:r>
      <w:r w:rsidRPr="007573D9">
        <w:rPr>
          <w:rFonts w:cs="Times New Roman"/>
          <w:color w:val="000000" w:themeColor="text1"/>
        </w:rPr>
        <w:t xml:space="preserve"> A. and Dever, W</w:t>
      </w:r>
      <w:r w:rsidR="005C2E0D" w:rsidRPr="007573D9">
        <w:rPr>
          <w:rFonts w:cs="Times New Roman"/>
          <w:color w:val="000000" w:themeColor="text1"/>
        </w:rPr>
        <w:t>.</w:t>
      </w:r>
      <w:r w:rsidRPr="007573D9">
        <w:rPr>
          <w:rFonts w:cs="Times New Roman"/>
          <w:color w:val="000000" w:themeColor="text1"/>
        </w:rPr>
        <w:t xml:space="preserve"> G. 1994. </w:t>
      </w:r>
      <w:r w:rsidRPr="007573D9">
        <w:rPr>
          <w:rFonts w:cs="Times New Roman"/>
          <w:i/>
          <w:iCs/>
          <w:color w:val="000000" w:themeColor="text1"/>
        </w:rPr>
        <w:t>Studies on Scarab Seals Vol</w:t>
      </w:r>
      <w:r w:rsidR="00782631" w:rsidRPr="007573D9">
        <w:rPr>
          <w:rFonts w:cs="Times New Roman"/>
          <w:i/>
          <w:iCs/>
          <w:color w:val="000000" w:themeColor="text1"/>
        </w:rPr>
        <w:t>ume</w:t>
      </w:r>
      <w:r w:rsidRPr="007573D9">
        <w:rPr>
          <w:rFonts w:cs="Times New Roman"/>
          <w:i/>
          <w:iCs/>
          <w:color w:val="000000" w:themeColor="text1"/>
        </w:rPr>
        <w:t xml:space="preserve"> 3, Scarab Typology and Archaeological Context, An Essay on Middle Bronze Age Chronology. </w:t>
      </w:r>
      <w:r w:rsidRPr="007573D9">
        <w:rPr>
          <w:rFonts w:cs="Times New Roman"/>
          <w:color w:val="000000" w:themeColor="text1"/>
        </w:rPr>
        <w:t xml:space="preserve">San Antonio: </w:t>
      </w:r>
      <w:r w:rsidR="00122995" w:rsidRPr="007573D9">
        <w:rPr>
          <w:rFonts w:cs="Times New Roman"/>
          <w:color w:val="000000" w:themeColor="text1"/>
        </w:rPr>
        <w:t>van</w:t>
      </w:r>
      <w:r w:rsidRPr="007573D9">
        <w:rPr>
          <w:rFonts w:cs="Times New Roman"/>
          <w:color w:val="000000" w:themeColor="text1"/>
        </w:rPr>
        <w:t xml:space="preserve"> Siclen.</w:t>
      </w:r>
    </w:p>
    <w:p w14:paraId="6987DB4D" w14:textId="77777777" w:rsidR="00B95F45" w:rsidRPr="007573D9" w:rsidRDefault="00B95F45" w:rsidP="007573D9">
      <w:pPr>
        <w:autoSpaceDE w:val="0"/>
        <w:autoSpaceDN w:val="0"/>
        <w:adjustRightInd w:val="0"/>
        <w:rPr>
          <w:rFonts w:cs="Times New Roman"/>
          <w:kern w:val="0"/>
        </w:rPr>
      </w:pPr>
    </w:p>
    <w:p w14:paraId="225D0D62" w14:textId="67E23979" w:rsidR="00F36DD1" w:rsidRPr="007573D9" w:rsidRDefault="00B95F45" w:rsidP="00081A4A">
      <w:pPr>
        <w:autoSpaceDE w:val="0"/>
        <w:autoSpaceDN w:val="0"/>
        <w:adjustRightInd w:val="0"/>
        <w:ind w:left="709" w:hanging="709"/>
        <w:rPr>
          <w:rFonts w:cs="Times New Roman"/>
          <w:color w:val="000000" w:themeColor="text1"/>
          <w:sz w:val="28"/>
          <w:szCs w:val="28"/>
        </w:rPr>
      </w:pPr>
      <w:r w:rsidRPr="007573D9">
        <w:rPr>
          <w:rFonts w:cs="Times New Roman"/>
          <w:kern w:val="0"/>
        </w:rPr>
        <w:t>Yadin, E. 2009</w:t>
      </w:r>
      <w:r w:rsidR="00EB48C8" w:rsidRPr="007573D9">
        <w:rPr>
          <w:rFonts w:cs="Times New Roman"/>
          <w:kern w:val="0"/>
        </w:rPr>
        <w:t xml:space="preserve">. </w:t>
      </w:r>
      <w:r w:rsidRPr="007573D9">
        <w:rPr>
          <w:rFonts w:cs="Times New Roman"/>
          <w:i/>
          <w:iCs/>
          <w:kern w:val="0"/>
        </w:rPr>
        <w:t>Middle Bronze Pottery.</w:t>
      </w:r>
      <w:r w:rsidR="00EB48C8" w:rsidRPr="007573D9">
        <w:rPr>
          <w:rFonts w:cs="Times New Roman"/>
          <w:i/>
          <w:iCs/>
          <w:kern w:val="0"/>
        </w:rPr>
        <w:t xml:space="preserve"> </w:t>
      </w:r>
      <w:r w:rsidRPr="007573D9">
        <w:rPr>
          <w:rFonts w:cs="Times New Roman"/>
          <w:i/>
          <w:iCs/>
          <w:kern w:val="0"/>
        </w:rPr>
        <w:t>Aphek-Antipatris II</w:t>
      </w:r>
      <w:r w:rsidR="00757B28" w:rsidRPr="007573D9">
        <w:rPr>
          <w:rFonts w:cs="Times New Roman"/>
          <w:i/>
          <w:iCs/>
          <w:kern w:val="0"/>
        </w:rPr>
        <w:t>,</w:t>
      </w:r>
      <w:r w:rsidRPr="007573D9">
        <w:rPr>
          <w:rFonts w:cs="Times New Roman"/>
          <w:i/>
          <w:iCs/>
          <w:kern w:val="0"/>
        </w:rPr>
        <w:t xml:space="preserve"> The </w:t>
      </w:r>
      <w:r w:rsidR="00EB48C8" w:rsidRPr="007573D9">
        <w:rPr>
          <w:rFonts w:cs="Times New Roman"/>
          <w:i/>
          <w:iCs/>
          <w:kern w:val="0"/>
        </w:rPr>
        <w:t>R</w:t>
      </w:r>
      <w:r w:rsidRPr="007573D9">
        <w:rPr>
          <w:rFonts w:cs="Times New Roman"/>
          <w:i/>
          <w:iCs/>
          <w:kern w:val="0"/>
        </w:rPr>
        <w:t xml:space="preserve">emains on the </w:t>
      </w:r>
      <w:r w:rsidR="00EB48C8" w:rsidRPr="007573D9">
        <w:rPr>
          <w:rFonts w:cs="Times New Roman"/>
          <w:i/>
          <w:iCs/>
          <w:kern w:val="0"/>
        </w:rPr>
        <w:t>A</w:t>
      </w:r>
      <w:r w:rsidRPr="007573D9">
        <w:rPr>
          <w:rFonts w:cs="Times New Roman"/>
          <w:i/>
          <w:iCs/>
          <w:kern w:val="0"/>
        </w:rPr>
        <w:t>cropolis.</w:t>
      </w:r>
      <w:r w:rsidR="00EB48C8" w:rsidRPr="007573D9">
        <w:rPr>
          <w:rFonts w:cs="Times New Roman"/>
          <w:kern w:val="0"/>
        </w:rPr>
        <w:t xml:space="preserve"> </w:t>
      </w:r>
      <w:r w:rsidRPr="007573D9">
        <w:rPr>
          <w:rFonts w:cs="Times New Roman"/>
          <w:kern w:val="0"/>
        </w:rPr>
        <w:t xml:space="preserve">The Moshe </w:t>
      </w:r>
      <w:proofErr w:type="spellStart"/>
      <w:r w:rsidRPr="007573D9">
        <w:rPr>
          <w:rFonts w:cs="Times New Roman"/>
          <w:kern w:val="0"/>
        </w:rPr>
        <w:t>Kochavi</w:t>
      </w:r>
      <w:proofErr w:type="spellEnd"/>
      <w:r w:rsidRPr="007573D9">
        <w:rPr>
          <w:rFonts w:cs="Times New Roman"/>
          <w:kern w:val="0"/>
        </w:rPr>
        <w:t xml:space="preserve"> and </w:t>
      </w:r>
      <w:proofErr w:type="spellStart"/>
      <w:r w:rsidRPr="007573D9">
        <w:rPr>
          <w:rFonts w:cs="Times New Roman"/>
          <w:kern w:val="0"/>
        </w:rPr>
        <w:t>Pirhiya</w:t>
      </w:r>
      <w:proofErr w:type="spellEnd"/>
      <w:r w:rsidRPr="007573D9">
        <w:rPr>
          <w:rFonts w:cs="Times New Roman"/>
          <w:kern w:val="0"/>
        </w:rPr>
        <w:t xml:space="preserve"> Beck Excavations, edited by Yuval Gadot, and Esther Yadin</w:t>
      </w:r>
      <w:r w:rsidR="00757B28" w:rsidRPr="007573D9">
        <w:rPr>
          <w:rFonts w:cs="Times New Roman"/>
          <w:kern w:val="0"/>
        </w:rPr>
        <w:t>.</w:t>
      </w:r>
      <w:r w:rsidRPr="007573D9">
        <w:rPr>
          <w:rFonts w:cs="Times New Roman"/>
          <w:kern w:val="0"/>
        </w:rPr>
        <w:t xml:space="preserve"> Monograph Series of the Institute of Archaeology, Tel Aviv University 27. Tel Aviv: Emery and Claire Yass Publications in Archaeology Institute of Archaeology</w:t>
      </w:r>
      <w:r w:rsidR="00757B28" w:rsidRPr="007573D9">
        <w:rPr>
          <w:rFonts w:cs="Times New Roman"/>
          <w:kern w:val="0"/>
        </w:rPr>
        <w:t>: 118–81</w:t>
      </w:r>
      <w:r w:rsidR="00EB48C8" w:rsidRPr="007573D9">
        <w:rPr>
          <w:rFonts w:cs="Times New Roman"/>
          <w:kern w:val="0"/>
        </w:rPr>
        <w:t>.</w:t>
      </w:r>
    </w:p>
    <w:sectPr w:rsidR="00F36DD1" w:rsidRPr="007573D9">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6CCD" w14:textId="77777777" w:rsidR="005D4245" w:rsidRDefault="005D4245" w:rsidP="002068A3">
      <w:r>
        <w:separator/>
      </w:r>
    </w:p>
  </w:endnote>
  <w:endnote w:type="continuationSeparator" w:id="0">
    <w:p w14:paraId="631969A6" w14:textId="77777777" w:rsidR="005D4245" w:rsidRDefault="005D4245" w:rsidP="0020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70CA" w14:textId="77777777" w:rsidR="005D4245" w:rsidRDefault="005D4245" w:rsidP="002068A3">
      <w:r>
        <w:separator/>
      </w:r>
    </w:p>
  </w:footnote>
  <w:footnote w:type="continuationSeparator" w:id="0">
    <w:p w14:paraId="1409FA0F" w14:textId="77777777" w:rsidR="005D4245" w:rsidRDefault="005D4245" w:rsidP="002068A3">
      <w:r>
        <w:continuationSeparator/>
      </w:r>
    </w:p>
  </w:footnote>
  <w:footnote w:id="1">
    <w:p w14:paraId="7EAE201F" w14:textId="77777777" w:rsidR="00AD483C" w:rsidRPr="00D2060B" w:rsidRDefault="00AD483C" w:rsidP="00AD483C">
      <w:pPr>
        <w:pStyle w:val="FootnoteText"/>
        <w:rPr>
          <w:rFonts w:ascii="Times New Roman" w:hAnsi="Times New Roman"/>
          <w:lang w:val="en-US"/>
        </w:rPr>
      </w:pPr>
      <w:r w:rsidRPr="00660C79">
        <w:rPr>
          <w:rStyle w:val="FootnoteReference"/>
          <w:rFonts w:ascii="Times New Roman" w:hAnsi="Times New Roman"/>
        </w:rPr>
        <w:footnoteRef/>
      </w:r>
      <w:r w:rsidRPr="00660C79">
        <w:rPr>
          <w:rFonts w:ascii="Times New Roman" w:hAnsi="Times New Roman"/>
        </w:rPr>
        <w:t xml:space="preserve"> </w:t>
      </w:r>
      <w:r w:rsidRPr="00660C79">
        <w:rPr>
          <w:rFonts w:ascii="Times New Roman" w:hAnsi="Times New Roman"/>
          <w:lang w:val="en-US"/>
        </w:rPr>
        <w:t>The Appendix contains a catalog of all the scarabs discovered at Shiloh over six seasons.</w:t>
      </w:r>
    </w:p>
  </w:footnote>
  <w:footnote w:id="2">
    <w:p w14:paraId="05A77399" w14:textId="77777777" w:rsidR="002068A3" w:rsidRPr="009C1995" w:rsidRDefault="002068A3" w:rsidP="00C87B93">
      <w:pPr>
        <w:pStyle w:val="FootnoteText"/>
        <w:rPr>
          <w:rFonts w:ascii="Times New Roman" w:hAnsi="Times New Roman"/>
        </w:rPr>
      </w:pPr>
      <w:r w:rsidRPr="00D2060B">
        <w:rPr>
          <w:rStyle w:val="FootnoteReference"/>
          <w:rFonts w:ascii="Times New Roman" w:hAnsi="Times New Roman"/>
        </w:rPr>
        <w:footnoteRef/>
      </w:r>
      <w:r w:rsidRPr="00D2060B">
        <w:rPr>
          <w:rFonts w:ascii="Times New Roman" w:hAnsi="Times New Roman"/>
        </w:rPr>
        <w:t xml:space="preserve"> </w:t>
      </w:r>
      <w:proofErr w:type="spellStart"/>
      <w:r w:rsidRPr="00D2060B">
        <w:rPr>
          <w:rFonts w:ascii="Times New Roman" w:hAnsi="Times New Roman"/>
        </w:rPr>
        <w:t>Aege</w:t>
      </w:r>
      <w:proofErr w:type="spellEnd"/>
      <w:r w:rsidRPr="00D2060B">
        <w:rPr>
          <w:rFonts w:ascii="Times New Roman" w:hAnsi="Times New Roman"/>
        </w:rPr>
        <w:t xml:space="preserve"> Schmidt executed several initial sondages in 1922.</w:t>
      </w:r>
    </w:p>
  </w:footnote>
  <w:footnote w:id="3">
    <w:p w14:paraId="699DDC95" w14:textId="63C56F89" w:rsidR="009C1995" w:rsidRPr="009C1995" w:rsidRDefault="009C1995">
      <w:pPr>
        <w:pStyle w:val="FootnoteText"/>
        <w:rPr>
          <w:lang w:val="en-US"/>
        </w:rPr>
      </w:pPr>
      <w:r w:rsidRPr="009C1995">
        <w:rPr>
          <w:rStyle w:val="FootnoteReference"/>
          <w:rFonts w:ascii="Times New Roman" w:hAnsi="Times New Roman"/>
        </w:rPr>
        <w:footnoteRef/>
      </w:r>
      <w:r w:rsidRPr="009C1995">
        <w:rPr>
          <w:rFonts w:ascii="Times New Roman" w:hAnsi="Times New Roman"/>
        </w:rPr>
        <w:t xml:space="preserve"> </w:t>
      </w:r>
      <w:r w:rsidRPr="009C1995">
        <w:rPr>
          <w:rFonts w:ascii="Times New Roman" w:hAnsi="Times New Roman"/>
          <w:lang w:val="en-US"/>
        </w:rPr>
        <w:t>Personal communication with Reut Ben Arie.</w:t>
      </w:r>
    </w:p>
  </w:footnote>
  <w:footnote w:id="4">
    <w:p w14:paraId="6DFE58B2" w14:textId="2F186360" w:rsidR="0010026F" w:rsidRPr="00A42796" w:rsidRDefault="0010026F" w:rsidP="0010026F">
      <w:pPr>
        <w:pStyle w:val="FootnoteText"/>
        <w:rPr>
          <w:rFonts w:ascii="Times New Roman" w:hAnsi="Times New Roman"/>
          <w:lang w:val="en-US"/>
        </w:rPr>
      </w:pPr>
      <w:r w:rsidRPr="00A42796">
        <w:rPr>
          <w:rStyle w:val="FootnoteReference"/>
          <w:rFonts w:ascii="Times New Roman" w:hAnsi="Times New Roman"/>
        </w:rPr>
        <w:footnoteRef/>
      </w:r>
      <w:r w:rsidRPr="00A42796">
        <w:rPr>
          <w:rFonts w:ascii="Times New Roman" w:hAnsi="Times New Roman"/>
        </w:rPr>
        <w:t xml:space="preserve"> </w:t>
      </w:r>
      <w:r w:rsidR="00673AE6">
        <w:rPr>
          <w:rFonts w:ascii="Times New Roman" w:hAnsi="Times New Roman"/>
          <w:lang w:val="en-US"/>
        </w:rPr>
        <w:t>We</w:t>
      </w:r>
      <w:r w:rsidRPr="00A42796">
        <w:rPr>
          <w:rFonts w:ascii="Times New Roman" w:hAnsi="Times New Roman"/>
          <w:lang w:val="en-US"/>
        </w:rPr>
        <w:t xml:space="preserve"> are grateful for the</w:t>
      </w:r>
      <w:r w:rsidR="00EF7084">
        <w:rPr>
          <w:rFonts w:ascii="Times New Roman" w:hAnsi="Times New Roman"/>
          <w:lang w:val="en-US"/>
        </w:rPr>
        <w:t xml:space="preserve"> helpful</w:t>
      </w:r>
      <w:r w:rsidRPr="00A42796">
        <w:rPr>
          <w:rFonts w:ascii="Times New Roman" w:hAnsi="Times New Roman"/>
          <w:lang w:val="en-US"/>
        </w:rPr>
        <w:t xml:space="preserve"> feedback of scholars Daphne Ben</w:t>
      </w:r>
      <w:r>
        <w:rPr>
          <w:rFonts w:ascii="Times New Roman" w:hAnsi="Times New Roman"/>
          <w:lang w:val="en-US"/>
        </w:rPr>
        <w:t>-</w:t>
      </w:r>
      <w:r w:rsidRPr="00A42796">
        <w:rPr>
          <w:rFonts w:ascii="Times New Roman" w:hAnsi="Times New Roman"/>
          <w:lang w:val="en-US"/>
        </w:rPr>
        <w:t>Tor and Pieter Gert van der Veen.</w:t>
      </w:r>
    </w:p>
  </w:footnote>
  <w:footnote w:id="5">
    <w:p w14:paraId="20B97CEE" w14:textId="68170BBA" w:rsidR="002068A3" w:rsidRPr="00C94F02" w:rsidRDefault="002068A3" w:rsidP="00C87B93">
      <w:pPr>
        <w:pStyle w:val="FootnoteText"/>
        <w:rPr>
          <w:rFonts w:ascii="Times New Roman" w:hAnsi="Times New Roman"/>
          <w:lang w:val="en-US"/>
        </w:rPr>
      </w:pPr>
      <w:r w:rsidRPr="00A42796">
        <w:rPr>
          <w:rStyle w:val="FootnoteReference"/>
          <w:rFonts w:ascii="Times New Roman" w:hAnsi="Times New Roman"/>
        </w:rPr>
        <w:footnoteRef/>
      </w:r>
      <w:r w:rsidRPr="00A42796">
        <w:rPr>
          <w:rFonts w:ascii="Times New Roman" w:hAnsi="Times New Roman"/>
        </w:rPr>
        <w:t xml:space="preserve"> </w:t>
      </w:r>
      <w:r w:rsidRPr="00A42796">
        <w:rPr>
          <w:rFonts w:ascii="Times New Roman" w:hAnsi="Times New Roman"/>
          <w:lang w:val="en-US"/>
        </w:rPr>
        <w:t xml:space="preserve">Symmetrical inscriptions begin with a middle hieroglyph between other hieroglyphs. Reading starts in the center and proceeds left to </w:t>
      </w:r>
      <w:r w:rsidRPr="00C94F02">
        <w:rPr>
          <w:rFonts w:ascii="Times New Roman" w:hAnsi="Times New Roman"/>
          <w:lang w:val="en-US"/>
        </w:rPr>
        <w:t xml:space="preserve">right </w:t>
      </w:r>
      <w:r w:rsidR="00032CB4" w:rsidRPr="00C94F02">
        <w:rPr>
          <w:rFonts w:ascii="Times New Roman" w:hAnsi="Times New Roman"/>
          <w:lang w:val="en-US"/>
        </w:rPr>
        <w:t xml:space="preserve">or </w:t>
      </w:r>
      <w:r w:rsidRPr="00C94F02">
        <w:rPr>
          <w:rFonts w:ascii="Times New Roman" w:hAnsi="Times New Roman"/>
          <w:lang w:val="en-US"/>
        </w:rPr>
        <w:t>right to left.</w:t>
      </w:r>
    </w:p>
  </w:footnote>
  <w:footnote w:id="6">
    <w:p w14:paraId="49BC5ACA" w14:textId="77777777" w:rsidR="00BB6D12" w:rsidRPr="00FA076D" w:rsidRDefault="00BB6D12" w:rsidP="00BB6D12">
      <w:pPr>
        <w:pStyle w:val="FootnoteText"/>
        <w:rPr>
          <w:rFonts w:ascii="Times New Roman" w:hAnsi="Times New Roman"/>
          <w:lang w:val="en-US"/>
        </w:rPr>
      </w:pPr>
      <w:r w:rsidRPr="00FA076D">
        <w:rPr>
          <w:rStyle w:val="FootnoteReference"/>
          <w:rFonts w:ascii="Times New Roman" w:hAnsi="Times New Roman"/>
        </w:rPr>
        <w:footnoteRef/>
      </w:r>
      <w:r w:rsidRPr="00FA076D">
        <w:rPr>
          <w:rFonts w:ascii="Times New Roman" w:hAnsi="Times New Roman"/>
        </w:rPr>
        <w:t xml:space="preserve"> </w:t>
      </w:r>
      <w:r w:rsidRPr="00B954F7">
        <w:rPr>
          <w:rFonts w:ascii="Times New Roman" w:hAnsi="Times New Roman"/>
          <w:lang w:val="en-US"/>
        </w:rPr>
        <w:t>According to Tufnell (1984: 36), Humeral Callosity is a term entomologists use to denote the shoulders</w:t>
      </w:r>
      <w:r>
        <w:rPr>
          <w:rFonts w:ascii="Times New Roman" w:hAnsi="Times New Roman"/>
          <w:lang w:val="en-US"/>
        </w:rPr>
        <w:t xml:space="preserve"> of beetles</w:t>
      </w:r>
      <w:r w:rsidRPr="00B954F7">
        <w:rPr>
          <w:rFonts w:ascii="Times New Roman" w:hAnsi="Times New Roman"/>
          <w:lang w:val="en-US"/>
        </w:rPr>
        <w:t>.</w:t>
      </w:r>
    </w:p>
  </w:footnote>
  <w:footnote w:id="7">
    <w:p w14:paraId="6BD92758" w14:textId="6BA0EFFC" w:rsidR="006D6DCC" w:rsidRPr="009634B6" w:rsidRDefault="002068A3" w:rsidP="00C87B93">
      <w:pPr>
        <w:pStyle w:val="FootnoteText"/>
        <w:rPr>
          <w:rFonts w:ascii="Times New Roman" w:hAnsi="Times New Roman"/>
          <w:lang w:val="en-US"/>
        </w:rPr>
      </w:pPr>
      <w:r w:rsidRPr="009634B6">
        <w:rPr>
          <w:rStyle w:val="FootnoteReference"/>
          <w:rFonts w:ascii="Times New Roman" w:hAnsi="Times New Roman"/>
        </w:rPr>
        <w:footnoteRef/>
      </w:r>
      <w:r w:rsidRPr="009634B6">
        <w:rPr>
          <w:rFonts w:ascii="Times New Roman" w:hAnsi="Times New Roman"/>
        </w:rPr>
        <w:t xml:space="preserve"> </w:t>
      </w:r>
      <w:r w:rsidRPr="009634B6">
        <w:rPr>
          <w:rFonts w:ascii="Times New Roman" w:hAnsi="Times New Roman"/>
          <w:lang w:val="en-US"/>
        </w:rPr>
        <w:t>The damage to this scarab inhibits a more refined classification for the sides.</w:t>
      </w:r>
    </w:p>
  </w:footnote>
  <w:footnote w:id="8">
    <w:p w14:paraId="4796C674" w14:textId="49529E12" w:rsidR="006D6DCC" w:rsidRPr="00307C95" w:rsidRDefault="006D6DCC" w:rsidP="00307C95">
      <w:pPr>
        <w:pStyle w:val="NormalWeb"/>
        <w:spacing w:before="0" w:beforeAutospacing="0" w:after="0" w:afterAutospacing="0"/>
        <w:rPr>
          <w:color w:val="000000" w:themeColor="text1"/>
          <w:sz w:val="20"/>
          <w:szCs w:val="20"/>
        </w:rPr>
      </w:pPr>
      <w:r w:rsidRPr="001D1A60">
        <w:rPr>
          <w:rStyle w:val="FootnoteReference"/>
          <w:sz w:val="20"/>
          <w:szCs w:val="20"/>
        </w:rPr>
        <w:footnoteRef/>
      </w:r>
      <w:r>
        <w:t xml:space="preserve"> </w:t>
      </w:r>
      <w:r w:rsidRPr="008D751A">
        <w:rPr>
          <w:color w:val="000000" w:themeColor="text1"/>
          <w:sz w:val="20"/>
          <w:szCs w:val="20"/>
        </w:rPr>
        <w:t xml:space="preserve">Design </w:t>
      </w:r>
      <w:r w:rsidR="00550995">
        <w:rPr>
          <w:color w:val="000000" w:themeColor="text1"/>
          <w:sz w:val="20"/>
          <w:szCs w:val="20"/>
        </w:rPr>
        <w:t>c</w:t>
      </w:r>
      <w:r w:rsidRPr="008D751A">
        <w:rPr>
          <w:color w:val="000000" w:themeColor="text1"/>
          <w:sz w:val="20"/>
          <w:szCs w:val="20"/>
        </w:rPr>
        <w:t xml:space="preserve">lass 3C </w:t>
      </w:r>
      <w:r w:rsidRPr="008D751A">
        <w:rPr>
          <w:sz w:val="20"/>
          <w:szCs w:val="20"/>
        </w:rPr>
        <w:t xml:space="preserve">appears in Palestine earlier than in Egypt. </w:t>
      </w:r>
      <w:r>
        <w:rPr>
          <w:sz w:val="20"/>
          <w:szCs w:val="20"/>
        </w:rPr>
        <w:t xml:space="preserve">Poorly </w:t>
      </w:r>
      <w:r w:rsidRPr="008D751A">
        <w:rPr>
          <w:sz w:val="20"/>
          <w:szCs w:val="20"/>
        </w:rPr>
        <w:t>rendered signs and pseudo-hieroglyphs</w:t>
      </w:r>
      <w:r>
        <w:rPr>
          <w:sz w:val="20"/>
          <w:szCs w:val="20"/>
        </w:rPr>
        <w:t xml:space="preserve"> are typical of this class</w:t>
      </w:r>
      <w:r w:rsidRPr="008D751A">
        <w:rPr>
          <w:sz w:val="20"/>
          <w:szCs w:val="20"/>
        </w:rPr>
        <w:t xml:space="preserve"> (Ben-Tor 1997: 171</w:t>
      </w:r>
      <w:r>
        <w:rPr>
          <w:sz w:val="20"/>
          <w:szCs w:val="20"/>
        </w:rPr>
        <w:t>–</w:t>
      </w:r>
      <w:r w:rsidRPr="008D751A">
        <w:rPr>
          <w:sz w:val="20"/>
          <w:szCs w:val="20"/>
        </w:rPr>
        <w:t>75; 2007</w:t>
      </w:r>
      <w:r>
        <w:rPr>
          <w:sz w:val="20"/>
          <w:szCs w:val="20"/>
        </w:rPr>
        <w:t>:</w:t>
      </w:r>
      <w:r w:rsidRPr="008D751A">
        <w:rPr>
          <w:sz w:val="20"/>
          <w:szCs w:val="20"/>
        </w:rPr>
        <w:t xml:space="preserve"> 83). </w:t>
      </w:r>
    </w:p>
  </w:footnote>
  <w:footnote w:id="9">
    <w:p w14:paraId="4C143CC3" w14:textId="05F32670" w:rsidR="007403EF" w:rsidRPr="00201AEA" w:rsidRDefault="007403EF" w:rsidP="007403EF">
      <w:pPr>
        <w:pStyle w:val="FootnoteText"/>
        <w:rPr>
          <w:rFonts w:ascii="Times New Roman" w:hAnsi="Times New Roman"/>
          <w:lang w:val="en-US"/>
        </w:rPr>
      </w:pPr>
      <w:r w:rsidRPr="00201AEA">
        <w:rPr>
          <w:rStyle w:val="FootnoteReference"/>
          <w:rFonts w:ascii="Times New Roman" w:hAnsi="Times New Roman"/>
        </w:rPr>
        <w:footnoteRef/>
      </w:r>
      <w:r w:rsidRPr="00201AEA">
        <w:rPr>
          <w:rFonts w:ascii="Times New Roman" w:hAnsi="Times New Roman"/>
        </w:rPr>
        <w:t xml:space="preserve"> </w:t>
      </w:r>
      <w:r w:rsidR="001D1A60" w:rsidRPr="007D6573">
        <w:rPr>
          <w:rFonts w:ascii="Times New Roman" w:hAnsi="Times New Roman"/>
          <w:color w:val="000000" w:themeColor="text1"/>
        </w:rPr>
        <w:t>Ben-Tor</w:t>
      </w:r>
      <w:r w:rsidR="001D1A60">
        <w:rPr>
          <w:rFonts w:ascii="Times New Roman" w:hAnsi="Times New Roman"/>
          <w:color w:val="000000" w:themeColor="text1"/>
          <w:lang w:val="en-US"/>
        </w:rPr>
        <w:t xml:space="preserve">, </w:t>
      </w:r>
      <w:r w:rsidR="001D1A60" w:rsidRPr="007D6573">
        <w:rPr>
          <w:rFonts w:ascii="Times New Roman" w:hAnsi="Times New Roman"/>
          <w:color w:val="000000" w:themeColor="text1"/>
          <w:lang w:val="en-US"/>
        </w:rPr>
        <w:t xml:space="preserve">personal correspondence, </w:t>
      </w:r>
      <w:r w:rsidR="001D1A60" w:rsidRPr="007D6573">
        <w:rPr>
          <w:rFonts w:ascii="Times New Roman" w:hAnsi="Times New Roman"/>
          <w:color w:val="000000" w:themeColor="text1"/>
        </w:rPr>
        <w:t>January</w:t>
      </w:r>
      <w:r w:rsidR="001D1A60">
        <w:rPr>
          <w:rFonts w:ascii="Times New Roman" w:hAnsi="Times New Roman"/>
          <w:color w:val="000000" w:themeColor="text1"/>
          <w:lang w:val="en-US"/>
        </w:rPr>
        <w:t xml:space="preserve"> 16</w:t>
      </w:r>
      <w:r w:rsidR="001D1A60" w:rsidRPr="007D6573">
        <w:rPr>
          <w:rFonts w:ascii="Times New Roman" w:hAnsi="Times New Roman"/>
          <w:color w:val="000000" w:themeColor="text1"/>
        </w:rPr>
        <w:t>, July</w:t>
      </w:r>
      <w:r w:rsidR="001D1A60">
        <w:rPr>
          <w:rFonts w:ascii="Times New Roman" w:hAnsi="Times New Roman"/>
          <w:color w:val="000000" w:themeColor="text1"/>
          <w:lang w:val="en-US"/>
        </w:rPr>
        <w:t xml:space="preserve"> 8</w:t>
      </w:r>
      <w:r w:rsidR="001D1A60" w:rsidRPr="007D6573">
        <w:rPr>
          <w:rFonts w:ascii="Times New Roman" w:hAnsi="Times New Roman"/>
          <w:color w:val="000000" w:themeColor="text1"/>
        </w:rPr>
        <w:t>, and October</w:t>
      </w:r>
      <w:r w:rsidR="001D1A60">
        <w:rPr>
          <w:rFonts w:ascii="Times New Roman" w:hAnsi="Times New Roman"/>
          <w:color w:val="000000" w:themeColor="text1"/>
          <w:lang w:val="en-US"/>
        </w:rPr>
        <w:t xml:space="preserve"> 19</w:t>
      </w:r>
      <w:r w:rsidR="001D1A60" w:rsidRPr="007D6573">
        <w:rPr>
          <w:rFonts w:ascii="Times New Roman" w:hAnsi="Times New Roman"/>
          <w:color w:val="000000" w:themeColor="text1"/>
        </w:rPr>
        <w:t>, 2023.</w:t>
      </w:r>
    </w:p>
  </w:footnote>
  <w:footnote w:id="10">
    <w:p w14:paraId="67C800F8" w14:textId="1129904B" w:rsidR="00862113" w:rsidRPr="0001019F" w:rsidRDefault="00862113" w:rsidP="006C540C">
      <w:pPr>
        <w:jc w:val="both"/>
      </w:pPr>
      <w:r w:rsidRPr="006C540C">
        <w:rPr>
          <w:rStyle w:val="FootnoteReference"/>
          <w:sz w:val="20"/>
          <w:szCs w:val="20"/>
        </w:rPr>
        <w:footnoteRef/>
      </w:r>
      <w:r w:rsidRPr="006C540C">
        <w:rPr>
          <w:sz w:val="20"/>
          <w:szCs w:val="20"/>
        </w:rPr>
        <w:t xml:space="preserve"> </w:t>
      </w:r>
      <w:r w:rsidRPr="00BF10EB">
        <w:rPr>
          <w:rFonts w:cs="Times New Roman"/>
          <w:color w:val="000000" w:themeColor="text1"/>
          <w:sz w:val="20"/>
          <w:szCs w:val="20"/>
        </w:rPr>
        <w:t xml:space="preserve">van der Veen, personal correspondence, July </w:t>
      </w:r>
      <w:r>
        <w:rPr>
          <w:rFonts w:cs="Times New Roman"/>
          <w:color w:val="000000" w:themeColor="text1"/>
          <w:sz w:val="20"/>
          <w:szCs w:val="20"/>
        </w:rPr>
        <w:t xml:space="preserve">24, </w:t>
      </w:r>
      <w:r w:rsidRPr="00BF10EB">
        <w:rPr>
          <w:rFonts w:cs="Times New Roman"/>
          <w:color w:val="000000" w:themeColor="text1"/>
          <w:sz w:val="20"/>
          <w:szCs w:val="20"/>
        </w:rPr>
        <w:t>2023</w:t>
      </w:r>
      <w:r>
        <w:rPr>
          <w:rFonts w:cs="Times New Roman"/>
          <w:color w:val="000000" w:themeColor="text1"/>
          <w:sz w:val="20"/>
          <w:szCs w:val="20"/>
        </w:rPr>
        <w:t>.</w:t>
      </w:r>
    </w:p>
  </w:footnote>
  <w:footnote w:id="11">
    <w:p w14:paraId="7863554B" w14:textId="6CC391AB" w:rsidR="00201AEA" w:rsidRPr="00160C43" w:rsidRDefault="00201AEA">
      <w:pPr>
        <w:pStyle w:val="FootnoteText"/>
        <w:rPr>
          <w:lang w:val="en-US"/>
        </w:rPr>
      </w:pPr>
      <w:r w:rsidRPr="006C540C">
        <w:rPr>
          <w:rStyle w:val="FootnoteReference"/>
          <w:rFonts w:ascii="Times New Roman" w:hAnsi="Times New Roman"/>
        </w:rPr>
        <w:footnoteRef/>
      </w:r>
      <w:r w:rsidRPr="006C540C">
        <w:rPr>
          <w:rFonts w:ascii="Times New Roman" w:hAnsi="Times New Roman"/>
        </w:rPr>
        <w:t xml:space="preserve"> </w:t>
      </w:r>
      <w:r w:rsidRPr="00160C43">
        <w:rPr>
          <w:rFonts w:ascii="Times New Roman" w:hAnsi="Times New Roman"/>
          <w:color w:val="000000" w:themeColor="text1"/>
        </w:rPr>
        <w:t>Ben-Tor</w:t>
      </w:r>
      <w:r w:rsidR="008B5829" w:rsidRPr="00160C43">
        <w:rPr>
          <w:rFonts w:ascii="Times New Roman" w:hAnsi="Times New Roman"/>
          <w:color w:val="000000" w:themeColor="text1"/>
          <w:lang w:val="en-US"/>
        </w:rPr>
        <w:t xml:space="preserve">, </w:t>
      </w:r>
      <w:r w:rsidR="008B5829" w:rsidRPr="00160C43">
        <w:rPr>
          <w:rFonts w:ascii="Times New Roman" w:hAnsi="Times New Roman"/>
          <w:color w:val="000000" w:themeColor="text1"/>
        </w:rPr>
        <w:t>2023.</w:t>
      </w:r>
    </w:p>
  </w:footnote>
  <w:footnote w:id="12">
    <w:p w14:paraId="1A853403" w14:textId="39EFF3DE" w:rsidR="001D1A60" w:rsidRPr="001D1A60" w:rsidRDefault="001D1A60">
      <w:pPr>
        <w:pStyle w:val="FootnoteText"/>
        <w:rPr>
          <w:rFonts w:ascii="Times New Roman" w:hAnsi="Times New Roman"/>
          <w:lang w:val="en-US"/>
        </w:rPr>
      </w:pPr>
      <w:r w:rsidRPr="001D1A60">
        <w:rPr>
          <w:rStyle w:val="FootnoteReference"/>
          <w:rFonts w:ascii="Times New Roman" w:hAnsi="Times New Roman"/>
        </w:rPr>
        <w:footnoteRef/>
      </w:r>
      <w:r w:rsidRPr="001D1A60">
        <w:rPr>
          <w:rFonts w:ascii="Times New Roman" w:hAnsi="Times New Roman"/>
        </w:rPr>
        <w:t xml:space="preserve"> </w:t>
      </w:r>
      <w:r w:rsidRPr="001D1A60">
        <w:rPr>
          <w:rFonts w:ascii="Times New Roman" w:hAnsi="Times New Roman"/>
          <w:color w:val="000000" w:themeColor="text1"/>
        </w:rPr>
        <w:t>Ben-Tor, 2023.</w:t>
      </w:r>
    </w:p>
  </w:footnote>
  <w:footnote w:id="13">
    <w:p w14:paraId="779F09F9" w14:textId="456B5FF1" w:rsidR="001D1A60" w:rsidRPr="001D1A60" w:rsidRDefault="001D1A60">
      <w:pPr>
        <w:pStyle w:val="FootnoteText"/>
        <w:rPr>
          <w:lang w:val="en-US"/>
        </w:rPr>
      </w:pPr>
      <w:r w:rsidRPr="001D1A60">
        <w:rPr>
          <w:rStyle w:val="FootnoteReference"/>
          <w:rFonts w:ascii="Times New Roman" w:hAnsi="Times New Roman"/>
        </w:rPr>
        <w:footnoteRef/>
      </w:r>
      <w:r w:rsidRPr="001D1A60">
        <w:rPr>
          <w:rFonts w:ascii="Times New Roman" w:hAnsi="Times New Roman"/>
        </w:rPr>
        <w:t xml:space="preserve"> </w:t>
      </w:r>
      <w:r w:rsidRPr="001D1A60">
        <w:rPr>
          <w:rFonts w:ascii="Times New Roman" w:hAnsi="Times New Roman"/>
          <w:color w:val="000000" w:themeColor="text1"/>
        </w:rPr>
        <w:t>van der Veen, 2023.</w:t>
      </w:r>
    </w:p>
  </w:footnote>
  <w:footnote w:id="14">
    <w:p w14:paraId="48A5AA95" w14:textId="14D1A327" w:rsidR="001D1A60" w:rsidRPr="00704C7D" w:rsidRDefault="001D1A60">
      <w:pPr>
        <w:pStyle w:val="FootnoteText"/>
        <w:rPr>
          <w:rFonts w:ascii="Times New Roman" w:hAnsi="Times New Roman"/>
          <w:lang w:val="en-US"/>
        </w:rPr>
      </w:pPr>
      <w:r w:rsidRPr="006C540C">
        <w:rPr>
          <w:rStyle w:val="FootnoteReference"/>
          <w:rFonts w:ascii="Times New Roman" w:hAnsi="Times New Roman"/>
        </w:rPr>
        <w:footnoteRef/>
      </w:r>
      <w:r>
        <w:t xml:space="preserve"> </w:t>
      </w:r>
      <w:r w:rsidRPr="001D1A60">
        <w:rPr>
          <w:rFonts w:ascii="Times New Roman" w:hAnsi="Times New Roman"/>
          <w:color w:val="000000" w:themeColor="text1"/>
        </w:rPr>
        <w:t>Ben</w:t>
      </w:r>
      <w:r w:rsidRPr="00704C7D">
        <w:rPr>
          <w:rFonts w:ascii="Times New Roman" w:hAnsi="Times New Roman"/>
          <w:color w:val="000000" w:themeColor="text1"/>
        </w:rPr>
        <w:t>-Tor</w:t>
      </w:r>
      <w:r w:rsidRPr="00704C7D">
        <w:rPr>
          <w:rFonts w:ascii="Times New Roman" w:hAnsi="Times New Roman"/>
          <w:color w:val="000000" w:themeColor="text1"/>
          <w:lang w:val="en-US"/>
        </w:rPr>
        <w:t xml:space="preserve">, </w:t>
      </w:r>
      <w:r w:rsidRPr="00704C7D">
        <w:rPr>
          <w:rFonts w:ascii="Times New Roman" w:hAnsi="Times New Roman"/>
          <w:color w:val="000000" w:themeColor="text1"/>
        </w:rPr>
        <w:t>2023.</w:t>
      </w:r>
    </w:p>
  </w:footnote>
  <w:footnote w:id="15">
    <w:p w14:paraId="69AB8AFF" w14:textId="178BB342" w:rsidR="00704C7D" w:rsidRPr="00C80030" w:rsidRDefault="00704C7D">
      <w:pPr>
        <w:pStyle w:val="FootnoteText"/>
        <w:rPr>
          <w:rFonts w:ascii="Times New Roman" w:hAnsi="Times New Roman"/>
          <w:lang w:val="en-US"/>
        </w:rPr>
      </w:pPr>
      <w:r w:rsidRPr="00C80030">
        <w:rPr>
          <w:rStyle w:val="FootnoteReference"/>
          <w:rFonts w:ascii="Times New Roman" w:hAnsi="Times New Roman"/>
        </w:rPr>
        <w:footnoteRef/>
      </w:r>
      <w:r w:rsidRPr="00C80030">
        <w:rPr>
          <w:rFonts w:ascii="Times New Roman" w:hAnsi="Times New Roman"/>
        </w:rPr>
        <w:t xml:space="preserve"> </w:t>
      </w:r>
      <w:r w:rsidR="00CA6938" w:rsidRPr="007D6573">
        <w:rPr>
          <w:rFonts w:ascii="Times New Roman" w:hAnsi="Times New Roman"/>
          <w:color w:val="000000" w:themeColor="text1"/>
        </w:rPr>
        <w:t>Ben-Tor</w:t>
      </w:r>
      <w:r w:rsidR="00CA6938">
        <w:rPr>
          <w:rFonts w:ascii="Times New Roman" w:hAnsi="Times New Roman"/>
          <w:color w:val="000000" w:themeColor="text1"/>
          <w:lang w:val="en-US"/>
        </w:rPr>
        <w:t xml:space="preserve">, </w:t>
      </w:r>
      <w:r w:rsidR="007562E6">
        <w:rPr>
          <w:rFonts w:ascii="Times New Roman" w:hAnsi="Times New Roman"/>
          <w:color w:val="000000" w:themeColor="text1"/>
          <w:lang w:val="en-US"/>
        </w:rPr>
        <w:t>2023</w:t>
      </w:r>
      <w:r w:rsidR="00CA6938" w:rsidRPr="007D6573">
        <w:rPr>
          <w:rFonts w:ascii="Times New Roman" w:hAnsi="Times New Roman"/>
          <w:color w:val="000000" w:themeColor="text1"/>
        </w:rPr>
        <w:t>.</w:t>
      </w:r>
    </w:p>
  </w:footnote>
  <w:footnote w:id="16">
    <w:p w14:paraId="1160EFC9" w14:textId="6BF2AB6E" w:rsidR="001D1A60" w:rsidRPr="001D1A60" w:rsidRDefault="001D1A60">
      <w:pPr>
        <w:pStyle w:val="FootnoteText"/>
        <w:rPr>
          <w:lang w:val="en-US"/>
        </w:rPr>
      </w:pPr>
      <w:r w:rsidRPr="00C80030">
        <w:rPr>
          <w:rStyle w:val="FootnoteReference"/>
          <w:rFonts w:ascii="Times New Roman" w:hAnsi="Times New Roman"/>
        </w:rPr>
        <w:footnoteRef/>
      </w:r>
      <w:r w:rsidRPr="00C80030">
        <w:rPr>
          <w:rFonts w:ascii="Times New Roman" w:hAnsi="Times New Roman"/>
        </w:rPr>
        <w:t xml:space="preserve"> </w:t>
      </w:r>
      <w:r w:rsidRPr="00704C7D">
        <w:rPr>
          <w:rFonts w:ascii="Times New Roman" w:hAnsi="Times New Roman"/>
          <w:color w:val="000000" w:themeColor="text1"/>
        </w:rPr>
        <w:t xml:space="preserve">van der Veen, </w:t>
      </w:r>
      <w:r w:rsidRPr="001D1A60">
        <w:rPr>
          <w:rFonts w:ascii="Times New Roman" w:hAnsi="Times New Roman"/>
          <w:color w:val="000000" w:themeColor="text1"/>
        </w:rPr>
        <w:t>2023.</w:t>
      </w:r>
    </w:p>
  </w:footnote>
  <w:footnote w:id="17">
    <w:p w14:paraId="7248CD77" w14:textId="57A79458" w:rsidR="00C10E00" w:rsidRPr="00C80030" w:rsidRDefault="00C10E00" w:rsidP="00C10E00">
      <w:pPr>
        <w:pStyle w:val="FootnoteText"/>
        <w:rPr>
          <w:lang w:val="en-US"/>
        </w:rPr>
      </w:pPr>
      <w:r w:rsidRPr="00CB5DB7">
        <w:rPr>
          <w:rStyle w:val="FootnoteReference"/>
          <w:rFonts w:ascii="Times New Roman" w:hAnsi="Times New Roman"/>
        </w:rPr>
        <w:footnoteRef/>
      </w:r>
      <w:r w:rsidRPr="00CB5DB7">
        <w:rPr>
          <w:rFonts w:ascii="Times New Roman" w:hAnsi="Times New Roman"/>
        </w:rPr>
        <w:t xml:space="preserve"> </w:t>
      </w:r>
      <w:r w:rsidR="00CA6938" w:rsidRPr="00704C7D">
        <w:rPr>
          <w:rFonts w:ascii="Times New Roman" w:hAnsi="Times New Roman"/>
          <w:color w:val="000000" w:themeColor="text1"/>
        </w:rPr>
        <w:t xml:space="preserve">van der Veen, </w:t>
      </w:r>
      <w:r w:rsidR="007562E6">
        <w:rPr>
          <w:rFonts w:ascii="Times New Roman" w:hAnsi="Times New Roman"/>
          <w:color w:val="000000" w:themeColor="text1"/>
        </w:rPr>
        <w:t>202</w:t>
      </w:r>
      <w:r w:rsidR="00160C43">
        <w:rPr>
          <w:rFonts w:ascii="Times New Roman" w:hAnsi="Times New Roman"/>
          <w:color w:val="000000" w:themeColor="text1"/>
        </w:rPr>
        <w:t>3</w:t>
      </w:r>
      <w:r w:rsidR="00CA6938" w:rsidRPr="001D1A60">
        <w:rPr>
          <w:rFonts w:ascii="Times New Roman" w:hAnsi="Times New Roman"/>
          <w:color w:val="000000" w:themeColor="text1"/>
        </w:rPr>
        <w:t>.</w:t>
      </w:r>
    </w:p>
  </w:footnote>
  <w:footnote w:id="18">
    <w:p w14:paraId="7C448CBA" w14:textId="4949BECD" w:rsidR="00841262" w:rsidRPr="005422CE" w:rsidRDefault="00841262" w:rsidP="00841262">
      <w:pPr>
        <w:pStyle w:val="FootnoteText"/>
        <w:rPr>
          <w:lang w:val="en-US"/>
        </w:rPr>
      </w:pPr>
      <w:r w:rsidRPr="006C540C">
        <w:rPr>
          <w:rStyle w:val="FootnoteReference"/>
          <w:rFonts w:ascii="Times New Roman" w:hAnsi="Times New Roman"/>
        </w:rPr>
        <w:footnoteRef/>
      </w:r>
      <w:r>
        <w:t xml:space="preserve"> </w:t>
      </w:r>
      <w:r w:rsidRPr="00704C7D">
        <w:rPr>
          <w:rFonts w:ascii="Times New Roman" w:hAnsi="Times New Roman"/>
          <w:color w:val="000000" w:themeColor="text1"/>
        </w:rPr>
        <w:t xml:space="preserve">van der Veen, </w:t>
      </w:r>
      <w:r w:rsidRPr="001D1A60">
        <w:rPr>
          <w:rFonts w:ascii="Times New Roman" w:hAnsi="Times New Roman"/>
          <w:color w:val="000000" w:themeColor="text1"/>
        </w:rPr>
        <w:t>2023.</w:t>
      </w:r>
    </w:p>
  </w:footnote>
  <w:footnote w:id="19">
    <w:p w14:paraId="7787AB04" w14:textId="12A235EB" w:rsidR="00BA43D8" w:rsidRPr="001D1A60" w:rsidRDefault="00BA43D8">
      <w:pPr>
        <w:pStyle w:val="FootnoteText"/>
        <w:rPr>
          <w:lang w:val="en-US"/>
        </w:rPr>
      </w:pPr>
      <w:r w:rsidRPr="006C540C">
        <w:rPr>
          <w:rStyle w:val="FootnoteReference"/>
          <w:rFonts w:ascii="Times New Roman" w:hAnsi="Times New Roman"/>
        </w:rPr>
        <w:footnoteRef/>
      </w:r>
      <w:r>
        <w:t xml:space="preserve"> </w:t>
      </w:r>
      <w:r w:rsidRPr="006159CE">
        <w:rPr>
          <w:rFonts w:ascii="Times New Roman" w:hAnsi="Times New Roman"/>
          <w:lang w:val="en-US"/>
        </w:rPr>
        <w:t>Locus 15 is contiguous with Locus 14.</w:t>
      </w:r>
    </w:p>
  </w:footnote>
  <w:footnote w:id="20">
    <w:p w14:paraId="05D15BA6" w14:textId="59EDA482" w:rsidR="001162FE" w:rsidRPr="00CA6938" w:rsidRDefault="001162FE">
      <w:pPr>
        <w:pStyle w:val="FootnoteText"/>
        <w:rPr>
          <w:rFonts w:ascii="Times New Roman" w:hAnsi="Times New Roman"/>
          <w:lang w:val="en-US"/>
        </w:rPr>
      </w:pPr>
      <w:r w:rsidRPr="00CA6938">
        <w:rPr>
          <w:rStyle w:val="FootnoteReference"/>
          <w:rFonts w:ascii="Times New Roman" w:hAnsi="Times New Roman"/>
        </w:rPr>
        <w:footnoteRef/>
      </w:r>
      <w:r w:rsidRPr="00CA6938">
        <w:rPr>
          <w:rFonts w:ascii="Times New Roman" w:hAnsi="Times New Roman"/>
        </w:rPr>
        <w:t xml:space="preserve"> </w:t>
      </w:r>
      <w:r w:rsidRPr="00CA6938">
        <w:rPr>
          <w:rFonts w:ascii="Times New Roman" w:hAnsi="Times New Roman"/>
          <w:lang w:val="en-US"/>
        </w:rPr>
        <w:t>Co</w:t>
      </w:r>
      <w:r w:rsidR="00676BC6" w:rsidRPr="00CA6938">
        <w:rPr>
          <w:rFonts w:ascii="Times New Roman" w:hAnsi="Times New Roman"/>
          <w:lang w:val="en-US"/>
        </w:rPr>
        <w:t>n</w:t>
      </w:r>
      <w:r w:rsidRPr="00CA6938">
        <w:rPr>
          <w:rFonts w:ascii="Times New Roman" w:hAnsi="Times New Roman"/>
          <w:lang w:val="en-US"/>
        </w:rPr>
        <w:t>tamination coul</w:t>
      </w:r>
      <w:r w:rsidR="00676BC6" w:rsidRPr="00CA6938">
        <w:rPr>
          <w:rFonts w:ascii="Times New Roman" w:hAnsi="Times New Roman"/>
          <w:lang w:val="en-US"/>
        </w:rPr>
        <w:t>d</w:t>
      </w:r>
      <w:r w:rsidRPr="00CA6938">
        <w:rPr>
          <w:rFonts w:ascii="Times New Roman" w:hAnsi="Times New Roman"/>
          <w:lang w:val="en-US"/>
        </w:rPr>
        <w:t xml:space="preserve"> also explain the anachronism</w:t>
      </w:r>
      <w:r w:rsidR="00676BC6" w:rsidRPr="00CA6938">
        <w:rPr>
          <w:rFonts w:ascii="Times New Roman" w:hAnsi="Times New Roman"/>
          <w:lang w:val="en-US"/>
        </w:rPr>
        <w:t>.</w:t>
      </w:r>
    </w:p>
  </w:footnote>
  <w:footnote w:id="21">
    <w:p w14:paraId="32FFCD99" w14:textId="26F2C9E9" w:rsidR="00C94F02" w:rsidRPr="00C94F02" w:rsidRDefault="00C94F02">
      <w:pPr>
        <w:pStyle w:val="FootnoteText"/>
        <w:rPr>
          <w:lang w:val="en-US"/>
        </w:rPr>
      </w:pPr>
      <w:r w:rsidRPr="00B8106B">
        <w:rPr>
          <w:rStyle w:val="FootnoteReference"/>
          <w:rFonts w:ascii="Times New Roman" w:hAnsi="Times New Roman"/>
        </w:rPr>
        <w:footnoteRef/>
      </w:r>
      <w:r w:rsidRPr="00B8106B">
        <w:rPr>
          <w:rFonts w:ascii="Times New Roman" w:hAnsi="Times New Roman"/>
        </w:rPr>
        <w:t xml:space="preserve"> </w:t>
      </w:r>
      <w:r w:rsidR="00CA6938" w:rsidRPr="00BF381B">
        <w:rPr>
          <w:rFonts w:ascii="Times New Roman" w:hAnsi="Times New Roman"/>
          <w:color w:val="000000" w:themeColor="text1"/>
        </w:rPr>
        <w:t>Ben</w:t>
      </w:r>
      <w:r w:rsidR="00CA6938" w:rsidRPr="007D6573">
        <w:rPr>
          <w:rFonts w:ascii="Times New Roman" w:hAnsi="Times New Roman"/>
          <w:color w:val="000000" w:themeColor="text1"/>
        </w:rPr>
        <w:t>-Tor</w:t>
      </w:r>
      <w:r w:rsidR="00CA6938">
        <w:rPr>
          <w:rFonts w:ascii="Times New Roman" w:hAnsi="Times New Roman"/>
          <w:color w:val="000000" w:themeColor="text1"/>
          <w:lang w:val="en-US"/>
        </w:rPr>
        <w:t xml:space="preserve">, </w:t>
      </w:r>
      <w:r w:rsidR="00CA6938" w:rsidRPr="007D6573">
        <w:rPr>
          <w:rFonts w:ascii="Times New Roman" w:hAnsi="Times New Roman"/>
          <w:color w:val="000000" w:themeColor="text1"/>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5273669"/>
      <w:docPartObj>
        <w:docPartGallery w:val="Page Numbers (Top of Page)"/>
        <w:docPartUnique/>
      </w:docPartObj>
    </w:sdtPr>
    <w:sdtContent>
      <w:p w14:paraId="085C4A16" w14:textId="57C4965B" w:rsidR="00C869C6" w:rsidRDefault="00C869C6" w:rsidP="009F54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0BC39E" w14:textId="77777777" w:rsidR="00C869C6" w:rsidRDefault="00C869C6" w:rsidP="00C869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706524"/>
      <w:docPartObj>
        <w:docPartGallery w:val="Page Numbers (Top of Page)"/>
        <w:docPartUnique/>
      </w:docPartObj>
    </w:sdtPr>
    <w:sdtContent>
      <w:p w14:paraId="3BF0F648" w14:textId="5E69C771" w:rsidR="00C869C6" w:rsidRDefault="00C869C6" w:rsidP="009F54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0653">
          <w:rPr>
            <w:rStyle w:val="PageNumber"/>
            <w:noProof/>
          </w:rPr>
          <w:t>12</w:t>
        </w:r>
        <w:r>
          <w:rPr>
            <w:rStyle w:val="PageNumber"/>
          </w:rPr>
          <w:fldChar w:fldCharType="end"/>
        </w:r>
      </w:p>
    </w:sdtContent>
  </w:sdt>
  <w:p w14:paraId="6FDE3DAD" w14:textId="77777777" w:rsidR="00C869C6" w:rsidRDefault="00C869C6" w:rsidP="00C869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84F1D"/>
    <w:multiLevelType w:val="multilevel"/>
    <w:tmpl w:val="90D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446DF"/>
    <w:multiLevelType w:val="hybridMultilevel"/>
    <w:tmpl w:val="2D489672"/>
    <w:lvl w:ilvl="0" w:tplc="8A1002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383300">
    <w:abstractNumId w:val="0"/>
  </w:num>
  <w:num w:numId="2" w16cid:durableId="104209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A3"/>
    <w:rsid w:val="00000A3D"/>
    <w:rsid w:val="00000C59"/>
    <w:rsid w:val="000012C4"/>
    <w:rsid w:val="000019CB"/>
    <w:rsid w:val="000023D6"/>
    <w:rsid w:val="00007844"/>
    <w:rsid w:val="0001019F"/>
    <w:rsid w:val="00010F1E"/>
    <w:rsid w:val="00011EE6"/>
    <w:rsid w:val="00015F39"/>
    <w:rsid w:val="00017B49"/>
    <w:rsid w:val="000210EA"/>
    <w:rsid w:val="00025A98"/>
    <w:rsid w:val="00025B7C"/>
    <w:rsid w:val="000263BF"/>
    <w:rsid w:val="00031D1B"/>
    <w:rsid w:val="00032CB4"/>
    <w:rsid w:val="00037CD9"/>
    <w:rsid w:val="00044FA0"/>
    <w:rsid w:val="0005104C"/>
    <w:rsid w:val="00051B67"/>
    <w:rsid w:val="0005219B"/>
    <w:rsid w:val="00061339"/>
    <w:rsid w:val="00061703"/>
    <w:rsid w:val="00066C16"/>
    <w:rsid w:val="00067355"/>
    <w:rsid w:val="00067485"/>
    <w:rsid w:val="000742F6"/>
    <w:rsid w:val="0007607B"/>
    <w:rsid w:val="00077D83"/>
    <w:rsid w:val="0008113D"/>
    <w:rsid w:val="00081A4A"/>
    <w:rsid w:val="000832C6"/>
    <w:rsid w:val="00086C5C"/>
    <w:rsid w:val="00097C18"/>
    <w:rsid w:val="000A0922"/>
    <w:rsid w:val="000A16E0"/>
    <w:rsid w:val="000A27EB"/>
    <w:rsid w:val="000A4CF7"/>
    <w:rsid w:val="000A5AA1"/>
    <w:rsid w:val="000B0749"/>
    <w:rsid w:val="000B20AB"/>
    <w:rsid w:val="000B2C40"/>
    <w:rsid w:val="000B313A"/>
    <w:rsid w:val="000C5196"/>
    <w:rsid w:val="000C6984"/>
    <w:rsid w:val="000C78AF"/>
    <w:rsid w:val="000D1EA8"/>
    <w:rsid w:val="000D2590"/>
    <w:rsid w:val="000D2ABB"/>
    <w:rsid w:val="000D2CD0"/>
    <w:rsid w:val="000E1391"/>
    <w:rsid w:val="000E1FD9"/>
    <w:rsid w:val="000E6A8E"/>
    <w:rsid w:val="000F0640"/>
    <w:rsid w:val="000F4A59"/>
    <w:rsid w:val="0010026F"/>
    <w:rsid w:val="001018D4"/>
    <w:rsid w:val="001044F8"/>
    <w:rsid w:val="00113445"/>
    <w:rsid w:val="0011376D"/>
    <w:rsid w:val="00113903"/>
    <w:rsid w:val="00114950"/>
    <w:rsid w:val="001162FE"/>
    <w:rsid w:val="001176E4"/>
    <w:rsid w:val="00122995"/>
    <w:rsid w:val="001242D1"/>
    <w:rsid w:val="00124A27"/>
    <w:rsid w:val="00125879"/>
    <w:rsid w:val="00127F03"/>
    <w:rsid w:val="00135FD0"/>
    <w:rsid w:val="001423E9"/>
    <w:rsid w:val="0014337D"/>
    <w:rsid w:val="00143459"/>
    <w:rsid w:val="00143A82"/>
    <w:rsid w:val="00144EF8"/>
    <w:rsid w:val="00160C43"/>
    <w:rsid w:val="00161728"/>
    <w:rsid w:val="00165733"/>
    <w:rsid w:val="001678A7"/>
    <w:rsid w:val="001708F9"/>
    <w:rsid w:val="00171928"/>
    <w:rsid w:val="00172D67"/>
    <w:rsid w:val="00174BE5"/>
    <w:rsid w:val="00175699"/>
    <w:rsid w:val="00181199"/>
    <w:rsid w:val="00181D19"/>
    <w:rsid w:val="00185E0F"/>
    <w:rsid w:val="00191CA9"/>
    <w:rsid w:val="00196658"/>
    <w:rsid w:val="001A5202"/>
    <w:rsid w:val="001A5622"/>
    <w:rsid w:val="001A5A4F"/>
    <w:rsid w:val="001A797D"/>
    <w:rsid w:val="001A7C4A"/>
    <w:rsid w:val="001B063B"/>
    <w:rsid w:val="001B0F31"/>
    <w:rsid w:val="001B1F43"/>
    <w:rsid w:val="001B2F17"/>
    <w:rsid w:val="001C24ED"/>
    <w:rsid w:val="001C4A02"/>
    <w:rsid w:val="001C5C82"/>
    <w:rsid w:val="001C5ECB"/>
    <w:rsid w:val="001D00AA"/>
    <w:rsid w:val="001D16ED"/>
    <w:rsid w:val="001D1A60"/>
    <w:rsid w:val="001D2ED3"/>
    <w:rsid w:val="001D392D"/>
    <w:rsid w:val="001D5007"/>
    <w:rsid w:val="001D7A2B"/>
    <w:rsid w:val="001E2BCF"/>
    <w:rsid w:val="001E6BBE"/>
    <w:rsid w:val="001E6F60"/>
    <w:rsid w:val="001F25CC"/>
    <w:rsid w:val="001F30F3"/>
    <w:rsid w:val="001F3E98"/>
    <w:rsid w:val="00200BF0"/>
    <w:rsid w:val="00201AEA"/>
    <w:rsid w:val="002068A3"/>
    <w:rsid w:val="0021064C"/>
    <w:rsid w:val="0021121D"/>
    <w:rsid w:val="002157B6"/>
    <w:rsid w:val="002200A3"/>
    <w:rsid w:val="002228F4"/>
    <w:rsid w:val="002348AB"/>
    <w:rsid w:val="00236A6E"/>
    <w:rsid w:val="00236ED2"/>
    <w:rsid w:val="00245BFA"/>
    <w:rsid w:val="00254E1D"/>
    <w:rsid w:val="0026117F"/>
    <w:rsid w:val="00261A3D"/>
    <w:rsid w:val="00266338"/>
    <w:rsid w:val="0027624C"/>
    <w:rsid w:val="002772AE"/>
    <w:rsid w:val="0027795E"/>
    <w:rsid w:val="002804FF"/>
    <w:rsid w:val="0028202F"/>
    <w:rsid w:val="00283673"/>
    <w:rsid w:val="00284F35"/>
    <w:rsid w:val="00287B52"/>
    <w:rsid w:val="00290378"/>
    <w:rsid w:val="002928FD"/>
    <w:rsid w:val="002932D3"/>
    <w:rsid w:val="00295255"/>
    <w:rsid w:val="002A076E"/>
    <w:rsid w:val="002A3A19"/>
    <w:rsid w:val="002A5585"/>
    <w:rsid w:val="002A5E35"/>
    <w:rsid w:val="002B0657"/>
    <w:rsid w:val="002C05D7"/>
    <w:rsid w:val="002C33F5"/>
    <w:rsid w:val="002C3EB8"/>
    <w:rsid w:val="002C415A"/>
    <w:rsid w:val="002C52A8"/>
    <w:rsid w:val="002D5322"/>
    <w:rsid w:val="002E210B"/>
    <w:rsid w:val="002E3F9D"/>
    <w:rsid w:val="002E6156"/>
    <w:rsid w:val="002F0A3F"/>
    <w:rsid w:val="00304121"/>
    <w:rsid w:val="00304881"/>
    <w:rsid w:val="00307C95"/>
    <w:rsid w:val="0031151B"/>
    <w:rsid w:val="00314118"/>
    <w:rsid w:val="003141D8"/>
    <w:rsid w:val="00316421"/>
    <w:rsid w:val="00317631"/>
    <w:rsid w:val="00322449"/>
    <w:rsid w:val="0032346B"/>
    <w:rsid w:val="00330ACB"/>
    <w:rsid w:val="0033321B"/>
    <w:rsid w:val="00337BE2"/>
    <w:rsid w:val="00355878"/>
    <w:rsid w:val="00355BE8"/>
    <w:rsid w:val="00362F10"/>
    <w:rsid w:val="00363874"/>
    <w:rsid w:val="00370157"/>
    <w:rsid w:val="003707D2"/>
    <w:rsid w:val="00371B6E"/>
    <w:rsid w:val="00375945"/>
    <w:rsid w:val="00377754"/>
    <w:rsid w:val="00380534"/>
    <w:rsid w:val="003829D1"/>
    <w:rsid w:val="0038394D"/>
    <w:rsid w:val="00385E50"/>
    <w:rsid w:val="00390841"/>
    <w:rsid w:val="003943B3"/>
    <w:rsid w:val="00396EB0"/>
    <w:rsid w:val="003978C6"/>
    <w:rsid w:val="003A0741"/>
    <w:rsid w:val="003A66F9"/>
    <w:rsid w:val="003B5DDC"/>
    <w:rsid w:val="003C10AE"/>
    <w:rsid w:val="003C1B25"/>
    <w:rsid w:val="003C31CB"/>
    <w:rsid w:val="003C58B3"/>
    <w:rsid w:val="003C5BD1"/>
    <w:rsid w:val="003C6B55"/>
    <w:rsid w:val="003D1C0E"/>
    <w:rsid w:val="003D2F83"/>
    <w:rsid w:val="003E06DF"/>
    <w:rsid w:val="003E1D75"/>
    <w:rsid w:val="003E24C1"/>
    <w:rsid w:val="003E571A"/>
    <w:rsid w:val="003F0052"/>
    <w:rsid w:val="003F0314"/>
    <w:rsid w:val="003F67BB"/>
    <w:rsid w:val="003F75D3"/>
    <w:rsid w:val="003F770E"/>
    <w:rsid w:val="004006A7"/>
    <w:rsid w:val="00405E60"/>
    <w:rsid w:val="00414A8B"/>
    <w:rsid w:val="00416000"/>
    <w:rsid w:val="00416F0B"/>
    <w:rsid w:val="00424185"/>
    <w:rsid w:val="00426FEF"/>
    <w:rsid w:val="004315BE"/>
    <w:rsid w:val="004327D6"/>
    <w:rsid w:val="0043392E"/>
    <w:rsid w:val="004339D0"/>
    <w:rsid w:val="00433B4B"/>
    <w:rsid w:val="00434D13"/>
    <w:rsid w:val="004423FD"/>
    <w:rsid w:val="00442F43"/>
    <w:rsid w:val="00444B42"/>
    <w:rsid w:val="00453841"/>
    <w:rsid w:val="00460140"/>
    <w:rsid w:val="00466180"/>
    <w:rsid w:val="0046751D"/>
    <w:rsid w:val="00470D20"/>
    <w:rsid w:val="00471C26"/>
    <w:rsid w:val="004776CF"/>
    <w:rsid w:val="00481641"/>
    <w:rsid w:val="00483ACB"/>
    <w:rsid w:val="00485E18"/>
    <w:rsid w:val="00486267"/>
    <w:rsid w:val="004877A2"/>
    <w:rsid w:val="0049146A"/>
    <w:rsid w:val="00494D3B"/>
    <w:rsid w:val="004A0449"/>
    <w:rsid w:val="004A340C"/>
    <w:rsid w:val="004A423D"/>
    <w:rsid w:val="004A6388"/>
    <w:rsid w:val="004A6774"/>
    <w:rsid w:val="004A79E1"/>
    <w:rsid w:val="004B1924"/>
    <w:rsid w:val="004B3574"/>
    <w:rsid w:val="004B4D6D"/>
    <w:rsid w:val="004C004D"/>
    <w:rsid w:val="004C28D0"/>
    <w:rsid w:val="004C43E9"/>
    <w:rsid w:val="004C5AE7"/>
    <w:rsid w:val="004D0F57"/>
    <w:rsid w:val="004D187F"/>
    <w:rsid w:val="004D2E50"/>
    <w:rsid w:val="004D47C1"/>
    <w:rsid w:val="004D522B"/>
    <w:rsid w:val="004E2C97"/>
    <w:rsid w:val="004E593A"/>
    <w:rsid w:val="004E5A13"/>
    <w:rsid w:val="004E7891"/>
    <w:rsid w:val="004F3FEB"/>
    <w:rsid w:val="004F4E05"/>
    <w:rsid w:val="004F7665"/>
    <w:rsid w:val="00504A11"/>
    <w:rsid w:val="0050789B"/>
    <w:rsid w:val="00511954"/>
    <w:rsid w:val="00511A79"/>
    <w:rsid w:val="0051509E"/>
    <w:rsid w:val="00515DB0"/>
    <w:rsid w:val="0051643B"/>
    <w:rsid w:val="0051708E"/>
    <w:rsid w:val="0052098A"/>
    <w:rsid w:val="00526510"/>
    <w:rsid w:val="00527E91"/>
    <w:rsid w:val="005315C2"/>
    <w:rsid w:val="00536C65"/>
    <w:rsid w:val="00536DBB"/>
    <w:rsid w:val="00537A6C"/>
    <w:rsid w:val="005401B1"/>
    <w:rsid w:val="005456A0"/>
    <w:rsid w:val="00550995"/>
    <w:rsid w:val="005533E1"/>
    <w:rsid w:val="00555C65"/>
    <w:rsid w:val="00556E81"/>
    <w:rsid w:val="00557EC6"/>
    <w:rsid w:val="00560187"/>
    <w:rsid w:val="005601EE"/>
    <w:rsid w:val="005608C3"/>
    <w:rsid w:val="00561F35"/>
    <w:rsid w:val="00566113"/>
    <w:rsid w:val="00572230"/>
    <w:rsid w:val="00572AEE"/>
    <w:rsid w:val="00574F59"/>
    <w:rsid w:val="005824F4"/>
    <w:rsid w:val="005828A1"/>
    <w:rsid w:val="00582BFC"/>
    <w:rsid w:val="005832D1"/>
    <w:rsid w:val="00586BA1"/>
    <w:rsid w:val="00593B48"/>
    <w:rsid w:val="00595E77"/>
    <w:rsid w:val="0059621A"/>
    <w:rsid w:val="005976FF"/>
    <w:rsid w:val="005A1E61"/>
    <w:rsid w:val="005A2D17"/>
    <w:rsid w:val="005A3FA8"/>
    <w:rsid w:val="005A4171"/>
    <w:rsid w:val="005A6376"/>
    <w:rsid w:val="005B26A2"/>
    <w:rsid w:val="005B52CC"/>
    <w:rsid w:val="005B6778"/>
    <w:rsid w:val="005C2B47"/>
    <w:rsid w:val="005C2E0D"/>
    <w:rsid w:val="005C3946"/>
    <w:rsid w:val="005C7A05"/>
    <w:rsid w:val="005D0986"/>
    <w:rsid w:val="005D2357"/>
    <w:rsid w:val="005D2E04"/>
    <w:rsid w:val="005D4245"/>
    <w:rsid w:val="005D5CF4"/>
    <w:rsid w:val="005D6911"/>
    <w:rsid w:val="005D78C8"/>
    <w:rsid w:val="005E2908"/>
    <w:rsid w:val="005E59BA"/>
    <w:rsid w:val="005E5D8B"/>
    <w:rsid w:val="005F37BB"/>
    <w:rsid w:val="005F67A7"/>
    <w:rsid w:val="005F6897"/>
    <w:rsid w:val="005F7044"/>
    <w:rsid w:val="005F7962"/>
    <w:rsid w:val="00602ED4"/>
    <w:rsid w:val="00603C44"/>
    <w:rsid w:val="00605573"/>
    <w:rsid w:val="006079F9"/>
    <w:rsid w:val="0061205C"/>
    <w:rsid w:val="00613EE9"/>
    <w:rsid w:val="006159CE"/>
    <w:rsid w:val="00617747"/>
    <w:rsid w:val="00622577"/>
    <w:rsid w:val="00622E87"/>
    <w:rsid w:val="006258C0"/>
    <w:rsid w:val="0062672C"/>
    <w:rsid w:val="00636D6E"/>
    <w:rsid w:val="0063787B"/>
    <w:rsid w:val="006442CA"/>
    <w:rsid w:val="00644C58"/>
    <w:rsid w:val="0064533D"/>
    <w:rsid w:val="006454D2"/>
    <w:rsid w:val="00646D9C"/>
    <w:rsid w:val="006530C5"/>
    <w:rsid w:val="0065546A"/>
    <w:rsid w:val="00660C79"/>
    <w:rsid w:val="00660CDF"/>
    <w:rsid w:val="006610F1"/>
    <w:rsid w:val="00665161"/>
    <w:rsid w:val="00665E6F"/>
    <w:rsid w:val="006733DC"/>
    <w:rsid w:val="00673AE6"/>
    <w:rsid w:val="00673FE5"/>
    <w:rsid w:val="0067606B"/>
    <w:rsid w:val="00676BC6"/>
    <w:rsid w:val="00681953"/>
    <w:rsid w:val="006876D7"/>
    <w:rsid w:val="00690653"/>
    <w:rsid w:val="00690CAE"/>
    <w:rsid w:val="00693232"/>
    <w:rsid w:val="00693E98"/>
    <w:rsid w:val="00694F15"/>
    <w:rsid w:val="006A292D"/>
    <w:rsid w:val="006A72C4"/>
    <w:rsid w:val="006A7781"/>
    <w:rsid w:val="006B044F"/>
    <w:rsid w:val="006B1C99"/>
    <w:rsid w:val="006B1CC8"/>
    <w:rsid w:val="006B243E"/>
    <w:rsid w:val="006B3099"/>
    <w:rsid w:val="006B6117"/>
    <w:rsid w:val="006C0A2A"/>
    <w:rsid w:val="006C0C41"/>
    <w:rsid w:val="006C34B6"/>
    <w:rsid w:val="006C486A"/>
    <w:rsid w:val="006C4CDD"/>
    <w:rsid w:val="006C540C"/>
    <w:rsid w:val="006C61AD"/>
    <w:rsid w:val="006D3710"/>
    <w:rsid w:val="006D6DCC"/>
    <w:rsid w:val="006E06DC"/>
    <w:rsid w:val="006E39BD"/>
    <w:rsid w:val="006E6795"/>
    <w:rsid w:val="006F1C4E"/>
    <w:rsid w:val="006F2B73"/>
    <w:rsid w:val="006F34EC"/>
    <w:rsid w:val="00704747"/>
    <w:rsid w:val="007048A9"/>
    <w:rsid w:val="00704C7D"/>
    <w:rsid w:val="00710DEB"/>
    <w:rsid w:val="007115B1"/>
    <w:rsid w:val="00712603"/>
    <w:rsid w:val="00714166"/>
    <w:rsid w:val="00714387"/>
    <w:rsid w:val="00721D7B"/>
    <w:rsid w:val="007227B1"/>
    <w:rsid w:val="007275FB"/>
    <w:rsid w:val="00733492"/>
    <w:rsid w:val="00733F08"/>
    <w:rsid w:val="007403EF"/>
    <w:rsid w:val="00740E60"/>
    <w:rsid w:val="00745AB4"/>
    <w:rsid w:val="007562E6"/>
    <w:rsid w:val="007563E4"/>
    <w:rsid w:val="007573D9"/>
    <w:rsid w:val="00757B28"/>
    <w:rsid w:val="00760012"/>
    <w:rsid w:val="00762E2C"/>
    <w:rsid w:val="00773445"/>
    <w:rsid w:val="0077390F"/>
    <w:rsid w:val="00782631"/>
    <w:rsid w:val="00782EFC"/>
    <w:rsid w:val="00785D2E"/>
    <w:rsid w:val="007A371A"/>
    <w:rsid w:val="007A420B"/>
    <w:rsid w:val="007A53A7"/>
    <w:rsid w:val="007B033B"/>
    <w:rsid w:val="007B5964"/>
    <w:rsid w:val="007B6E85"/>
    <w:rsid w:val="007C3F81"/>
    <w:rsid w:val="007C4B11"/>
    <w:rsid w:val="007D032B"/>
    <w:rsid w:val="007D228D"/>
    <w:rsid w:val="007D2F67"/>
    <w:rsid w:val="007D3F1C"/>
    <w:rsid w:val="007D6573"/>
    <w:rsid w:val="007D6CF7"/>
    <w:rsid w:val="007F12DA"/>
    <w:rsid w:val="007F2B63"/>
    <w:rsid w:val="007F6166"/>
    <w:rsid w:val="008036FA"/>
    <w:rsid w:val="0080394D"/>
    <w:rsid w:val="00807DDD"/>
    <w:rsid w:val="00814B8A"/>
    <w:rsid w:val="00820F50"/>
    <w:rsid w:val="00827974"/>
    <w:rsid w:val="008336F1"/>
    <w:rsid w:val="00834E4E"/>
    <w:rsid w:val="008361BA"/>
    <w:rsid w:val="008378F1"/>
    <w:rsid w:val="008409CA"/>
    <w:rsid w:val="00841262"/>
    <w:rsid w:val="00847F4E"/>
    <w:rsid w:val="008529FA"/>
    <w:rsid w:val="008574FC"/>
    <w:rsid w:val="00857566"/>
    <w:rsid w:val="00862113"/>
    <w:rsid w:val="00867241"/>
    <w:rsid w:val="00867AF4"/>
    <w:rsid w:val="00870C81"/>
    <w:rsid w:val="00880DCD"/>
    <w:rsid w:val="0089631B"/>
    <w:rsid w:val="008A10CD"/>
    <w:rsid w:val="008A2301"/>
    <w:rsid w:val="008A294A"/>
    <w:rsid w:val="008A2B35"/>
    <w:rsid w:val="008A30B4"/>
    <w:rsid w:val="008A4118"/>
    <w:rsid w:val="008A4A3E"/>
    <w:rsid w:val="008B2865"/>
    <w:rsid w:val="008B5829"/>
    <w:rsid w:val="008B64C5"/>
    <w:rsid w:val="008B7672"/>
    <w:rsid w:val="008C172D"/>
    <w:rsid w:val="008C5261"/>
    <w:rsid w:val="008C7D15"/>
    <w:rsid w:val="008D5057"/>
    <w:rsid w:val="008D61B2"/>
    <w:rsid w:val="008D70FC"/>
    <w:rsid w:val="008D751A"/>
    <w:rsid w:val="008D775F"/>
    <w:rsid w:val="008E13CD"/>
    <w:rsid w:val="008E1C66"/>
    <w:rsid w:val="008E2FA9"/>
    <w:rsid w:val="008E60EE"/>
    <w:rsid w:val="008F5EA2"/>
    <w:rsid w:val="008F682C"/>
    <w:rsid w:val="00902744"/>
    <w:rsid w:val="009034CF"/>
    <w:rsid w:val="00905B92"/>
    <w:rsid w:val="0091064C"/>
    <w:rsid w:val="009115DB"/>
    <w:rsid w:val="0091197E"/>
    <w:rsid w:val="0091211D"/>
    <w:rsid w:val="0091353A"/>
    <w:rsid w:val="00920006"/>
    <w:rsid w:val="00920CCE"/>
    <w:rsid w:val="00927323"/>
    <w:rsid w:val="00930FDC"/>
    <w:rsid w:val="00931A5A"/>
    <w:rsid w:val="009341CF"/>
    <w:rsid w:val="009341EB"/>
    <w:rsid w:val="00940A72"/>
    <w:rsid w:val="00940FB1"/>
    <w:rsid w:val="009424DF"/>
    <w:rsid w:val="00944DDE"/>
    <w:rsid w:val="00945C60"/>
    <w:rsid w:val="00950560"/>
    <w:rsid w:val="0095416D"/>
    <w:rsid w:val="009554B9"/>
    <w:rsid w:val="0096063F"/>
    <w:rsid w:val="009634B6"/>
    <w:rsid w:val="009673BF"/>
    <w:rsid w:val="009713E0"/>
    <w:rsid w:val="009719C9"/>
    <w:rsid w:val="00974F2A"/>
    <w:rsid w:val="009754A1"/>
    <w:rsid w:val="009762EA"/>
    <w:rsid w:val="009803A8"/>
    <w:rsid w:val="0098334B"/>
    <w:rsid w:val="009840E1"/>
    <w:rsid w:val="0098681B"/>
    <w:rsid w:val="0099144C"/>
    <w:rsid w:val="0099328D"/>
    <w:rsid w:val="00993AD6"/>
    <w:rsid w:val="00993F68"/>
    <w:rsid w:val="009941FB"/>
    <w:rsid w:val="009A1313"/>
    <w:rsid w:val="009B5B87"/>
    <w:rsid w:val="009C1995"/>
    <w:rsid w:val="009C4C84"/>
    <w:rsid w:val="009D585D"/>
    <w:rsid w:val="009D7549"/>
    <w:rsid w:val="009E31D0"/>
    <w:rsid w:val="009F143D"/>
    <w:rsid w:val="009F4C24"/>
    <w:rsid w:val="00A01E92"/>
    <w:rsid w:val="00A02025"/>
    <w:rsid w:val="00A020EE"/>
    <w:rsid w:val="00A04021"/>
    <w:rsid w:val="00A043F9"/>
    <w:rsid w:val="00A0679B"/>
    <w:rsid w:val="00A12AB7"/>
    <w:rsid w:val="00A13422"/>
    <w:rsid w:val="00A20652"/>
    <w:rsid w:val="00A21661"/>
    <w:rsid w:val="00A25D99"/>
    <w:rsid w:val="00A30DB4"/>
    <w:rsid w:val="00A31949"/>
    <w:rsid w:val="00A345B4"/>
    <w:rsid w:val="00A34A95"/>
    <w:rsid w:val="00A360CE"/>
    <w:rsid w:val="00A415FF"/>
    <w:rsid w:val="00A42796"/>
    <w:rsid w:val="00A42DCA"/>
    <w:rsid w:val="00A430FF"/>
    <w:rsid w:val="00A44B2F"/>
    <w:rsid w:val="00A52427"/>
    <w:rsid w:val="00A52964"/>
    <w:rsid w:val="00A52DF2"/>
    <w:rsid w:val="00A55863"/>
    <w:rsid w:val="00A56ECE"/>
    <w:rsid w:val="00A62058"/>
    <w:rsid w:val="00A63804"/>
    <w:rsid w:val="00A63F5E"/>
    <w:rsid w:val="00A66648"/>
    <w:rsid w:val="00A670C4"/>
    <w:rsid w:val="00A67BBC"/>
    <w:rsid w:val="00A72835"/>
    <w:rsid w:val="00A7738E"/>
    <w:rsid w:val="00A80F4A"/>
    <w:rsid w:val="00A8262C"/>
    <w:rsid w:val="00A8279A"/>
    <w:rsid w:val="00A82ECB"/>
    <w:rsid w:val="00A8644D"/>
    <w:rsid w:val="00A92113"/>
    <w:rsid w:val="00A9489A"/>
    <w:rsid w:val="00A9593D"/>
    <w:rsid w:val="00A967C4"/>
    <w:rsid w:val="00A96FB0"/>
    <w:rsid w:val="00AA03A0"/>
    <w:rsid w:val="00AA03A6"/>
    <w:rsid w:val="00AA4D2A"/>
    <w:rsid w:val="00AB3F17"/>
    <w:rsid w:val="00AB4DDE"/>
    <w:rsid w:val="00AD0672"/>
    <w:rsid w:val="00AD1505"/>
    <w:rsid w:val="00AD18C2"/>
    <w:rsid w:val="00AD483C"/>
    <w:rsid w:val="00AD5200"/>
    <w:rsid w:val="00AE5DFA"/>
    <w:rsid w:val="00AE6E54"/>
    <w:rsid w:val="00AF400A"/>
    <w:rsid w:val="00AF6276"/>
    <w:rsid w:val="00B03F03"/>
    <w:rsid w:val="00B04226"/>
    <w:rsid w:val="00B04937"/>
    <w:rsid w:val="00B04AEC"/>
    <w:rsid w:val="00B05E5F"/>
    <w:rsid w:val="00B06AB1"/>
    <w:rsid w:val="00B06C05"/>
    <w:rsid w:val="00B07557"/>
    <w:rsid w:val="00B11F3F"/>
    <w:rsid w:val="00B13B28"/>
    <w:rsid w:val="00B166F9"/>
    <w:rsid w:val="00B20BC0"/>
    <w:rsid w:val="00B25F7B"/>
    <w:rsid w:val="00B26593"/>
    <w:rsid w:val="00B26EF8"/>
    <w:rsid w:val="00B30320"/>
    <w:rsid w:val="00B31D41"/>
    <w:rsid w:val="00B34715"/>
    <w:rsid w:val="00B403DA"/>
    <w:rsid w:val="00B40D03"/>
    <w:rsid w:val="00B41ED2"/>
    <w:rsid w:val="00B42A4A"/>
    <w:rsid w:val="00B4499C"/>
    <w:rsid w:val="00B52F57"/>
    <w:rsid w:val="00B650E3"/>
    <w:rsid w:val="00B8106B"/>
    <w:rsid w:val="00B83E7A"/>
    <w:rsid w:val="00B840E3"/>
    <w:rsid w:val="00B84C00"/>
    <w:rsid w:val="00B86D3C"/>
    <w:rsid w:val="00B900B9"/>
    <w:rsid w:val="00B92552"/>
    <w:rsid w:val="00B94772"/>
    <w:rsid w:val="00B954F7"/>
    <w:rsid w:val="00B95F45"/>
    <w:rsid w:val="00BA3B07"/>
    <w:rsid w:val="00BA43D8"/>
    <w:rsid w:val="00BA4FE0"/>
    <w:rsid w:val="00BB3B43"/>
    <w:rsid w:val="00BB6D12"/>
    <w:rsid w:val="00BB7071"/>
    <w:rsid w:val="00BC7448"/>
    <w:rsid w:val="00BD138B"/>
    <w:rsid w:val="00BD39D6"/>
    <w:rsid w:val="00BD69ED"/>
    <w:rsid w:val="00BE2D25"/>
    <w:rsid w:val="00BE4BF2"/>
    <w:rsid w:val="00BE5086"/>
    <w:rsid w:val="00BF10EB"/>
    <w:rsid w:val="00BF137E"/>
    <w:rsid w:val="00C03A32"/>
    <w:rsid w:val="00C10E00"/>
    <w:rsid w:val="00C13283"/>
    <w:rsid w:val="00C22F87"/>
    <w:rsid w:val="00C2523F"/>
    <w:rsid w:val="00C26406"/>
    <w:rsid w:val="00C3533A"/>
    <w:rsid w:val="00C3545B"/>
    <w:rsid w:val="00C419E7"/>
    <w:rsid w:val="00C43368"/>
    <w:rsid w:val="00C43693"/>
    <w:rsid w:val="00C47466"/>
    <w:rsid w:val="00C50AFA"/>
    <w:rsid w:val="00C556FC"/>
    <w:rsid w:val="00C61EB4"/>
    <w:rsid w:val="00C65B50"/>
    <w:rsid w:val="00C80030"/>
    <w:rsid w:val="00C840AF"/>
    <w:rsid w:val="00C8415B"/>
    <w:rsid w:val="00C869C6"/>
    <w:rsid w:val="00C87B93"/>
    <w:rsid w:val="00C9142B"/>
    <w:rsid w:val="00C92DCA"/>
    <w:rsid w:val="00C93D29"/>
    <w:rsid w:val="00C94F02"/>
    <w:rsid w:val="00C96F40"/>
    <w:rsid w:val="00C97EAB"/>
    <w:rsid w:val="00CA069B"/>
    <w:rsid w:val="00CA2F77"/>
    <w:rsid w:val="00CA4767"/>
    <w:rsid w:val="00CA4EA2"/>
    <w:rsid w:val="00CA6938"/>
    <w:rsid w:val="00CA7FE3"/>
    <w:rsid w:val="00CB3314"/>
    <w:rsid w:val="00CB4DE7"/>
    <w:rsid w:val="00CB5DB7"/>
    <w:rsid w:val="00CB7955"/>
    <w:rsid w:val="00CC0EBE"/>
    <w:rsid w:val="00CC67D5"/>
    <w:rsid w:val="00CD2655"/>
    <w:rsid w:val="00CD42E0"/>
    <w:rsid w:val="00CD4919"/>
    <w:rsid w:val="00CD4A6D"/>
    <w:rsid w:val="00CD6F9B"/>
    <w:rsid w:val="00CE2290"/>
    <w:rsid w:val="00CE3F4B"/>
    <w:rsid w:val="00CE533F"/>
    <w:rsid w:val="00CE5FEB"/>
    <w:rsid w:val="00CF1D10"/>
    <w:rsid w:val="00CF3CB8"/>
    <w:rsid w:val="00CF48E4"/>
    <w:rsid w:val="00CF5AA1"/>
    <w:rsid w:val="00CF65D4"/>
    <w:rsid w:val="00D02387"/>
    <w:rsid w:val="00D13A7C"/>
    <w:rsid w:val="00D2060B"/>
    <w:rsid w:val="00D216EA"/>
    <w:rsid w:val="00D21781"/>
    <w:rsid w:val="00D2403F"/>
    <w:rsid w:val="00D274F8"/>
    <w:rsid w:val="00D336FD"/>
    <w:rsid w:val="00D52D47"/>
    <w:rsid w:val="00D53887"/>
    <w:rsid w:val="00D574AF"/>
    <w:rsid w:val="00D6025D"/>
    <w:rsid w:val="00D609FA"/>
    <w:rsid w:val="00D72D85"/>
    <w:rsid w:val="00D77FC6"/>
    <w:rsid w:val="00D80EBA"/>
    <w:rsid w:val="00D84731"/>
    <w:rsid w:val="00D84E19"/>
    <w:rsid w:val="00D913B2"/>
    <w:rsid w:val="00D923B6"/>
    <w:rsid w:val="00D92445"/>
    <w:rsid w:val="00D94908"/>
    <w:rsid w:val="00D95F8D"/>
    <w:rsid w:val="00DA31FF"/>
    <w:rsid w:val="00DA479B"/>
    <w:rsid w:val="00DA7FF4"/>
    <w:rsid w:val="00DB35C5"/>
    <w:rsid w:val="00DB5FAC"/>
    <w:rsid w:val="00DB65DD"/>
    <w:rsid w:val="00DC5658"/>
    <w:rsid w:val="00DC6F8F"/>
    <w:rsid w:val="00DD1488"/>
    <w:rsid w:val="00DD3A47"/>
    <w:rsid w:val="00DE26A8"/>
    <w:rsid w:val="00DE3D49"/>
    <w:rsid w:val="00DF1630"/>
    <w:rsid w:val="00DF42E4"/>
    <w:rsid w:val="00E018C0"/>
    <w:rsid w:val="00E073B3"/>
    <w:rsid w:val="00E12839"/>
    <w:rsid w:val="00E162F9"/>
    <w:rsid w:val="00E16671"/>
    <w:rsid w:val="00E23FFE"/>
    <w:rsid w:val="00E24973"/>
    <w:rsid w:val="00E30A46"/>
    <w:rsid w:val="00E30FA5"/>
    <w:rsid w:val="00E327BF"/>
    <w:rsid w:val="00E32C72"/>
    <w:rsid w:val="00E345F0"/>
    <w:rsid w:val="00E37641"/>
    <w:rsid w:val="00E40184"/>
    <w:rsid w:val="00E415A7"/>
    <w:rsid w:val="00E469CE"/>
    <w:rsid w:val="00E57F5B"/>
    <w:rsid w:val="00E61F20"/>
    <w:rsid w:val="00E65D42"/>
    <w:rsid w:val="00E72C6F"/>
    <w:rsid w:val="00E84F48"/>
    <w:rsid w:val="00E865C5"/>
    <w:rsid w:val="00E86A34"/>
    <w:rsid w:val="00E87AED"/>
    <w:rsid w:val="00E956DF"/>
    <w:rsid w:val="00E9671E"/>
    <w:rsid w:val="00E971A9"/>
    <w:rsid w:val="00EA030C"/>
    <w:rsid w:val="00EA0F94"/>
    <w:rsid w:val="00EA149D"/>
    <w:rsid w:val="00EA69F4"/>
    <w:rsid w:val="00EA7668"/>
    <w:rsid w:val="00EB48C8"/>
    <w:rsid w:val="00EB4A3D"/>
    <w:rsid w:val="00EC34EC"/>
    <w:rsid w:val="00ED44B1"/>
    <w:rsid w:val="00ED5110"/>
    <w:rsid w:val="00ED633A"/>
    <w:rsid w:val="00ED7E53"/>
    <w:rsid w:val="00EE2631"/>
    <w:rsid w:val="00EE4277"/>
    <w:rsid w:val="00EE429A"/>
    <w:rsid w:val="00EF202D"/>
    <w:rsid w:val="00EF447F"/>
    <w:rsid w:val="00EF458E"/>
    <w:rsid w:val="00EF6E47"/>
    <w:rsid w:val="00EF7084"/>
    <w:rsid w:val="00F00B4C"/>
    <w:rsid w:val="00F0172E"/>
    <w:rsid w:val="00F025A9"/>
    <w:rsid w:val="00F025BE"/>
    <w:rsid w:val="00F0267C"/>
    <w:rsid w:val="00F02B0D"/>
    <w:rsid w:val="00F0453D"/>
    <w:rsid w:val="00F05B36"/>
    <w:rsid w:val="00F0624F"/>
    <w:rsid w:val="00F10AE4"/>
    <w:rsid w:val="00F10E64"/>
    <w:rsid w:val="00F1393F"/>
    <w:rsid w:val="00F16C2A"/>
    <w:rsid w:val="00F16DBD"/>
    <w:rsid w:val="00F21F3E"/>
    <w:rsid w:val="00F2425A"/>
    <w:rsid w:val="00F2515A"/>
    <w:rsid w:val="00F2664B"/>
    <w:rsid w:val="00F31310"/>
    <w:rsid w:val="00F3435B"/>
    <w:rsid w:val="00F34CFA"/>
    <w:rsid w:val="00F36DD1"/>
    <w:rsid w:val="00F37C6A"/>
    <w:rsid w:val="00F40678"/>
    <w:rsid w:val="00F50654"/>
    <w:rsid w:val="00F52D2B"/>
    <w:rsid w:val="00F539B3"/>
    <w:rsid w:val="00F56DA7"/>
    <w:rsid w:val="00F5793E"/>
    <w:rsid w:val="00F6323C"/>
    <w:rsid w:val="00F7005E"/>
    <w:rsid w:val="00F71D33"/>
    <w:rsid w:val="00F86205"/>
    <w:rsid w:val="00F911A9"/>
    <w:rsid w:val="00F93B56"/>
    <w:rsid w:val="00F95F75"/>
    <w:rsid w:val="00FA076D"/>
    <w:rsid w:val="00FA15A6"/>
    <w:rsid w:val="00FB2109"/>
    <w:rsid w:val="00FB34C4"/>
    <w:rsid w:val="00FB4D9C"/>
    <w:rsid w:val="00FC267E"/>
    <w:rsid w:val="00FC474C"/>
    <w:rsid w:val="00FC6FCB"/>
    <w:rsid w:val="00FE19B9"/>
    <w:rsid w:val="00FE1E1D"/>
    <w:rsid w:val="00FE2187"/>
    <w:rsid w:val="00FE6402"/>
    <w:rsid w:val="00FE6655"/>
    <w:rsid w:val="00FE6BD0"/>
    <w:rsid w:val="00FE7A3E"/>
    <w:rsid w:val="00FF1D96"/>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ABB1"/>
  <w15:chartTrackingRefBased/>
  <w15:docId w15:val="{F5ED1623-7782-C645-96C5-480BCE75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68A3"/>
    <w:rPr>
      <w:sz w:val="16"/>
      <w:szCs w:val="16"/>
    </w:rPr>
  </w:style>
  <w:style w:type="paragraph" w:styleId="FootnoteText">
    <w:name w:val="footnote text"/>
    <w:basedOn w:val="Normal"/>
    <w:link w:val="FootnoteTextChar"/>
    <w:uiPriority w:val="99"/>
    <w:unhideWhenUsed/>
    <w:rsid w:val="002068A3"/>
    <w:rPr>
      <w:rFonts w:ascii="Calibri" w:eastAsia="Calibri" w:hAnsi="Calibri" w:cs="Times New Roman"/>
      <w:kern w:val="0"/>
      <w:sz w:val="20"/>
      <w:szCs w:val="20"/>
      <w:lang w:val="x-none" w:eastAsia="x-none" w:bidi="he-IL"/>
      <w14:ligatures w14:val="none"/>
    </w:rPr>
  </w:style>
  <w:style w:type="character" w:customStyle="1" w:styleId="FootnoteTextChar">
    <w:name w:val="Footnote Text Char"/>
    <w:basedOn w:val="DefaultParagraphFont"/>
    <w:link w:val="FootnoteText"/>
    <w:uiPriority w:val="99"/>
    <w:rsid w:val="002068A3"/>
    <w:rPr>
      <w:rFonts w:ascii="Calibri" w:eastAsia="Calibri" w:hAnsi="Calibri" w:cs="Times New Roman"/>
      <w:kern w:val="0"/>
      <w:sz w:val="20"/>
      <w:szCs w:val="20"/>
      <w:lang w:val="x-none" w:eastAsia="x-none" w:bidi="he-IL"/>
      <w14:ligatures w14:val="none"/>
    </w:rPr>
  </w:style>
  <w:style w:type="character" w:styleId="FootnoteReference">
    <w:name w:val="footnote reference"/>
    <w:uiPriority w:val="99"/>
    <w:semiHidden/>
    <w:unhideWhenUsed/>
    <w:rsid w:val="002068A3"/>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F1393F"/>
  </w:style>
  <w:style w:type="paragraph" w:styleId="Title">
    <w:name w:val="Title"/>
    <w:basedOn w:val="Normal"/>
    <w:next w:val="Normal"/>
    <w:link w:val="TitleChar"/>
    <w:uiPriority w:val="1"/>
    <w:qFormat/>
    <w:rsid w:val="0089631B"/>
    <w:pPr>
      <w:autoSpaceDE w:val="0"/>
      <w:autoSpaceDN w:val="0"/>
      <w:adjustRightInd w:val="0"/>
      <w:ind w:left="4280"/>
    </w:pPr>
    <w:rPr>
      <w:rFonts w:cs="Times New Roman"/>
      <w:kern w:val="0"/>
    </w:rPr>
  </w:style>
  <w:style w:type="character" w:customStyle="1" w:styleId="TitleChar">
    <w:name w:val="Title Char"/>
    <w:basedOn w:val="DefaultParagraphFont"/>
    <w:link w:val="Title"/>
    <w:uiPriority w:val="1"/>
    <w:rsid w:val="0089631B"/>
    <w:rPr>
      <w:rFonts w:cs="Times New Roman"/>
      <w:kern w:val="0"/>
    </w:rPr>
  </w:style>
  <w:style w:type="paragraph" w:styleId="Header">
    <w:name w:val="header"/>
    <w:basedOn w:val="Normal"/>
    <w:link w:val="HeaderChar"/>
    <w:uiPriority w:val="99"/>
    <w:unhideWhenUsed/>
    <w:rsid w:val="00C869C6"/>
    <w:pPr>
      <w:tabs>
        <w:tab w:val="center" w:pos="4680"/>
        <w:tab w:val="right" w:pos="9360"/>
      </w:tabs>
    </w:pPr>
  </w:style>
  <w:style w:type="character" w:customStyle="1" w:styleId="HeaderChar">
    <w:name w:val="Header Char"/>
    <w:basedOn w:val="DefaultParagraphFont"/>
    <w:link w:val="Header"/>
    <w:uiPriority w:val="99"/>
    <w:rsid w:val="00C869C6"/>
  </w:style>
  <w:style w:type="character" w:styleId="PageNumber">
    <w:name w:val="page number"/>
    <w:basedOn w:val="DefaultParagraphFont"/>
    <w:uiPriority w:val="99"/>
    <w:semiHidden/>
    <w:unhideWhenUsed/>
    <w:rsid w:val="00C869C6"/>
  </w:style>
  <w:style w:type="paragraph" w:styleId="CommentSubject">
    <w:name w:val="annotation subject"/>
    <w:basedOn w:val="CommentText"/>
    <w:next w:val="CommentText"/>
    <w:link w:val="CommentSubjectChar"/>
    <w:uiPriority w:val="99"/>
    <w:semiHidden/>
    <w:unhideWhenUsed/>
    <w:rsid w:val="00442F43"/>
    <w:rPr>
      <w:b/>
      <w:bCs/>
    </w:rPr>
  </w:style>
  <w:style w:type="character" w:customStyle="1" w:styleId="CommentSubjectChar">
    <w:name w:val="Comment Subject Char"/>
    <w:basedOn w:val="CommentTextChar"/>
    <w:link w:val="CommentSubject"/>
    <w:uiPriority w:val="99"/>
    <w:semiHidden/>
    <w:rsid w:val="00442F43"/>
    <w:rPr>
      <w:b/>
      <w:bCs/>
      <w:sz w:val="20"/>
      <w:szCs w:val="20"/>
    </w:rPr>
  </w:style>
  <w:style w:type="character" w:customStyle="1" w:styleId="apple-converted-space">
    <w:name w:val="apple-converted-space"/>
    <w:basedOn w:val="DefaultParagraphFont"/>
    <w:rsid w:val="003E06DF"/>
  </w:style>
  <w:style w:type="character" w:styleId="Emphasis">
    <w:name w:val="Emphasis"/>
    <w:basedOn w:val="DefaultParagraphFont"/>
    <w:uiPriority w:val="20"/>
    <w:qFormat/>
    <w:rsid w:val="003E06DF"/>
    <w:rPr>
      <w:i/>
      <w:iCs/>
    </w:rPr>
  </w:style>
  <w:style w:type="paragraph" w:styleId="NormalWeb">
    <w:name w:val="Normal (Web)"/>
    <w:basedOn w:val="Normal"/>
    <w:uiPriority w:val="99"/>
    <w:unhideWhenUsed/>
    <w:rsid w:val="00304121"/>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unhideWhenUsed/>
    <w:rsid w:val="00F93B56"/>
    <w:rPr>
      <w:color w:val="0563C1" w:themeColor="hyperlink"/>
      <w:u w:val="single"/>
    </w:rPr>
  </w:style>
  <w:style w:type="character" w:customStyle="1" w:styleId="UnresolvedMention1">
    <w:name w:val="Unresolved Mention1"/>
    <w:basedOn w:val="DefaultParagraphFont"/>
    <w:uiPriority w:val="99"/>
    <w:semiHidden/>
    <w:unhideWhenUsed/>
    <w:rsid w:val="00F93B56"/>
    <w:rPr>
      <w:color w:val="605E5C"/>
      <w:shd w:val="clear" w:color="auto" w:fill="E1DFDD"/>
    </w:rPr>
  </w:style>
  <w:style w:type="character" w:styleId="FollowedHyperlink">
    <w:name w:val="FollowedHyperlink"/>
    <w:basedOn w:val="DefaultParagraphFont"/>
    <w:uiPriority w:val="99"/>
    <w:semiHidden/>
    <w:unhideWhenUsed/>
    <w:rsid w:val="00F93B56"/>
    <w:rPr>
      <w:color w:val="954F72" w:themeColor="followedHyperlink"/>
      <w:u w:val="single"/>
    </w:rPr>
  </w:style>
  <w:style w:type="table" w:styleId="TableGrid">
    <w:name w:val="Table Grid"/>
    <w:basedOn w:val="TableNormal"/>
    <w:uiPriority w:val="39"/>
    <w:rsid w:val="004C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6EA"/>
    <w:rPr>
      <w:rFonts w:ascii="Segoe UI" w:hAnsi="Segoe UI" w:cs="Segoe UI"/>
      <w:sz w:val="18"/>
      <w:szCs w:val="18"/>
    </w:rPr>
  </w:style>
  <w:style w:type="paragraph" w:customStyle="1" w:styleId="BodyText2ndparagraph">
    <w:name w:val="Body Text 2nd paragraph"/>
    <w:basedOn w:val="BodyText"/>
    <w:link w:val="BodyText2ndparagraphChar"/>
    <w:qFormat/>
    <w:rsid w:val="00622E87"/>
    <w:pPr>
      <w:widowControl w:val="0"/>
      <w:spacing w:before="80" w:after="0"/>
      <w:ind w:firstLine="567"/>
      <w:jc w:val="both"/>
    </w:pPr>
    <w:rPr>
      <w:rFonts w:eastAsia="Calibri"/>
      <w:kern w:val="0"/>
      <w14:ligatures w14:val="none"/>
    </w:rPr>
  </w:style>
  <w:style w:type="character" w:customStyle="1" w:styleId="BodyText2ndparagraphChar">
    <w:name w:val="Body Text 2nd paragraph Char"/>
    <w:basedOn w:val="BodyTextChar"/>
    <w:link w:val="BodyText2ndparagraph"/>
    <w:rsid w:val="00622E87"/>
    <w:rPr>
      <w:rFonts w:eastAsia="Calibri"/>
      <w:kern w:val="0"/>
      <w14:ligatures w14:val="none"/>
    </w:rPr>
  </w:style>
  <w:style w:type="paragraph" w:styleId="BodyText">
    <w:name w:val="Body Text"/>
    <w:basedOn w:val="Normal"/>
    <w:link w:val="BodyTextChar"/>
    <w:uiPriority w:val="99"/>
    <w:semiHidden/>
    <w:unhideWhenUsed/>
    <w:rsid w:val="00622E87"/>
    <w:pPr>
      <w:spacing w:after="120"/>
    </w:pPr>
  </w:style>
  <w:style w:type="character" w:customStyle="1" w:styleId="BodyTextChar">
    <w:name w:val="Body Text Char"/>
    <w:basedOn w:val="DefaultParagraphFont"/>
    <w:link w:val="BodyText"/>
    <w:uiPriority w:val="99"/>
    <w:semiHidden/>
    <w:rsid w:val="00622E87"/>
  </w:style>
  <w:style w:type="character" w:styleId="UnresolvedMention">
    <w:name w:val="Unresolved Mention"/>
    <w:basedOn w:val="DefaultParagraphFont"/>
    <w:uiPriority w:val="99"/>
    <w:semiHidden/>
    <w:unhideWhenUsed/>
    <w:rsid w:val="00466180"/>
    <w:rPr>
      <w:color w:val="605E5C"/>
      <w:shd w:val="clear" w:color="auto" w:fill="E1DFDD"/>
    </w:rPr>
  </w:style>
  <w:style w:type="paragraph" w:styleId="Footer">
    <w:name w:val="footer"/>
    <w:basedOn w:val="Normal"/>
    <w:link w:val="FooterChar"/>
    <w:uiPriority w:val="99"/>
    <w:unhideWhenUsed/>
    <w:rsid w:val="0059621A"/>
    <w:pPr>
      <w:tabs>
        <w:tab w:val="center" w:pos="4680"/>
        <w:tab w:val="right" w:pos="9360"/>
      </w:tabs>
    </w:pPr>
  </w:style>
  <w:style w:type="character" w:customStyle="1" w:styleId="FooterChar">
    <w:name w:val="Footer Char"/>
    <w:basedOn w:val="DefaultParagraphFont"/>
    <w:link w:val="Footer"/>
    <w:uiPriority w:val="99"/>
    <w:rsid w:val="0059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396">
      <w:bodyDiv w:val="1"/>
      <w:marLeft w:val="0"/>
      <w:marRight w:val="0"/>
      <w:marTop w:val="0"/>
      <w:marBottom w:val="0"/>
      <w:divBdr>
        <w:top w:val="none" w:sz="0" w:space="0" w:color="auto"/>
        <w:left w:val="none" w:sz="0" w:space="0" w:color="auto"/>
        <w:bottom w:val="none" w:sz="0" w:space="0" w:color="auto"/>
        <w:right w:val="none" w:sz="0" w:space="0" w:color="auto"/>
      </w:divBdr>
      <w:divsChild>
        <w:div w:id="807087768">
          <w:marLeft w:val="0"/>
          <w:marRight w:val="0"/>
          <w:marTop w:val="0"/>
          <w:marBottom w:val="0"/>
          <w:divBdr>
            <w:top w:val="none" w:sz="0" w:space="0" w:color="auto"/>
            <w:left w:val="none" w:sz="0" w:space="0" w:color="auto"/>
            <w:bottom w:val="none" w:sz="0" w:space="0" w:color="auto"/>
            <w:right w:val="none" w:sz="0" w:space="0" w:color="auto"/>
          </w:divBdr>
          <w:divsChild>
            <w:div w:id="872571025">
              <w:marLeft w:val="0"/>
              <w:marRight w:val="0"/>
              <w:marTop w:val="0"/>
              <w:marBottom w:val="0"/>
              <w:divBdr>
                <w:top w:val="none" w:sz="0" w:space="0" w:color="auto"/>
                <w:left w:val="none" w:sz="0" w:space="0" w:color="auto"/>
                <w:bottom w:val="none" w:sz="0" w:space="0" w:color="auto"/>
                <w:right w:val="none" w:sz="0" w:space="0" w:color="auto"/>
              </w:divBdr>
              <w:divsChild>
                <w:div w:id="1199661117">
                  <w:marLeft w:val="0"/>
                  <w:marRight w:val="0"/>
                  <w:marTop w:val="0"/>
                  <w:marBottom w:val="0"/>
                  <w:divBdr>
                    <w:top w:val="none" w:sz="0" w:space="0" w:color="auto"/>
                    <w:left w:val="none" w:sz="0" w:space="0" w:color="auto"/>
                    <w:bottom w:val="none" w:sz="0" w:space="0" w:color="auto"/>
                    <w:right w:val="none" w:sz="0" w:space="0" w:color="auto"/>
                  </w:divBdr>
                  <w:divsChild>
                    <w:div w:id="15246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4526">
      <w:bodyDiv w:val="1"/>
      <w:marLeft w:val="0"/>
      <w:marRight w:val="0"/>
      <w:marTop w:val="0"/>
      <w:marBottom w:val="0"/>
      <w:divBdr>
        <w:top w:val="none" w:sz="0" w:space="0" w:color="auto"/>
        <w:left w:val="none" w:sz="0" w:space="0" w:color="auto"/>
        <w:bottom w:val="none" w:sz="0" w:space="0" w:color="auto"/>
        <w:right w:val="none" w:sz="0" w:space="0" w:color="auto"/>
      </w:divBdr>
      <w:divsChild>
        <w:div w:id="1255436496">
          <w:marLeft w:val="0"/>
          <w:marRight w:val="0"/>
          <w:marTop w:val="0"/>
          <w:marBottom w:val="0"/>
          <w:divBdr>
            <w:top w:val="none" w:sz="0" w:space="0" w:color="auto"/>
            <w:left w:val="none" w:sz="0" w:space="0" w:color="auto"/>
            <w:bottom w:val="none" w:sz="0" w:space="0" w:color="auto"/>
            <w:right w:val="none" w:sz="0" w:space="0" w:color="auto"/>
          </w:divBdr>
          <w:divsChild>
            <w:div w:id="489293363">
              <w:marLeft w:val="0"/>
              <w:marRight w:val="0"/>
              <w:marTop w:val="0"/>
              <w:marBottom w:val="0"/>
              <w:divBdr>
                <w:top w:val="none" w:sz="0" w:space="0" w:color="auto"/>
                <w:left w:val="none" w:sz="0" w:space="0" w:color="auto"/>
                <w:bottom w:val="none" w:sz="0" w:space="0" w:color="auto"/>
                <w:right w:val="none" w:sz="0" w:space="0" w:color="auto"/>
              </w:divBdr>
              <w:divsChild>
                <w:div w:id="974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0849">
      <w:bodyDiv w:val="1"/>
      <w:marLeft w:val="0"/>
      <w:marRight w:val="0"/>
      <w:marTop w:val="0"/>
      <w:marBottom w:val="0"/>
      <w:divBdr>
        <w:top w:val="none" w:sz="0" w:space="0" w:color="auto"/>
        <w:left w:val="none" w:sz="0" w:space="0" w:color="auto"/>
        <w:bottom w:val="none" w:sz="0" w:space="0" w:color="auto"/>
        <w:right w:val="none" w:sz="0" w:space="0" w:color="auto"/>
      </w:divBdr>
      <w:divsChild>
        <w:div w:id="614799886">
          <w:marLeft w:val="0"/>
          <w:marRight w:val="0"/>
          <w:marTop w:val="0"/>
          <w:marBottom w:val="0"/>
          <w:divBdr>
            <w:top w:val="none" w:sz="0" w:space="0" w:color="auto"/>
            <w:left w:val="none" w:sz="0" w:space="0" w:color="auto"/>
            <w:bottom w:val="none" w:sz="0" w:space="0" w:color="auto"/>
            <w:right w:val="none" w:sz="0" w:space="0" w:color="auto"/>
          </w:divBdr>
          <w:divsChild>
            <w:div w:id="1233852335">
              <w:marLeft w:val="0"/>
              <w:marRight w:val="0"/>
              <w:marTop w:val="0"/>
              <w:marBottom w:val="0"/>
              <w:divBdr>
                <w:top w:val="none" w:sz="0" w:space="0" w:color="auto"/>
                <w:left w:val="none" w:sz="0" w:space="0" w:color="auto"/>
                <w:bottom w:val="none" w:sz="0" w:space="0" w:color="auto"/>
                <w:right w:val="none" w:sz="0" w:space="0" w:color="auto"/>
              </w:divBdr>
              <w:divsChild>
                <w:div w:id="1295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5218">
      <w:bodyDiv w:val="1"/>
      <w:marLeft w:val="0"/>
      <w:marRight w:val="0"/>
      <w:marTop w:val="0"/>
      <w:marBottom w:val="0"/>
      <w:divBdr>
        <w:top w:val="none" w:sz="0" w:space="0" w:color="auto"/>
        <w:left w:val="none" w:sz="0" w:space="0" w:color="auto"/>
        <w:bottom w:val="none" w:sz="0" w:space="0" w:color="auto"/>
        <w:right w:val="none" w:sz="0" w:space="0" w:color="auto"/>
      </w:divBdr>
      <w:divsChild>
        <w:div w:id="1615674310">
          <w:marLeft w:val="0"/>
          <w:marRight w:val="0"/>
          <w:marTop w:val="0"/>
          <w:marBottom w:val="0"/>
          <w:divBdr>
            <w:top w:val="none" w:sz="0" w:space="0" w:color="auto"/>
            <w:left w:val="none" w:sz="0" w:space="0" w:color="auto"/>
            <w:bottom w:val="none" w:sz="0" w:space="0" w:color="auto"/>
            <w:right w:val="none" w:sz="0" w:space="0" w:color="auto"/>
          </w:divBdr>
          <w:divsChild>
            <w:div w:id="220019508">
              <w:marLeft w:val="0"/>
              <w:marRight w:val="0"/>
              <w:marTop w:val="0"/>
              <w:marBottom w:val="0"/>
              <w:divBdr>
                <w:top w:val="none" w:sz="0" w:space="0" w:color="auto"/>
                <w:left w:val="none" w:sz="0" w:space="0" w:color="auto"/>
                <w:bottom w:val="none" w:sz="0" w:space="0" w:color="auto"/>
                <w:right w:val="none" w:sz="0" w:space="0" w:color="auto"/>
              </w:divBdr>
              <w:divsChild>
                <w:div w:id="1157526540">
                  <w:marLeft w:val="0"/>
                  <w:marRight w:val="0"/>
                  <w:marTop w:val="0"/>
                  <w:marBottom w:val="0"/>
                  <w:divBdr>
                    <w:top w:val="none" w:sz="0" w:space="0" w:color="auto"/>
                    <w:left w:val="none" w:sz="0" w:space="0" w:color="auto"/>
                    <w:bottom w:val="none" w:sz="0" w:space="0" w:color="auto"/>
                    <w:right w:val="none" w:sz="0" w:space="0" w:color="auto"/>
                  </w:divBdr>
                  <w:divsChild>
                    <w:div w:id="13655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912">
      <w:bodyDiv w:val="1"/>
      <w:marLeft w:val="0"/>
      <w:marRight w:val="0"/>
      <w:marTop w:val="0"/>
      <w:marBottom w:val="0"/>
      <w:divBdr>
        <w:top w:val="none" w:sz="0" w:space="0" w:color="auto"/>
        <w:left w:val="none" w:sz="0" w:space="0" w:color="auto"/>
        <w:bottom w:val="none" w:sz="0" w:space="0" w:color="auto"/>
        <w:right w:val="none" w:sz="0" w:space="0" w:color="auto"/>
      </w:divBdr>
      <w:divsChild>
        <w:div w:id="632561020">
          <w:marLeft w:val="0"/>
          <w:marRight w:val="0"/>
          <w:marTop w:val="0"/>
          <w:marBottom w:val="0"/>
          <w:divBdr>
            <w:top w:val="none" w:sz="0" w:space="0" w:color="auto"/>
            <w:left w:val="none" w:sz="0" w:space="0" w:color="auto"/>
            <w:bottom w:val="none" w:sz="0" w:space="0" w:color="auto"/>
            <w:right w:val="none" w:sz="0" w:space="0" w:color="auto"/>
          </w:divBdr>
          <w:divsChild>
            <w:div w:id="113060648">
              <w:marLeft w:val="0"/>
              <w:marRight w:val="0"/>
              <w:marTop w:val="0"/>
              <w:marBottom w:val="0"/>
              <w:divBdr>
                <w:top w:val="none" w:sz="0" w:space="0" w:color="auto"/>
                <w:left w:val="none" w:sz="0" w:space="0" w:color="auto"/>
                <w:bottom w:val="none" w:sz="0" w:space="0" w:color="auto"/>
                <w:right w:val="none" w:sz="0" w:space="0" w:color="auto"/>
              </w:divBdr>
              <w:divsChild>
                <w:div w:id="1637030410">
                  <w:marLeft w:val="0"/>
                  <w:marRight w:val="0"/>
                  <w:marTop w:val="0"/>
                  <w:marBottom w:val="0"/>
                  <w:divBdr>
                    <w:top w:val="none" w:sz="0" w:space="0" w:color="auto"/>
                    <w:left w:val="none" w:sz="0" w:space="0" w:color="auto"/>
                    <w:bottom w:val="none" w:sz="0" w:space="0" w:color="auto"/>
                    <w:right w:val="none" w:sz="0" w:space="0" w:color="auto"/>
                  </w:divBdr>
                  <w:divsChild>
                    <w:div w:id="8338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426446">
      <w:bodyDiv w:val="1"/>
      <w:marLeft w:val="0"/>
      <w:marRight w:val="0"/>
      <w:marTop w:val="0"/>
      <w:marBottom w:val="0"/>
      <w:divBdr>
        <w:top w:val="none" w:sz="0" w:space="0" w:color="auto"/>
        <w:left w:val="none" w:sz="0" w:space="0" w:color="auto"/>
        <w:bottom w:val="none" w:sz="0" w:space="0" w:color="auto"/>
        <w:right w:val="none" w:sz="0" w:space="0" w:color="auto"/>
      </w:divBdr>
      <w:divsChild>
        <w:div w:id="572080514">
          <w:marLeft w:val="0"/>
          <w:marRight w:val="0"/>
          <w:marTop w:val="0"/>
          <w:marBottom w:val="0"/>
          <w:divBdr>
            <w:top w:val="none" w:sz="0" w:space="0" w:color="auto"/>
            <w:left w:val="none" w:sz="0" w:space="0" w:color="auto"/>
            <w:bottom w:val="none" w:sz="0" w:space="0" w:color="auto"/>
            <w:right w:val="none" w:sz="0" w:space="0" w:color="auto"/>
          </w:divBdr>
          <w:divsChild>
            <w:div w:id="69929585">
              <w:marLeft w:val="0"/>
              <w:marRight w:val="0"/>
              <w:marTop w:val="0"/>
              <w:marBottom w:val="0"/>
              <w:divBdr>
                <w:top w:val="none" w:sz="0" w:space="0" w:color="auto"/>
                <w:left w:val="none" w:sz="0" w:space="0" w:color="auto"/>
                <w:bottom w:val="none" w:sz="0" w:space="0" w:color="auto"/>
                <w:right w:val="none" w:sz="0" w:space="0" w:color="auto"/>
              </w:divBdr>
              <w:divsChild>
                <w:div w:id="11826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7949">
      <w:bodyDiv w:val="1"/>
      <w:marLeft w:val="0"/>
      <w:marRight w:val="0"/>
      <w:marTop w:val="0"/>
      <w:marBottom w:val="0"/>
      <w:divBdr>
        <w:top w:val="none" w:sz="0" w:space="0" w:color="auto"/>
        <w:left w:val="none" w:sz="0" w:space="0" w:color="auto"/>
        <w:bottom w:val="none" w:sz="0" w:space="0" w:color="auto"/>
        <w:right w:val="none" w:sz="0" w:space="0" w:color="auto"/>
      </w:divBdr>
    </w:div>
    <w:div w:id="1780176703">
      <w:bodyDiv w:val="1"/>
      <w:marLeft w:val="0"/>
      <w:marRight w:val="0"/>
      <w:marTop w:val="0"/>
      <w:marBottom w:val="0"/>
      <w:divBdr>
        <w:top w:val="none" w:sz="0" w:space="0" w:color="auto"/>
        <w:left w:val="none" w:sz="0" w:space="0" w:color="auto"/>
        <w:bottom w:val="none" w:sz="0" w:space="0" w:color="auto"/>
        <w:right w:val="none" w:sz="0" w:space="0" w:color="auto"/>
      </w:divBdr>
      <w:divsChild>
        <w:div w:id="1539463193">
          <w:marLeft w:val="0"/>
          <w:marRight w:val="0"/>
          <w:marTop w:val="0"/>
          <w:marBottom w:val="0"/>
          <w:divBdr>
            <w:top w:val="none" w:sz="0" w:space="0" w:color="auto"/>
            <w:left w:val="none" w:sz="0" w:space="0" w:color="auto"/>
            <w:bottom w:val="none" w:sz="0" w:space="0" w:color="auto"/>
            <w:right w:val="none" w:sz="0" w:space="0" w:color="auto"/>
          </w:divBdr>
          <w:divsChild>
            <w:div w:id="910967742">
              <w:marLeft w:val="0"/>
              <w:marRight w:val="0"/>
              <w:marTop w:val="0"/>
              <w:marBottom w:val="0"/>
              <w:divBdr>
                <w:top w:val="none" w:sz="0" w:space="0" w:color="auto"/>
                <w:left w:val="none" w:sz="0" w:space="0" w:color="auto"/>
                <w:bottom w:val="none" w:sz="0" w:space="0" w:color="auto"/>
                <w:right w:val="none" w:sz="0" w:space="0" w:color="auto"/>
              </w:divBdr>
              <w:divsChild>
                <w:div w:id="16398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6491">
      <w:bodyDiv w:val="1"/>
      <w:marLeft w:val="0"/>
      <w:marRight w:val="0"/>
      <w:marTop w:val="0"/>
      <w:marBottom w:val="0"/>
      <w:divBdr>
        <w:top w:val="none" w:sz="0" w:space="0" w:color="auto"/>
        <w:left w:val="none" w:sz="0" w:space="0" w:color="auto"/>
        <w:bottom w:val="none" w:sz="0" w:space="0" w:color="auto"/>
        <w:right w:val="none" w:sz="0" w:space="0" w:color="auto"/>
      </w:divBdr>
      <w:divsChild>
        <w:div w:id="1730836341">
          <w:marLeft w:val="0"/>
          <w:marRight w:val="0"/>
          <w:marTop w:val="0"/>
          <w:marBottom w:val="0"/>
          <w:divBdr>
            <w:top w:val="none" w:sz="0" w:space="0" w:color="auto"/>
            <w:left w:val="none" w:sz="0" w:space="0" w:color="auto"/>
            <w:bottom w:val="none" w:sz="0" w:space="0" w:color="auto"/>
            <w:right w:val="none" w:sz="0" w:space="0" w:color="auto"/>
          </w:divBdr>
          <w:divsChild>
            <w:div w:id="514541796">
              <w:marLeft w:val="0"/>
              <w:marRight w:val="0"/>
              <w:marTop w:val="0"/>
              <w:marBottom w:val="0"/>
              <w:divBdr>
                <w:top w:val="none" w:sz="0" w:space="0" w:color="auto"/>
                <w:left w:val="none" w:sz="0" w:space="0" w:color="auto"/>
                <w:bottom w:val="none" w:sz="0" w:space="0" w:color="auto"/>
                <w:right w:val="none" w:sz="0" w:space="0" w:color="auto"/>
              </w:divBdr>
              <w:divsChild>
                <w:div w:id="1128478395">
                  <w:marLeft w:val="0"/>
                  <w:marRight w:val="0"/>
                  <w:marTop w:val="0"/>
                  <w:marBottom w:val="0"/>
                  <w:divBdr>
                    <w:top w:val="none" w:sz="0" w:space="0" w:color="auto"/>
                    <w:left w:val="none" w:sz="0" w:space="0" w:color="auto"/>
                    <w:bottom w:val="none" w:sz="0" w:space="0" w:color="auto"/>
                    <w:right w:val="none" w:sz="0" w:space="0" w:color="auto"/>
                  </w:divBdr>
                  <w:divsChild>
                    <w:div w:id="1699820352">
                      <w:marLeft w:val="0"/>
                      <w:marRight w:val="0"/>
                      <w:marTop w:val="0"/>
                      <w:marBottom w:val="0"/>
                      <w:divBdr>
                        <w:top w:val="none" w:sz="0" w:space="0" w:color="auto"/>
                        <w:left w:val="none" w:sz="0" w:space="0" w:color="auto"/>
                        <w:bottom w:val="none" w:sz="0" w:space="0" w:color="auto"/>
                        <w:right w:val="none" w:sz="0" w:space="0" w:color="auto"/>
                      </w:divBdr>
                    </w:div>
                  </w:divsChild>
                </w:div>
                <w:div w:id="748622877">
                  <w:marLeft w:val="0"/>
                  <w:marRight w:val="0"/>
                  <w:marTop w:val="0"/>
                  <w:marBottom w:val="0"/>
                  <w:divBdr>
                    <w:top w:val="none" w:sz="0" w:space="0" w:color="auto"/>
                    <w:left w:val="none" w:sz="0" w:space="0" w:color="auto"/>
                    <w:bottom w:val="none" w:sz="0" w:space="0" w:color="auto"/>
                    <w:right w:val="none" w:sz="0" w:space="0" w:color="auto"/>
                  </w:divBdr>
                  <w:divsChild>
                    <w:div w:id="1364818564">
                      <w:marLeft w:val="0"/>
                      <w:marRight w:val="0"/>
                      <w:marTop w:val="0"/>
                      <w:marBottom w:val="0"/>
                      <w:divBdr>
                        <w:top w:val="none" w:sz="0" w:space="0" w:color="auto"/>
                        <w:left w:val="none" w:sz="0" w:space="0" w:color="auto"/>
                        <w:bottom w:val="none" w:sz="0" w:space="0" w:color="auto"/>
                        <w:right w:val="none" w:sz="0" w:space="0" w:color="auto"/>
                      </w:divBdr>
                    </w:div>
                    <w:div w:id="10909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6125">
      <w:bodyDiv w:val="1"/>
      <w:marLeft w:val="0"/>
      <w:marRight w:val="0"/>
      <w:marTop w:val="0"/>
      <w:marBottom w:val="0"/>
      <w:divBdr>
        <w:top w:val="none" w:sz="0" w:space="0" w:color="auto"/>
        <w:left w:val="none" w:sz="0" w:space="0" w:color="auto"/>
        <w:bottom w:val="none" w:sz="0" w:space="0" w:color="auto"/>
        <w:right w:val="none" w:sz="0" w:space="0" w:color="auto"/>
      </w:divBdr>
    </w:div>
    <w:div w:id="2099327324">
      <w:bodyDiv w:val="1"/>
      <w:marLeft w:val="0"/>
      <w:marRight w:val="0"/>
      <w:marTop w:val="0"/>
      <w:marBottom w:val="0"/>
      <w:divBdr>
        <w:top w:val="none" w:sz="0" w:space="0" w:color="auto"/>
        <w:left w:val="none" w:sz="0" w:space="0" w:color="auto"/>
        <w:bottom w:val="none" w:sz="0" w:space="0" w:color="auto"/>
        <w:right w:val="none" w:sz="0" w:space="0" w:color="auto"/>
      </w:divBdr>
      <w:divsChild>
        <w:div w:id="1994528883">
          <w:marLeft w:val="0"/>
          <w:marRight w:val="0"/>
          <w:marTop w:val="0"/>
          <w:marBottom w:val="0"/>
          <w:divBdr>
            <w:top w:val="none" w:sz="0" w:space="0" w:color="auto"/>
            <w:left w:val="none" w:sz="0" w:space="0" w:color="auto"/>
            <w:bottom w:val="none" w:sz="0" w:space="0" w:color="auto"/>
            <w:right w:val="none" w:sz="0" w:space="0" w:color="auto"/>
          </w:divBdr>
          <w:divsChild>
            <w:div w:id="1449202939">
              <w:marLeft w:val="0"/>
              <w:marRight w:val="0"/>
              <w:marTop w:val="0"/>
              <w:marBottom w:val="0"/>
              <w:divBdr>
                <w:top w:val="none" w:sz="0" w:space="0" w:color="auto"/>
                <w:left w:val="none" w:sz="0" w:space="0" w:color="auto"/>
                <w:bottom w:val="none" w:sz="0" w:space="0" w:color="auto"/>
                <w:right w:val="none" w:sz="0" w:space="0" w:color="auto"/>
              </w:divBdr>
              <w:divsChild>
                <w:div w:id="17758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hyperlink" Target="https://www.jstor.org/stable/10.2307/2692656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hyperlink" Target="https://www.jstor.org/stable/24114969"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theme" Target="theme/theme1.xml"/><Relationship Id="rId19" Type="http://schemas.openxmlformats.org/officeDocument/2006/relationships/hyperlink" Target="https://www.jstor.org/stable/23789947" TargetMode="External"/><Relationship Id="rId4"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17:49:41.147"/>
    </inkml:context>
    <inkml:brush xml:id="br0">
      <inkml:brushProperty name="width" value="0.025" units="cm"/>
      <inkml:brushProperty name="height" value="0.15" units="cm"/>
      <inkml:brushProperty name="inkEffects" value="pencil"/>
    </inkml:brush>
  </inkml:definitions>
  <inkml:trace contextRef="#ctx0" brushRef="#br0">0 2 16383,'1'-1'0,"2"0"0,-1 1 0,0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17:49:40.113"/>
    </inkml:context>
    <inkml:brush xml:id="br0">
      <inkml:brushProperty name="width" value="0.025" units="cm"/>
      <inkml:brushProperty name="height" value="0.15" units="cm"/>
      <inkml:brushProperty name="inkEffects" value="pencil"/>
    </inkml:brush>
  </inkml:definitions>
  <inkml:trace contextRef="#ctx0" brushRef="#br0">1 1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F6AC-97B2-42F8-8F7F-7AF3AC65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5781</Words>
  <Characters>32954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Urie</dc:creator>
  <cp:keywords/>
  <dc:description/>
  <cp:lastModifiedBy>דוד בן שלמה/David Ben Shlomo</cp:lastModifiedBy>
  <cp:revision>2</cp:revision>
  <cp:lastPrinted>2024-03-20T18:03:00Z</cp:lastPrinted>
  <dcterms:created xsi:type="dcterms:W3CDTF">2024-03-21T00:40:00Z</dcterms:created>
  <dcterms:modified xsi:type="dcterms:W3CDTF">2024-03-21T00:40:00Z</dcterms:modified>
</cp:coreProperties>
</file>