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517F" w14:textId="77777777" w:rsidR="00747721" w:rsidRDefault="00747721" w:rsidP="00747721">
      <w:pPr>
        <w:pStyle w:val="aAntraste1"/>
        <w:spacing w:line="360" w:lineRule="auto"/>
        <w:rPr>
          <w:rStyle w:val="aAntraste11"/>
          <w:rFonts w:ascii="Times New Roman" w:hAnsi="Times New Roman" w:cs="Times New Roman"/>
          <w:smallCaps/>
          <w:spacing w:val="0"/>
          <w:sz w:val="22"/>
          <w:szCs w:val="22"/>
        </w:rPr>
      </w:pPr>
      <w:r>
        <w:rPr>
          <w:rStyle w:val="aAntraste11"/>
          <w:rFonts w:ascii="Times New Roman" w:hAnsi="Times New Roman" w:cs="Times New Roman"/>
          <w:smallCaps/>
          <w:spacing w:val="0"/>
          <w:sz w:val="22"/>
          <w:szCs w:val="22"/>
        </w:rPr>
        <w:t>primenant ir apibendrinant</w:t>
      </w:r>
    </w:p>
    <w:p w14:paraId="587F59B0"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28A0AC00" w14:textId="77777777" w:rsidR="00747721" w:rsidRDefault="00747721" w:rsidP="00747721">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ypatingą vietos dvasią turinčios vietos paveikslas išniro XIX amžiaus grožinėje ir pažintinėje lietuvių ir lenkų literatūroje: Bernatowicziaus, Mickiewicziaus, Tyszkiewicziaus ir kitų rašiniuose. Žinoma, rašyta ne apie </w:t>
      </w:r>
      <w:r>
        <w:rPr>
          <w:rStyle w:val="atekstas1"/>
          <w:rFonts w:ascii="Times New Roman" w:hAnsi="Times New Roman" w:cs="Times New Roman"/>
          <w:i/>
          <w:iCs/>
          <w:spacing w:val="0"/>
          <w:sz w:val="22"/>
          <w:szCs w:val="22"/>
        </w:rPr>
        <w:t>tą</w:t>
      </w:r>
      <w:r>
        <w:rPr>
          <w:rStyle w:val="atekstas1"/>
          <w:rFonts w:ascii="Times New Roman" w:hAnsi="Times New Roman" w:cs="Times New Roman"/>
          <w:spacing w:val="0"/>
          <w:sz w:val="22"/>
          <w:szCs w:val="22"/>
        </w:rPr>
        <w:t xml:space="preserve"> Panerių dalį, kuriai buvo lemta tapti nusikaltimo vieta, o apskritai apie panerius (t. y. vietoves prie Neries), bet pats pavadinimas XIX amžiuje buvo įgavęs romantišką ir pozityvią konotaciją, kuri aprėpė ir </w:t>
      </w:r>
      <w:r>
        <w:rPr>
          <w:rStyle w:val="atekstas1"/>
          <w:rFonts w:ascii="Times New Roman" w:hAnsi="Times New Roman" w:cs="Times New Roman"/>
          <w:i/>
          <w:iCs/>
          <w:spacing w:val="0"/>
          <w:sz w:val="22"/>
          <w:szCs w:val="22"/>
        </w:rPr>
        <w:t>tuos</w:t>
      </w:r>
      <w:r>
        <w:rPr>
          <w:rStyle w:val="atekstas1"/>
          <w:rFonts w:ascii="Times New Roman" w:hAnsi="Times New Roman" w:cs="Times New Roman"/>
          <w:spacing w:val="0"/>
          <w:sz w:val="22"/>
          <w:szCs w:val="22"/>
        </w:rPr>
        <w:t xml:space="preserve"> Panerius, apie kuriuos kalbama šioje knygoje. Teigiamą skambesį nulėmė istorinė ir simbolinė Neries (arba Vilijos) reikšmė Lietuvos kultūrai. Prie šios upės kūrėsi Lietuvos valstybė. </w:t>
      </w:r>
    </w:p>
    <w:p w14:paraId="36F34787"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Antrąjį pasaulinį karą rytinė Vilniaus priemiesčio Aukštųjų Panerių dalis – iki tol romantišką įvaizdį turėjusi vietovė, – patyrė radikalią fizinę ir ontologinę transformaciją. Dėl nacių čia (į)vykdytų žydų, lenkų, romų, lietuvių, įvairių tautybių sovietų karo belaisvių žudynių Paneriai tapo vienu kruviniausių vadinamojo teroro kraštovaizdžio Lietuvoje (ir Rytų Europoje) taškų. Nors sovietmečiu čia įsteigtas memorialas, Panerių kaip masinių žudynių vietos reikšmes nustelbė Panerių kaip pramonės rajono reikšmės. Jos, manytina, iki šiol lemia Panerių vaizdinio kolektyvinėje vilniečių vaizduotėje kontūrus ir turinį. </w:t>
      </w:r>
    </w:p>
    <w:p w14:paraId="2E0BE37B"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Romantiškasis Panerių laikotarpis baigėsi 1941-ųjų pavasarį. Tais metais sovietų valdžios įsakymu Paneriuose pradėta statyti degalų bazė, turėjusi aptarnauti netoliese planuotą įrengti karinį lauko aerodromą. Steigti tokią bazę Paneriuose pasirinkta dėl strateginės objekto padėties, patogaus susisiekimo ir miškingos vietovės, gerai maskuojančios objektą. 1941 metų birželio pabaigos Vilnių užėmę naciai aptiko idealiai masinėms žudynėms tikusią teritoriją: keletą gilių apvalių duobių (panaudotos šaudyti), tranšėjas (aukoms laikyti, varyti ir šaudyti), pastatus sargybai ir aptvėrimus. </w:t>
      </w:r>
    </w:p>
    <w:p w14:paraId="1922AC92"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Paneriai atminimo vieta tapo dar karo metais, kai Vilniaus žydai, gavę sovietų Lietuvos valdžios leidimą, ėmė čia organizuoti aukų atminimo ceremonijas. Tuo pat metu Paneriuose ėmė driektis pragmatiškojo atminimo, tiksliau – masinių žudynių atminimo panaudos politiniams tikslams, linija: valdžia ir jos tarpininkai masines žudynes Paneriuose siekė pavaizduoti kaip „Lietuvos / Vilniaus gyventojų“, „tarybinių žmonių“, „civilių gyventojų“, „vyrų, moterų, vaikų“ ir netgi „lietuvių“ naikinimą, marginalizuodami, niveliuodami arba nutylėdami aukų žydų (ir lenkų) reikšmę. </w:t>
      </w:r>
    </w:p>
    <w:p w14:paraId="62430A12"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1948 metais buvusioje masinių žudynių vietoje iškilęs pirmas paminklas, kurį pastatydino Vilniaus žydų bendruomenė čia žuvusiems tautiečiams, žymėjo tam tikrą kompromisą (tiek pats leidimo statyti tokį paminklą faktas, tiek paminklo semantika) tarp žydų ir Lietuvos SSR valdžios, okupacijos pradžioje dar gana lanksčiai reagavusios į žydų iniciatyvas. Po Maskvos ir jos emisarų spaudimo pašalintas paminklas, o jo vietoje netrukus atsiradęs standartinis obeliskas universalizuotoms „fašistinio teroro aukoms“ žymėjo valdžios siekį perimti Panerius savo žinion, retušuojant žydiškąsias (ir lenkiškąsias) reikšmes. </w:t>
      </w:r>
    </w:p>
    <w:p w14:paraId="40E634BF"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Laikotarpį nuo 1952 iki 1958 metų Paneriuose galima įvardyti kaip dykumos periodą – dėl kitų tuometės valdžios prioritetų vieta liko nesutvarkyta ir siaubiama marodierių, o vietos gyventojai </w:t>
      </w:r>
      <w:r>
        <w:rPr>
          <w:rStyle w:val="atekstas1"/>
          <w:rFonts w:ascii="Times New Roman" w:hAnsi="Times New Roman" w:cs="Times New Roman"/>
          <w:spacing w:val="0"/>
          <w:sz w:val="22"/>
          <w:szCs w:val="22"/>
        </w:rPr>
        <w:lastRenderedPageBreak/>
        <w:t xml:space="preserve">ją išnaudojo įvairiems pragmatiniams tikslams. Padėtis pasikeitė šešto dešimtmečio pabaigoje valdžiai įžvelgus naujų Panerių istorijos panaudos politiniams tikslams galimybių. Tai lėmė bandančio įsitvirtinti chruščiovinio režimo siekis pabrėžti DTK naratyvą ir šio karo aukas civilius, iki tol stalininio režimo ignoruotus. Prie padėties pokyčio prisidėjo ir aštrėjantis Šaltasis karas, reikalavęs paveikių siužetų visuomenės mobilizacijai. </w:t>
      </w:r>
    </w:p>
    <w:p w14:paraId="5A8265EB"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Sistemingos Lietuvos SSR pastangos įveiklinti Panerius kaip „tarybinių žmonių“, „tarybinių piliečių“ ir (ar) „Lietuvos gyventojų“ žudynių atminimo vietą, išryškėjusios XX amžiaus šešto dešimtmečio pabaigoje, koreliavo su panašia veikla tuo laikotarpiu Vakarų šalyse, tačiau šių procesų varomosios jėgos skyrėsi. Paminklų, memorialų bumą SSRS lėmė ne visuomenės pastangos reflektuoti Antrojo pasaulinio karo patirtį, bet totalitarinio režimo pastangos rasti grindžiantįjį bandančios atsinaujinti SSRS mitą ir konsoliduoti visuomenę iš sovietinės ideologijos centro pašalinus ankstesnę jungtį – simbolinę Josifo Stalino figūrą. </w:t>
      </w:r>
    </w:p>
    <w:p w14:paraId="578CBCBD"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Taigi aktyvesnės Panerių istorijos įveiklinimo, ideologinės panaudos etapas bei pertvarkymų pačioje masinių žudynių vietoje pradžia sietina ne tik su chruščiovinio režimo pastangomis rasti naują visuomenę jungiantį naratyvą, bet ir siekiu (geriau) išnaudoti masinių žudynių istoriją sovietinės ideologijos propagandai Šaltojo karo kontekste: pirmiausia kritikuojant ir smerkiant tuometės Vakarų Vokietijos (ir JAV) vidaus bei užsienio politiką, taip pat bandant diskredituoti lietuviškosios išeivijos visuomeninę veiklą JAV administracijos akyse. </w:t>
      </w:r>
    </w:p>
    <w:p w14:paraId="4D318CBB"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Pirmosios ekspozicijos (1960) didžiąją dalį sudarė informacija apie Paneriuose sušaudytus komunistus, sovietinio pogrindžio atstovus, karo belaisvius, „Lietuvos gyventojus“ ir įvairių tautų inteligentus. Žydų žudymo Paneriuose faktas nebuvo slepiamas, bet šią informaciją buvo galima išskaityti tik tarp eilučių. Toks medžiagos pateikimas atspindėjo SSRS (ir Lietuvos SSR) dominuojantį istorijos naratyvą, kuriame žydai nebuvo išskiriami (iš dalies dėl antisemitizmo, iš dalies todėl, kad režimui iš to nebūtų buvę jokios naudos), o akcentuojami arba „titulinės“ tautos, t. y. lietuvių, arba „tarybinių žmonių“ praradimai</w:t>
      </w:r>
    </w:p>
    <w:p w14:paraId="00F0B542"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Aukų žydų Paneriuose segmentas tarp kitų aukų buvo nutylimas arba marginalizuojamas taikant tris strategijas: aukų universalizavimą (kalbant apie „vyrus, moteris, vaikus“, „žmones“, „taikius gyventojus“, „Vilniaus gyventojus“, „darbininkus“, „inteligentus“), aukų nacionalizavimą (kalbant apie „tarybinius piliečius“, „tarybinius žmones“, „lietuvius“) ir internacionalizavimą (įvardijant aukas kaip „įvairių šalių piliečius“). Pastaroji strategija Panerių atveju buvo taikoma rečiau, priešingai nei Lenkijos Liaudies Respublikos atminimo politikoje, kur labiau akcentuota lenkų martirologija ir aukų internacionalumas.</w:t>
      </w:r>
    </w:p>
    <w:p w14:paraId="2D6657DB"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1985 metais atnaujintoje Panerių muziejaus ekspozicijoje sumažėjo vietos pačių Panerių istorijai, daugiau dėmesio skirta pasipriešinimui naciams rytų Lietuvoje. Iš su Paneriais siejamų temų šioje ekspozicijoje reikšmingai išaugo 1005-osios komandos („degintojų“) veiklos ir jų pabėgimo reprezentacijos svoris. Kovos ir pergalės aspektų akcentavimą šioje ekspozicijoje reikėtų sieti su tuometine SSRS kar(i)ocentriška atminimo politika, ieškojusia įvairių tikrų ir tariamų didvyriško </w:t>
      </w:r>
      <w:r>
        <w:rPr>
          <w:rStyle w:val="atekstas1"/>
          <w:rFonts w:ascii="Times New Roman" w:hAnsi="Times New Roman" w:cs="Times New Roman"/>
          <w:spacing w:val="0"/>
          <w:sz w:val="22"/>
          <w:szCs w:val="22"/>
        </w:rPr>
        <w:lastRenderedPageBreak/>
        <w:t xml:space="preserve">pasipriešinimo „Didžiajame Tėvynės kare“ siužetų. Visa kiti akcentai liko tie patys, kaip ir pirmojoje ekspozicijoje. </w:t>
      </w:r>
    </w:p>
    <w:p w14:paraId="4A452CD9"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Stebėtina, bet 1983–1985 metais pagaliau įvykusi Panerių memorialo rekonstrukcija ir jos rezultatai susilaukė itin menko Lietuvos SSR valdžios ir jos tarpininkų dėmesio. Tai lėmė keletas priežasčių: atlikti pertvarkymai netenkino sovietų valdžios ambicijų, t. y. nebuvo pakankamai monumentalūs, jog jais būtų galima didžiuotis; pati vieta nevertinta kaip vizualiai nereprezentatyvi, o istorijos požiūriu – pernelyg „žydiška“. Nedėmesingumą galėjo skatinti ir siekis užmaskuoti lėšų skyrimo memorialui faktą nuo centrinės valdžios Maskvoje, tuo metu, gilios stagnacijos sąlygomis, vykdžiusios taupymo politiką. </w:t>
      </w:r>
    </w:p>
    <w:p w14:paraId="5AD66054"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muziejaus ekspozicija iškalbingai iliustruoja, kaip sovietmečiu buvo marginalizuojami arba nutylimi ne tik aukų žydų, bet ir lenkų praradimai. Gydytojo Kazimierzo Pelczaro ir dar kelių lenkų inteligentų nuotraukos ekspozicijose veikiau patvirtinta nei paneigia taisyklę. Lenkiškojo segmento marginalizavimą, niveliavimą ir nutylėjimą lėmė tai, kad dauguma aukų lenkų Paneriuose buvo Armijos Krajovos kovotojai ir jų rėmėjai, o šią organizaciją sovietų valdžia vertino kaip priešišką. Lenkiškojo, kaip ir žydiškojo, segmento išryškinimas iš SSRS atminimo politikos perspektyvos buvo iš esmės netikslingas. </w:t>
      </w:r>
    </w:p>
    <w:p w14:paraId="6D3A506D"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amžiaus septintame dešimtmetyje Lietuvos SSR egzistavo trys sovietinės ideologijos sklaidai svarbūs memorialai: Paneriai, Pirčiupiai ir Kauno IX fortas. Šešto dešimtmečio pabaigoje SSRS pradėjus vykdyti aktyvią atminimo politiką atrodė, kad visos trys vietos bus vystomos lygiagrečiai. Vis dėlto netruko paaiškėti, jog Paneriams šioje triadoje skirtas antraeilis, tiksliau – trečiaeilis vaidmuo. Ideologinės panaudos (ne)intensyvumu, pačios teritorijos architektūriniu (ne)išvystymu, lankytojų skaičiumi Paneriai vis labiau ėmė priminti sunkiai pasiekiamas ir menkai įveiklintas „mažąsias“ Holokausto vietas provincijoje. </w:t>
      </w:r>
    </w:p>
    <w:p w14:paraId="712C6499"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Paneriai išstumti į paraštes dėl daugelio veiksnių, iš kurių išskirčiau didesnę IX forto ir Pirčiupių ideologinę grąžą. Kaune tarpukariu veikė stipriausia LKP organizacija, Kauno IX forte buvo kalinami LKP nariai, naciai čia sušaudė nemažai kitų šalių piliečių (žydų), o tai sovietų valdžiai leido nesunkiai pagrįsti ideologemą, kad nacių režimo aukos buvo įvairių tautų</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žmonės. Svarbus veiksnys buvo strategiškai patogi buvo Kauno IX forto padėtis bei atviras kraštovaizdis, leidęs sukurti gerai matomą memorialinį ansamblį. Tuo metu Pirčiupiai buvo </w:t>
      </w:r>
      <w:r w:rsidRPr="004648C8">
        <w:rPr>
          <w:rStyle w:val="atekstas1"/>
          <w:rFonts w:ascii="Times New Roman" w:hAnsi="Times New Roman" w:cs="Times New Roman"/>
          <w:i/>
          <w:iCs/>
          <w:spacing w:val="0"/>
          <w:sz w:val="22"/>
          <w:szCs w:val="22"/>
        </w:rPr>
        <w:t xml:space="preserve">lietuvių </w:t>
      </w:r>
      <w:r>
        <w:rPr>
          <w:rStyle w:val="atekstas1"/>
          <w:rFonts w:ascii="Times New Roman" w:hAnsi="Times New Roman" w:cs="Times New Roman"/>
          <w:spacing w:val="0"/>
          <w:sz w:val="22"/>
          <w:szCs w:val="22"/>
        </w:rPr>
        <w:t xml:space="preserve">žudynių vieta, taigi galėjo rezonuoti didesniajai daliai Lietuvos gyventojų. </w:t>
      </w:r>
    </w:p>
    <w:p w14:paraId="4F1C3D4A"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memorialo architektūrinio sutvarkymo (atnaujinimo) darbus stabdė ne tik lėšų trūkumas ir su tuo susijęs Lietuvos SSR valdžios siekis vystyti ideologiškai pelningesnius įamžinimo projektus. Panerių (ne)vystymui netiesioginės įtakos taip pat turėjo septinto ir aštunto dešimtmečių perturbacijos Artimuosiuose Rytuose. Bent dukart Panerių atnaujinimo projektai sustabdyti arba sutapo (ar tariamai sutapo) su Izraelio ir arabų šalių, kurias rėmė SSRS, karais ir vėliau SSRS prasidėjusia antisemitine kampanija bei žydų kova už teisę išvykti iš SSRS į Izraelį.</w:t>
      </w:r>
    </w:p>
    <w:p w14:paraId="09681588"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Holokaustą išgyvenusių Lietuvos žydų ir jų palikuonių tapatybėms Paneriai visada buvo svarbiausia atminimo vieta, </w:t>
      </w:r>
      <w:r>
        <w:rPr>
          <w:rStyle w:val="atekstas1"/>
          <w:rFonts w:ascii="Times New Roman" w:hAnsi="Times New Roman" w:cs="Times New Roman"/>
          <w:i/>
          <w:iCs/>
          <w:spacing w:val="0"/>
          <w:sz w:val="22"/>
          <w:szCs w:val="22"/>
        </w:rPr>
        <w:t>lieu de memoire</w:t>
      </w:r>
      <w:r>
        <w:rPr>
          <w:rStyle w:val="atekstas1"/>
          <w:rFonts w:ascii="Times New Roman" w:hAnsi="Times New Roman" w:cs="Times New Roman"/>
          <w:spacing w:val="0"/>
          <w:sz w:val="22"/>
          <w:szCs w:val="22"/>
        </w:rPr>
        <w:t xml:space="preserve">, kaip ir pats Vilnius (Vilne). Panerių būklė šiems žmonėms rodė tikrąjį sovietų valdžios požiūrį į žydų bendruomenę ir jos istorinį paveldą. Prasidėjus kovojai už teisę išvykti iš SSRS, Paneriai tapo vieša žydų tautinės tapatybės palaikymo ir deklaravimo erdve, lygiai kaip Rumbula prie Rygos ir Kyjivo Babyn Jaras, nors ir buvo mažesnės simbolinės reikšmės už pastarąjį. Šį skirtumą lėmė ne tik gausesnė atsiminimų bendruomenė, bet ir SSRS menininkų bei aktyviosios visuomenės dalies indėlis. </w:t>
      </w:r>
    </w:p>
    <w:p w14:paraId="790EA71E"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Nepriklausomybę atkūrusi Lietuva paveldėjo sovietmečiu suformuotą „hitlerizmo aukų kapų“ tinklą, tarp jų – Panerius, Pirčiupius ir Kauno IX fortą. Jų raida po 1990-ųjų turėjo ypatumų dėl skirtingos šių vietų istorijos ir jų panaudos sovietmečiu. Sovietinės propagandos pastanga instrumentalizuoti Pirčiupių kaimo sunaikinimo istoriją ir reakcija į šią propagandą pirmaisiais nepriklausomybės metais, drauge su pirmame nepriklausomybės dešimtmetyje visuomenei tekusiais ekonominiais, politiniais, socialiniais ir kitais iššūkiais, lėmė greitą Pirčiupių muziejaus ir pačios atminimo vietos fizinį ir simbolinės reikšmės sunykimą. </w:t>
      </w:r>
    </w:p>
    <w:p w14:paraId="422E2A40"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Architektūrine ir muziejine prasme geriausiai išvystytas bei visuomenei labiausiai žinomas Kauno IX forto muziejus buvo transformuotas į Lietuvos </w:t>
      </w:r>
      <w:r w:rsidRPr="00D16CEE">
        <w:rPr>
          <w:rStyle w:val="atekstas1"/>
          <w:rFonts w:ascii="Times New Roman" w:hAnsi="Times New Roman" w:cs="Times New Roman"/>
          <w:i/>
          <w:iCs/>
          <w:spacing w:val="0"/>
          <w:sz w:val="22"/>
          <w:szCs w:val="22"/>
        </w:rPr>
        <w:t>okupacijų</w:t>
      </w:r>
      <w:r>
        <w:rPr>
          <w:rStyle w:val="atekstas1"/>
          <w:rFonts w:ascii="Times New Roman" w:hAnsi="Times New Roman" w:cs="Times New Roman"/>
          <w:spacing w:val="0"/>
          <w:sz w:val="22"/>
          <w:szCs w:val="22"/>
        </w:rPr>
        <w:t xml:space="preserve"> muziejų, su matoma ir visgi periferine Holokausto dedamąja (vieta toliau funkcionavo kaip Pirmojo pasaulinio karo fortifikacijos paveldo objektas ir dažnai svečių buvo lankomas būtent dėl to). Tuo metu Panerių memorialas viešajame diskurse išniro ir buvo institucionalizuoti kaip Holokausto Lietuvoje simbolis, o vėliau kaip oficiali visų Antrojo pasaulinio karo aukų atminimo vieta, kartu su Antakalnio karių kapinėmis ir Vingio parko karių kapais Vilniuje. </w:t>
      </w:r>
    </w:p>
    <w:p w14:paraId="0017B8F0"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„Vilniaus lenkų Golgotos“ vaizdinys buvo išsaugotas pokariu į tuometinę Lenkijos Liaudies Respubliką išvykusių Vilniaus lenkų. Per atgimimą šis vaizdinys aktyvių vilniukų pastangomis importuotas į Lietuvą ir čia pradėtas diegti. Pagal lenkiškąjį, tiksliau – vilniukiškąjį, požiūrį, absoliuti dauguma Paneriuose nužudytų žmonių buvo Lenkijos piliečiai; žudynės vyko okupuotos Lenkijos žemėse; tai buvo vieta, kurioje lenkai ir žydai žudyti Trečiojo reicho vardu lietuvių kolaborantų; lietuviai buvę noringi nacių pagalbininkai, bemaž savarankiški veikėjai; žudynės Paneriuose traktuotos kaip buvusio istorinio lietuvių ir lenkų antagonizmo, prasidėjusio XIX amžiaus pabaigoje, tąsa ir kulminacija. </w:t>
      </w:r>
    </w:p>
    <w:p w14:paraId="291E80F1"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(Ponar) reikšmė Izraelio ir JAV (žydų) atminimo kultūrose neatsiejama nuo simbolinės žydiškojo Vilniaus (Vilne) ir litvakų pasaulio reikšmės globaliajai žydų kultūrai. Panašų vaidmenį Paneriai (Ponary) kaip Vilniaus (Wilno) legendos dalis atlieka Lenkijos atminimo kultūroje. Nors lenkiškasis Panerių istorijos vaizdinys toli gražu ne taip giliai įsišaknijęs Lenkijos visuomenės kolektyvinėje vaizduotėje kaip Palmyros vietovė prie Varšuvos, Volynė ar Katynė, galima manyti, kad Panerių vaizdinys ilgainiui taip pat įsitvirtins – šią vietą jau yra pastebėjusios Lenkijos politinės ir atminimo institucijos. </w:t>
      </w:r>
    </w:p>
    <w:p w14:paraId="12456869"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Paneriai egzistuoja ir Lietuvos romų bendruomenės atmintyje. Iki 2015 metų silpną romų aukų reprezentavimą (romai buvo vienintelė bendruomenė, Paneriuose iki 2023 metų neturėjusi paminklo tautiečių atminimui, o atsiradęs tebėra laikinas atminimo ženklas) galima paaiškinti romų kolektyvinės atminties ypatumais, galios svertų paveikti atsakingas Lietuvos valstybės institucijas sau palankia linkme stoka, susijusia su šios bendruomenės valdomo ekonominio, socialinio, kultūrinio ir simbolinio kapitalo ribotumu ir institucine bei buitine romų diskriminacija; ji veikė ir karo metų romų patirčių neėmimą domėn). </w:t>
      </w:r>
    </w:p>
    <w:p w14:paraId="0BC33081"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Nacių režimo aukų atminimo įamžinimas Panerių memoriale atkūrus Lietuvos nepriklausomybę buvo paliktas Žydų muziejaus darbuotojų, privačioms, bendruomeninėms ir valstybės institucijų iniciatyvoms. Nuo 1989 metų Paneriuose iškilo devyni atminties ženklai, atspindintys įvairias aukų grupes: žydus, lenkus, lietuvius ir įvairių tautybių sovietų karo belaisvius. Šių atminimo ženklų pasklidimas memoriale kūrė Panerių kaip Antrojo pasaulinio karo memorialo įspūdį (kas iš esmės koreliavo su muziejaus ekspozicijos „Paneriai – masinių žudynių vieta“ idėja) su ryškiu aukų lietuvių segmentu: trys iš devynių paminklų buvo skirti jiems. </w:t>
      </w:r>
    </w:p>
    <w:p w14:paraId="5A288CB8"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1990 metų pamažu atnaujinamoje nereikliam lankytojui skirtoje Panerių muziejaus ekspozicijoje masinės žudynės Paneriuose buvo reprezentuojamos kaip įvairių tautų žmonių naikinimo, įgyvendinant vokiškąją</w:t>
      </w:r>
      <w:r>
        <w:rPr>
          <w:rStyle w:val="atekstas1"/>
          <w:rFonts w:ascii="Times New Roman" w:hAnsi="Times New Roman" w:cs="Times New Roman"/>
          <w:i/>
          <w:iCs/>
          <w:spacing w:val="0"/>
          <w:sz w:val="22"/>
          <w:szCs w:val="22"/>
        </w:rPr>
        <w:t xml:space="preserve"> Drang nach Osten</w:t>
      </w:r>
      <w:r>
        <w:rPr>
          <w:rStyle w:val="atekstas1"/>
          <w:rFonts w:ascii="Times New Roman" w:hAnsi="Times New Roman" w:cs="Times New Roman"/>
          <w:spacing w:val="0"/>
          <w:sz w:val="22"/>
          <w:szCs w:val="22"/>
        </w:rPr>
        <w:t xml:space="preserve"> viziją, atvejis. Savo dvasia bei medžiagos išdėstymu (aukų „katalogas“) ši ekspozicija priminė egzistavusias sovietmečiu ir rodė nesant vieningo pasakojimo apie tai, kas 1941–1944 m. vyko Paneriuose. Ši ekspozicija ir jos raida atspindėjo nelengvas Žydų muziejaus darbuotojų pastangas surasti pusiausvyrą tarp Panerių kaip nacistinio teroro ir Panerių kaip Holokausto vietos vaizdinių. </w:t>
      </w:r>
    </w:p>
    <w:p w14:paraId="60AB5019"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Nepaisant simbolinės Panerių reikšmės Lietuvos ir kitoms atminimo kultūroms bei XX–XXI amžiaus sandūroje įvykusio Antrojo pasaulinio karo memorialų bumo, Panerių memorialas kaip architektūrinė visuma ir edukacijos erdvė per visus Nepriklausomybės metus buvo silpnai vystomas, galima sakyti, tik palaikant jo egzistavimą. Memorialas faktiškai tęsė iš sovietmečio paveldėtą vieno asmens kuriamo muziejaus tradiciją, kuris galų gale, dėl prastų laikymo sąlygų išgabenus autentiškus eksponatus, virto aukų fotografijų faksimilių ekspozicija. O memorialo erdvė funkcionavo daugiausia kaip atminimo ceremonijų erdvė.</w:t>
      </w:r>
    </w:p>
    <w:p w14:paraId="272CC672" w14:textId="77777777" w:rsidR="00747721" w:rsidRDefault="00747721" w:rsidP="00747721">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memorialo – kaip ir kitų panašių vietų – raida koreliavo su Lietuvos atminimo politikos tendencijomis ir jas išreiškė, būtent: memorialų kultūros svarbos visuomenės istorinei sąmonei neįvertinimą; Holokausto atminimo politikos deklaratyvumą ir proginį charakterį; pirmenybės teikimą sovietinės okupacijos teroro ir represijų aukų atminimui bei su šia okupacija susijusių vietų tvarkybai. Stokota ir nuoseklios lyderystės – tiek politinio elito, tiek memorialą tiesiogiai valdžiusios institucijos, tarsi bijant ar nežinant, kaip „prieiti“ prie šios vietos, kokį pavidalą jai suteikti. Šis klausimas šiandien tebėra aktualus. </w:t>
      </w:r>
    </w:p>
    <w:p w14:paraId="7BC5C473" w14:textId="77777777" w:rsidR="00747721" w:rsidRPr="00E6157A" w:rsidRDefault="00747721" w:rsidP="00747721">
      <w:pPr>
        <w:pStyle w:val="atekstas"/>
        <w:spacing w:line="360" w:lineRule="auto"/>
        <w:jc w:val="left"/>
        <w:rPr>
          <w:rStyle w:val="atekstas1"/>
          <w:rFonts w:ascii="Times New Roman" w:hAnsi="Times New Roman" w:cs="Times New Roman"/>
          <w:spacing w:val="0"/>
          <w:sz w:val="20"/>
          <w:szCs w:val="20"/>
        </w:rPr>
      </w:pPr>
    </w:p>
    <w:p w14:paraId="6D0E6317" w14:textId="77777777" w:rsidR="00747721" w:rsidRPr="00E6157A" w:rsidRDefault="00747721" w:rsidP="00747721">
      <w:pPr>
        <w:pStyle w:val="atekstas"/>
        <w:spacing w:line="360" w:lineRule="auto"/>
        <w:jc w:val="center"/>
        <w:rPr>
          <w:rStyle w:val="atekstas1"/>
          <w:rFonts w:ascii="Times New Roman" w:hAnsi="Times New Roman" w:cs="Times New Roman"/>
          <w:spacing w:val="0"/>
          <w:sz w:val="20"/>
          <w:szCs w:val="20"/>
        </w:rPr>
      </w:pPr>
      <w:r w:rsidRPr="00E6157A">
        <w:rPr>
          <w:rStyle w:val="atekstas1"/>
          <w:rFonts w:ascii="Times New Roman" w:hAnsi="Times New Roman" w:cs="Times New Roman"/>
          <w:spacing w:val="0"/>
          <w:sz w:val="20"/>
          <w:szCs w:val="20"/>
        </w:rPr>
        <w:t>BAIGIAMASIS ŽODIS</w:t>
      </w:r>
    </w:p>
    <w:p w14:paraId="5BFC582C" w14:textId="77777777" w:rsidR="00747721" w:rsidRDefault="00747721" w:rsidP="00747721">
      <w:pPr>
        <w:pStyle w:val="atekstas"/>
        <w:spacing w:line="360" w:lineRule="auto"/>
        <w:jc w:val="center"/>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XXX</w:t>
      </w:r>
    </w:p>
    <w:p w14:paraId="7ACF82B2"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05D5EA64"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7A8DBE63"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2ACDE7C8"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3841BB66"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4CBF066E"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576683A6"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12D56168"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1F068E0D"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59845633"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44EBB553"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2197FFFB"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5F43F6F4" w14:textId="77777777" w:rsidR="00747721" w:rsidRDefault="00747721" w:rsidP="00747721">
      <w:pPr>
        <w:pStyle w:val="atekstas"/>
        <w:spacing w:line="360" w:lineRule="auto"/>
        <w:rPr>
          <w:rStyle w:val="atekstas1"/>
          <w:rFonts w:ascii="Times New Roman" w:hAnsi="Times New Roman" w:cs="Times New Roman"/>
          <w:spacing w:val="0"/>
          <w:sz w:val="22"/>
          <w:szCs w:val="22"/>
        </w:rPr>
      </w:pPr>
    </w:p>
    <w:p w14:paraId="7500BAD6" w14:textId="77777777" w:rsidR="00255C1B" w:rsidRDefault="00255C1B"/>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wMDU2MzYyNjYyNTVT0lEKTi0uzszPAykwrAUAE0CgCiwAAAA="/>
  </w:docVars>
  <w:rsids>
    <w:rsidRoot w:val="00747721"/>
    <w:rsid w:val="00002EF5"/>
    <w:rsid w:val="00255C1B"/>
    <w:rsid w:val="00594A30"/>
    <w:rsid w:val="00747721"/>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441F"/>
  <w15:chartTrackingRefBased/>
  <w15:docId w15:val="{F70FD0FE-B6D8-4E5E-8235-5C977566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721"/>
    <w:rPr>
      <w:rFonts w:eastAsiaTheme="majorEastAsia" w:cstheme="majorBidi"/>
      <w:color w:val="272727" w:themeColor="text1" w:themeTint="D8"/>
    </w:rPr>
  </w:style>
  <w:style w:type="paragraph" w:styleId="Title">
    <w:name w:val="Title"/>
    <w:basedOn w:val="Normal"/>
    <w:next w:val="Normal"/>
    <w:link w:val="TitleChar"/>
    <w:uiPriority w:val="10"/>
    <w:qFormat/>
    <w:rsid w:val="00747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721"/>
    <w:pPr>
      <w:spacing w:before="160"/>
      <w:jc w:val="center"/>
    </w:pPr>
    <w:rPr>
      <w:i/>
      <w:iCs/>
      <w:color w:val="404040" w:themeColor="text1" w:themeTint="BF"/>
    </w:rPr>
  </w:style>
  <w:style w:type="character" w:customStyle="1" w:styleId="QuoteChar">
    <w:name w:val="Quote Char"/>
    <w:basedOn w:val="DefaultParagraphFont"/>
    <w:link w:val="Quote"/>
    <w:uiPriority w:val="29"/>
    <w:rsid w:val="00747721"/>
    <w:rPr>
      <w:i/>
      <w:iCs/>
      <w:color w:val="404040" w:themeColor="text1" w:themeTint="BF"/>
    </w:rPr>
  </w:style>
  <w:style w:type="paragraph" w:styleId="ListParagraph">
    <w:name w:val="List Paragraph"/>
    <w:basedOn w:val="Normal"/>
    <w:uiPriority w:val="34"/>
    <w:qFormat/>
    <w:rsid w:val="00747721"/>
    <w:pPr>
      <w:ind w:left="720"/>
      <w:contextualSpacing/>
    </w:pPr>
  </w:style>
  <w:style w:type="character" w:styleId="IntenseEmphasis">
    <w:name w:val="Intense Emphasis"/>
    <w:basedOn w:val="DefaultParagraphFont"/>
    <w:uiPriority w:val="21"/>
    <w:qFormat/>
    <w:rsid w:val="00747721"/>
    <w:rPr>
      <w:i/>
      <w:iCs/>
      <w:color w:val="0F4761" w:themeColor="accent1" w:themeShade="BF"/>
    </w:rPr>
  </w:style>
  <w:style w:type="paragraph" w:styleId="IntenseQuote">
    <w:name w:val="Intense Quote"/>
    <w:basedOn w:val="Normal"/>
    <w:next w:val="Normal"/>
    <w:link w:val="IntenseQuoteChar"/>
    <w:uiPriority w:val="30"/>
    <w:qFormat/>
    <w:rsid w:val="00747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721"/>
    <w:rPr>
      <w:i/>
      <w:iCs/>
      <w:color w:val="0F4761" w:themeColor="accent1" w:themeShade="BF"/>
    </w:rPr>
  </w:style>
  <w:style w:type="character" w:styleId="IntenseReference">
    <w:name w:val="Intense Reference"/>
    <w:basedOn w:val="DefaultParagraphFont"/>
    <w:uiPriority w:val="32"/>
    <w:qFormat/>
    <w:rsid w:val="00747721"/>
    <w:rPr>
      <w:b/>
      <w:bCs/>
      <w:smallCaps/>
      <w:color w:val="0F4761" w:themeColor="accent1" w:themeShade="BF"/>
      <w:spacing w:val="5"/>
    </w:rPr>
  </w:style>
  <w:style w:type="paragraph" w:customStyle="1" w:styleId="atekstas">
    <w:name w:val="a tekstas"/>
    <w:basedOn w:val="Normal"/>
    <w:uiPriority w:val="99"/>
    <w:rsid w:val="00747721"/>
    <w:pPr>
      <w:autoSpaceDE w:val="0"/>
      <w:autoSpaceDN w:val="0"/>
      <w:adjustRightInd w:val="0"/>
      <w:spacing w:after="0" w:line="260" w:lineRule="atLeast"/>
      <w:ind w:firstLine="510"/>
      <w:jc w:val="both"/>
    </w:pPr>
    <w:rPr>
      <w:rFonts w:ascii="Adobe Garamond Pro" w:eastAsiaTheme="minorHAnsi" w:hAnsi="Adobe Garamond Pro" w:cs="Adobe Garamond Pro"/>
      <w:color w:val="000000"/>
      <w:spacing w:val="1"/>
      <w:kern w:val="0"/>
      <w:sz w:val="23"/>
      <w:szCs w:val="23"/>
      <w:lang w:val="lt-LT" w:eastAsia="en-US" w:bidi="ar-SA"/>
    </w:rPr>
  </w:style>
  <w:style w:type="paragraph" w:customStyle="1" w:styleId="aAntraste1">
    <w:name w:val="a Antraste 1"/>
    <w:basedOn w:val="Normal"/>
    <w:uiPriority w:val="99"/>
    <w:rsid w:val="00747721"/>
    <w:pPr>
      <w:suppressAutoHyphens/>
      <w:autoSpaceDE w:val="0"/>
      <w:autoSpaceDN w:val="0"/>
      <w:adjustRightInd w:val="0"/>
      <w:spacing w:after="0" w:line="288" w:lineRule="auto"/>
      <w:jc w:val="center"/>
    </w:pPr>
    <w:rPr>
      <w:rFonts w:ascii="Adobe Garamond Pro" w:eastAsiaTheme="minorHAnsi" w:hAnsi="Adobe Garamond Pro" w:cs="Adobe Garamond Pro"/>
      <w:color w:val="000000"/>
      <w:spacing w:val="2"/>
      <w:kern w:val="0"/>
      <w:sz w:val="30"/>
      <w:szCs w:val="30"/>
      <w:lang w:val="lt-LT" w:eastAsia="en-US" w:bidi="ar-SA"/>
    </w:rPr>
  </w:style>
  <w:style w:type="character" w:customStyle="1" w:styleId="atekstas1">
    <w:name w:val="a tekstas1"/>
    <w:uiPriority w:val="99"/>
    <w:rsid w:val="00747721"/>
    <w:rPr>
      <w:rFonts w:ascii="Adobe Garamond Pro" w:hAnsi="Adobe Garamond Pro" w:cs="Adobe Garamond Pro" w:hint="default"/>
      <w:color w:val="000000"/>
      <w:spacing w:val="1"/>
      <w:sz w:val="23"/>
      <w:szCs w:val="23"/>
      <w:lang w:val="lt-LT"/>
    </w:rPr>
  </w:style>
  <w:style w:type="character" w:customStyle="1" w:styleId="aAntraste11">
    <w:name w:val="a Antraste 11"/>
    <w:uiPriority w:val="99"/>
    <w:rsid w:val="00747721"/>
    <w:rPr>
      <w:rFonts w:ascii="Adobe Garamond Pro" w:hAnsi="Adobe Garamond Pro" w:cs="Adobe Garamond Pro" w:hint="default"/>
      <w:color w:val="000000"/>
      <w:spacing w:val="2"/>
      <w:w w:val="100"/>
      <w:sz w:val="30"/>
      <w:szCs w:val="3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2024-07-10T11:42:00Z</dcterms:created>
  <dcterms:modified xsi:type="dcterms:W3CDTF">2024-07-10T11:43:00Z</dcterms:modified>
</cp:coreProperties>
</file>