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5A8" w:rsidRPr="00C31AB9" w:rsidRDefault="006974CB" w:rsidP="0087593B">
      <w:pPr>
        <w:bidi w:val="0"/>
        <w:spacing w:line="360" w:lineRule="auto"/>
        <w:jc w:val="both"/>
        <w:rPr>
          <w:rFonts w:asciiTheme="majorBidi" w:hAnsiTheme="majorBidi" w:cstheme="majorBidi"/>
          <w:b/>
          <w:bCs/>
          <w:sz w:val="24"/>
          <w:szCs w:val="24"/>
        </w:rPr>
      </w:pPr>
      <w:r w:rsidRPr="00C31AB9">
        <w:rPr>
          <w:rFonts w:asciiTheme="majorBidi" w:hAnsiTheme="majorBidi" w:cstheme="majorBidi"/>
          <w:b/>
          <w:bCs/>
          <w:sz w:val="24"/>
          <w:szCs w:val="24"/>
        </w:rPr>
        <w:t>English Abstracts:</w:t>
      </w:r>
    </w:p>
    <w:p w:rsidR="0087593B" w:rsidRPr="00C979EB" w:rsidRDefault="0087593B" w:rsidP="0087593B">
      <w:pPr>
        <w:pStyle w:val="a3"/>
        <w:bidi w:val="0"/>
        <w:spacing w:before="0" w:line="360" w:lineRule="auto"/>
        <w:ind w:firstLine="0"/>
        <w:rPr>
          <w:rFonts w:asciiTheme="majorBidi" w:hAnsiTheme="majorBidi" w:cstheme="majorBidi"/>
          <w:b/>
          <w:bCs/>
        </w:rPr>
      </w:pPr>
      <w:r w:rsidRPr="00C979EB">
        <w:rPr>
          <w:rFonts w:asciiTheme="majorBidi" w:hAnsiTheme="majorBidi" w:cstheme="majorBidi"/>
          <w:b/>
          <w:bCs/>
        </w:rPr>
        <w:t xml:space="preserve">Rashid </w:t>
      </w:r>
      <w:proofErr w:type="spellStart"/>
      <w:r w:rsidRPr="00C979EB">
        <w:rPr>
          <w:rFonts w:asciiTheme="majorBidi" w:hAnsiTheme="majorBidi" w:cstheme="majorBidi"/>
          <w:b/>
          <w:bCs/>
        </w:rPr>
        <w:t>Rida</w:t>
      </w:r>
      <w:proofErr w:type="spellEnd"/>
      <w:r w:rsidRPr="00C979EB">
        <w:rPr>
          <w:rFonts w:asciiTheme="majorBidi" w:hAnsiTheme="majorBidi" w:cstheme="majorBidi"/>
          <w:b/>
          <w:bCs/>
        </w:rPr>
        <w:t>, the Zionist Movement and the Jewish Settlement in Palestine</w:t>
      </w:r>
    </w:p>
    <w:p w:rsidR="0087593B" w:rsidRPr="00C979EB" w:rsidRDefault="0087593B" w:rsidP="0087593B">
      <w:pPr>
        <w:pStyle w:val="a3"/>
        <w:bidi w:val="0"/>
        <w:spacing w:before="0" w:line="360" w:lineRule="auto"/>
        <w:ind w:firstLine="0"/>
        <w:rPr>
          <w:rFonts w:asciiTheme="majorBidi" w:hAnsiTheme="majorBidi" w:cstheme="majorBidi"/>
          <w:b/>
          <w:bCs/>
        </w:rPr>
      </w:pPr>
      <w:r w:rsidRPr="00C979EB">
        <w:rPr>
          <w:rFonts w:asciiTheme="majorBidi" w:hAnsiTheme="majorBidi" w:cstheme="majorBidi"/>
          <w:b/>
          <w:bCs/>
        </w:rPr>
        <w:tab/>
        <w:t>Eliezer Tauber</w:t>
      </w:r>
    </w:p>
    <w:p w:rsidR="0087593B" w:rsidRDefault="0087593B" w:rsidP="0087593B">
      <w:pPr>
        <w:pStyle w:val="a3"/>
        <w:bidi w:val="0"/>
        <w:spacing w:line="360" w:lineRule="auto"/>
        <w:ind w:firstLine="0"/>
        <w:rPr>
          <w:rFonts w:asciiTheme="majorBidi" w:hAnsiTheme="majorBidi" w:cstheme="majorBidi"/>
        </w:rPr>
      </w:pPr>
      <w:r w:rsidRPr="00223006">
        <w:rPr>
          <w:rStyle w:val="tlid-translation"/>
          <w:rFonts w:asciiTheme="majorBidi" w:hAnsiTheme="majorBidi" w:cstheme="majorBidi"/>
          <w:lang w:val="en"/>
        </w:rPr>
        <w:t xml:space="preserve">Muhammad Rashid </w:t>
      </w:r>
      <w:proofErr w:type="spellStart"/>
      <w:r w:rsidRPr="00223006">
        <w:rPr>
          <w:rStyle w:val="tlid-translation"/>
          <w:rFonts w:asciiTheme="majorBidi" w:hAnsiTheme="majorBidi" w:cstheme="majorBidi"/>
          <w:lang w:val="en"/>
        </w:rPr>
        <w:t>R</w:t>
      </w:r>
      <w:r>
        <w:rPr>
          <w:rStyle w:val="tlid-translation"/>
          <w:rFonts w:asciiTheme="majorBidi" w:hAnsiTheme="majorBidi" w:cstheme="majorBidi"/>
          <w:lang w:val="en"/>
        </w:rPr>
        <w:t>i</w:t>
      </w:r>
      <w:r w:rsidRPr="00223006">
        <w:rPr>
          <w:rStyle w:val="tlid-translation"/>
          <w:rFonts w:asciiTheme="majorBidi" w:hAnsiTheme="majorBidi" w:cstheme="majorBidi"/>
          <w:lang w:val="en"/>
        </w:rPr>
        <w:t>da</w:t>
      </w:r>
      <w:proofErr w:type="spellEnd"/>
      <w:r w:rsidRPr="00223006">
        <w:rPr>
          <w:rStyle w:val="tlid-translation"/>
          <w:rFonts w:asciiTheme="majorBidi" w:hAnsiTheme="majorBidi" w:cstheme="majorBidi"/>
          <w:lang w:val="en"/>
        </w:rPr>
        <w:t xml:space="preserve"> was one of the most prominent religious scholars of Sunni Islam in the first third of the twentieth century</w:t>
      </w:r>
      <w:r>
        <w:rPr>
          <w:rStyle w:val="tlid-translation"/>
          <w:rFonts w:asciiTheme="majorBidi" w:hAnsiTheme="majorBidi" w:cstheme="majorBidi"/>
        </w:rPr>
        <w:t>, a reformer who</w:t>
      </w:r>
      <w:r w:rsidRPr="00223006">
        <w:rPr>
          <w:rStyle w:val="tlid-translation"/>
          <w:rFonts w:asciiTheme="majorBidi" w:hAnsiTheme="majorBidi" w:cstheme="majorBidi"/>
          <w:lang w:val="en"/>
        </w:rPr>
        <w:t xml:space="preserve"> sought to </w:t>
      </w:r>
      <w:r w:rsidRPr="00123DEB">
        <w:rPr>
          <w:rStyle w:val="tlid-translation"/>
          <w:rFonts w:asciiTheme="majorBidi" w:hAnsiTheme="majorBidi" w:cstheme="majorBidi"/>
          <w:lang w:val="en"/>
        </w:rPr>
        <w:t>rehabilitate</w:t>
      </w:r>
      <w:r>
        <w:rPr>
          <w:rStyle w:val="tlid-translation"/>
          <w:rFonts w:asciiTheme="majorBidi" w:hAnsiTheme="majorBidi" w:cstheme="majorBidi"/>
          <w:lang w:val="en"/>
        </w:rPr>
        <w:t xml:space="preserve"> </w:t>
      </w:r>
      <w:r w:rsidRPr="00223006">
        <w:rPr>
          <w:rStyle w:val="tlid-translation"/>
          <w:rFonts w:asciiTheme="majorBidi" w:hAnsiTheme="majorBidi" w:cstheme="majorBidi"/>
          <w:lang w:val="en"/>
        </w:rPr>
        <w:t xml:space="preserve">the </w:t>
      </w:r>
      <w:r>
        <w:rPr>
          <w:rStyle w:val="tlid-translation"/>
          <w:rFonts w:asciiTheme="majorBidi" w:hAnsiTheme="majorBidi" w:cstheme="majorBidi"/>
          <w:lang w:val="en"/>
        </w:rPr>
        <w:t>Muslim</w:t>
      </w:r>
      <w:r w:rsidRPr="00223006">
        <w:rPr>
          <w:rStyle w:val="tlid-translation"/>
          <w:rFonts w:asciiTheme="majorBidi" w:hAnsiTheme="majorBidi" w:cstheme="majorBidi"/>
          <w:lang w:val="en"/>
        </w:rPr>
        <w:t xml:space="preserve"> world </w:t>
      </w:r>
      <w:r>
        <w:rPr>
          <w:rStyle w:val="tlid-translation"/>
          <w:rFonts w:asciiTheme="majorBidi" w:hAnsiTheme="majorBidi" w:cstheme="majorBidi"/>
          <w:lang w:val="en"/>
        </w:rPr>
        <w:t>by means of</w:t>
      </w:r>
      <w:r w:rsidRPr="00223006">
        <w:rPr>
          <w:rStyle w:val="tlid-translation"/>
          <w:rFonts w:asciiTheme="majorBidi" w:hAnsiTheme="majorBidi" w:cstheme="majorBidi"/>
          <w:lang w:val="en"/>
        </w:rPr>
        <w:t xml:space="preserve"> a return to the </w:t>
      </w:r>
      <w:r>
        <w:rPr>
          <w:rStyle w:val="tlid-translation"/>
          <w:rFonts w:asciiTheme="majorBidi" w:hAnsiTheme="majorBidi" w:cstheme="majorBidi"/>
          <w:lang w:val="en"/>
        </w:rPr>
        <w:t>origins</w:t>
      </w:r>
      <w:r w:rsidRPr="00223006">
        <w:rPr>
          <w:rStyle w:val="tlid-translation"/>
          <w:rFonts w:asciiTheme="majorBidi" w:hAnsiTheme="majorBidi" w:cstheme="majorBidi"/>
          <w:lang w:val="en"/>
        </w:rPr>
        <w:t xml:space="preserve">, </w:t>
      </w:r>
      <w:r>
        <w:rPr>
          <w:rStyle w:val="tlid-translation"/>
          <w:rFonts w:asciiTheme="majorBidi" w:hAnsiTheme="majorBidi" w:cstheme="majorBidi"/>
          <w:lang w:val="en"/>
        </w:rPr>
        <w:t>later followed by</w:t>
      </w:r>
      <w:r w:rsidRPr="00223006">
        <w:rPr>
          <w:rStyle w:val="tlid-translation"/>
          <w:rFonts w:asciiTheme="majorBidi" w:hAnsiTheme="majorBidi" w:cstheme="majorBidi"/>
          <w:lang w:val="en"/>
        </w:rPr>
        <w:t xml:space="preserve"> the </w:t>
      </w:r>
      <w:r>
        <w:rPr>
          <w:rStyle w:val="tlid-translation"/>
          <w:rFonts w:asciiTheme="majorBidi" w:hAnsiTheme="majorBidi" w:cstheme="majorBidi"/>
          <w:lang w:val="en"/>
        </w:rPr>
        <w:t>“</w:t>
      </w:r>
      <w:r w:rsidRPr="00223006">
        <w:rPr>
          <w:rStyle w:val="tlid-translation"/>
          <w:rFonts w:asciiTheme="majorBidi" w:hAnsiTheme="majorBidi" w:cstheme="majorBidi"/>
          <w:lang w:val="en"/>
        </w:rPr>
        <w:t xml:space="preserve">Muslim </w:t>
      </w:r>
      <w:r>
        <w:rPr>
          <w:rStyle w:val="tlid-translation"/>
          <w:rFonts w:asciiTheme="majorBidi" w:hAnsiTheme="majorBidi" w:cstheme="majorBidi"/>
          <w:lang w:val="en"/>
        </w:rPr>
        <w:t>Brethren”</w:t>
      </w:r>
      <w:r w:rsidRPr="00223006">
        <w:rPr>
          <w:rStyle w:val="tlid-translation"/>
          <w:rFonts w:asciiTheme="majorBidi" w:hAnsiTheme="majorBidi" w:cstheme="majorBidi"/>
          <w:lang w:val="en"/>
        </w:rPr>
        <w:t xml:space="preserve"> and other fundamentalist </w:t>
      </w:r>
      <w:r>
        <w:rPr>
          <w:rStyle w:val="tlid-translation"/>
          <w:rFonts w:asciiTheme="majorBidi" w:hAnsiTheme="majorBidi" w:cstheme="majorBidi"/>
          <w:lang w:val="en"/>
        </w:rPr>
        <w:t>movements</w:t>
      </w:r>
      <w:r w:rsidRPr="00223006">
        <w:rPr>
          <w:rStyle w:val="tlid-translation"/>
          <w:rFonts w:asciiTheme="majorBidi" w:hAnsiTheme="majorBidi" w:cstheme="majorBidi"/>
          <w:lang w:val="en"/>
        </w:rPr>
        <w:t xml:space="preserve">. A less known </w:t>
      </w:r>
      <w:r>
        <w:rPr>
          <w:rStyle w:val="tlid-translation"/>
          <w:rFonts w:asciiTheme="majorBidi" w:hAnsiTheme="majorBidi" w:cstheme="majorBidi"/>
          <w:lang w:val="en"/>
        </w:rPr>
        <w:t>facet</w:t>
      </w:r>
      <w:r w:rsidRPr="00223006">
        <w:rPr>
          <w:rStyle w:val="tlid-translation"/>
          <w:rFonts w:asciiTheme="majorBidi" w:hAnsiTheme="majorBidi" w:cstheme="majorBidi"/>
          <w:lang w:val="en"/>
        </w:rPr>
        <w:t xml:space="preserve"> of </w:t>
      </w:r>
      <w:proofErr w:type="spellStart"/>
      <w:r w:rsidRPr="00223006">
        <w:rPr>
          <w:rStyle w:val="tlid-translation"/>
          <w:rFonts w:asciiTheme="majorBidi" w:hAnsiTheme="majorBidi" w:cstheme="majorBidi"/>
          <w:lang w:val="en"/>
        </w:rPr>
        <w:t>R</w:t>
      </w:r>
      <w:r>
        <w:rPr>
          <w:rStyle w:val="tlid-translation"/>
          <w:rFonts w:asciiTheme="majorBidi" w:hAnsiTheme="majorBidi" w:cstheme="majorBidi"/>
          <w:lang w:val="en"/>
        </w:rPr>
        <w:t>i</w:t>
      </w:r>
      <w:r w:rsidRPr="00223006">
        <w:rPr>
          <w:rStyle w:val="tlid-translation"/>
          <w:rFonts w:asciiTheme="majorBidi" w:hAnsiTheme="majorBidi" w:cstheme="majorBidi"/>
          <w:lang w:val="en"/>
        </w:rPr>
        <w:t>da</w:t>
      </w:r>
      <w:r>
        <w:rPr>
          <w:rStyle w:val="tlid-translation"/>
          <w:rFonts w:asciiTheme="majorBidi" w:hAnsiTheme="majorBidi" w:cstheme="majorBidi"/>
          <w:lang w:val="en"/>
        </w:rPr>
        <w:t>’</w:t>
      </w:r>
      <w:r w:rsidRPr="00223006">
        <w:rPr>
          <w:rStyle w:val="tlid-translation"/>
          <w:rFonts w:asciiTheme="majorBidi" w:hAnsiTheme="majorBidi" w:cstheme="majorBidi"/>
          <w:lang w:val="en"/>
        </w:rPr>
        <w:t>s</w:t>
      </w:r>
      <w:proofErr w:type="spellEnd"/>
      <w:r w:rsidRPr="00223006">
        <w:rPr>
          <w:rStyle w:val="tlid-translation"/>
          <w:rFonts w:asciiTheme="majorBidi" w:hAnsiTheme="majorBidi" w:cstheme="majorBidi"/>
          <w:lang w:val="en"/>
        </w:rPr>
        <w:t xml:space="preserve"> </w:t>
      </w:r>
      <w:r>
        <w:rPr>
          <w:rStyle w:val="tlid-translation"/>
          <w:rFonts w:asciiTheme="majorBidi" w:hAnsiTheme="majorBidi" w:cstheme="majorBidi"/>
          <w:lang w:val="en"/>
        </w:rPr>
        <w:t>thought</w:t>
      </w:r>
      <w:r w:rsidRPr="00223006">
        <w:rPr>
          <w:rStyle w:val="tlid-translation"/>
          <w:rFonts w:asciiTheme="majorBidi" w:hAnsiTheme="majorBidi" w:cstheme="majorBidi"/>
          <w:lang w:val="en"/>
        </w:rPr>
        <w:t xml:space="preserve"> is his </w:t>
      </w:r>
      <w:r>
        <w:rPr>
          <w:rStyle w:val="tlid-translation"/>
          <w:rFonts w:asciiTheme="majorBidi" w:hAnsiTheme="majorBidi" w:cstheme="majorBidi"/>
          <w:lang w:val="en"/>
        </w:rPr>
        <w:t>attitude towards</w:t>
      </w:r>
      <w:r w:rsidRPr="00223006">
        <w:rPr>
          <w:rStyle w:val="tlid-translation"/>
          <w:rFonts w:asciiTheme="majorBidi" w:hAnsiTheme="majorBidi" w:cstheme="majorBidi"/>
          <w:lang w:val="en"/>
        </w:rPr>
        <w:t xml:space="preserve"> </w:t>
      </w:r>
      <w:r>
        <w:rPr>
          <w:rStyle w:val="tlid-translation"/>
          <w:rFonts w:asciiTheme="majorBidi" w:hAnsiTheme="majorBidi" w:cstheme="majorBidi"/>
          <w:lang w:val="en"/>
        </w:rPr>
        <w:t xml:space="preserve">the </w:t>
      </w:r>
      <w:r w:rsidRPr="00223006">
        <w:rPr>
          <w:rStyle w:val="tlid-translation"/>
          <w:rFonts w:asciiTheme="majorBidi" w:hAnsiTheme="majorBidi" w:cstheme="majorBidi"/>
          <w:lang w:val="en"/>
        </w:rPr>
        <w:t xml:space="preserve">Jewish settlement in </w:t>
      </w:r>
      <w:r>
        <w:rPr>
          <w:rStyle w:val="tlid-translation"/>
          <w:rFonts w:asciiTheme="majorBidi" w:hAnsiTheme="majorBidi" w:cstheme="majorBidi"/>
          <w:lang w:val="en"/>
        </w:rPr>
        <w:t>Palestine</w:t>
      </w:r>
      <w:r w:rsidRPr="00223006">
        <w:rPr>
          <w:rStyle w:val="tlid-translation"/>
          <w:rFonts w:asciiTheme="majorBidi" w:hAnsiTheme="majorBidi" w:cstheme="majorBidi"/>
          <w:lang w:val="en"/>
        </w:rPr>
        <w:t xml:space="preserve"> and the Zionist movement, </w:t>
      </w:r>
      <w:r>
        <w:rPr>
          <w:rStyle w:val="tlid-translation"/>
          <w:rFonts w:asciiTheme="majorBidi" w:hAnsiTheme="majorBidi" w:cstheme="majorBidi"/>
          <w:lang w:val="en"/>
        </w:rPr>
        <w:t>an attitude</w:t>
      </w:r>
      <w:r w:rsidRPr="00223006">
        <w:rPr>
          <w:rStyle w:val="tlid-translation"/>
          <w:rFonts w:asciiTheme="majorBidi" w:hAnsiTheme="majorBidi" w:cstheme="majorBidi"/>
          <w:lang w:val="en"/>
        </w:rPr>
        <w:t xml:space="preserve"> that began with appreciation if not admiration, continued in attempts </w:t>
      </w:r>
      <w:r>
        <w:rPr>
          <w:rStyle w:val="tlid-translation"/>
          <w:rFonts w:asciiTheme="majorBidi" w:hAnsiTheme="majorBidi" w:cstheme="majorBidi"/>
          <w:lang w:val="en"/>
        </w:rPr>
        <w:t xml:space="preserve">at cooperation </w:t>
      </w:r>
      <w:r w:rsidRPr="00223006">
        <w:rPr>
          <w:rStyle w:val="tlid-translation"/>
          <w:rFonts w:asciiTheme="majorBidi" w:hAnsiTheme="majorBidi" w:cstheme="majorBidi"/>
          <w:lang w:val="en"/>
        </w:rPr>
        <w:t xml:space="preserve">(in the face of common enemies and in general), and ended with anti-Semitic </w:t>
      </w:r>
      <w:r>
        <w:rPr>
          <w:rStyle w:val="tlid-translation"/>
          <w:rFonts w:asciiTheme="majorBidi" w:hAnsiTheme="majorBidi" w:cstheme="majorBidi"/>
          <w:lang w:val="en"/>
        </w:rPr>
        <w:t>remarks</w:t>
      </w:r>
      <w:r w:rsidRPr="00223006">
        <w:rPr>
          <w:rStyle w:val="tlid-translation"/>
          <w:rFonts w:asciiTheme="majorBidi" w:hAnsiTheme="majorBidi" w:cstheme="majorBidi"/>
          <w:lang w:val="en"/>
        </w:rPr>
        <w:t xml:space="preserve"> and unequivocal rulings against the Zionist enterprise. The article traces the evolution of his approach to the Zionist movement and the Jewish settlement in </w:t>
      </w:r>
      <w:r>
        <w:rPr>
          <w:rStyle w:val="tlid-translation"/>
          <w:rFonts w:asciiTheme="majorBidi" w:hAnsiTheme="majorBidi" w:cstheme="majorBidi"/>
          <w:lang w:val="en"/>
        </w:rPr>
        <w:t>Palestine</w:t>
      </w:r>
      <w:r w:rsidRPr="00223006">
        <w:rPr>
          <w:rStyle w:val="tlid-translation"/>
          <w:rFonts w:asciiTheme="majorBidi" w:hAnsiTheme="majorBidi" w:cstheme="majorBidi"/>
          <w:lang w:val="en"/>
        </w:rPr>
        <w:t xml:space="preserve">, and includes texts of </w:t>
      </w:r>
      <w:r>
        <w:rPr>
          <w:rStyle w:val="tlid-translation"/>
          <w:rFonts w:asciiTheme="majorBidi" w:hAnsiTheme="majorBidi" w:cstheme="majorBidi"/>
          <w:lang w:val="en"/>
        </w:rPr>
        <w:t>religious</w:t>
      </w:r>
      <w:r w:rsidRPr="00223006">
        <w:rPr>
          <w:rStyle w:val="tlid-translation"/>
          <w:rFonts w:asciiTheme="majorBidi" w:hAnsiTheme="majorBidi" w:cstheme="majorBidi"/>
          <w:lang w:val="en"/>
        </w:rPr>
        <w:t xml:space="preserve"> rulings (</w:t>
      </w:r>
      <w:r w:rsidRPr="00062846">
        <w:rPr>
          <w:rStyle w:val="tlid-translation"/>
          <w:rFonts w:asciiTheme="majorBidi" w:hAnsiTheme="majorBidi" w:cstheme="majorBidi"/>
          <w:i/>
          <w:iCs/>
          <w:lang w:val="en"/>
        </w:rPr>
        <w:t>fatwa</w:t>
      </w:r>
      <w:r w:rsidRPr="00223006">
        <w:rPr>
          <w:rStyle w:val="tlid-translation"/>
          <w:rFonts w:asciiTheme="majorBidi" w:hAnsiTheme="majorBidi" w:cstheme="majorBidi"/>
          <w:lang w:val="en"/>
        </w:rPr>
        <w:t xml:space="preserve">s) </w:t>
      </w:r>
      <w:r>
        <w:rPr>
          <w:rStyle w:val="tlid-translation"/>
          <w:rFonts w:asciiTheme="majorBidi" w:hAnsiTheme="majorBidi" w:cstheme="majorBidi"/>
          <w:lang w:val="en"/>
        </w:rPr>
        <w:t xml:space="preserve">he issued </w:t>
      </w:r>
      <w:r w:rsidRPr="00223006">
        <w:rPr>
          <w:rStyle w:val="tlid-translation"/>
          <w:rFonts w:asciiTheme="majorBidi" w:hAnsiTheme="majorBidi" w:cstheme="majorBidi"/>
          <w:lang w:val="en"/>
        </w:rPr>
        <w:t>in the 1930s on the sale of land</w:t>
      </w:r>
      <w:r>
        <w:rPr>
          <w:rStyle w:val="tlid-translation"/>
          <w:rFonts w:asciiTheme="majorBidi" w:hAnsiTheme="majorBidi" w:cstheme="majorBidi"/>
          <w:lang w:val="en"/>
        </w:rPr>
        <w:t>s</w:t>
      </w:r>
      <w:r w:rsidRPr="00223006">
        <w:rPr>
          <w:rStyle w:val="tlid-translation"/>
          <w:rFonts w:asciiTheme="majorBidi" w:hAnsiTheme="majorBidi" w:cstheme="majorBidi"/>
          <w:lang w:val="en"/>
        </w:rPr>
        <w:t xml:space="preserve"> to Jews in </w:t>
      </w:r>
      <w:r>
        <w:rPr>
          <w:rStyle w:val="tlid-translation"/>
          <w:rFonts w:asciiTheme="majorBidi" w:hAnsiTheme="majorBidi" w:cstheme="majorBidi"/>
          <w:lang w:val="en"/>
        </w:rPr>
        <w:t>Palestine</w:t>
      </w:r>
      <w:r>
        <w:rPr>
          <w:rFonts w:asciiTheme="majorBidi" w:hAnsiTheme="majorBidi" w:cstheme="majorBidi"/>
        </w:rPr>
        <w:t>.</w:t>
      </w:r>
    </w:p>
    <w:p w:rsidR="0087593B" w:rsidRDefault="0087593B" w:rsidP="0087593B">
      <w:pPr>
        <w:pStyle w:val="a3"/>
        <w:bidi w:val="0"/>
        <w:spacing w:line="360" w:lineRule="auto"/>
        <w:ind w:firstLine="0"/>
        <w:rPr>
          <w:rStyle w:val="tlid-translation"/>
          <w:rFonts w:asciiTheme="majorBidi" w:hAnsiTheme="majorBidi" w:cstheme="majorBidi"/>
          <w:rtl/>
          <w:lang w:val="en"/>
        </w:rPr>
      </w:pPr>
      <w:r w:rsidRPr="00C979EB">
        <w:rPr>
          <w:rStyle w:val="tlid-translation"/>
          <w:rFonts w:asciiTheme="majorBidi" w:hAnsiTheme="majorBidi" w:cstheme="majorBidi"/>
          <w:b/>
          <w:bCs/>
          <w:lang w:val="en"/>
        </w:rPr>
        <w:t>Keywords:</w:t>
      </w:r>
      <w:r>
        <w:rPr>
          <w:rStyle w:val="tlid-translation"/>
          <w:rFonts w:asciiTheme="majorBidi" w:hAnsiTheme="majorBidi" w:cstheme="majorBidi"/>
          <w:lang w:val="en"/>
        </w:rPr>
        <w:t xml:space="preserve"> Rashid </w:t>
      </w:r>
      <w:proofErr w:type="spellStart"/>
      <w:r>
        <w:rPr>
          <w:rStyle w:val="tlid-translation"/>
          <w:rFonts w:asciiTheme="majorBidi" w:hAnsiTheme="majorBidi" w:cstheme="majorBidi"/>
          <w:lang w:val="en"/>
        </w:rPr>
        <w:t>Rida</w:t>
      </w:r>
      <w:proofErr w:type="spellEnd"/>
      <w:r>
        <w:rPr>
          <w:rStyle w:val="tlid-translation"/>
          <w:rFonts w:asciiTheme="majorBidi" w:hAnsiTheme="majorBidi" w:cstheme="majorBidi"/>
          <w:lang w:val="en"/>
        </w:rPr>
        <w:t>, Zionism, Palestine</w:t>
      </w:r>
    </w:p>
    <w:p w:rsidR="00C31AB9" w:rsidRPr="00C31AB9" w:rsidRDefault="00C31AB9" w:rsidP="0087593B">
      <w:pPr>
        <w:bidi w:val="0"/>
        <w:spacing w:line="360" w:lineRule="auto"/>
        <w:jc w:val="both"/>
        <w:rPr>
          <w:rFonts w:asciiTheme="majorBidi" w:hAnsiTheme="majorBidi" w:cstheme="majorBidi"/>
          <w:sz w:val="24"/>
          <w:szCs w:val="24"/>
          <w:rtl/>
        </w:rPr>
      </w:pPr>
    </w:p>
    <w:p w:rsidR="00C31AB9" w:rsidRPr="00C31AB9" w:rsidRDefault="00C31AB9" w:rsidP="0087593B">
      <w:pPr>
        <w:shd w:val="clear" w:color="auto" w:fill="FFFFFF"/>
        <w:bidi w:val="0"/>
        <w:spacing w:after="0" w:line="360" w:lineRule="auto"/>
        <w:rPr>
          <w:rFonts w:asciiTheme="majorBidi" w:eastAsia="Times New Roman" w:hAnsiTheme="majorBidi" w:cstheme="majorBidi"/>
          <w:b/>
          <w:bCs/>
          <w:sz w:val="24"/>
          <w:szCs w:val="24"/>
        </w:rPr>
      </w:pPr>
      <w:r w:rsidRPr="00C31AB9">
        <w:rPr>
          <w:rFonts w:asciiTheme="majorBidi" w:eastAsia="Times New Roman" w:hAnsiTheme="majorBidi" w:cstheme="majorBidi"/>
          <w:b/>
          <w:bCs/>
          <w:sz w:val="24"/>
          <w:szCs w:val="24"/>
        </w:rPr>
        <w:t>Execution of family law court rulings in Jewish communities in Tunisia and Libya at the beginning of the 20th century: The challenge of enforcement without sustenance</w:t>
      </w:r>
    </w:p>
    <w:p w:rsidR="006974CB" w:rsidRPr="00C31AB9" w:rsidRDefault="006974CB" w:rsidP="0087593B">
      <w:pPr>
        <w:bidi w:val="0"/>
        <w:spacing w:line="360" w:lineRule="auto"/>
        <w:ind w:firstLine="720"/>
        <w:jc w:val="both"/>
        <w:rPr>
          <w:rFonts w:asciiTheme="majorBidi" w:hAnsiTheme="majorBidi" w:cstheme="majorBidi"/>
          <w:sz w:val="24"/>
          <w:szCs w:val="24"/>
        </w:rPr>
      </w:pPr>
      <w:r w:rsidRPr="00C31AB9">
        <w:rPr>
          <w:rFonts w:asciiTheme="majorBidi" w:hAnsiTheme="majorBidi" w:cstheme="majorBidi"/>
          <w:sz w:val="24"/>
          <w:szCs w:val="24"/>
        </w:rPr>
        <w:t xml:space="preserve">Ronel </w:t>
      </w:r>
      <w:proofErr w:type="spellStart"/>
      <w:r w:rsidRPr="00C31AB9">
        <w:rPr>
          <w:rFonts w:asciiTheme="majorBidi" w:hAnsiTheme="majorBidi" w:cstheme="majorBidi"/>
          <w:sz w:val="24"/>
          <w:szCs w:val="24"/>
        </w:rPr>
        <w:t>Atia</w:t>
      </w:r>
      <w:proofErr w:type="spellEnd"/>
    </w:p>
    <w:p w:rsidR="006974CB" w:rsidRPr="006974CB" w:rsidRDefault="006974CB" w:rsidP="0087593B">
      <w:pPr>
        <w:shd w:val="clear" w:color="auto" w:fill="FFFFFF"/>
        <w:bidi w:val="0"/>
        <w:spacing w:after="0" w:line="360" w:lineRule="auto"/>
        <w:jc w:val="both"/>
        <w:rPr>
          <w:rFonts w:asciiTheme="majorBidi" w:eastAsia="Times New Roman" w:hAnsiTheme="majorBidi" w:cstheme="majorBidi"/>
          <w:b/>
          <w:bCs/>
          <w:sz w:val="24"/>
          <w:szCs w:val="24"/>
        </w:rPr>
      </w:pPr>
      <w:r w:rsidRPr="006974CB">
        <w:rPr>
          <w:rFonts w:asciiTheme="majorBidi" w:eastAsia="Times New Roman" w:hAnsiTheme="majorBidi" w:cstheme="majorBidi"/>
          <w:b/>
          <w:bCs/>
          <w:sz w:val="24"/>
          <w:szCs w:val="24"/>
        </w:rPr>
        <w:t>Abstract:</w:t>
      </w:r>
    </w:p>
    <w:p w:rsidR="006974CB" w:rsidRPr="006974CB" w:rsidRDefault="006974CB" w:rsidP="0087593B">
      <w:pPr>
        <w:shd w:val="clear" w:color="auto" w:fill="FFFFFF"/>
        <w:bidi w:val="0"/>
        <w:spacing w:after="0" w:line="360" w:lineRule="auto"/>
        <w:jc w:val="both"/>
        <w:rPr>
          <w:rFonts w:asciiTheme="majorBidi" w:eastAsia="Times New Roman" w:hAnsiTheme="majorBidi" w:cstheme="majorBidi"/>
          <w:sz w:val="24"/>
          <w:szCs w:val="24"/>
        </w:rPr>
      </w:pPr>
      <w:r w:rsidRPr="006974CB">
        <w:rPr>
          <w:rFonts w:asciiTheme="majorBidi" w:eastAsia="Times New Roman" w:hAnsiTheme="majorBidi" w:cstheme="majorBidi"/>
          <w:sz w:val="24"/>
          <w:szCs w:val="24"/>
        </w:rPr>
        <w:t>The article examines the enforcement of judgments by Jewish courts in Tunisia at the beginning of the twentieth century, focusing on the Jewish community in the capital city of Tunis during the transition from Muslim rule to the European protectorate, as well as the Jewish community in Libya during the last years of the Ottoman Empire. It will analyze three documents that documented how various Jewish courts handled cases related to family law and used sanctions to uphold Jewish law. These situations raised questions about the authority of the Jewish courts in executing judgments in matters under their direct authority. This article could provide a basis for studying similar issues in other Jewish communities in the Ottoman Empire and at different times.</w:t>
      </w:r>
      <w:r w:rsidRPr="006974CB">
        <w:rPr>
          <w:rFonts w:asciiTheme="majorBidi" w:eastAsia="Times New Roman" w:hAnsiTheme="majorBidi" w:cstheme="majorBidi"/>
          <w:sz w:val="24"/>
          <w:szCs w:val="24"/>
        </w:rPr>
        <w:br/>
      </w:r>
      <w:r w:rsidRPr="006974CB">
        <w:rPr>
          <w:rFonts w:asciiTheme="majorBidi" w:eastAsia="Times New Roman" w:hAnsiTheme="majorBidi" w:cstheme="majorBidi"/>
          <w:sz w:val="24"/>
          <w:szCs w:val="24"/>
        </w:rPr>
        <w:br/>
      </w:r>
      <w:r w:rsidRPr="006974CB">
        <w:rPr>
          <w:rFonts w:asciiTheme="majorBidi" w:eastAsia="Times New Roman" w:hAnsiTheme="majorBidi" w:cstheme="majorBidi"/>
          <w:b/>
          <w:bCs/>
          <w:sz w:val="24"/>
          <w:szCs w:val="24"/>
        </w:rPr>
        <w:t>Keywords:</w:t>
      </w:r>
      <w:r w:rsidRPr="006974CB">
        <w:rPr>
          <w:rFonts w:asciiTheme="majorBidi" w:eastAsia="Times New Roman" w:hAnsiTheme="majorBidi" w:cstheme="majorBidi"/>
          <w:sz w:val="24"/>
          <w:szCs w:val="24"/>
        </w:rPr>
        <w:t xml:space="preserve"> Libya, Tripoli, Tunisia, the Jewish Court, the </w:t>
      </w:r>
      <w:proofErr w:type="spellStart"/>
      <w:r w:rsidRPr="006974CB">
        <w:rPr>
          <w:rFonts w:asciiTheme="majorBidi" w:eastAsia="Times New Roman" w:hAnsiTheme="majorBidi" w:cstheme="majorBidi"/>
          <w:sz w:val="24"/>
          <w:szCs w:val="24"/>
        </w:rPr>
        <w:t>Tanzimaat</w:t>
      </w:r>
      <w:proofErr w:type="spellEnd"/>
      <w:r w:rsidRPr="006974CB">
        <w:rPr>
          <w:rFonts w:asciiTheme="majorBidi" w:eastAsia="Times New Roman" w:hAnsiTheme="majorBidi" w:cstheme="majorBidi"/>
          <w:sz w:val="24"/>
          <w:szCs w:val="24"/>
        </w:rPr>
        <w:t>, Hebrew Law.</w:t>
      </w:r>
      <w:bookmarkStart w:id="0" w:name="_GoBack"/>
      <w:bookmarkEnd w:id="0"/>
    </w:p>
    <w:sectPr w:rsidR="006974CB" w:rsidRPr="006974CB" w:rsidSect="0087593B">
      <w:pgSz w:w="11906" w:h="16838"/>
      <w:pgMar w:top="851"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רמת אביב">
    <w:altName w:val="Arial"/>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CB"/>
    <w:rsid w:val="001355A8"/>
    <w:rsid w:val="006974CB"/>
    <w:rsid w:val="0087593B"/>
    <w:rsid w:val="009B2EE8"/>
    <w:rsid w:val="00C31A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6A1E"/>
  <w15:chartTrackingRefBased/>
  <w15:docId w15:val="{C1095C6C-676E-4F3D-969A-49DFF798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סקה עברית"/>
    <w:basedOn w:val="a"/>
    <w:link w:val="a4"/>
    <w:qFormat/>
    <w:rsid w:val="0087593B"/>
    <w:pPr>
      <w:autoSpaceDE w:val="0"/>
      <w:autoSpaceDN w:val="0"/>
      <w:adjustRightInd w:val="0"/>
      <w:spacing w:before="288" w:after="0" w:line="480" w:lineRule="auto"/>
      <w:ind w:firstLine="380"/>
      <w:jc w:val="both"/>
    </w:pPr>
    <w:rPr>
      <w:rFonts w:ascii="Times New Roman" w:hAnsi="Times New Roman" w:cs="רמת אביב"/>
      <w:sz w:val="24"/>
      <w:szCs w:val="24"/>
    </w:rPr>
  </w:style>
  <w:style w:type="character" w:customStyle="1" w:styleId="a4">
    <w:name w:val="פסקה עברית תו"/>
    <w:basedOn w:val="a0"/>
    <w:link w:val="a3"/>
    <w:locked/>
    <w:rsid w:val="0087593B"/>
    <w:rPr>
      <w:rFonts w:ascii="Times New Roman" w:hAnsi="Times New Roman" w:cs="רמת אביב"/>
      <w:sz w:val="24"/>
      <w:szCs w:val="24"/>
    </w:rPr>
  </w:style>
  <w:style w:type="character" w:customStyle="1" w:styleId="tlid-translation">
    <w:name w:val="tlid-translation"/>
    <w:basedOn w:val="a0"/>
    <w:rsid w:val="00875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207883">
      <w:bodyDiv w:val="1"/>
      <w:marLeft w:val="0"/>
      <w:marRight w:val="0"/>
      <w:marTop w:val="0"/>
      <w:marBottom w:val="0"/>
      <w:divBdr>
        <w:top w:val="none" w:sz="0" w:space="0" w:color="auto"/>
        <w:left w:val="none" w:sz="0" w:space="0" w:color="auto"/>
        <w:bottom w:val="none" w:sz="0" w:space="0" w:color="auto"/>
        <w:right w:val="none" w:sz="0" w:space="0" w:color="auto"/>
      </w:divBdr>
      <w:divsChild>
        <w:div w:id="639576520">
          <w:marLeft w:val="0"/>
          <w:marRight w:val="0"/>
          <w:marTop w:val="0"/>
          <w:marBottom w:val="0"/>
          <w:divBdr>
            <w:top w:val="none" w:sz="0" w:space="0" w:color="auto"/>
            <w:left w:val="none" w:sz="0" w:space="0" w:color="auto"/>
            <w:bottom w:val="none" w:sz="0" w:space="0" w:color="auto"/>
            <w:right w:val="none" w:sz="0" w:space="0" w:color="auto"/>
          </w:divBdr>
        </w:div>
        <w:div w:id="1977759042">
          <w:marLeft w:val="0"/>
          <w:marRight w:val="0"/>
          <w:marTop w:val="0"/>
          <w:marBottom w:val="0"/>
          <w:divBdr>
            <w:top w:val="none" w:sz="0" w:space="0" w:color="auto"/>
            <w:left w:val="none" w:sz="0" w:space="0" w:color="auto"/>
            <w:bottom w:val="none" w:sz="0" w:space="0" w:color="auto"/>
            <w:right w:val="none" w:sz="0" w:space="0" w:color="auto"/>
          </w:divBdr>
        </w:div>
      </w:divsChild>
    </w:div>
    <w:div w:id="2055542550">
      <w:bodyDiv w:val="1"/>
      <w:marLeft w:val="0"/>
      <w:marRight w:val="0"/>
      <w:marTop w:val="0"/>
      <w:marBottom w:val="0"/>
      <w:divBdr>
        <w:top w:val="none" w:sz="0" w:space="0" w:color="auto"/>
        <w:left w:val="none" w:sz="0" w:space="0" w:color="auto"/>
        <w:bottom w:val="none" w:sz="0" w:space="0" w:color="auto"/>
        <w:right w:val="none" w:sz="0" w:space="0" w:color="auto"/>
      </w:divBdr>
      <w:divsChild>
        <w:div w:id="37704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1725</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רונן כהן/Ronen Cohen</dc:creator>
  <cp:keywords/>
  <dc:description/>
  <cp:lastModifiedBy>רונן כהן/Ronen Cohen</cp:lastModifiedBy>
  <cp:revision>2</cp:revision>
  <dcterms:created xsi:type="dcterms:W3CDTF">2024-07-23T05:26:00Z</dcterms:created>
  <dcterms:modified xsi:type="dcterms:W3CDTF">2024-07-23T15:27:00Z</dcterms:modified>
</cp:coreProperties>
</file>